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1.xml" ContentType="application/vnd.openxmlformats-officedocument.wordprocessingml.header+xml"/>
  <Override PartName="/word/header12.xml" ContentType="application/vnd.openxmlformats-officedocument.wordprocessingml.header+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header15.xml" ContentType="application/vnd.openxmlformats-officedocument.wordprocessingml.header+xml"/>
  <Override PartName="/word/header16.xml" ContentType="application/vnd.openxmlformats-officedocument.wordprocessingml.head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7.xml" ContentType="application/vnd.openxmlformats-officedocument.wordprocessingml.header+xml"/>
  <Override PartName="/word/header18.xml" ContentType="application/vnd.openxmlformats-officedocument.wordprocessingml.header+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4.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header19.xml" ContentType="application/vnd.openxmlformats-officedocument.wordprocessingml.header+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header20.xml" ContentType="application/vnd.openxmlformats-officedocument.wordprocessingml.header+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DCC7E7" w14:textId="093EEE5E" w:rsidR="007C5C6E" w:rsidRPr="00BD2E58" w:rsidRDefault="00C624D0" w:rsidP="00733441">
      <w:pPr>
        <w:spacing w:after="120"/>
        <w:contextualSpacing/>
        <w:rPr>
          <w:rFonts w:asciiTheme="majorHAnsi" w:hAnsiTheme="majorHAnsi" w:cs="Calibri"/>
        </w:rPr>
      </w:pPr>
      <w:bookmarkStart w:id="1" w:name="_GoBack"/>
      <w:bookmarkEnd w:id="1"/>
      <w:r>
        <w:rPr>
          <w:rFonts w:asciiTheme="majorHAnsi" w:hAnsiTheme="majorHAnsi" w:cs="Calibri"/>
          <w:noProof/>
          <w:lang w:eastAsia="en-AU"/>
        </w:rPr>
        <w:drawing>
          <wp:anchor distT="0" distB="0" distL="114300" distR="114300" simplePos="0" relativeHeight="251658240" behindDoc="0" locked="0" layoutInCell="1" allowOverlap="1" wp14:anchorId="6191FAAB" wp14:editId="5B852CE6">
            <wp:simplePos x="0" y="0"/>
            <wp:positionH relativeFrom="column">
              <wp:posOffset>-431800</wp:posOffset>
            </wp:positionH>
            <wp:positionV relativeFrom="paragraph">
              <wp:posOffset>-1260475</wp:posOffset>
            </wp:positionV>
            <wp:extent cx="7559674" cy="10685187"/>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59674" cy="10685187"/>
                    </a:xfrm>
                    <a:prstGeom prst="rect">
                      <a:avLst/>
                    </a:prstGeom>
                    <a:noFill/>
                  </pic:spPr>
                </pic:pic>
              </a:graphicData>
            </a:graphic>
            <wp14:sizeRelH relativeFrom="page">
              <wp14:pctWidth>0</wp14:pctWidth>
            </wp14:sizeRelH>
            <wp14:sizeRelV relativeFrom="page">
              <wp14:pctHeight>0</wp14:pctHeight>
            </wp14:sizeRelV>
          </wp:anchor>
        </w:drawing>
      </w:r>
      <w:r w:rsidR="00383B50" w:rsidRPr="00BD2E58">
        <w:rPr>
          <w:rFonts w:asciiTheme="majorHAnsi" w:hAnsiTheme="majorHAnsi" w:cs="Calibri"/>
          <w:noProof/>
          <w:lang w:eastAsia="en-AU"/>
        </w:rPr>
        <mc:AlternateContent>
          <mc:Choice Requires="wps">
            <w:drawing>
              <wp:anchor distT="0" distB="0" distL="114300" distR="114300" simplePos="0" relativeHeight="251658255" behindDoc="1" locked="1" layoutInCell="1" allowOverlap="1" wp14:anchorId="3CBF32E5" wp14:editId="35F2D63D">
                <wp:simplePos x="0" y="0"/>
                <wp:positionH relativeFrom="margin">
                  <wp:posOffset>-427990</wp:posOffset>
                </wp:positionH>
                <wp:positionV relativeFrom="margin">
                  <wp:posOffset>-1260475</wp:posOffset>
                </wp:positionV>
                <wp:extent cx="7559675" cy="10691495"/>
                <wp:effectExtent l="0" t="0" r="3175" b="0"/>
                <wp:wrapNone/>
                <wp:docPr id="35" name="FrontpageBackground"/>
                <wp:cNvGraphicFramePr/>
                <a:graphic xmlns:a="http://schemas.openxmlformats.org/drawingml/2006/main">
                  <a:graphicData uri="http://schemas.microsoft.com/office/word/2010/wordprocessingShape">
                    <wps:wsp>
                      <wps:cNvSpPr/>
                      <wps:spPr>
                        <a:xfrm>
                          <a:off x="0" y="0"/>
                          <a:ext cx="7559675" cy="10691495"/>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arto="http://schemas.microsoft.com/office/word/2006/arto">
            <w:pict>
              <v:rect w14:anchorId="37E35895" id="FrontpageBackground" o:spid="_x0000_s1026" style="position:absolute;margin-left:-33.7pt;margin-top:-99.25pt;width:595.25pt;height:841.85pt;z-index:-2516582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" stroked="f" strokeweight="2pt">
                <w10:wrap anchorx="margin" anchory="margin"/>
                <w10:anchorlock/>
              </v:rect>
            </w:pict>
          </mc:Fallback>
        </mc:AlternateContent>
      </w:r>
    </w:p>
    <w:p w14:paraId="22EDACF4" w14:textId="64E6DED4" w:rsidR="007C5C6E" w:rsidRPr="00BD2E58" w:rsidRDefault="007C5C6E" w:rsidP="00733441">
      <w:pPr>
        <w:spacing w:after="120"/>
        <w:contextualSpacing/>
        <w:rPr>
          <w:rFonts w:asciiTheme="majorHAnsi" w:hAnsiTheme="majorHAnsi" w:cs="Calibri"/>
        </w:rPr>
      </w:pPr>
      <w:bookmarkStart w:id="2" w:name="BIT_CoverPage"/>
    </w:p>
    <w:p w14:paraId="1310E3C9" w14:textId="77777777" w:rsidR="007C5C6E" w:rsidRPr="00BD2E58" w:rsidRDefault="007C5C6E" w:rsidP="00733441">
      <w:pPr>
        <w:spacing w:after="120"/>
        <w:contextualSpacing/>
        <w:rPr>
          <w:rFonts w:asciiTheme="majorHAnsi" w:hAnsiTheme="majorHAnsi" w:cs="Calibri"/>
        </w:rPr>
      </w:pPr>
      <w:r w:rsidRPr="00BD2E58">
        <w:rPr>
          <w:rFonts w:asciiTheme="majorHAnsi" w:hAnsiTheme="majorHAnsi" w:cs="Calibri"/>
          <w:noProof/>
          <w:lang w:eastAsia="en-AU"/>
        </w:rPr>
        <w:drawing>
          <wp:anchor distT="0" distB="0" distL="114300" distR="114300" simplePos="0" relativeHeight="251658242" behindDoc="0" locked="0" layoutInCell="1" allowOverlap="1" wp14:anchorId="5198CD40" wp14:editId="6E06F314">
            <wp:simplePos x="0" y="0"/>
            <wp:positionH relativeFrom="page">
              <wp:posOffset>431800</wp:posOffset>
            </wp:positionH>
            <wp:positionV relativeFrom="page">
              <wp:posOffset>431800</wp:posOffset>
            </wp:positionV>
            <wp:extent cx="3185786" cy="914400"/>
            <wp:effectExtent l="0" t="0" r="0" b="0"/>
            <wp:wrapNone/>
            <wp:docPr id="9" name="Frontpage_Logo_Negativ" descr="D:\Tortoise\DeloitteAU\Templafy\Graphics\White_Logo_Access_Economics.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rtoise\DeloitteAU\Templafy\Graphics\White_Logo_Access_Economics.emf"/>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3185786" cy="91440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p w14:paraId="09FF5304" w14:textId="77777777" w:rsidR="00493AF9" w:rsidRPr="00BD2E58" w:rsidRDefault="00493AF9" w:rsidP="00733441">
      <w:pPr>
        <w:spacing w:after="120"/>
        <w:contextualSpacing/>
        <w:rPr>
          <w:rFonts w:asciiTheme="majorHAnsi" w:hAnsiTheme="majorHAnsi" w:cs="Calibri"/>
        </w:rPr>
      </w:pPr>
    </w:p>
    <w:p w14:paraId="23206E63" w14:textId="2BF7AA14" w:rsidR="001E594B" w:rsidRPr="00BD2E58" w:rsidRDefault="001E594B" w:rsidP="00733441">
      <w:pPr>
        <w:spacing w:after="120"/>
        <w:contextualSpacing/>
        <w:rPr>
          <w:rFonts w:asciiTheme="majorHAnsi" w:hAnsiTheme="majorHAnsi" w:cs="Calibri"/>
        </w:rPr>
      </w:pPr>
    </w:p>
    <w:p w14:paraId="2E378CB4" w14:textId="77777777" w:rsidR="00D96296" w:rsidRPr="00BD2E58" w:rsidRDefault="00D96296" w:rsidP="00733441">
      <w:pPr>
        <w:pageBreakBefore/>
        <w:spacing w:after="120"/>
        <w:contextualSpacing/>
        <w:rPr>
          <w:rFonts w:asciiTheme="majorHAnsi" w:hAnsiTheme="majorHAnsi" w:cs="Calibri"/>
        </w:rPr>
        <w:sectPr w:rsidR="00D96296" w:rsidRPr="00BD2E58" w:rsidSect="00372238">
          <w:headerReference w:type="even" r:id="rId10"/>
          <w:headerReference w:type="default" r:id="rId11"/>
          <w:footerReference w:type="even" r:id="rId12"/>
          <w:footerReference w:type="default" r:id="rId13"/>
          <w:headerReference w:type="first" r:id="rId14"/>
          <w:footerReference w:type="first" r:id="rId15"/>
          <w:pgSz w:w="11906" w:h="16838" w:code="9"/>
          <w:pgMar w:top="1985" w:right="4281" w:bottom="1134" w:left="680" w:header="680" w:footer="425" w:gutter="0"/>
          <w:cols w:space="284"/>
          <w:docGrid w:linePitch="360"/>
        </w:sectPr>
      </w:pPr>
    </w:p>
    <w:p w14:paraId="6680E364" w14:textId="0FCD0123" w:rsidR="005C5CC9" w:rsidRPr="00520882" w:rsidRDefault="005C5CC9" w:rsidP="00520882">
      <w:pPr>
        <w:pStyle w:val="TOCHeading"/>
        <w:keepNext/>
        <w:keepLines/>
        <w:pageBreakBefore/>
        <w:spacing w:after="840"/>
        <w:contextualSpacing/>
        <w:rPr>
          <w:rFonts w:ascii="Calibri Light" w:hAnsi="Calibri Light" w:cs="Calibri Light"/>
        </w:rPr>
      </w:pPr>
      <w:bookmarkStart w:id="3" w:name="LAN_ContentsRP"/>
      <w:r w:rsidRPr="00520882">
        <w:rPr>
          <w:rFonts w:ascii="Calibri Light" w:hAnsi="Calibri Light" w:cs="Calibri Light"/>
        </w:rPr>
        <w:lastRenderedPageBreak/>
        <w:t>Contents</w:t>
      </w:r>
      <w:bookmarkEnd w:id="3"/>
    </w:p>
    <w:p w14:paraId="284C13FA" w14:textId="437987CA" w:rsidR="00CC1EFE" w:rsidRDefault="00B67924" w:rsidP="00CC1EFE">
      <w:pPr>
        <w:pStyle w:val="TOC1"/>
        <w:ind w:right="2381"/>
        <w:rPr>
          <w:rFonts w:asciiTheme="minorHAnsi" w:eastAsiaTheme="minorEastAsia" w:hAnsiTheme="minorHAnsi"/>
          <w:b w:val="0"/>
          <w:noProof/>
          <w:sz w:val="22"/>
          <w:szCs w:val="22"/>
          <w:lang w:eastAsia="en-AU"/>
        </w:rPr>
      </w:pPr>
      <w:r>
        <w:rPr>
          <w:rFonts w:asciiTheme="majorHAnsi" w:hAnsiTheme="majorHAnsi" w:cs="Calibri"/>
          <w:b w:val="0"/>
        </w:rPr>
        <w:fldChar w:fldCharType="begin"/>
      </w:r>
      <w:r>
        <w:rPr>
          <w:rFonts w:asciiTheme="majorHAnsi" w:hAnsiTheme="majorHAnsi" w:cs="Calibri"/>
          <w:b w:val="0"/>
        </w:rPr>
        <w:instrText xml:space="preserve"> TOC \h \z \t "Heading 1,2,Appendix_head_1,2,Divider,1" </w:instrText>
      </w:r>
      <w:r>
        <w:rPr>
          <w:rFonts w:asciiTheme="majorHAnsi" w:hAnsiTheme="majorHAnsi" w:cs="Calibri"/>
          <w:b w:val="0"/>
        </w:rPr>
        <w:fldChar w:fldCharType="separate"/>
      </w:r>
      <w:hyperlink w:anchor="_Toc63970836" w:history="1">
        <w:r w:rsidR="00CC1EFE" w:rsidRPr="0035288F">
          <w:rPr>
            <w:rStyle w:val="Hyperlink"/>
            <w:noProof/>
          </w:rPr>
          <w:t>Summary</w:t>
        </w:r>
        <w:r w:rsidR="00CC1EFE">
          <w:rPr>
            <w:noProof/>
            <w:webHidden/>
          </w:rPr>
          <w:tab/>
        </w:r>
        <w:r w:rsidR="00CC1EFE">
          <w:rPr>
            <w:noProof/>
            <w:webHidden/>
          </w:rPr>
          <w:fldChar w:fldCharType="begin"/>
        </w:r>
        <w:r w:rsidR="00CC1EFE">
          <w:rPr>
            <w:noProof/>
            <w:webHidden/>
          </w:rPr>
          <w:instrText xml:space="preserve"> PAGEREF _Toc63970836 \h </w:instrText>
        </w:r>
        <w:r w:rsidR="00CC1EFE">
          <w:rPr>
            <w:noProof/>
            <w:webHidden/>
          </w:rPr>
        </w:r>
        <w:r w:rsidR="00CC1EFE">
          <w:rPr>
            <w:noProof/>
            <w:webHidden/>
          </w:rPr>
          <w:fldChar w:fldCharType="separate"/>
        </w:r>
        <w:r w:rsidR="00E816B8">
          <w:rPr>
            <w:noProof/>
            <w:webHidden/>
          </w:rPr>
          <w:t>5</w:t>
        </w:r>
        <w:r w:rsidR="00CC1EFE">
          <w:rPr>
            <w:noProof/>
            <w:webHidden/>
          </w:rPr>
          <w:fldChar w:fldCharType="end"/>
        </w:r>
      </w:hyperlink>
    </w:p>
    <w:p w14:paraId="09A732CB" w14:textId="4F499350"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37" w:history="1">
        <w:r w:rsidR="00CC1EFE" w:rsidRPr="0035288F">
          <w:rPr>
            <w:rStyle w:val="Hyperlink"/>
            <w:noProof/>
          </w:rPr>
          <w:t>1</w:t>
        </w:r>
        <w:r w:rsidR="00CC1EFE">
          <w:rPr>
            <w:rFonts w:asciiTheme="minorHAnsi" w:eastAsiaTheme="minorEastAsia" w:hAnsiTheme="minorHAnsi"/>
            <w:noProof/>
            <w:sz w:val="22"/>
            <w:szCs w:val="22"/>
            <w:lang w:eastAsia="en-AU"/>
          </w:rPr>
          <w:tab/>
        </w:r>
        <w:r w:rsidR="00CC1EFE" w:rsidRPr="0035288F">
          <w:rPr>
            <w:rStyle w:val="Hyperlink"/>
            <w:noProof/>
          </w:rPr>
          <w:t>Executive summary</w:t>
        </w:r>
        <w:r w:rsidR="00CC1EFE">
          <w:rPr>
            <w:noProof/>
            <w:webHidden/>
          </w:rPr>
          <w:tab/>
        </w:r>
        <w:r w:rsidR="00CC1EFE">
          <w:rPr>
            <w:noProof/>
            <w:webHidden/>
          </w:rPr>
          <w:fldChar w:fldCharType="begin"/>
        </w:r>
        <w:r w:rsidR="00CC1EFE">
          <w:rPr>
            <w:noProof/>
            <w:webHidden/>
          </w:rPr>
          <w:instrText xml:space="preserve"> PAGEREF _Toc63970837 \h </w:instrText>
        </w:r>
        <w:r w:rsidR="00CC1EFE">
          <w:rPr>
            <w:noProof/>
            <w:webHidden/>
          </w:rPr>
        </w:r>
        <w:r w:rsidR="00CC1EFE">
          <w:rPr>
            <w:noProof/>
            <w:webHidden/>
          </w:rPr>
          <w:fldChar w:fldCharType="separate"/>
        </w:r>
        <w:r w:rsidR="00E816B8">
          <w:rPr>
            <w:noProof/>
            <w:webHidden/>
          </w:rPr>
          <w:t>6</w:t>
        </w:r>
        <w:r w:rsidR="00CC1EFE">
          <w:rPr>
            <w:noProof/>
            <w:webHidden/>
          </w:rPr>
          <w:fldChar w:fldCharType="end"/>
        </w:r>
      </w:hyperlink>
    </w:p>
    <w:p w14:paraId="6E544878" w14:textId="6239191B"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38" w:history="1">
        <w:r w:rsidR="00CC1EFE" w:rsidRPr="0035288F">
          <w:rPr>
            <w:rStyle w:val="Hyperlink"/>
            <w:noProof/>
          </w:rPr>
          <w:t>2</w:t>
        </w:r>
        <w:r w:rsidR="00CC1EFE">
          <w:rPr>
            <w:rFonts w:asciiTheme="minorHAnsi" w:eastAsiaTheme="minorEastAsia" w:hAnsiTheme="minorHAnsi"/>
            <w:noProof/>
            <w:sz w:val="22"/>
            <w:szCs w:val="22"/>
            <w:lang w:eastAsia="en-AU"/>
          </w:rPr>
          <w:tab/>
        </w:r>
        <w:r w:rsidR="00CC1EFE" w:rsidRPr="0035288F">
          <w:rPr>
            <w:rStyle w:val="Hyperlink"/>
            <w:noProof/>
          </w:rPr>
          <w:t>Our recommendations and identified opportunities</w:t>
        </w:r>
        <w:r w:rsidR="00CC1EFE">
          <w:rPr>
            <w:noProof/>
            <w:webHidden/>
          </w:rPr>
          <w:tab/>
        </w:r>
        <w:r w:rsidR="00CC1EFE">
          <w:rPr>
            <w:noProof/>
            <w:webHidden/>
          </w:rPr>
          <w:fldChar w:fldCharType="begin"/>
        </w:r>
        <w:r w:rsidR="00CC1EFE">
          <w:rPr>
            <w:noProof/>
            <w:webHidden/>
          </w:rPr>
          <w:instrText xml:space="preserve"> PAGEREF _Toc63970838 \h </w:instrText>
        </w:r>
        <w:r w:rsidR="00CC1EFE">
          <w:rPr>
            <w:noProof/>
            <w:webHidden/>
          </w:rPr>
        </w:r>
        <w:r w:rsidR="00CC1EFE">
          <w:rPr>
            <w:noProof/>
            <w:webHidden/>
          </w:rPr>
          <w:fldChar w:fldCharType="separate"/>
        </w:r>
        <w:r w:rsidR="00E816B8">
          <w:rPr>
            <w:noProof/>
            <w:webHidden/>
          </w:rPr>
          <w:t>13</w:t>
        </w:r>
        <w:r w:rsidR="00CC1EFE">
          <w:rPr>
            <w:noProof/>
            <w:webHidden/>
          </w:rPr>
          <w:fldChar w:fldCharType="end"/>
        </w:r>
      </w:hyperlink>
    </w:p>
    <w:p w14:paraId="326D22AC" w14:textId="61F7A84D"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39" w:history="1">
        <w:r w:rsidR="00CC1EFE" w:rsidRPr="0035288F">
          <w:rPr>
            <w:rStyle w:val="Hyperlink"/>
            <w:noProof/>
          </w:rPr>
          <w:t>3</w:t>
        </w:r>
        <w:r w:rsidR="00CC1EFE">
          <w:rPr>
            <w:rFonts w:asciiTheme="minorHAnsi" w:eastAsiaTheme="minorEastAsia" w:hAnsiTheme="minorHAnsi"/>
            <w:noProof/>
            <w:sz w:val="22"/>
            <w:szCs w:val="22"/>
            <w:lang w:eastAsia="en-AU"/>
          </w:rPr>
          <w:tab/>
        </w:r>
        <w:r w:rsidR="00CC1EFE" w:rsidRPr="0035288F">
          <w:rPr>
            <w:rStyle w:val="Hyperlink"/>
            <w:noProof/>
          </w:rPr>
          <w:t>Review approach and method</w:t>
        </w:r>
        <w:r w:rsidR="00CC1EFE">
          <w:rPr>
            <w:noProof/>
            <w:webHidden/>
          </w:rPr>
          <w:tab/>
        </w:r>
        <w:r w:rsidR="00CC1EFE">
          <w:rPr>
            <w:noProof/>
            <w:webHidden/>
          </w:rPr>
          <w:fldChar w:fldCharType="begin"/>
        </w:r>
        <w:r w:rsidR="00CC1EFE">
          <w:rPr>
            <w:noProof/>
            <w:webHidden/>
          </w:rPr>
          <w:instrText xml:space="preserve"> PAGEREF _Toc63970839 \h </w:instrText>
        </w:r>
        <w:r w:rsidR="00CC1EFE">
          <w:rPr>
            <w:noProof/>
            <w:webHidden/>
          </w:rPr>
        </w:r>
        <w:r w:rsidR="00CC1EFE">
          <w:rPr>
            <w:noProof/>
            <w:webHidden/>
          </w:rPr>
          <w:fldChar w:fldCharType="separate"/>
        </w:r>
        <w:r w:rsidR="00E816B8">
          <w:rPr>
            <w:noProof/>
            <w:webHidden/>
          </w:rPr>
          <w:t>22</w:t>
        </w:r>
        <w:r w:rsidR="00CC1EFE">
          <w:rPr>
            <w:noProof/>
            <w:webHidden/>
          </w:rPr>
          <w:fldChar w:fldCharType="end"/>
        </w:r>
      </w:hyperlink>
    </w:p>
    <w:p w14:paraId="1FD7FCB9" w14:textId="2C34DC3C"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40" w:history="1">
        <w:r w:rsidR="00CC1EFE" w:rsidRPr="0035288F">
          <w:rPr>
            <w:rStyle w:val="Hyperlink"/>
            <w:noProof/>
          </w:rPr>
          <w:t>4</w:t>
        </w:r>
        <w:r w:rsidR="00CC1EFE">
          <w:rPr>
            <w:rFonts w:asciiTheme="minorHAnsi" w:eastAsiaTheme="minorEastAsia" w:hAnsiTheme="minorHAnsi"/>
            <w:noProof/>
            <w:sz w:val="22"/>
            <w:szCs w:val="22"/>
            <w:lang w:eastAsia="en-AU"/>
          </w:rPr>
          <w:tab/>
        </w:r>
        <w:r w:rsidR="00CC1EFE" w:rsidRPr="0035288F">
          <w:rPr>
            <w:rStyle w:val="Hyperlink"/>
            <w:noProof/>
          </w:rPr>
          <w:t>Understanding the current industry landscape</w:t>
        </w:r>
        <w:r w:rsidR="00CC1EFE">
          <w:rPr>
            <w:noProof/>
            <w:webHidden/>
          </w:rPr>
          <w:tab/>
        </w:r>
        <w:r w:rsidR="00CC1EFE">
          <w:rPr>
            <w:noProof/>
            <w:webHidden/>
          </w:rPr>
          <w:fldChar w:fldCharType="begin"/>
        </w:r>
        <w:r w:rsidR="00CC1EFE">
          <w:rPr>
            <w:noProof/>
            <w:webHidden/>
          </w:rPr>
          <w:instrText xml:space="preserve"> PAGEREF _Toc63970840 \h </w:instrText>
        </w:r>
        <w:r w:rsidR="00CC1EFE">
          <w:rPr>
            <w:noProof/>
            <w:webHidden/>
          </w:rPr>
        </w:r>
        <w:r w:rsidR="00CC1EFE">
          <w:rPr>
            <w:noProof/>
            <w:webHidden/>
          </w:rPr>
          <w:fldChar w:fldCharType="separate"/>
        </w:r>
        <w:r w:rsidR="00E816B8">
          <w:rPr>
            <w:noProof/>
            <w:webHidden/>
          </w:rPr>
          <w:t>25</w:t>
        </w:r>
        <w:r w:rsidR="00CC1EFE">
          <w:rPr>
            <w:noProof/>
            <w:webHidden/>
          </w:rPr>
          <w:fldChar w:fldCharType="end"/>
        </w:r>
      </w:hyperlink>
    </w:p>
    <w:p w14:paraId="3C070FB0" w14:textId="0FDF9668" w:rsidR="00CC1EFE" w:rsidRDefault="001F2C01" w:rsidP="00CC1EFE">
      <w:pPr>
        <w:pStyle w:val="TOC1"/>
        <w:ind w:right="2381"/>
        <w:rPr>
          <w:rFonts w:asciiTheme="minorHAnsi" w:eastAsiaTheme="minorEastAsia" w:hAnsiTheme="minorHAnsi"/>
          <w:b w:val="0"/>
          <w:noProof/>
          <w:sz w:val="22"/>
          <w:szCs w:val="22"/>
          <w:lang w:eastAsia="en-AU"/>
        </w:rPr>
      </w:pPr>
      <w:hyperlink w:anchor="_Toc63970841" w:history="1">
        <w:r w:rsidR="00CC1EFE" w:rsidRPr="0035288F">
          <w:rPr>
            <w:rStyle w:val="Hyperlink"/>
            <w:noProof/>
          </w:rPr>
          <w:t>Detailed findings</w:t>
        </w:r>
        <w:r w:rsidR="00CC1EFE">
          <w:rPr>
            <w:noProof/>
            <w:webHidden/>
          </w:rPr>
          <w:tab/>
        </w:r>
        <w:r w:rsidR="00CC1EFE">
          <w:rPr>
            <w:noProof/>
            <w:webHidden/>
          </w:rPr>
          <w:fldChar w:fldCharType="begin"/>
        </w:r>
        <w:r w:rsidR="00CC1EFE">
          <w:rPr>
            <w:noProof/>
            <w:webHidden/>
          </w:rPr>
          <w:instrText xml:space="preserve"> PAGEREF _Toc63970841 \h </w:instrText>
        </w:r>
        <w:r w:rsidR="00CC1EFE">
          <w:rPr>
            <w:noProof/>
            <w:webHidden/>
          </w:rPr>
        </w:r>
        <w:r w:rsidR="00CC1EFE">
          <w:rPr>
            <w:noProof/>
            <w:webHidden/>
          </w:rPr>
          <w:fldChar w:fldCharType="separate"/>
        </w:r>
        <w:r w:rsidR="00E816B8">
          <w:rPr>
            <w:noProof/>
            <w:webHidden/>
          </w:rPr>
          <w:t>31</w:t>
        </w:r>
        <w:r w:rsidR="00CC1EFE">
          <w:rPr>
            <w:noProof/>
            <w:webHidden/>
          </w:rPr>
          <w:fldChar w:fldCharType="end"/>
        </w:r>
      </w:hyperlink>
    </w:p>
    <w:p w14:paraId="75F19B8A" w14:textId="1BE53BFA"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42" w:history="1">
        <w:r w:rsidR="00CC1EFE" w:rsidRPr="0035288F">
          <w:rPr>
            <w:rStyle w:val="Hyperlink"/>
            <w:noProof/>
          </w:rPr>
          <w:t>5</w:t>
        </w:r>
        <w:r w:rsidR="00CC1EFE">
          <w:rPr>
            <w:rFonts w:asciiTheme="minorHAnsi" w:eastAsiaTheme="minorEastAsia" w:hAnsiTheme="minorHAnsi"/>
            <w:noProof/>
            <w:sz w:val="22"/>
            <w:szCs w:val="22"/>
            <w:lang w:eastAsia="en-AU"/>
          </w:rPr>
          <w:tab/>
        </w:r>
        <w:r w:rsidR="00CC1EFE" w:rsidRPr="0035288F">
          <w:rPr>
            <w:rStyle w:val="Hyperlink"/>
            <w:noProof/>
          </w:rPr>
          <w:t>How does NOPSEMA enable improvements in industry?</w:t>
        </w:r>
        <w:r w:rsidR="00CC1EFE">
          <w:rPr>
            <w:noProof/>
            <w:webHidden/>
          </w:rPr>
          <w:tab/>
        </w:r>
        <w:r w:rsidR="00CC1EFE">
          <w:rPr>
            <w:noProof/>
            <w:webHidden/>
          </w:rPr>
          <w:fldChar w:fldCharType="begin"/>
        </w:r>
        <w:r w:rsidR="00CC1EFE">
          <w:rPr>
            <w:noProof/>
            <w:webHidden/>
          </w:rPr>
          <w:instrText xml:space="preserve"> PAGEREF _Toc63970842 \h </w:instrText>
        </w:r>
        <w:r w:rsidR="00CC1EFE">
          <w:rPr>
            <w:noProof/>
            <w:webHidden/>
          </w:rPr>
        </w:r>
        <w:r w:rsidR="00CC1EFE">
          <w:rPr>
            <w:noProof/>
            <w:webHidden/>
          </w:rPr>
          <w:fldChar w:fldCharType="separate"/>
        </w:r>
        <w:r w:rsidR="00E816B8">
          <w:rPr>
            <w:noProof/>
            <w:webHidden/>
          </w:rPr>
          <w:t>32</w:t>
        </w:r>
        <w:r w:rsidR="00CC1EFE">
          <w:rPr>
            <w:noProof/>
            <w:webHidden/>
          </w:rPr>
          <w:fldChar w:fldCharType="end"/>
        </w:r>
      </w:hyperlink>
    </w:p>
    <w:p w14:paraId="50E8FDB6" w14:textId="1B7BB7B8"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43" w:history="1">
        <w:r w:rsidR="00CC1EFE" w:rsidRPr="0035288F">
          <w:rPr>
            <w:rStyle w:val="Hyperlink"/>
            <w:noProof/>
          </w:rPr>
          <w:t>6</w:t>
        </w:r>
        <w:r w:rsidR="00CC1EFE">
          <w:rPr>
            <w:rFonts w:asciiTheme="minorHAnsi" w:eastAsiaTheme="minorEastAsia" w:hAnsiTheme="minorHAnsi"/>
            <w:noProof/>
            <w:sz w:val="22"/>
            <w:szCs w:val="22"/>
            <w:lang w:eastAsia="en-AU"/>
          </w:rPr>
          <w:tab/>
        </w:r>
        <w:r w:rsidR="00CC1EFE" w:rsidRPr="0035288F">
          <w:rPr>
            <w:rStyle w:val="Hyperlink"/>
            <w:noProof/>
          </w:rPr>
          <w:t>How does NOPSEMA effectively regulate and use its powers?</w:t>
        </w:r>
        <w:r w:rsidR="00CC1EFE">
          <w:rPr>
            <w:noProof/>
            <w:webHidden/>
          </w:rPr>
          <w:tab/>
        </w:r>
        <w:r w:rsidR="00CC1EFE">
          <w:rPr>
            <w:noProof/>
            <w:webHidden/>
          </w:rPr>
          <w:fldChar w:fldCharType="begin"/>
        </w:r>
        <w:r w:rsidR="00CC1EFE">
          <w:rPr>
            <w:noProof/>
            <w:webHidden/>
          </w:rPr>
          <w:instrText xml:space="preserve"> PAGEREF _Toc63970843 \h </w:instrText>
        </w:r>
        <w:r w:rsidR="00CC1EFE">
          <w:rPr>
            <w:noProof/>
            <w:webHidden/>
          </w:rPr>
        </w:r>
        <w:r w:rsidR="00CC1EFE">
          <w:rPr>
            <w:noProof/>
            <w:webHidden/>
          </w:rPr>
          <w:fldChar w:fldCharType="separate"/>
        </w:r>
        <w:r w:rsidR="00E816B8">
          <w:rPr>
            <w:noProof/>
            <w:webHidden/>
          </w:rPr>
          <w:t>38</w:t>
        </w:r>
        <w:r w:rsidR="00CC1EFE">
          <w:rPr>
            <w:noProof/>
            <w:webHidden/>
          </w:rPr>
          <w:fldChar w:fldCharType="end"/>
        </w:r>
      </w:hyperlink>
    </w:p>
    <w:p w14:paraId="1559FD45" w14:textId="6648195D"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44" w:history="1">
        <w:r w:rsidR="00CC1EFE" w:rsidRPr="0035288F">
          <w:rPr>
            <w:rStyle w:val="Hyperlink"/>
            <w:noProof/>
          </w:rPr>
          <w:t>7</w:t>
        </w:r>
        <w:r w:rsidR="00CC1EFE">
          <w:rPr>
            <w:rFonts w:asciiTheme="minorHAnsi" w:eastAsiaTheme="minorEastAsia" w:hAnsiTheme="minorHAnsi"/>
            <w:noProof/>
            <w:sz w:val="22"/>
            <w:szCs w:val="22"/>
            <w:lang w:eastAsia="en-AU"/>
          </w:rPr>
          <w:tab/>
        </w:r>
        <w:r w:rsidR="00CC1EFE" w:rsidRPr="0035288F">
          <w:rPr>
            <w:rStyle w:val="Hyperlink"/>
            <w:noProof/>
          </w:rPr>
          <w:t>How does NOPSEMA regulate and respond to industry through its capability and capacity?</w:t>
        </w:r>
        <w:r w:rsidR="00CC1EFE">
          <w:rPr>
            <w:noProof/>
            <w:webHidden/>
          </w:rPr>
          <w:tab/>
        </w:r>
        <w:r w:rsidR="00CC1EFE">
          <w:rPr>
            <w:noProof/>
            <w:webHidden/>
          </w:rPr>
          <w:fldChar w:fldCharType="begin"/>
        </w:r>
        <w:r w:rsidR="00CC1EFE">
          <w:rPr>
            <w:noProof/>
            <w:webHidden/>
          </w:rPr>
          <w:instrText xml:space="preserve"> PAGEREF _Toc63970844 \h </w:instrText>
        </w:r>
        <w:r w:rsidR="00CC1EFE">
          <w:rPr>
            <w:noProof/>
            <w:webHidden/>
          </w:rPr>
        </w:r>
        <w:r w:rsidR="00CC1EFE">
          <w:rPr>
            <w:noProof/>
            <w:webHidden/>
          </w:rPr>
          <w:fldChar w:fldCharType="separate"/>
        </w:r>
        <w:r w:rsidR="00E816B8">
          <w:rPr>
            <w:noProof/>
            <w:webHidden/>
          </w:rPr>
          <w:t>60</w:t>
        </w:r>
        <w:r w:rsidR="00CC1EFE">
          <w:rPr>
            <w:noProof/>
            <w:webHidden/>
          </w:rPr>
          <w:fldChar w:fldCharType="end"/>
        </w:r>
      </w:hyperlink>
    </w:p>
    <w:p w14:paraId="385604DA" w14:textId="220AC0A8"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45" w:history="1">
        <w:r w:rsidR="00CC1EFE" w:rsidRPr="0035288F">
          <w:rPr>
            <w:rStyle w:val="Hyperlink"/>
            <w:noProof/>
          </w:rPr>
          <w:t>8</w:t>
        </w:r>
        <w:r w:rsidR="00CC1EFE">
          <w:rPr>
            <w:rFonts w:asciiTheme="minorHAnsi" w:eastAsiaTheme="minorEastAsia" w:hAnsiTheme="minorHAnsi"/>
            <w:noProof/>
            <w:sz w:val="22"/>
            <w:szCs w:val="22"/>
            <w:lang w:eastAsia="en-AU"/>
          </w:rPr>
          <w:tab/>
        </w:r>
        <w:r w:rsidR="00CC1EFE" w:rsidRPr="0035288F">
          <w:rPr>
            <w:rStyle w:val="Hyperlink"/>
            <w:noProof/>
          </w:rPr>
          <w:t>How does the NOPSEMA Advisory Board enable NOPSEMA to carry out its functions?</w:t>
        </w:r>
        <w:r w:rsidR="00CC1EFE">
          <w:rPr>
            <w:noProof/>
            <w:webHidden/>
          </w:rPr>
          <w:tab/>
        </w:r>
        <w:r w:rsidR="00CC1EFE">
          <w:rPr>
            <w:noProof/>
            <w:webHidden/>
          </w:rPr>
          <w:fldChar w:fldCharType="begin"/>
        </w:r>
        <w:r w:rsidR="00CC1EFE">
          <w:rPr>
            <w:noProof/>
            <w:webHidden/>
          </w:rPr>
          <w:instrText xml:space="preserve"> PAGEREF _Toc63970845 \h </w:instrText>
        </w:r>
        <w:r w:rsidR="00CC1EFE">
          <w:rPr>
            <w:noProof/>
            <w:webHidden/>
          </w:rPr>
        </w:r>
        <w:r w:rsidR="00CC1EFE">
          <w:rPr>
            <w:noProof/>
            <w:webHidden/>
          </w:rPr>
          <w:fldChar w:fldCharType="separate"/>
        </w:r>
        <w:r w:rsidR="00E816B8">
          <w:rPr>
            <w:noProof/>
            <w:webHidden/>
          </w:rPr>
          <w:t>73</w:t>
        </w:r>
        <w:r w:rsidR="00CC1EFE">
          <w:rPr>
            <w:noProof/>
            <w:webHidden/>
          </w:rPr>
          <w:fldChar w:fldCharType="end"/>
        </w:r>
      </w:hyperlink>
    </w:p>
    <w:p w14:paraId="5704EF4B" w14:textId="02506186"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46" w:history="1">
        <w:r w:rsidR="00CC1EFE" w:rsidRPr="0035288F">
          <w:rPr>
            <w:rStyle w:val="Hyperlink"/>
            <w:noProof/>
          </w:rPr>
          <w:t>9</w:t>
        </w:r>
        <w:r w:rsidR="00CC1EFE">
          <w:rPr>
            <w:rFonts w:asciiTheme="minorHAnsi" w:eastAsiaTheme="minorEastAsia" w:hAnsiTheme="minorHAnsi"/>
            <w:noProof/>
            <w:sz w:val="22"/>
            <w:szCs w:val="22"/>
            <w:lang w:eastAsia="en-AU"/>
          </w:rPr>
          <w:tab/>
        </w:r>
        <w:r w:rsidR="00CC1EFE" w:rsidRPr="0035288F">
          <w:rPr>
            <w:rStyle w:val="Hyperlink"/>
            <w:noProof/>
          </w:rPr>
          <w:t>How does NOPSEMA effectively engage with external parties to improve regulatory outcomes and build community confidence?</w:t>
        </w:r>
        <w:r w:rsidR="00CC1EFE">
          <w:rPr>
            <w:noProof/>
            <w:webHidden/>
          </w:rPr>
          <w:tab/>
        </w:r>
        <w:r w:rsidR="00CC1EFE">
          <w:rPr>
            <w:noProof/>
            <w:webHidden/>
          </w:rPr>
          <w:fldChar w:fldCharType="begin"/>
        </w:r>
        <w:r w:rsidR="00CC1EFE">
          <w:rPr>
            <w:noProof/>
            <w:webHidden/>
          </w:rPr>
          <w:instrText xml:space="preserve"> PAGEREF _Toc63970846 \h </w:instrText>
        </w:r>
        <w:r w:rsidR="00CC1EFE">
          <w:rPr>
            <w:noProof/>
            <w:webHidden/>
          </w:rPr>
        </w:r>
        <w:r w:rsidR="00CC1EFE">
          <w:rPr>
            <w:noProof/>
            <w:webHidden/>
          </w:rPr>
          <w:fldChar w:fldCharType="separate"/>
        </w:r>
        <w:r w:rsidR="00E816B8">
          <w:rPr>
            <w:noProof/>
            <w:webHidden/>
          </w:rPr>
          <w:t>79</w:t>
        </w:r>
        <w:r w:rsidR="00CC1EFE">
          <w:rPr>
            <w:noProof/>
            <w:webHidden/>
          </w:rPr>
          <w:fldChar w:fldCharType="end"/>
        </w:r>
      </w:hyperlink>
    </w:p>
    <w:p w14:paraId="735CF0C0" w14:textId="58B87FFC"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47" w:history="1">
        <w:r w:rsidR="00CC1EFE" w:rsidRPr="0035288F">
          <w:rPr>
            <w:rStyle w:val="Hyperlink"/>
            <w:noProof/>
          </w:rPr>
          <w:t>10</w:t>
        </w:r>
        <w:r w:rsidR="00CC1EFE">
          <w:rPr>
            <w:rFonts w:asciiTheme="minorHAnsi" w:eastAsiaTheme="minorEastAsia" w:hAnsiTheme="minorHAnsi"/>
            <w:noProof/>
            <w:sz w:val="22"/>
            <w:szCs w:val="22"/>
            <w:lang w:eastAsia="en-AU"/>
          </w:rPr>
          <w:tab/>
        </w:r>
        <w:r w:rsidR="00CC1EFE" w:rsidRPr="0035288F">
          <w:rPr>
            <w:rStyle w:val="Hyperlink"/>
            <w:noProof/>
          </w:rPr>
          <w:t>How efficient is NOPSEMA, and how does it reduce burden for industry and recovering costs?</w:t>
        </w:r>
        <w:r w:rsidR="00CC1EFE">
          <w:rPr>
            <w:noProof/>
            <w:webHidden/>
          </w:rPr>
          <w:tab/>
        </w:r>
        <w:r w:rsidR="00CC1EFE">
          <w:rPr>
            <w:noProof/>
            <w:webHidden/>
          </w:rPr>
          <w:fldChar w:fldCharType="begin"/>
        </w:r>
        <w:r w:rsidR="00CC1EFE">
          <w:rPr>
            <w:noProof/>
            <w:webHidden/>
          </w:rPr>
          <w:instrText xml:space="preserve"> PAGEREF _Toc63970847 \h </w:instrText>
        </w:r>
        <w:r w:rsidR="00CC1EFE">
          <w:rPr>
            <w:noProof/>
            <w:webHidden/>
          </w:rPr>
        </w:r>
        <w:r w:rsidR="00CC1EFE">
          <w:rPr>
            <w:noProof/>
            <w:webHidden/>
          </w:rPr>
          <w:fldChar w:fldCharType="separate"/>
        </w:r>
        <w:r w:rsidR="00E816B8">
          <w:rPr>
            <w:noProof/>
            <w:webHidden/>
          </w:rPr>
          <w:t>98</w:t>
        </w:r>
        <w:r w:rsidR="00CC1EFE">
          <w:rPr>
            <w:noProof/>
            <w:webHidden/>
          </w:rPr>
          <w:fldChar w:fldCharType="end"/>
        </w:r>
      </w:hyperlink>
    </w:p>
    <w:p w14:paraId="4F8CF427" w14:textId="204E7D6C"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48" w:history="1">
        <w:r w:rsidR="00CC1EFE" w:rsidRPr="0035288F">
          <w:rPr>
            <w:rStyle w:val="Hyperlink"/>
            <w:noProof/>
          </w:rPr>
          <w:t>11</w:t>
        </w:r>
        <w:r w:rsidR="00CC1EFE">
          <w:rPr>
            <w:rFonts w:asciiTheme="minorHAnsi" w:eastAsiaTheme="minorEastAsia" w:hAnsiTheme="minorHAnsi"/>
            <w:noProof/>
            <w:sz w:val="22"/>
            <w:szCs w:val="22"/>
            <w:lang w:eastAsia="en-AU"/>
          </w:rPr>
          <w:tab/>
        </w:r>
        <w:r w:rsidR="00CC1EFE" w:rsidRPr="0035288F">
          <w:rPr>
            <w:rStyle w:val="Hyperlink"/>
            <w:noProof/>
          </w:rPr>
          <w:t>2020 Endorsed Program Assessment</w:t>
        </w:r>
        <w:r w:rsidR="00CC1EFE">
          <w:rPr>
            <w:noProof/>
            <w:webHidden/>
          </w:rPr>
          <w:tab/>
        </w:r>
        <w:r w:rsidR="00CC1EFE">
          <w:rPr>
            <w:noProof/>
            <w:webHidden/>
          </w:rPr>
          <w:fldChar w:fldCharType="begin"/>
        </w:r>
        <w:r w:rsidR="00CC1EFE">
          <w:rPr>
            <w:noProof/>
            <w:webHidden/>
          </w:rPr>
          <w:instrText xml:space="preserve"> PAGEREF _Toc63970848 \h </w:instrText>
        </w:r>
        <w:r w:rsidR="00CC1EFE">
          <w:rPr>
            <w:noProof/>
            <w:webHidden/>
          </w:rPr>
        </w:r>
        <w:r w:rsidR="00CC1EFE">
          <w:rPr>
            <w:noProof/>
            <w:webHidden/>
          </w:rPr>
          <w:fldChar w:fldCharType="separate"/>
        </w:r>
        <w:r w:rsidR="00E816B8">
          <w:rPr>
            <w:noProof/>
            <w:webHidden/>
          </w:rPr>
          <w:t>112</w:t>
        </w:r>
        <w:r w:rsidR="00CC1EFE">
          <w:rPr>
            <w:noProof/>
            <w:webHidden/>
          </w:rPr>
          <w:fldChar w:fldCharType="end"/>
        </w:r>
      </w:hyperlink>
    </w:p>
    <w:p w14:paraId="6D7F667D" w14:textId="53FE158D" w:rsidR="00CC1EFE" w:rsidRDefault="001F2C01" w:rsidP="00CC1EFE">
      <w:pPr>
        <w:pStyle w:val="TOC2"/>
        <w:tabs>
          <w:tab w:val="left" w:pos="1134"/>
        </w:tabs>
        <w:ind w:right="2381"/>
        <w:rPr>
          <w:rFonts w:asciiTheme="minorHAnsi" w:eastAsiaTheme="minorEastAsia" w:hAnsiTheme="minorHAnsi"/>
          <w:noProof/>
          <w:sz w:val="22"/>
          <w:szCs w:val="22"/>
          <w:lang w:eastAsia="en-AU"/>
        </w:rPr>
      </w:pPr>
      <w:hyperlink w:anchor="_Toc63970849" w:history="1">
        <w:r w:rsidR="00CC1EFE" w:rsidRPr="0035288F">
          <w:rPr>
            <w:rStyle w:val="Hyperlink"/>
            <w:noProof/>
          </w:rPr>
          <w:t>12</w:t>
        </w:r>
        <w:r w:rsidR="00CC1EFE">
          <w:rPr>
            <w:rFonts w:asciiTheme="minorHAnsi" w:eastAsiaTheme="minorEastAsia" w:hAnsiTheme="minorHAnsi"/>
            <w:noProof/>
            <w:sz w:val="22"/>
            <w:szCs w:val="22"/>
            <w:lang w:eastAsia="en-AU"/>
          </w:rPr>
          <w:tab/>
        </w:r>
        <w:r w:rsidR="00CC1EFE" w:rsidRPr="0035288F">
          <w:rPr>
            <w:rStyle w:val="Hyperlink"/>
            <w:noProof/>
          </w:rPr>
          <w:t>Strategic matters: Looking to the future industry</w:t>
        </w:r>
        <w:r w:rsidR="00CC1EFE">
          <w:rPr>
            <w:noProof/>
            <w:webHidden/>
          </w:rPr>
          <w:tab/>
        </w:r>
        <w:r w:rsidR="00CC1EFE">
          <w:rPr>
            <w:noProof/>
            <w:webHidden/>
          </w:rPr>
          <w:fldChar w:fldCharType="begin"/>
        </w:r>
        <w:r w:rsidR="00CC1EFE">
          <w:rPr>
            <w:noProof/>
            <w:webHidden/>
          </w:rPr>
          <w:instrText xml:space="preserve"> PAGEREF _Toc63970849 \h </w:instrText>
        </w:r>
        <w:r w:rsidR="00CC1EFE">
          <w:rPr>
            <w:noProof/>
            <w:webHidden/>
          </w:rPr>
        </w:r>
        <w:r w:rsidR="00CC1EFE">
          <w:rPr>
            <w:noProof/>
            <w:webHidden/>
          </w:rPr>
          <w:fldChar w:fldCharType="separate"/>
        </w:r>
        <w:r w:rsidR="00E816B8">
          <w:rPr>
            <w:noProof/>
            <w:webHidden/>
          </w:rPr>
          <w:t>154</w:t>
        </w:r>
        <w:r w:rsidR="00CC1EFE">
          <w:rPr>
            <w:noProof/>
            <w:webHidden/>
          </w:rPr>
          <w:fldChar w:fldCharType="end"/>
        </w:r>
      </w:hyperlink>
    </w:p>
    <w:p w14:paraId="4B8BBFF2" w14:textId="36DC4A23" w:rsidR="00CC1EFE" w:rsidRDefault="001F2C01" w:rsidP="00CC1EFE">
      <w:pPr>
        <w:pStyle w:val="TOC1"/>
        <w:ind w:right="2381"/>
        <w:rPr>
          <w:rFonts w:asciiTheme="minorHAnsi" w:eastAsiaTheme="minorEastAsia" w:hAnsiTheme="minorHAnsi"/>
          <w:b w:val="0"/>
          <w:noProof/>
          <w:sz w:val="22"/>
          <w:szCs w:val="22"/>
          <w:lang w:eastAsia="en-AU"/>
        </w:rPr>
      </w:pPr>
      <w:hyperlink w:anchor="_Toc63970850" w:history="1">
        <w:r w:rsidR="00CC1EFE" w:rsidRPr="0035288F">
          <w:rPr>
            <w:rStyle w:val="Hyperlink"/>
            <w:noProof/>
          </w:rPr>
          <w:t>Appendices</w:t>
        </w:r>
        <w:r w:rsidR="00CC1EFE">
          <w:rPr>
            <w:noProof/>
            <w:webHidden/>
          </w:rPr>
          <w:tab/>
        </w:r>
        <w:r w:rsidR="00CC1EFE">
          <w:rPr>
            <w:noProof/>
            <w:webHidden/>
          </w:rPr>
          <w:fldChar w:fldCharType="begin"/>
        </w:r>
        <w:r w:rsidR="00CC1EFE">
          <w:rPr>
            <w:noProof/>
            <w:webHidden/>
          </w:rPr>
          <w:instrText xml:space="preserve"> PAGEREF _Toc63970850 \h </w:instrText>
        </w:r>
        <w:r w:rsidR="00CC1EFE">
          <w:rPr>
            <w:noProof/>
            <w:webHidden/>
          </w:rPr>
        </w:r>
        <w:r w:rsidR="00CC1EFE">
          <w:rPr>
            <w:noProof/>
            <w:webHidden/>
          </w:rPr>
          <w:fldChar w:fldCharType="separate"/>
        </w:r>
        <w:r w:rsidR="00E816B8">
          <w:rPr>
            <w:noProof/>
            <w:webHidden/>
          </w:rPr>
          <w:t>162</w:t>
        </w:r>
        <w:r w:rsidR="00CC1EFE">
          <w:rPr>
            <w:noProof/>
            <w:webHidden/>
          </w:rPr>
          <w:fldChar w:fldCharType="end"/>
        </w:r>
      </w:hyperlink>
    </w:p>
    <w:p w14:paraId="4B4F8E8A" w14:textId="0B7B2FA9" w:rsidR="00CC1EFE" w:rsidRDefault="001F2C01" w:rsidP="00CC1EFE">
      <w:pPr>
        <w:pStyle w:val="TOC2"/>
        <w:ind w:right="2381"/>
        <w:rPr>
          <w:rFonts w:asciiTheme="minorHAnsi" w:eastAsiaTheme="minorEastAsia" w:hAnsiTheme="minorHAnsi"/>
          <w:noProof/>
          <w:sz w:val="22"/>
          <w:szCs w:val="22"/>
          <w:lang w:eastAsia="en-AU"/>
        </w:rPr>
      </w:pPr>
      <w:hyperlink w:anchor="_Toc63970851" w:history="1">
        <w:r w:rsidR="00CC1EFE" w:rsidRPr="0035288F">
          <w:rPr>
            <w:rStyle w:val="Hyperlink"/>
            <w:noProof/>
            <w14:scene3d>
              <w14:camera w14:prst="orthographicFront"/>
              <w14:lightRig w14:rig="threePt" w14:dir="t">
                <w14:rot w14:lat="0" w14:lon="0" w14:rev="0"/>
              </w14:lightRig>
            </w14:scene3d>
          </w:rPr>
          <w:t>Appendix A:</w:t>
        </w:r>
        <w:r w:rsidR="00CC1EFE" w:rsidRPr="0035288F">
          <w:rPr>
            <w:rStyle w:val="Hyperlink"/>
            <w:noProof/>
          </w:rPr>
          <w:t xml:space="preserve"> Terms of Reference</w:t>
        </w:r>
        <w:r w:rsidR="00CC1EFE">
          <w:rPr>
            <w:noProof/>
            <w:webHidden/>
          </w:rPr>
          <w:tab/>
        </w:r>
        <w:r w:rsidR="00CC1EFE">
          <w:rPr>
            <w:noProof/>
            <w:webHidden/>
          </w:rPr>
          <w:fldChar w:fldCharType="begin"/>
        </w:r>
        <w:r w:rsidR="00CC1EFE">
          <w:rPr>
            <w:noProof/>
            <w:webHidden/>
          </w:rPr>
          <w:instrText xml:space="preserve"> PAGEREF _Toc63970851 \h </w:instrText>
        </w:r>
        <w:r w:rsidR="00CC1EFE">
          <w:rPr>
            <w:noProof/>
            <w:webHidden/>
          </w:rPr>
        </w:r>
        <w:r w:rsidR="00CC1EFE">
          <w:rPr>
            <w:noProof/>
            <w:webHidden/>
          </w:rPr>
          <w:fldChar w:fldCharType="separate"/>
        </w:r>
        <w:r w:rsidR="00E816B8">
          <w:rPr>
            <w:noProof/>
            <w:webHidden/>
          </w:rPr>
          <w:t>163</w:t>
        </w:r>
        <w:r w:rsidR="00CC1EFE">
          <w:rPr>
            <w:noProof/>
            <w:webHidden/>
          </w:rPr>
          <w:fldChar w:fldCharType="end"/>
        </w:r>
      </w:hyperlink>
    </w:p>
    <w:p w14:paraId="461C25FD" w14:textId="213C697B" w:rsidR="00CC1EFE" w:rsidRDefault="001F2C01" w:rsidP="00CC1EFE">
      <w:pPr>
        <w:pStyle w:val="TOC2"/>
        <w:ind w:right="2381"/>
        <w:rPr>
          <w:rFonts w:asciiTheme="minorHAnsi" w:eastAsiaTheme="minorEastAsia" w:hAnsiTheme="minorHAnsi"/>
          <w:noProof/>
          <w:sz w:val="22"/>
          <w:szCs w:val="22"/>
          <w:lang w:eastAsia="en-AU"/>
        </w:rPr>
      </w:pPr>
      <w:hyperlink w:anchor="_Toc63970852" w:history="1">
        <w:r w:rsidR="00CC1EFE" w:rsidRPr="0035288F">
          <w:rPr>
            <w:rStyle w:val="Hyperlink"/>
            <w:noProof/>
            <w14:scene3d>
              <w14:camera w14:prst="orthographicFront"/>
              <w14:lightRig w14:rig="threePt" w14:dir="t">
                <w14:rot w14:lat="0" w14:lon="0" w14:rev="0"/>
              </w14:lightRig>
            </w14:scene3d>
          </w:rPr>
          <w:t>Appendix B:</w:t>
        </w:r>
        <w:r w:rsidR="00CC1EFE" w:rsidRPr="0035288F">
          <w:rPr>
            <w:rStyle w:val="Hyperlink"/>
            <w:noProof/>
          </w:rPr>
          <w:t xml:space="preserve"> NOPSEMA personnel interviewed</w:t>
        </w:r>
        <w:r w:rsidR="00CC1EFE">
          <w:rPr>
            <w:noProof/>
            <w:webHidden/>
          </w:rPr>
          <w:tab/>
        </w:r>
        <w:r w:rsidR="00CC1EFE">
          <w:rPr>
            <w:noProof/>
            <w:webHidden/>
          </w:rPr>
          <w:fldChar w:fldCharType="begin"/>
        </w:r>
        <w:r w:rsidR="00CC1EFE">
          <w:rPr>
            <w:noProof/>
            <w:webHidden/>
          </w:rPr>
          <w:instrText xml:space="preserve"> PAGEREF _Toc63970852 \h </w:instrText>
        </w:r>
        <w:r w:rsidR="00CC1EFE">
          <w:rPr>
            <w:noProof/>
            <w:webHidden/>
          </w:rPr>
        </w:r>
        <w:r w:rsidR="00CC1EFE">
          <w:rPr>
            <w:noProof/>
            <w:webHidden/>
          </w:rPr>
          <w:fldChar w:fldCharType="separate"/>
        </w:r>
        <w:r w:rsidR="00E816B8">
          <w:rPr>
            <w:noProof/>
            <w:webHidden/>
          </w:rPr>
          <w:t>164</w:t>
        </w:r>
        <w:r w:rsidR="00CC1EFE">
          <w:rPr>
            <w:noProof/>
            <w:webHidden/>
          </w:rPr>
          <w:fldChar w:fldCharType="end"/>
        </w:r>
      </w:hyperlink>
    </w:p>
    <w:p w14:paraId="40EA3D4B" w14:textId="21B74FA6" w:rsidR="00CC1EFE" w:rsidRDefault="001F2C01" w:rsidP="00CC1EFE">
      <w:pPr>
        <w:pStyle w:val="TOC2"/>
        <w:ind w:right="2381"/>
        <w:rPr>
          <w:rFonts w:asciiTheme="minorHAnsi" w:eastAsiaTheme="minorEastAsia" w:hAnsiTheme="minorHAnsi"/>
          <w:noProof/>
          <w:sz w:val="22"/>
          <w:szCs w:val="22"/>
          <w:lang w:eastAsia="en-AU"/>
        </w:rPr>
      </w:pPr>
      <w:hyperlink w:anchor="_Toc63970853" w:history="1">
        <w:r w:rsidR="00CC1EFE" w:rsidRPr="0035288F">
          <w:rPr>
            <w:rStyle w:val="Hyperlink"/>
            <w:noProof/>
            <w14:scene3d>
              <w14:camera w14:prst="orthographicFront"/>
              <w14:lightRig w14:rig="threePt" w14:dir="t">
                <w14:rot w14:lat="0" w14:lon="0" w14:rev="0"/>
              </w14:lightRig>
            </w14:scene3d>
          </w:rPr>
          <w:t>Appendix C:</w:t>
        </w:r>
        <w:r w:rsidR="00CC1EFE" w:rsidRPr="0035288F">
          <w:rPr>
            <w:rStyle w:val="Hyperlink"/>
            <w:noProof/>
          </w:rPr>
          <w:t xml:space="preserve"> External parties consulted</w:t>
        </w:r>
        <w:r w:rsidR="00CC1EFE">
          <w:rPr>
            <w:noProof/>
            <w:webHidden/>
          </w:rPr>
          <w:tab/>
        </w:r>
        <w:r w:rsidR="00CC1EFE">
          <w:rPr>
            <w:noProof/>
            <w:webHidden/>
          </w:rPr>
          <w:fldChar w:fldCharType="begin"/>
        </w:r>
        <w:r w:rsidR="00CC1EFE">
          <w:rPr>
            <w:noProof/>
            <w:webHidden/>
          </w:rPr>
          <w:instrText xml:space="preserve"> PAGEREF _Toc63970853 \h </w:instrText>
        </w:r>
        <w:r w:rsidR="00CC1EFE">
          <w:rPr>
            <w:noProof/>
            <w:webHidden/>
          </w:rPr>
        </w:r>
        <w:r w:rsidR="00CC1EFE">
          <w:rPr>
            <w:noProof/>
            <w:webHidden/>
          </w:rPr>
          <w:fldChar w:fldCharType="separate"/>
        </w:r>
        <w:r w:rsidR="00E816B8">
          <w:rPr>
            <w:noProof/>
            <w:webHidden/>
          </w:rPr>
          <w:t>165</w:t>
        </w:r>
        <w:r w:rsidR="00CC1EFE">
          <w:rPr>
            <w:noProof/>
            <w:webHidden/>
          </w:rPr>
          <w:fldChar w:fldCharType="end"/>
        </w:r>
      </w:hyperlink>
    </w:p>
    <w:p w14:paraId="753E2CAD" w14:textId="4DE595AB" w:rsidR="00CC1EFE" w:rsidRDefault="001F2C01" w:rsidP="00CC1EFE">
      <w:pPr>
        <w:pStyle w:val="TOC2"/>
        <w:ind w:right="2381"/>
        <w:rPr>
          <w:rFonts w:asciiTheme="minorHAnsi" w:eastAsiaTheme="minorEastAsia" w:hAnsiTheme="minorHAnsi"/>
          <w:noProof/>
          <w:sz w:val="22"/>
          <w:szCs w:val="22"/>
          <w:lang w:eastAsia="en-AU"/>
        </w:rPr>
      </w:pPr>
      <w:hyperlink w:anchor="_Toc63970854" w:history="1">
        <w:r w:rsidR="00CC1EFE" w:rsidRPr="0035288F">
          <w:rPr>
            <w:rStyle w:val="Hyperlink"/>
            <w:noProof/>
            <w14:scene3d>
              <w14:camera w14:prst="orthographicFront"/>
              <w14:lightRig w14:rig="threePt" w14:dir="t">
                <w14:rot w14:lat="0" w14:lon="0" w14:rev="0"/>
              </w14:lightRig>
            </w14:scene3d>
          </w:rPr>
          <w:t>Appendix D:</w:t>
        </w:r>
        <w:r w:rsidR="00CC1EFE" w:rsidRPr="0035288F">
          <w:rPr>
            <w:rStyle w:val="Hyperlink"/>
            <w:noProof/>
          </w:rPr>
          <w:t xml:space="preserve"> Key NOPSEMA documentation examined</w:t>
        </w:r>
        <w:r w:rsidR="00CC1EFE">
          <w:rPr>
            <w:noProof/>
            <w:webHidden/>
          </w:rPr>
          <w:tab/>
        </w:r>
        <w:r w:rsidR="00CC1EFE">
          <w:rPr>
            <w:noProof/>
            <w:webHidden/>
          </w:rPr>
          <w:fldChar w:fldCharType="begin"/>
        </w:r>
        <w:r w:rsidR="00CC1EFE">
          <w:rPr>
            <w:noProof/>
            <w:webHidden/>
          </w:rPr>
          <w:instrText xml:space="preserve"> PAGEREF _Toc63970854 \h </w:instrText>
        </w:r>
        <w:r w:rsidR="00CC1EFE">
          <w:rPr>
            <w:noProof/>
            <w:webHidden/>
          </w:rPr>
        </w:r>
        <w:r w:rsidR="00CC1EFE">
          <w:rPr>
            <w:noProof/>
            <w:webHidden/>
          </w:rPr>
          <w:fldChar w:fldCharType="separate"/>
        </w:r>
        <w:r w:rsidR="00E816B8">
          <w:rPr>
            <w:noProof/>
            <w:webHidden/>
          </w:rPr>
          <w:t>167</w:t>
        </w:r>
        <w:r w:rsidR="00CC1EFE">
          <w:rPr>
            <w:noProof/>
            <w:webHidden/>
          </w:rPr>
          <w:fldChar w:fldCharType="end"/>
        </w:r>
      </w:hyperlink>
    </w:p>
    <w:p w14:paraId="6D44DF28" w14:textId="0289D3DA" w:rsidR="00CC1EFE" w:rsidRDefault="001F2C01" w:rsidP="00CC1EFE">
      <w:pPr>
        <w:pStyle w:val="TOC2"/>
        <w:ind w:right="2381"/>
        <w:rPr>
          <w:rFonts w:asciiTheme="minorHAnsi" w:eastAsiaTheme="minorEastAsia" w:hAnsiTheme="minorHAnsi"/>
          <w:noProof/>
          <w:sz w:val="22"/>
          <w:szCs w:val="22"/>
          <w:lang w:eastAsia="en-AU"/>
        </w:rPr>
      </w:pPr>
      <w:hyperlink w:anchor="_Toc63970855" w:history="1">
        <w:r w:rsidR="00CC1EFE" w:rsidRPr="0035288F">
          <w:rPr>
            <w:rStyle w:val="Hyperlink"/>
            <w:noProof/>
            <w14:scene3d>
              <w14:camera w14:prst="orthographicFront"/>
              <w14:lightRig w14:rig="threePt" w14:dir="t">
                <w14:rot w14:lat="0" w14:lon="0" w14:rev="0"/>
              </w14:lightRig>
            </w14:scene3d>
          </w:rPr>
          <w:t>Appendix E:</w:t>
        </w:r>
        <w:r w:rsidR="00CC1EFE" w:rsidRPr="0035288F">
          <w:rPr>
            <w:rStyle w:val="Hyperlink"/>
            <w:noProof/>
          </w:rPr>
          <w:t xml:space="preserve"> Status of NOPSEMA’s 2015 statutory review recommendations</w:t>
        </w:r>
        <w:r w:rsidR="00CC1EFE">
          <w:rPr>
            <w:noProof/>
            <w:webHidden/>
          </w:rPr>
          <w:tab/>
        </w:r>
        <w:r w:rsidR="00CC1EFE">
          <w:rPr>
            <w:noProof/>
            <w:webHidden/>
          </w:rPr>
          <w:fldChar w:fldCharType="begin"/>
        </w:r>
        <w:r w:rsidR="00CC1EFE">
          <w:rPr>
            <w:noProof/>
            <w:webHidden/>
          </w:rPr>
          <w:instrText xml:space="preserve"> PAGEREF _Toc63970855 \h </w:instrText>
        </w:r>
        <w:r w:rsidR="00CC1EFE">
          <w:rPr>
            <w:noProof/>
            <w:webHidden/>
          </w:rPr>
        </w:r>
        <w:r w:rsidR="00CC1EFE">
          <w:rPr>
            <w:noProof/>
            <w:webHidden/>
          </w:rPr>
          <w:fldChar w:fldCharType="separate"/>
        </w:r>
        <w:r w:rsidR="00E816B8">
          <w:rPr>
            <w:noProof/>
            <w:webHidden/>
          </w:rPr>
          <w:t>169</w:t>
        </w:r>
        <w:r w:rsidR="00CC1EFE">
          <w:rPr>
            <w:noProof/>
            <w:webHidden/>
          </w:rPr>
          <w:fldChar w:fldCharType="end"/>
        </w:r>
      </w:hyperlink>
    </w:p>
    <w:p w14:paraId="0631FA8B" w14:textId="62C16716" w:rsidR="00CC1EFE" w:rsidRDefault="001F2C01" w:rsidP="00CC1EFE">
      <w:pPr>
        <w:pStyle w:val="TOC2"/>
        <w:ind w:right="2381"/>
        <w:rPr>
          <w:rFonts w:asciiTheme="minorHAnsi" w:eastAsiaTheme="minorEastAsia" w:hAnsiTheme="minorHAnsi"/>
          <w:noProof/>
          <w:sz w:val="22"/>
          <w:szCs w:val="22"/>
          <w:lang w:eastAsia="en-AU"/>
        </w:rPr>
      </w:pPr>
      <w:hyperlink w:anchor="_Toc63970856" w:history="1">
        <w:r w:rsidR="00CC1EFE" w:rsidRPr="0035288F">
          <w:rPr>
            <w:rStyle w:val="Hyperlink"/>
            <w:noProof/>
            <w14:scene3d>
              <w14:camera w14:prst="orthographicFront"/>
              <w14:lightRig w14:rig="threePt" w14:dir="t">
                <w14:rot w14:lat="0" w14:lon="0" w14:rev="0"/>
              </w14:lightRig>
            </w14:scene3d>
          </w:rPr>
          <w:t>Appendix F:</w:t>
        </w:r>
        <w:r w:rsidR="00CC1EFE" w:rsidRPr="0035288F">
          <w:rPr>
            <w:rStyle w:val="Hyperlink"/>
            <w:noProof/>
          </w:rPr>
          <w:t xml:space="preserve"> ANAO board governance recommendations and analysis</w:t>
        </w:r>
        <w:r w:rsidR="00CC1EFE">
          <w:rPr>
            <w:noProof/>
            <w:webHidden/>
          </w:rPr>
          <w:tab/>
        </w:r>
        <w:r w:rsidR="00CC1EFE">
          <w:rPr>
            <w:noProof/>
            <w:webHidden/>
          </w:rPr>
          <w:fldChar w:fldCharType="begin"/>
        </w:r>
        <w:r w:rsidR="00CC1EFE">
          <w:rPr>
            <w:noProof/>
            <w:webHidden/>
          </w:rPr>
          <w:instrText xml:space="preserve"> PAGEREF _Toc63970856 \h </w:instrText>
        </w:r>
        <w:r w:rsidR="00CC1EFE">
          <w:rPr>
            <w:noProof/>
            <w:webHidden/>
          </w:rPr>
        </w:r>
        <w:r w:rsidR="00CC1EFE">
          <w:rPr>
            <w:noProof/>
            <w:webHidden/>
          </w:rPr>
          <w:fldChar w:fldCharType="separate"/>
        </w:r>
        <w:r w:rsidR="00E816B8">
          <w:rPr>
            <w:noProof/>
            <w:webHidden/>
          </w:rPr>
          <w:t>174</w:t>
        </w:r>
        <w:r w:rsidR="00CC1EFE">
          <w:rPr>
            <w:noProof/>
            <w:webHidden/>
          </w:rPr>
          <w:fldChar w:fldCharType="end"/>
        </w:r>
      </w:hyperlink>
    </w:p>
    <w:p w14:paraId="46656775" w14:textId="066F1360" w:rsidR="00CC1EFE" w:rsidRDefault="001F2C01" w:rsidP="00CC1EFE">
      <w:pPr>
        <w:pStyle w:val="TOC2"/>
        <w:ind w:right="2381"/>
        <w:rPr>
          <w:rFonts w:asciiTheme="minorHAnsi" w:eastAsiaTheme="minorEastAsia" w:hAnsiTheme="minorHAnsi"/>
          <w:noProof/>
          <w:sz w:val="22"/>
          <w:szCs w:val="22"/>
          <w:lang w:eastAsia="en-AU"/>
        </w:rPr>
      </w:pPr>
      <w:hyperlink w:anchor="_Toc63970857" w:history="1">
        <w:r w:rsidR="00CC1EFE" w:rsidRPr="0035288F">
          <w:rPr>
            <w:rStyle w:val="Hyperlink"/>
            <w:noProof/>
            <w14:scene3d>
              <w14:camera w14:prst="orthographicFront"/>
              <w14:lightRig w14:rig="threePt" w14:dir="t">
                <w14:rot w14:lat="0" w14:lon="0" w14:rev="0"/>
              </w14:lightRig>
            </w14:scene3d>
          </w:rPr>
          <w:t>Appendix G:</w:t>
        </w:r>
        <w:r w:rsidR="00CC1EFE" w:rsidRPr="0035288F">
          <w:rPr>
            <w:rStyle w:val="Hyperlink"/>
            <w:noProof/>
          </w:rPr>
          <w:t xml:space="preserve"> Summary of stakeholder feedback</w:t>
        </w:r>
        <w:r w:rsidR="00CC1EFE">
          <w:rPr>
            <w:noProof/>
            <w:webHidden/>
          </w:rPr>
          <w:tab/>
        </w:r>
        <w:r w:rsidR="00CC1EFE">
          <w:rPr>
            <w:noProof/>
            <w:webHidden/>
          </w:rPr>
          <w:fldChar w:fldCharType="begin"/>
        </w:r>
        <w:r w:rsidR="00CC1EFE">
          <w:rPr>
            <w:noProof/>
            <w:webHidden/>
          </w:rPr>
          <w:instrText xml:space="preserve"> PAGEREF _Toc63970857 \h </w:instrText>
        </w:r>
        <w:r w:rsidR="00CC1EFE">
          <w:rPr>
            <w:noProof/>
            <w:webHidden/>
          </w:rPr>
        </w:r>
        <w:r w:rsidR="00CC1EFE">
          <w:rPr>
            <w:noProof/>
            <w:webHidden/>
          </w:rPr>
          <w:fldChar w:fldCharType="separate"/>
        </w:r>
        <w:r w:rsidR="00E816B8">
          <w:rPr>
            <w:noProof/>
            <w:webHidden/>
          </w:rPr>
          <w:t>176</w:t>
        </w:r>
        <w:r w:rsidR="00CC1EFE">
          <w:rPr>
            <w:noProof/>
            <w:webHidden/>
          </w:rPr>
          <w:fldChar w:fldCharType="end"/>
        </w:r>
      </w:hyperlink>
    </w:p>
    <w:p w14:paraId="1A56C8B3" w14:textId="3B3EDFDA" w:rsidR="005C5CC9" w:rsidRPr="00BD2E58" w:rsidRDefault="00B67924" w:rsidP="00825633">
      <w:pPr>
        <w:tabs>
          <w:tab w:val="right" w:pos="8364"/>
          <w:tab w:val="left" w:pos="8789"/>
          <w:tab w:val="right" w:pos="9214"/>
          <w:tab w:val="right" w:pos="9469"/>
        </w:tabs>
        <w:spacing w:after="120"/>
        <w:ind w:right="1956"/>
        <w:contextualSpacing/>
        <w:rPr>
          <w:rFonts w:asciiTheme="majorHAnsi" w:hAnsiTheme="majorHAnsi" w:cs="Calibri"/>
        </w:rPr>
      </w:pPr>
      <w:r>
        <w:rPr>
          <w:rFonts w:asciiTheme="majorHAnsi" w:hAnsiTheme="majorHAnsi" w:cs="Calibri"/>
          <w:b/>
          <w:sz w:val="20"/>
        </w:rPr>
        <w:fldChar w:fldCharType="end"/>
      </w:r>
    </w:p>
    <w:p w14:paraId="45712B46" w14:textId="77777777" w:rsidR="005C5CC9" w:rsidRPr="00BD2E58" w:rsidRDefault="005C5CC9" w:rsidP="005C5CC9">
      <w:pPr>
        <w:spacing w:after="120"/>
        <w:contextualSpacing/>
        <w:rPr>
          <w:rFonts w:asciiTheme="majorHAnsi" w:hAnsiTheme="majorHAnsi" w:cs="Calibri"/>
        </w:rPr>
      </w:pPr>
    </w:p>
    <w:p w14:paraId="2195F67F" w14:textId="2CDDD8BF" w:rsidR="003A05F8" w:rsidRDefault="003A05F8" w:rsidP="00733441">
      <w:pPr>
        <w:spacing w:after="120"/>
        <w:contextualSpacing/>
        <w:rPr>
          <w:rFonts w:asciiTheme="majorHAnsi" w:hAnsiTheme="majorHAnsi" w:cs="Calibri"/>
        </w:rPr>
      </w:pPr>
    </w:p>
    <w:p w14:paraId="55D0F1D3" w14:textId="77777777" w:rsidR="003A05F8" w:rsidRDefault="003A05F8">
      <w:pPr>
        <w:spacing w:after="0"/>
        <w:rPr>
          <w:rFonts w:asciiTheme="majorHAnsi" w:hAnsiTheme="majorHAnsi" w:cs="Calibri"/>
        </w:rPr>
      </w:pPr>
      <w:r>
        <w:rPr>
          <w:rFonts w:asciiTheme="majorHAnsi" w:hAnsiTheme="majorHAnsi" w:cs="Calibri"/>
        </w:rPr>
        <w:br w:type="page"/>
      </w:r>
    </w:p>
    <w:p w14:paraId="7B8E4E6D" w14:textId="77777777" w:rsidR="007C2B4D" w:rsidRPr="007C2B4D" w:rsidRDefault="007C2B4D" w:rsidP="007C2B4D">
      <w:pPr>
        <w:spacing w:after="120"/>
        <w:rPr>
          <w:rFonts w:ascii="Calibri Light" w:hAnsi="Calibri Light" w:cs="Calibri Light"/>
          <w:b/>
        </w:rPr>
      </w:pPr>
      <w:r w:rsidRPr="007C2B4D">
        <w:rPr>
          <w:rFonts w:ascii="Calibri Light" w:hAnsi="Calibri Light" w:cs="Calibri Light"/>
          <w:b/>
          <w:bCs/>
        </w:rPr>
        <w:lastRenderedPageBreak/>
        <w:t>Inherent Limitations</w:t>
      </w:r>
    </w:p>
    <w:p w14:paraId="1D63ACED" w14:textId="77777777" w:rsidR="007C2B4D" w:rsidRPr="007C2B4D" w:rsidRDefault="007C2B4D" w:rsidP="007C2B4D">
      <w:pPr>
        <w:spacing w:after="120"/>
        <w:rPr>
          <w:rFonts w:ascii="Calibri Light" w:hAnsi="Calibri Light" w:cs="Calibri Light"/>
          <w:bCs/>
        </w:rPr>
      </w:pPr>
      <w:r w:rsidRPr="007C2B4D">
        <w:rPr>
          <w:rFonts w:ascii="Calibri Light" w:hAnsi="Calibri Light" w:cs="Calibri Light"/>
          <w:bCs/>
        </w:rPr>
        <w:t xml:space="preserve">The Services provided are advisory in nature and have not been conducted in accordance with the standards issued by the Australian Auditing and Assurance Standards Board and consequently no opinions or conclusions under these standards are expressed. </w:t>
      </w:r>
    </w:p>
    <w:p w14:paraId="13EDC75C" w14:textId="77777777" w:rsidR="007C2B4D" w:rsidRPr="007C2B4D" w:rsidRDefault="007C2B4D" w:rsidP="007C2B4D">
      <w:pPr>
        <w:spacing w:after="120"/>
        <w:rPr>
          <w:rFonts w:ascii="Calibri Light" w:hAnsi="Calibri Light" w:cs="Calibri Light"/>
          <w:bCs/>
        </w:rPr>
      </w:pPr>
      <w:r w:rsidRPr="007C2B4D">
        <w:rPr>
          <w:rFonts w:ascii="Calibri Light" w:hAnsi="Calibri Light" w:cs="Calibri Light"/>
          <w:bCs/>
        </w:rPr>
        <w:t xml:space="preserve">Because of the inherent limitations of any internal control structure, it is possible that errors or irregularities may occur and not be detected. The matters raised in this report are only those which came to our attention during the course of performing our procedures and are not necessarily a comprehensive statement of all the weaknesses that exist or improvements that might be made. </w:t>
      </w:r>
    </w:p>
    <w:p w14:paraId="2405BDEF" w14:textId="77777777" w:rsidR="007C2B4D" w:rsidRPr="007C2B4D" w:rsidRDefault="007C2B4D" w:rsidP="007C2B4D">
      <w:pPr>
        <w:spacing w:after="120"/>
        <w:rPr>
          <w:rFonts w:ascii="Calibri Light" w:hAnsi="Calibri Light" w:cs="Calibri Light"/>
          <w:bCs/>
        </w:rPr>
      </w:pPr>
      <w:r w:rsidRPr="007C2B4D">
        <w:rPr>
          <w:rFonts w:ascii="Calibri Light" w:hAnsi="Calibri Light" w:cs="Calibri Light"/>
          <w:bCs/>
        </w:rPr>
        <w:t>Our work is performed on a sample basis; we cannot, in practice, examine every activity and procedure, nor can we be a substitute for management’s responsibility to maintain adequate controls over all levels of operations and their responsibility to prevent and detect irregularities, including fraud.</w:t>
      </w:r>
    </w:p>
    <w:p w14:paraId="0B54456E" w14:textId="77777777" w:rsidR="007C2B4D" w:rsidRPr="007C2B4D" w:rsidRDefault="007C2B4D" w:rsidP="007C2B4D">
      <w:pPr>
        <w:spacing w:after="120"/>
        <w:rPr>
          <w:rFonts w:ascii="Calibri Light" w:hAnsi="Calibri Light" w:cs="Calibri Light"/>
          <w:bCs/>
        </w:rPr>
      </w:pPr>
      <w:r w:rsidRPr="007C2B4D">
        <w:rPr>
          <w:rFonts w:ascii="Calibri Light" w:hAnsi="Calibri Light" w:cs="Calibri Light"/>
          <w:bCs/>
        </w:rPr>
        <w:t xml:space="preserve">Any projection of the evaluation of the control procedures to future periods is subject to the risk that the systems may become inadequate because of changes in conditions, or that the degree of compliance with them may deteriorate. </w:t>
      </w:r>
    </w:p>
    <w:p w14:paraId="3AF84B01" w14:textId="77777777" w:rsidR="007C2B4D" w:rsidRPr="007C2B4D" w:rsidRDefault="007C2B4D" w:rsidP="007C2B4D">
      <w:pPr>
        <w:spacing w:after="120"/>
        <w:rPr>
          <w:rFonts w:ascii="Calibri Light" w:hAnsi="Calibri Light" w:cs="Calibri Light"/>
          <w:bCs/>
        </w:rPr>
      </w:pPr>
      <w:r w:rsidRPr="007C2B4D">
        <w:rPr>
          <w:rFonts w:ascii="Calibri Light" w:hAnsi="Calibri Light" w:cs="Calibri Light"/>
          <w:bCs/>
        </w:rPr>
        <w:t>Recommendations and suggestions for improvement should be assessed by management for their full commercial impact before they are implemented.</w:t>
      </w:r>
    </w:p>
    <w:p w14:paraId="6262281F" w14:textId="375D6AC2" w:rsidR="007C2B4D" w:rsidRPr="007C2B4D" w:rsidRDefault="000F4BDE" w:rsidP="007C2B4D">
      <w:pPr>
        <w:spacing w:after="120"/>
        <w:rPr>
          <w:rFonts w:ascii="Calibri Light" w:hAnsi="Calibri Light" w:cs="Calibri Light"/>
          <w:bCs/>
        </w:rPr>
      </w:pPr>
      <w:r>
        <w:rPr>
          <w:rFonts w:ascii="Calibri Light" w:hAnsi="Calibri Light" w:cs="Calibri Light"/>
          <w:bCs/>
        </w:rPr>
        <w:t>T</w:t>
      </w:r>
      <w:r w:rsidR="007C2B4D" w:rsidRPr="007C2B4D">
        <w:rPr>
          <w:rFonts w:ascii="Calibri Light" w:hAnsi="Calibri Light" w:cs="Calibri Light"/>
          <w:bCs/>
        </w:rPr>
        <w:t>he statements made in this document are accurate, but no warranty of completeness, accuracy, or reliability is given in relation to the statements and representations made by, and the information and documentation provided by the Department’s personnel. We have not attempted to verify these sources independently unless otherwise noted within the document.</w:t>
      </w:r>
    </w:p>
    <w:p w14:paraId="6AAA2764" w14:textId="77777777" w:rsidR="007C2B4D" w:rsidRPr="007C2B4D" w:rsidRDefault="007C2B4D" w:rsidP="007C2B4D">
      <w:pPr>
        <w:spacing w:after="120"/>
        <w:rPr>
          <w:rFonts w:ascii="Calibri Light" w:hAnsi="Calibri Light" w:cs="Calibri Light"/>
          <w:b/>
        </w:rPr>
      </w:pPr>
      <w:r w:rsidRPr="007C2B4D">
        <w:rPr>
          <w:rFonts w:ascii="Calibri Light" w:hAnsi="Calibri Light" w:cs="Calibri Light"/>
          <w:b/>
          <w:bCs/>
          <w:lang w:val="en-GB"/>
        </w:rPr>
        <w:t>Limitation of Use</w:t>
      </w:r>
    </w:p>
    <w:p w14:paraId="1CB62A61" w14:textId="15D55897" w:rsidR="007C2B4D" w:rsidRPr="007C2B4D" w:rsidRDefault="007C2B4D" w:rsidP="007C2B4D">
      <w:pPr>
        <w:spacing w:after="120"/>
        <w:rPr>
          <w:rFonts w:ascii="Calibri Light" w:hAnsi="Calibri Light" w:cs="Calibri Light"/>
          <w:bCs/>
        </w:rPr>
      </w:pPr>
      <w:r w:rsidRPr="007C2B4D">
        <w:rPr>
          <w:rFonts w:ascii="Calibri Light" w:hAnsi="Calibri Light" w:cs="Calibri Light"/>
          <w:bCs/>
        </w:rPr>
        <w:t>This document is intended solely for the information and use of the Department in accordance with our Contract for Provision of Services 018861 dated 29 June 2020, and is not intended to be and should not be used by any other person or entity. No other person or entity is entitled to rely, in any manner, or for any purpose, on this document. We do not accept or assume responsibility to anyone other than the Department for our work, for this document, or for any reliance which may be placed on this document by any party other than the Department.</w:t>
      </w:r>
    </w:p>
    <w:p w14:paraId="1384992B" w14:textId="77777777" w:rsidR="007C2B4D" w:rsidRPr="007C2B4D" w:rsidRDefault="007C2B4D" w:rsidP="007C2B4D">
      <w:pPr>
        <w:spacing w:after="120"/>
        <w:rPr>
          <w:rFonts w:ascii="Calibri Light" w:hAnsi="Calibri Light" w:cs="Calibri Light"/>
          <w:b/>
        </w:rPr>
      </w:pPr>
      <w:r w:rsidRPr="007C2B4D">
        <w:rPr>
          <w:rFonts w:ascii="Calibri Light" w:hAnsi="Calibri Light" w:cs="Calibri Light"/>
          <w:b/>
          <w:bCs/>
        </w:rPr>
        <w:t>About Deloitte</w:t>
      </w:r>
    </w:p>
    <w:p w14:paraId="60F4B680" w14:textId="77777777" w:rsidR="007C2B4D" w:rsidRPr="007C2B4D" w:rsidRDefault="007C2B4D" w:rsidP="007C2B4D">
      <w:pPr>
        <w:spacing w:after="120"/>
        <w:rPr>
          <w:rFonts w:ascii="Calibri Light" w:hAnsi="Calibri Light" w:cs="Calibri Light"/>
          <w:bCs/>
        </w:rPr>
      </w:pPr>
      <w:r w:rsidRPr="007C2B4D">
        <w:rPr>
          <w:rFonts w:ascii="Calibri Light" w:hAnsi="Calibri Light" w:cs="Calibri Light"/>
          <w:bCs/>
          <w:lang w:val="en-GB"/>
        </w:rPr>
        <w:t>Deloitte refers to one or more of Deloitte Touche Tohmatsu Limited (“DTTL”), its global network of member firms, and their related entities (collectively, the “Deloitte organisation”). DTTL (also referred to as “Deloitte Global”) and each of its member firms and related entities are legally separate and independent entities, which cannot obligate or bind each other in respect of third parties. DTTL and each DTTL member firm and related entity is liable only for its own acts and omissions, and not those of each other. DTTL does not provide services to clients. Please see www.deloitte.com/about to learn more.</w:t>
      </w:r>
    </w:p>
    <w:p w14:paraId="270A28F7" w14:textId="77777777" w:rsidR="007C2B4D" w:rsidRPr="007C2B4D" w:rsidRDefault="007C2B4D" w:rsidP="007C2B4D">
      <w:pPr>
        <w:spacing w:after="120"/>
        <w:rPr>
          <w:rFonts w:ascii="Calibri Light" w:hAnsi="Calibri Light" w:cs="Calibri Light"/>
          <w:bCs/>
        </w:rPr>
      </w:pPr>
      <w:r w:rsidRPr="007C2B4D">
        <w:rPr>
          <w:rFonts w:ascii="Calibri Light" w:hAnsi="Calibri Light" w:cs="Calibri Light"/>
          <w:bCs/>
        </w:rPr>
        <w:t>Liability limited by a scheme approved under Professional Standards Legislation.</w:t>
      </w:r>
    </w:p>
    <w:p w14:paraId="4BD244C0" w14:textId="34B4509A" w:rsidR="007C2B4D" w:rsidRPr="007C2B4D" w:rsidRDefault="007C2B4D" w:rsidP="007C2B4D">
      <w:pPr>
        <w:spacing w:after="120"/>
        <w:rPr>
          <w:rFonts w:ascii="Calibri Light" w:hAnsi="Calibri Light" w:cs="Calibri Light"/>
          <w:bCs/>
        </w:rPr>
      </w:pPr>
      <w:r w:rsidRPr="007C2B4D">
        <w:rPr>
          <w:rFonts w:ascii="Calibri Light" w:hAnsi="Calibri Light" w:cs="Calibri Light"/>
          <w:bCs/>
        </w:rPr>
        <w:t xml:space="preserve">Member of Deloitte Asia Pacific Limited and the Deloitte </w:t>
      </w:r>
      <w:r w:rsidR="00E4585F">
        <w:rPr>
          <w:rFonts w:ascii="Calibri Light" w:hAnsi="Calibri Light" w:cs="Calibri Light"/>
          <w:bCs/>
        </w:rPr>
        <w:t>organisation</w:t>
      </w:r>
    </w:p>
    <w:p w14:paraId="1E2C42E3" w14:textId="629B638D" w:rsidR="003A05F8" w:rsidRDefault="007C2B4D" w:rsidP="00E705F6">
      <w:pPr>
        <w:spacing w:after="120"/>
        <w:contextualSpacing/>
        <w:rPr>
          <w:rFonts w:asciiTheme="majorHAnsi" w:hAnsiTheme="majorHAnsi" w:cs="Calibri"/>
        </w:rPr>
      </w:pPr>
      <w:r w:rsidRPr="007C2B4D">
        <w:rPr>
          <w:rFonts w:ascii="Calibri Light" w:hAnsi="Calibri Light" w:cs="Calibri Light"/>
          <w:bCs/>
          <w:lang w:val="en-GB"/>
        </w:rPr>
        <w:t>© 202</w:t>
      </w:r>
      <w:r w:rsidR="00B575CB">
        <w:rPr>
          <w:rFonts w:ascii="Calibri Light" w:hAnsi="Calibri Light" w:cs="Calibri Light"/>
          <w:bCs/>
          <w:lang w:val="en-GB"/>
        </w:rPr>
        <w:t>1</w:t>
      </w:r>
      <w:r w:rsidRPr="007C2B4D">
        <w:rPr>
          <w:rFonts w:ascii="Calibri Light" w:hAnsi="Calibri Light" w:cs="Calibri Light"/>
          <w:bCs/>
          <w:lang w:val="en-GB"/>
        </w:rPr>
        <w:t xml:space="preserve"> Deloitte Touche Tohmatsu.</w:t>
      </w:r>
      <w:r w:rsidR="003A05F8">
        <w:rPr>
          <w:rFonts w:asciiTheme="majorHAnsi" w:hAnsiTheme="majorHAnsi" w:cs="Calibri"/>
        </w:rPr>
        <w:br w:type="page"/>
      </w:r>
    </w:p>
    <w:p w14:paraId="2CF1AB00" w14:textId="77777777" w:rsidR="00893C80" w:rsidRPr="00BD2E58" w:rsidRDefault="00893C80" w:rsidP="00733441">
      <w:pPr>
        <w:spacing w:after="120"/>
        <w:contextualSpacing/>
        <w:rPr>
          <w:rFonts w:asciiTheme="majorHAnsi" w:hAnsiTheme="majorHAnsi" w:cs="Calibri"/>
        </w:rPr>
        <w:sectPr w:rsidR="00893C80" w:rsidRPr="00BD2E58" w:rsidSect="00505475">
          <w:headerReference w:type="even" r:id="rId16"/>
          <w:headerReference w:type="default" r:id="rId17"/>
          <w:footerReference w:type="default" r:id="rId18"/>
          <w:headerReference w:type="first" r:id="rId19"/>
          <w:pgSz w:w="11906" w:h="16838" w:code="9"/>
          <w:pgMar w:top="1985" w:right="849" w:bottom="1134" w:left="1021" w:header="680" w:footer="425" w:gutter="0"/>
          <w:cols w:space="284"/>
          <w:docGrid w:linePitch="360"/>
        </w:sectPr>
      </w:pPr>
    </w:p>
    <w:p w14:paraId="192A38A1" w14:textId="2F8754BC" w:rsidR="00F80F18" w:rsidRPr="00B81C4C" w:rsidRDefault="00391C41" w:rsidP="00B81C4C">
      <w:pPr>
        <w:pStyle w:val="Divider"/>
      </w:pPr>
      <w:bookmarkStart w:id="4" w:name="_Toc63970836"/>
      <w:r w:rsidRPr="00B81C4C">
        <w:lastRenderedPageBreak/>
        <w:drawing>
          <wp:anchor distT="0" distB="0" distL="114300" distR="114300" simplePos="0" relativeHeight="251658243" behindDoc="1" locked="0" layoutInCell="1" allowOverlap="1" wp14:anchorId="13B5B942" wp14:editId="21716334">
            <wp:simplePos x="0" y="0"/>
            <wp:positionH relativeFrom="page">
              <wp:align>right</wp:align>
            </wp:positionH>
            <wp:positionV relativeFrom="paragraph">
              <wp:posOffset>-1260348</wp:posOffset>
            </wp:positionV>
            <wp:extent cx="7559675" cy="1069340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r w:rsidR="006B6362" w:rsidRPr="00B81C4C">
        <w:t>S</w:t>
      </w:r>
      <w:r w:rsidR="001E2AF9" w:rsidRPr="00B81C4C">
        <w:t>ummary</w:t>
      </w:r>
      <w:bookmarkEnd w:id="4"/>
      <w:r w:rsidR="00F80F18" w:rsidRPr="00B81C4C">
        <w:br w:type="page"/>
      </w:r>
    </w:p>
    <w:p w14:paraId="4C322224" w14:textId="2FB80F8C" w:rsidR="00FF2D12" w:rsidRPr="001A5C09" w:rsidRDefault="00FF2D12" w:rsidP="0027287B">
      <w:pPr>
        <w:pStyle w:val="Heading1"/>
      </w:pPr>
      <w:bookmarkStart w:id="5" w:name="_Toc63970837"/>
      <w:r w:rsidRPr="001A5C09">
        <w:lastRenderedPageBreak/>
        <w:t>Executive summary</w:t>
      </w:r>
      <w:bookmarkEnd w:id="5"/>
    </w:p>
    <w:p w14:paraId="3A548F8D" w14:textId="43392F46" w:rsidR="00FF2D12" w:rsidRPr="00B34F07" w:rsidRDefault="00FF2D12" w:rsidP="00AE2D6E">
      <w:pPr>
        <w:pStyle w:val="Heading2"/>
        <w:numPr>
          <w:ilvl w:val="1"/>
          <w:numId w:val="1"/>
        </w:numPr>
      </w:pPr>
      <w:r w:rsidRPr="00B34F07">
        <w:t>Background</w:t>
      </w:r>
    </w:p>
    <w:p w14:paraId="5913F135" w14:textId="204D62D7" w:rsidR="00FF2D12" w:rsidRPr="00611BAA" w:rsidRDefault="00FF2D12" w:rsidP="00AE2D6E">
      <w:pPr>
        <w:pStyle w:val="BodyCopyNEW"/>
        <w:rPr>
          <w:szCs w:val="18"/>
        </w:rPr>
      </w:pPr>
      <w:r w:rsidRPr="00096BC3">
        <w:rPr>
          <w:szCs w:val="18"/>
        </w:rPr>
        <w:t xml:space="preserve">The National Offshore </w:t>
      </w:r>
      <w:r w:rsidRPr="00611BAA">
        <w:rPr>
          <w:szCs w:val="18"/>
        </w:rPr>
        <w:t>Petroleum Safety and Environmental Management Authority (</w:t>
      </w:r>
      <w:r w:rsidRPr="00946300">
        <w:rPr>
          <w:b/>
          <w:szCs w:val="18"/>
        </w:rPr>
        <w:t>NOPSEMA</w:t>
      </w:r>
      <w:r w:rsidRPr="00946300">
        <w:rPr>
          <w:szCs w:val="18"/>
        </w:rPr>
        <w:t xml:space="preserve">) is established under the </w:t>
      </w:r>
      <w:r w:rsidRPr="00946300">
        <w:rPr>
          <w:i/>
          <w:szCs w:val="18"/>
        </w:rPr>
        <w:t>Offshore Petroleum and Greenhouse Gas Storage Act 2006</w:t>
      </w:r>
      <w:r w:rsidRPr="00946300">
        <w:rPr>
          <w:szCs w:val="18"/>
        </w:rPr>
        <w:t xml:space="preserve"> (</w:t>
      </w:r>
      <w:r w:rsidRPr="00392AAF">
        <w:rPr>
          <w:b/>
          <w:szCs w:val="18"/>
        </w:rPr>
        <w:t>OPGGS Act</w:t>
      </w:r>
      <w:r w:rsidR="00C436FE">
        <w:rPr>
          <w:szCs w:val="18"/>
        </w:rPr>
        <w:t xml:space="preserve"> or </w:t>
      </w:r>
      <w:r w:rsidR="00C436FE" w:rsidRPr="00901C7B">
        <w:rPr>
          <w:b/>
          <w:bCs/>
          <w:szCs w:val="18"/>
        </w:rPr>
        <w:t>the Act</w:t>
      </w:r>
      <w:r w:rsidRPr="00096BC3">
        <w:rPr>
          <w:szCs w:val="18"/>
        </w:rPr>
        <w:t xml:space="preserve">) as Australia’s regulator for </w:t>
      </w:r>
      <w:r w:rsidRPr="00946300">
        <w:rPr>
          <w:szCs w:val="18"/>
        </w:rPr>
        <w:t xml:space="preserve">all offshore oil and gas </w:t>
      </w:r>
      <w:r w:rsidR="00643D10" w:rsidRPr="00946300">
        <w:rPr>
          <w:szCs w:val="18"/>
        </w:rPr>
        <w:t>(</w:t>
      </w:r>
      <w:r w:rsidR="00C8377B" w:rsidRPr="00946300">
        <w:rPr>
          <w:b/>
          <w:szCs w:val="18"/>
        </w:rPr>
        <w:t>petroleum</w:t>
      </w:r>
      <w:r w:rsidR="00C8377B" w:rsidRPr="00392AAF">
        <w:rPr>
          <w:szCs w:val="18"/>
        </w:rPr>
        <w:t xml:space="preserve">) </w:t>
      </w:r>
      <w:r w:rsidRPr="006C0E7D">
        <w:rPr>
          <w:szCs w:val="18"/>
        </w:rPr>
        <w:t xml:space="preserve">operations and greenhouse gas </w:t>
      </w:r>
      <w:r w:rsidR="0096337E">
        <w:rPr>
          <w:szCs w:val="18"/>
        </w:rPr>
        <w:t xml:space="preserve">injection and </w:t>
      </w:r>
      <w:r w:rsidRPr="00096BC3">
        <w:rPr>
          <w:szCs w:val="18"/>
        </w:rPr>
        <w:t>storage activities</w:t>
      </w:r>
      <w:r w:rsidR="0096337E">
        <w:rPr>
          <w:szCs w:val="18"/>
        </w:rPr>
        <w:t xml:space="preserve"> (</w:t>
      </w:r>
      <w:r w:rsidR="0096337E" w:rsidRPr="00901C7B">
        <w:rPr>
          <w:b/>
          <w:bCs/>
          <w:szCs w:val="18"/>
        </w:rPr>
        <w:t xml:space="preserve">GHG </w:t>
      </w:r>
      <w:r w:rsidR="008D4CE5">
        <w:rPr>
          <w:b/>
          <w:bCs/>
          <w:szCs w:val="18"/>
        </w:rPr>
        <w:t>storage</w:t>
      </w:r>
      <w:r w:rsidR="0096337E">
        <w:rPr>
          <w:szCs w:val="18"/>
        </w:rPr>
        <w:t>)</w:t>
      </w:r>
      <w:r w:rsidRPr="00096BC3">
        <w:rPr>
          <w:szCs w:val="18"/>
        </w:rPr>
        <w:t>.</w:t>
      </w:r>
      <w:r w:rsidRPr="00611BAA">
        <w:rPr>
          <w:szCs w:val="18"/>
        </w:rPr>
        <w:t xml:space="preserve"> NO</w:t>
      </w:r>
      <w:r w:rsidRPr="00946300">
        <w:rPr>
          <w:szCs w:val="18"/>
        </w:rPr>
        <w:t xml:space="preserve">PSEMA’s authority is for activities in Australia’s Commonwealth waters and coastal waters where regulatory powers and functions have been conferred by the applicable </w:t>
      </w:r>
      <w:r w:rsidR="006B6362" w:rsidRPr="00946300">
        <w:rPr>
          <w:szCs w:val="18"/>
        </w:rPr>
        <w:t>s</w:t>
      </w:r>
      <w:r w:rsidRPr="00946300">
        <w:rPr>
          <w:szCs w:val="18"/>
        </w:rPr>
        <w:t xml:space="preserve">tate or </w:t>
      </w:r>
      <w:r w:rsidR="006B6362" w:rsidRPr="00392AAF">
        <w:rPr>
          <w:szCs w:val="18"/>
        </w:rPr>
        <w:t>t</w:t>
      </w:r>
      <w:r w:rsidRPr="006C0E7D">
        <w:rPr>
          <w:szCs w:val="18"/>
        </w:rPr>
        <w:t>erritory</w:t>
      </w:r>
      <w:r w:rsidRPr="00901C7B">
        <w:rPr>
          <w:rStyle w:val="FootnoteReference"/>
          <w:sz w:val="18"/>
          <w:szCs w:val="18"/>
        </w:rPr>
        <w:footnoteReference w:id="2"/>
      </w:r>
      <w:r w:rsidRPr="00096BC3">
        <w:rPr>
          <w:szCs w:val="18"/>
        </w:rPr>
        <w:t>.</w:t>
      </w:r>
    </w:p>
    <w:p w14:paraId="6D19680D" w14:textId="537D8611" w:rsidR="00FF2D12" w:rsidRPr="00611BAA" w:rsidRDefault="00FF2D12" w:rsidP="00AE2D6E">
      <w:pPr>
        <w:pStyle w:val="BodyCopyNEW"/>
        <w:rPr>
          <w:szCs w:val="18"/>
        </w:rPr>
      </w:pPr>
      <w:r w:rsidRPr="00946300">
        <w:rPr>
          <w:szCs w:val="18"/>
        </w:rPr>
        <w:t>In 1999, the Australian Government commissioned a review in</w:t>
      </w:r>
      <w:r w:rsidR="00417648" w:rsidRPr="00096BC3">
        <w:rPr>
          <w:szCs w:val="18"/>
        </w:rPr>
        <w:t>to</w:t>
      </w:r>
      <w:r w:rsidRPr="00611BAA">
        <w:rPr>
          <w:szCs w:val="18"/>
        </w:rPr>
        <w:t xml:space="preserve"> the a</w:t>
      </w:r>
      <w:r w:rsidRPr="00946300">
        <w:rPr>
          <w:szCs w:val="18"/>
        </w:rPr>
        <w:t>dequacy of offshore safety regulation in Australia. The outcome of the review was for a single regulator for offshore safety to be established – resulting in the formation of the National Offshore Petroleum Safety Authority (</w:t>
      </w:r>
      <w:r w:rsidRPr="00946300">
        <w:rPr>
          <w:b/>
          <w:szCs w:val="18"/>
        </w:rPr>
        <w:t>NOPSA</w:t>
      </w:r>
      <w:r w:rsidRPr="00392AAF">
        <w:rPr>
          <w:szCs w:val="18"/>
        </w:rPr>
        <w:t>) for safety in Commonwealth waters</w:t>
      </w:r>
      <w:r w:rsidRPr="00096BC3">
        <w:rPr>
          <w:szCs w:val="18"/>
        </w:rPr>
        <w:t>.</w:t>
      </w:r>
    </w:p>
    <w:p w14:paraId="02B9A6D9" w14:textId="04A7375C" w:rsidR="00FF2D12" w:rsidRPr="00C9422D" w:rsidRDefault="00FF2D12" w:rsidP="00AE2D6E">
      <w:pPr>
        <w:pStyle w:val="BodyCopyNEW"/>
        <w:rPr>
          <w:szCs w:val="18"/>
        </w:rPr>
      </w:pPr>
      <w:r w:rsidRPr="00946300">
        <w:rPr>
          <w:szCs w:val="18"/>
        </w:rPr>
        <w:t xml:space="preserve">In 2010, the Australian Government commissioned an inquiry into the Montara </w:t>
      </w:r>
      <w:r w:rsidR="00ED2603" w:rsidRPr="00946300">
        <w:rPr>
          <w:szCs w:val="18"/>
        </w:rPr>
        <w:t>oil spill</w:t>
      </w:r>
      <w:r w:rsidRPr="00946300">
        <w:rPr>
          <w:szCs w:val="18"/>
        </w:rPr>
        <w:t xml:space="preserve">. The outcome of the review was for the existing regulatory framework </w:t>
      </w:r>
      <w:r w:rsidR="00BE6017" w:rsidRPr="00392AAF">
        <w:rPr>
          <w:szCs w:val="18"/>
        </w:rPr>
        <w:t xml:space="preserve">to </w:t>
      </w:r>
      <w:r w:rsidRPr="006C0E7D">
        <w:rPr>
          <w:szCs w:val="18"/>
        </w:rPr>
        <w:t xml:space="preserve">be revised to </w:t>
      </w:r>
      <w:r w:rsidRPr="00911F0E">
        <w:rPr>
          <w:szCs w:val="18"/>
        </w:rPr>
        <w:t xml:space="preserve">establish a single body </w:t>
      </w:r>
      <w:r w:rsidR="00BE6017" w:rsidRPr="004602AD">
        <w:rPr>
          <w:szCs w:val="18"/>
        </w:rPr>
        <w:t xml:space="preserve">for the regulation of </w:t>
      </w:r>
      <w:r w:rsidRPr="00C81CBA">
        <w:rPr>
          <w:szCs w:val="18"/>
        </w:rPr>
        <w:t>offshore safety, well integrity, and environment</w:t>
      </w:r>
      <w:r w:rsidR="001723A8" w:rsidRPr="00953CA5">
        <w:rPr>
          <w:szCs w:val="18"/>
        </w:rPr>
        <w:t>al</w:t>
      </w:r>
      <w:r w:rsidRPr="00953CA5">
        <w:rPr>
          <w:szCs w:val="18"/>
        </w:rPr>
        <w:t xml:space="preserve"> management. The recommendation was accepted by the Australian Government and NOPSA’s powers were subsequently expanded to include well integrity (2011) and env</w:t>
      </w:r>
      <w:r w:rsidRPr="00171DEA">
        <w:rPr>
          <w:szCs w:val="18"/>
        </w:rPr>
        <w:t>ironment</w:t>
      </w:r>
      <w:r w:rsidR="001723A8" w:rsidRPr="00777C5D">
        <w:rPr>
          <w:szCs w:val="18"/>
        </w:rPr>
        <w:t>al</w:t>
      </w:r>
      <w:r w:rsidRPr="006C6606">
        <w:rPr>
          <w:szCs w:val="18"/>
        </w:rPr>
        <w:t xml:space="preserve"> management (2012) – rebranding </w:t>
      </w:r>
      <w:r w:rsidR="006B6362" w:rsidRPr="007F74D3">
        <w:rPr>
          <w:szCs w:val="18"/>
        </w:rPr>
        <w:t>NOPSA</w:t>
      </w:r>
      <w:r w:rsidRPr="0047319A">
        <w:rPr>
          <w:szCs w:val="18"/>
        </w:rPr>
        <w:t xml:space="preserve"> to NOPSEMA.</w:t>
      </w:r>
    </w:p>
    <w:p w14:paraId="27428A81" w14:textId="7982E3EF" w:rsidR="00FF2D12" w:rsidRPr="00096BC3" w:rsidRDefault="00FF2D12" w:rsidP="00AE2D6E">
      <w:pPr>
        <w:pStyle w:val="BodyCopyNEW"/>
        <w:rPr>
          <w:szCs w:val="18"/>
        </w:rPr>
      </w:pPr>
      <w:r w:rsidRPr="00F53817">
        <w:rPr>
          <w:szCs w:val="18"/>
        </w:rPr>
        <w:t xml:space="preserve">In 2014, the Minister for </w:t>
      </w:r>
      <w:r w:rsidR="00F5182D" w:rsidRPr="00A32AAE">
        <w:rPr>
          <w:szCs w:val="18"/>
        </w:rPr>
        <w:t xml:space="preserve">the </w:t>
      </w:r>
      <w:r w:rsidRPr="00B575BF">
        <w:rPr>
          <w:szCs w:val="18"/>
        </w:rPr>
        <w:t xml:space="preserve">Environment endorsed NOPSEMA’s environmental management authorisation process after a comprehensive </w:t>
      </w:r>
      <w:r w:rsidR="002F551B" w:rsidRPr="003E4CD6">
        <w:rPr>
          <w:szCs w:val="18"/>
        </w:rPr>
        <w:t xml:space="preserve">assessment </w:t>
      </w:r>
      <w:r w:rsidRPr="00777710">
        <w:rPr>
          <w:szCs w:val="18"/>
        </w:rPr>
        <w:t>of its practices</w:t>
      </w:r>
      <w:r w:rsidR="00C0169A">
        <w:rPr>
          <w:szCs w:val="18"/>
        </w:rPr>
        <w:t xml:space="preserve"> made under Part 10 of </w:t>
      </w:r>
      <w:r w:rsidR="00C0169A" w:rsidRPr="00901C7B">
        <w:rPr>
          <w:i/>
          <w:iCs/>
          <w:szCs w:val="18"/>
        </w:rPr>
        <w:t xml:space="preserve">the </w:t>
      </w:r>
      <w:r w:rsidR="00250485" w:rsidRPr="00901C7B">
        <w:rPr>
          <w:i/>
          <w:iCs/>
          <w:szCs w:val="18"/>
        </w:rPr>
        <w:t xml:space="preserve">Environment Protection and Biodiversity Conservation Act 1999 </w:t>
      </w:r>
      <w:r w:rsidR="00250485" w:rsidRPr="00250485">
        <w:rPr>
          <w:szCs w:val="18"/>
        </w:rPr>
        <w:t xml:space="preserve">(the </w:t>
      </w:r>
      <w:r w:rsidR="00250485" w:rsidRPr="00901C7B">
        <w:rPr>
          <w:b/>
          <w:bCs/>
          <w:szCs w:val="18"/>
        </w:rPr>
        <w:t>EPBC Act</w:t>
      </w:r>
      <w:r w:rsidR="00250485" w:rsidRPr="00250485">
        <w:rPr>
          <w:szCs w:val="18"/>
        </w:rPr>
        <w:t>)</w:t>
      </w:r>
      <w:r w:rsidRPr="00777710">
        <w:rPr>
          <w:szCs w:val="18"/>
        </w:rPr>
        <w:t xml:space="preserve">. The endorsement </w:t>
      </w:r>
      <w:r w:rsidR="00EB629F" w:rsidRPr="006F091B">
        <w:rPr>
          <w:szCs w:val="18"/>
        </w:rPr>
        <w:t xml:space="preserve">(the </w:t>
      </w:r>
      <w:r w:rsidR="00EB629F" w:rsidRPr="006610D9">
        <w:rPr>
          <w:b/>
          <w:szCs w:val="18"/>
        </w:rPr>
        <w:t>Endorsed Program</w:t>
      </w:r>
      <w:r w:rsidR="00EB629F" w:rsidRPr="00711FC9">
        <w:rPr>
          <w:szCs w:val="18"/>
        </w:rPr>
        <w:t>)</w:t>
      </w:r>
      <w:r w:rsidR="00F242C9" w:rsidRPr="00834F3C">
        <w:rPr>
          <w:szCs w:val="18"/>
        </w:rPr>
        <w:t xml:space="preserve">, </w:t>
      </w:r>
      <w:r w:rsidR="00447877" w:rsidRPr="00FF42CF">
        <w:rPr>
          <w:szCs w:val="18"/>
        </w:rPr>
        <w:t xml:space="preserve">and related </w:t>
      </w:r>
      <w:r w:rsidR="00EC6E39" w:rsidRPr="002113A4">
        <w:rPr>
          <w:szCs w:val="18"/>
        </w:rPr>
        <w:t>cl</w:t>
      </w:r>
      <w:r w:rsidR="00EC6E39" w:rsidRPr="0058332E">
        <w:rPr>
          <w:szCs w:val="18"/>
        </w:rPr>
        <w:t xml:space="preserve">ass approval </w:t>
      </w:r>
      <w:r w:rsidR="00742E69" w:rsidRPr="001D4317">
        <w:rPr>
          <w:szCs w:val="18"/>
        </w:rPr>
        <w:t xml:space="preserve">of activities </w:t>
      </w:r>
      <w:r w:rsidR="00CA7084" w:rsidRPr="00A25353">
        <w:rPr>
          <w:szCs w:val="18"/>
        </w:rPr>
        <w:t>accepted by NOPSEMA</w:t>
      </w:r>
      <w:r w:rsidR="007439BD" w:rsidRPr="00C066D9">
        <w:rPr>
          <w:szCs w:val="18"/>
        </w:rPr>
        <w:t xml:space="preserve">, streamlined the regulation </w:t>
      </w:r>
      <w:r w:rsidR="003549D4" w:rsidRPr="00CD5AFE">
        <w:rPr>
          <w:szCs w:val="18"/>
        </w:rPr>
        <w:t>of offshore activities.</w:t>
      </w:r>
      <w:r w:rsidRPr="00CD5AFE">
        <w:rPr>
          <w:szCs w:val="18"/>
        </w:rPr>
        <w:t xml:space="preserve"> NOPSEMA </w:t>
      </w:r>
      <w:r w:rsidR="002A029C" w:rsidRPr="00CD5AFE">
        <w:rPr>
          <w:szCs w:val="18"/>
        </w:rPr>
        <w:t>became the sole</w:t>
      </w:r>
      <w:r w:rsidRPr="00CD5AFE">
        <w:rPr>
          <w:szCs w:val="18"/>
        </w:rPr>
        <w:t xml:space="preserve"> environment regulator in Commonwealth waters</w:t>
      </w:r>
      <w:r w:rsidR="00854CE3" w:rsidRPr="00E75BFD">
        <w:rPr>
          <w:szCs w:val="18"/>
        </w:rPr>
        <w:t>.</w:t>
      </w:r>
    </w:p>
    <w:p w14:paraId="190C0A35" w14:textId="007A3406" w:rsidR="00522947" w:rsidRPr="00C4353F" w:rsidRDefault="00917E16" w:rsidP="00522947">
      <w:pPr>
        <w:tabs>
          <w:tab w:val="left" w:pos="6521"/>
        </w:tabs>
        <w:spacing w:after="120" w:line="240" w:lineRule="auto"/>
        <w:rPr>
          <w:rFonts w:ascii="Calibri Light" w:hAnsi="Calibri Light" w:cs="Calibri Light"/>
        </w:rPr>
      </w:pPr>
      <w:r>
        <w:rPr>
          <w:rFonts w:ascii="Calibri Light" w:hAnsi="Calibri Light" w:cs="Calibri Light"/>
        </w:rPr>
        <w:t>T</w:t>
      </w:r>
      <w:r w:rsidR="00522947" w:rsidRPr="00C4353F">
        <w:rPr>
          <w:rFonts w:ascii="Calibri Light" w:hAnsi="Calibri Light" w:cs="Calibri Light"/>
        </w:rPr>
        <w:t xml:space="preserve">here are four parties responsible for delivering the OPGGS Act and its associated regulations (the </w:t>
      </w:r>
      <w:r w:rsidR="00522947" w:rsidRPr="00C4353F">
        <w:rPr>
          <w:rFonts w:ascii="Calibri Light" w:hAnsi="Calibri Light" w:cs="Calibri Light"/>
          <w:b/>
        </w:rPr>
        <w:t>offshore legislative framework</w:t>
      </w:r>
      <w:r w:rsidR="00522947" w:rsidRPr="00901C7B">
        <w:rPr>
          <w:rStyle w:val="FootnoteReference"/>
          <w:rFonts w:cs="Calibri Light"/>
          <w:sz w:val="18"/>
        </w:rPr>
        <w:footnoteReference w:id="3"/>
      </w:r>
      <w:r w:rsidR="00522947" w:rsidRPr="00E371E7">
        <w:rPr>
          <w:rFonts w:ascii="Calibri Light" w:hAnsi="Calibri Light" w:cs="Calibri Light"/>
        </w:rPr>
        <w:t>). These are:</w:t>
      </w:r>
    </w:p>
    <w:p w14:paraId="7DF05A6F" w14:textId="14C0081A" w:rsidR="00522947" w:rsidRPr="00260747" w:rsidRDefault="007C1DD2" w:rsidP="000C1F53">
      <w:pPr>
        <w:pStyle w:val="BodycopyNEW0"/>
        <w:numPr>
          <w:ilvl w:val="0"/>
          <w:numId w:val="23"/>
        </w:numPr>
        <w:ind w:left="426"/>
        <w:rPr>
          <w:rFonts w:cs="Calibri Light"/>
          <w:szCs w:val="18"/>
        </w:rPr>
      </w:pPr>
      <w:r>
        <w:rPr>
          <w:rFonts w:cs="Calibri Light"/>
        </w:rPr>
        <w:t xml:space="preserve">The </w:t>
      </w:r>
      <w:r w:rsidRPr="00820475">
        <w:rPr>
          <w:rFonts w:cs="Calibri Light"/>
        </w:rPr>
        <w:t>Department of Industry, Science, Energy, and Resources (</w:t>
      </w:r>
      <w:r w:rsidR="00522947" w:rsidRPr="00820475">
        <w:rPr>
          <w:rFonts w:cs="Calibri Light"/>
          <w:b/>
        </w:rPr>
        <w:t>DISER</w:t>
      </w:r>
      <w:r w:rsidRPr="00820475">
        <w:rPr>
          <w:rFonts w:cs="Calibri Light"/>
        </w:rPr>
        <w:t>)</w:t>
      </w:r>
      <w:r w:rsidR="00522947" w:rsidRPr="00820475">
        <w:rPr>
          <w:rFonts w:cs="Calibri Light"/>
        </w:rPr>
        <w:t xml:space="preserve"> </w:t>
      </w:r>
      <w:r w:rsidR="00522947" w:rsidRPr="00EA28C6">
        <w:rPr>
          <w:rFonts w:cs="Calibri Light"/>
          <w:szCs w:val="18"/>
        </w:rPr>
        <w:t>Offshore Reso</w:t>
      </w:r>
      <w:r w:rsidR="00522947" w:rsidRPr="00260747">
        <w:rPr>
          <w:rFonts w:cs="Calibri Light"/>
          <w:szCs w:val="18"/>
        </w:rPr>
        <w:t>urces Branch – responsible for the development of government policy in relation to the OPGGS Act (the ‘policy development’ arm)</w:t>
      </w:r>
    </w:p>
    <w:p w14:paraId="08CA4399" w14:textId="49C6434B" w:rsidR="00522947" w:rsidRPr="00260747" w:rsidRDefault="00A06A05" w:rsidP="000C1F53">
      <w:pPr>
        <w:pStyle w:val="BodycopyNEW0"/>
        <w:numPr>
          <w:ilvl w:val="0"/>
          <w:numId w:val="23"/>
        </w:numPr>
        <w:ind w:left="426"/>
        <w:rPr>
          <w:rFonts w:cs="Calibri Light"/>
          <w:szCs w:val="18"/>
        </w:rPr>
      </w:pPr>
      <w:r w:rsidRPr="00820475">
        <w:rPr>
          <w:rFonts w:cs="Calibri Light"/>
        </w:rPr>
        <w:t>The National Offshore Petroleum Titles Administrator (</w:t>
      </w:r>
      <w:r w:rsidR="00522947" w:rsidRPr="00820475">
        <w:rPr>
          <w:rFonts w:cs="Calibri Light"/>
          <w:b/>
        </w:rPr>
        <w:t>NOPTA</w:t>
      </w:r>
      <w:r w:rsidRPr="00820475">
        <w:rPr>
          <w:rFonts w:cs="Calibri Light"/>
        </w:rPr>
        <w:t>)</w:t>
      </w:r>
      <w:r w:rsidR="00522947" w:rsidRPr="00260747">
        <w:rPr>
          <w:rFonts w:cs="Calibri Light"/>
          <w:szCs w:val="18"/>
        </w:rPr>
        <w:t xml:space="preserve">, a branch of DISER – responsible for the administration and assessment of </w:t>
      </w:r>
      <w:r w:rsidR="00EC7015">
        <w:rPr>
          <w:rFonts w:cs="Calibri Light"/>
          <w:szCs w:val="18"/>
        </w:rPr>
        <w:t xml:space="preserve">petroleum and GHG </w:t>
      </w:r>
      <w:r w:rsidR="00522947" w:rsidRPr="00260747">
        <w:rPr>
          <w:rFonts w:cs="Calibri Light"/>
          <w:szCs w:val="18"/>
        </w:rPr>
        <w:t>title applications, with specified functions under section 695B of the OPGGS Act (the ‘administrative’ arm)</w:t>
      </w:r>
    </w:p>
    <w:p w14:paraId="528FEE04" w14:textId="77777777" w:rsidR="00522947" w:rsidRPr="00260747" w:rsidRDefault="00522947" w:rsidP="000C1F53">
      <w:pPr>
        <w:pStyle w:val="BodycopyNEW0"/>
        <w:numPr>
          <w:ilvl w:val="0"/>
          <w:numId w:val="23"/>
        </w:numPr>
        <w:ind w:left="426"/>
        <w:rPr>
          <w:rFonts w:cs="Calibri Light"/>
          <w:szCs w:val="18"/>
        </w:rPr>
      </w:pPr>
      <w:r w:rsidRPr="00FF36FE">
        <w:rPr>
          <w:rFonts w:cs="Calibri Light"/>
          <w:szCs w:val="18"/>
        </w:rPr>
        <w:t>NOPSEMA</w:t>
      </w:r>
      <w:r w:rsidRPr="00260747">
        <w:rPr>
          <w:rFonts w:cs="Calibri Light"/>
          <w:szCs w:val="18"/>
        </w:rPr>
        <w:t xml:space="preserve"> – responsible for the regulation of safety, well integrity, and environment matters as specified under section 646 of the OPGGS Act (the ‘regulatory’ arm)</w:t>
      </w:r>
    </w:p>
    <w:p w14:paraId="76AAFA73" w14:textId="77777777" w:rsidR="00522947" w:rsidRPr="00260747" w:rsidRDefault="00522947" w:rsidP="000C1F53">
      <w:pPr>
        <w:pStyle w:val="BodycopyNEW0"/>
        <w:numPr>
          <w:ilvl w:val="0"/>
          <w:numId w:val="23"/>
        </w:numPr>
        <w:ind w:left="426"/>
        <w:rPr>
          <w:rFonts w:cs="Calibri Light"/>
          <w:szCs w:val="18"/>
        </w:rPr>
      </w:pPr>
      <w:r w:rsidRPr="00FF36FE">
        <w:rPr>
          <w:rFonts w:cs="Calibri Light"/>
          <w:szCs w:val="18"/>
        </w:rPr>
        <w:t>The Joint Authorities</w:t>
      </w:r>
      <w:r w:rsidRPr="00260747">
        <w:rPr>
          <w:rFonts w:cs="Calibri Light"/>
          <w:szCs w:val="18"/>
        </w:rPr>
        <w:t xml:space="preserve"> – responsible for decision-making as defined in Part 1.3 of the OPGGS Act (the ‘decision-making’ arm). </w:t>
      </w:r>
    </w:p>
    <w:p w14:paraId="3EC84F22" w14:textId="2746A64B" w:rsidR="00FF2D12" w:rsidRPr="00611BAA" w:rsidRDefault="00FF2D12" w:rsidP="00AE2D6E">
      <w:pPr>
        <w:pStyle w:val="BodyCopyNEW"/>
        <w:rPr>
          <w:szCs w:val="18"/>
        </w:rPr>
      </w:pPr>
      <w:r w:rsidRPr="00611BAA">
        <w:rPr>
          <w:szCs w:val="18"/>
        </w:rPr>
        <w:t xml:space="preserve">In accordance </w:t>
      </w:r>
      <w:r w:rsidRPr="00946300">
        <w:rPr>
          <w:szCs w:val="18"/>
        </w:rPr>
        <w:t xml:space="preserve">with section 695 of the OPGGS Act, NOPSEMA is subject to </w:t>
      </w:r>
      <w:r w:rsidR="00522947" w:rsidRPr="00946300">
        <w:rPr>
          <w:szCs w:val="18"/>
        </w:rPr>
        <w:t>a</w:t>
      </w:r>
      <w:r w:rsidRPr="00946300">
        <w:rPr>
          <w:szCs w:val="18"/>
        </w:rPr>
        <w:t xml:space="preserve"> review (the </w:t>
      </w:r>
      <w:r w:rsidR="00BE6017" w:rsidRPr="00392AAF">
        <w:rPr>
          <w:b/>
          <w:szCs w:val="18"/>
        </w:rPr>
        <w:t>review</w:t>
      </w:r>
      <w:r w:rsidRPr="00901C7B">
        <w:rPr>
          <w:rStyle w:val="FootnoteReference"/>
          <w:sz w:val="18"/>
          <w:szCs w:val="18"/>
        </w:rPr>
        <w:footnoteReference w:id="4"/>
      </w:r>
      <w:r w:rsidR="009E365E" w:rsidRPr="00096BC3">
        <w:rPr>
          <w:b/>
          <w:szCs w:val="18"/>
        </w:rPr>
        <w:t xml:space="preserve"> </w:t>
      </w:r>
      <w:r w:rsidR="009E365E" w:rsidRPr="00611BAA">
        <w:rPr>
          <w:szCs w:val="18"/>
        </w:rPr>
        <w:t xml:space="preserve">or </w:t>
      </w:r>
      <w:r w:rsidR="009E365E" w:rsidRPr="00901C7B">
        <w:rPr>
          <w:szCs w:val="18"/>
        </w:rPr>
        <w:t>the</w:t>
      </w:r>
      <w:r w:rsidR="009E365E" w:rsidRPr="00096BC3">
        <w:rPr>
          <w:b/>
          <w:szCs w:val="18"/>
        </w:rPr>
        <w:t xml:space="preserve"> report</w:t>
      </w:r>
      <w:r w:rsidRPr="00611BAA">
        <w:rPr>
          <w:szCs w:val="18"/>
        </w:rPr>
        <w:t>) of its operations every five-year period</w:t>
      </w:r>
      <w:r w:rsidRPr="00946300">
        <w:rPr>
          <w:szCs w:val="18"/>
        </w:rPr>
        <w:t xml:space="preserve"> after its first review. Our </w:t>
      </w:r>
      <w:r w:rsidR="00BE6017" w:rsidRPr="00946300">
        <w:rPr>
          <w:szCs w:val="18"/>
        </w:rPr>
        <w:t xml:space="preserve">review </w:t>
      </w:r>
      <w:r w:rsidRPr="00946300">
        <w:rPr>
          <w:szCs w:val="18"/>
        </w:rPr>
        <w:t xml:space="preserve">of NOPSEMA is the second </w:t>
      </w:r>
      <w:r w:rsidR="00864661">
        <w:rPr>
          <w:szCs w:val="18"/>
        </w:rPr>
        <w:t>to be conducted</w:t>
      </w:r>
      <w:r w:rsidR="00BE6017" w:rsidRPr="00946300">
        <w:rPr>
          <w:szCs w:val="18"/>
        </w:rPr>
        <w:t xml:space="preserve">, </w:t>
      </w:r>
      <w:r w:rsidRPr="00392AAF">
        <w:rPr>
          <w:szCs w:val="18"/>
        </w:rPr>
        <w:t xml:space="preserve">the last being undertaken in 2015. The previous </w:t>
      </w:r>
      <w:r w:rsidR="00F5543A" w:rsidRPr="006C0E7D">
        <w:rPr>
          <w:szCs w:val="18"/>
        </w:rPr>
        <w:t xml:space="preserve">review </w:t>
      </w:r>
      <w:r w:rsidR="00151793" w:rsidRPr="00911F0E">
        <w:rPr>
          <w:szCs w:val="18"/>
        </w:rPr>
        <w:t xml:space="preserve">(the </w:t>
      </w:r>
      <w:r w:rsidR="00151793" w:rsidRPr="004602AD">
        <w:rPr>
          <w:rFonts w:eastAsia="Verdana"/>
          <w:i/>
          <w:szCs w:val="18"/>
        </w:rPr>
        <w:t>2015 Operational Review of the National Offshore Petroleum Safety and Environmental Management Authority</w:t>
      </w:r>
      <w:r w:rsidR="00151793" w:rsidRPr="00C81CBA">
        <w:rPr>
          <w:rFonts w:eastAsia="Verdana"/>
          <w:szCs w:val="18"/>
        </w:rPr>
        <w:t xml:space="preserve"> (the </w:t>
      </w:r>
      <w:r w:rsidR="00151793" w:rsidRPr="00953CA5">
        <w:rPr>
          <w:rFonts w:eastAsia="Verdana"/>
          <w:b/>
          <w:szCs w:val="18"/>
        </w:rPr>
        <w:t>2015 Operational Review</w:t>
      </w:r>
      <w:r w:rsidR="00151793" w:rsidRPr="00953CA5">
        <w:rPr>
          <w:rFonts w:eastAsia="Verdana"/>
          <w:szCs w:val="18"/>
        </w:rPr>
        <w:t>))</w:t>
      </w:r>
      <w:r w:rsidR="00F5543A" w:rsidRPr="00171DEA">
        <w:rPr>
          <w:rFonts w:eastAsia="Verdana"/>
          <w:szCs w:val="18"/>
        </w:rPr>
        <w:t xml:space="preserve"> </w:t>
      </w:r>
      <w:r w:rsidRPr="00777C5D">
        <w:rPr>
          <w:szCs w:val="18"/>
        </w:rPr>
        <w:t xml:space="preserve">found NOPSEMA </w:t>
      </w:r>
      <w:r w:rsidRPr="00901C7B">
        <w:rPr>
          <w:i/>
          <w:szCs w:val="18"/>
        </w:rPr>
        <w:t>“to be demonstrating the characteristics of an effective regulator”</w:t>
      </w:r>
      <w:r w:rsidRPr="00096BC3">
        <w:rPr>
          <w:szCs w:val="18"/>
        </w:rPr>
        <w:t xml:space="preserve"> and identified 16 recommendations, </w:t>
      </w:r>
      <w:r w:rsidR="00FB347C">
        <w:rPr>
          <w:szCs w:val="18"/>
        </w:rPr>
        <w:t>15</w:t>
      </w:r>
      <w:r w:rsidR="00FB347C" w:rsidRPr="00096BC3">
        <w:rPr>
          <w:szCs w:val="18"/>
        </w:rPr>
        <w:t xml:space="preserve"> </w:t>
      </w:r>
      <w:r w:rsidRPr="00096BC3">
        <w:rPr>
          <w:szCs w:val="18"/>
        </w:rPr>
        <w:t>of which were accepted by the Australian Government</w:t>
      </w:r>
      <w:r w:rsidR="00FB347C">
        <w:rPr>
          <w:szCs w:val="18"/>
        </w:rPr>
        <w:t xml:space="preserve"> and one noted</w:t>
      </w:r>
      <w:r w:rsidRPr="00096BC3">
        <w:rPr>
          <w:szCs w:val="18"/>
        </w:rPr>
        <w:t>.</w:t>
      </w:r>
    </w:p>
    <w:p w14:paraId="259094C9" w14:textId="6203B8AC" w:rsidR="00FF2D12" w:rsidRPr="00C9238E" w:rsidRDefault="00FF2D12" w:rsidP="00AE2D6E">
      <w:pPr>
        <w:pStyle w:val="Heading2"/>
        <w:numPr>
          <w:ilvl w:val="1"/>
          <w:numId w:val="1"/>
        </w:numPr>
      </w:pPr>
      <w:r w:rsidRPr="00C9238E">
        <w:t xml:space="preserve">Objective of the </w:t>
      </w:r>
      <w:r w:rsidR="00F5543A">
        <w:t>review</w:t>
      </w:r>
    </w:p>
    <w:p w14:paraId="093A7E2C" w14:textId="05E08ECA" w:rsidR="008F13BF" w:rsidRPr="00BC79AF" w:rsidRDefault="00BE6017" w:rsidP="00AE2D6E">
      <w:pPr>
        <w:pStyle w:val="BodyCopyNEW"/>
        <w:rPr>
          <w:szCs w:val="18"/>
        </w:rPr>
      </w:pPr>
      <w:r w:rsidRPr="00BC79AF">
        <w:rPr>
          <w:szCs w:val="18"/>
        </w:rPr>
        <w:t xml:space="preserve">Deloitte </w:t>
      </w:r>
      <w:r w:rsidR="005578E0" w:rsidRPr="00BC79AF">
        <w:rPr>
          <w:szCs w:val="18"/>
        </w:rPr>
        <w:t>(“</w:t>
      </w:r>
      <w:r w:rsidR="005578E0" w:rsidRPr="008F65CD">
        <w:rPr>
          <w:b/>
          <w:bCs/>
          <w:szCs w:val="18"/>
        </w:rPr>
        <w:t>we</w:t>
      </w:r>
      <w:r w:rsidR="005578E0" w:rsidRPr="00BC79AF">
        <w:rPr>
          <w:szCs w:val="18"/>
        </w:rPr>
        <w:t>”, “</w:t>
      </w:r>
      <w:r w:rsidR="005578E0" w:rsidRPr="008F65CD">
        <w:rPr>
          <w:b/>
          <w:bCs/>
          <w:szCs w:val="18"/>
        </w:rPr>
        <w:t>our</w:t>
      </w:r>
      <w:r w:rsidR="005578E0" w:rsidRPr="00BC79AF">
        <w:rPr>
          <w:szCs w:val="18"/>
        </w:rPr>
        <w:t xml:space="preserve">”, </w:t>
      </w:r>
      <w:r w:rsidR="00D93517">
        <w:rPr>
          <w:szCs w:val="18"/>
        </w:rPr>
        <w:t>“</w:t>
      </w:r>
      <w:r w:rsidR="00D93517" w:rsidRPr="00970E3C">
        <w:rPr>
          <w:b/>
          <w:bCs/>
          <w:szCs w:val="18"/>
        </w:rPr>
        <w:t>us</w:t>
      </w:r>
      <w:r w:rsidR="00D93517">
        <w:rPr>
          <w:szCs w:val="18"/>
        </w:rPr>
        <w:t xml:space="preserve">”, </w:t>
      </w:r>
      <w:r w:rsidR="005578E0" w:rsidRPr="00BC79AF">
        <w:rPr>
          <w:szCs w:val="18"/>
        </w:rPr>
        <w:t>or “</w:t>
      </w:r>
      <w:r w:rsidR="005578E0" w:rsidRPr="008F65CD">
        <w:rPr>
          <w:b/>
          <w:bCs/>
          <w:szCs w:val="18"/>
        </w:rPr>
        <w:t>the</w:t>
      </w:r>
      <w:r w:rsidR="005578E0" w:rsidRPr="00BC79AF">
        <w:rPr>
          <w:szCs w:val="18"/>
        </w:rPr>
        <w:t xml:space="preserve"> </w:t>
      </w:r>
      <w:r w:rsidR="005578E0" w:rsidRPr="008F65CD">
        <w:rPr>
          <w:b/>
          <w:bCs/>
          <w:szCs w:val="18"/>
        </w:rPr>
        <w:t>review</w:t>
      </w:r>
      <w:r w:rsidR="005578E0" w:rsidRPr="00BC79AF">
        <w:rPr>
          <w:szCs w:val="18"/>
        </w:rPr>
        <w:t xml:space="preserve"> </w:t>
      </w:r>
      <w:r w:rsidR="005578E0" w:rsidRPr="008F65CD">
        <w:rPr>
          <w:b/>
          <w:bCs/>
          <w:szCs w:val="18"/>
        </w:rPr>
        <w:t>team</w:t>
      </w:r>
      <w:r w:rsidR="005578E0" w:rsidRPr="00BC79AF">
        <w:rPr>
          <w:szCs w:val="18"/>
        </w:rPr>
        <w:t xml:space="preserve">”) </w:t>
      </w:r>
      <w:r w:rsidRPr="00BC79AF">
        <w:rPr>
          <w:szCs w:val="18"/>
        </w:rPr>
        <w:t xml:space="preserve">was </w:t>
      </w:r>
      <w:r w:rsidR="00FF2D12" w:rsidRPr="00BC79AF">
        <w:rPr>
          <w:szCs w:val="18"/>
        </w:rPr>
        <w:t xml:space="preserve">engaged in </w:t>
      </w:r>
      <w:r w:rsidR="00FF4813" w:rsidRPr="00BC79AF">
        <w:rPr>
          <w:szCs w:val="18"/>
        </w:rPr>
        <w:t>July</w:t>
      </w:r>
      <w:r w:rsidR="00FF2D12" w:rsidRPr="00BC79AF">
        <w:rPr>
          <w:szCs w:val="18"/>
        </w:rPr>
        <w:t xml:space="preserve"> 2020 to undertake an independent operational </w:t>
      </w:r>
      <w:r w:rsidR="00F5543A" w:rsidRPr="00BC79AF">
        <w:rPr>
          <w:szCs w:val="18"/>
        </w:rPr>
        <w:t xml:space="preserve">review </w:t>
      </w:r>
      <w:r w:rsidR="00FF2D12" w:rsidRPr="00BC79AF">
        <w:rPr>
          <w:szCs w:val="18"/>
        </w:rPr>
        <w:t xml:space="preserve">of </w:t>
      </w:r>
      <w:r w:rsidR="008E0DA9" w:rsidRPr="00BC79AF">
        <w:rPr>
          <w:szCs w:val="18"/>
        </w:rPr>
        <w:t xml:space="preserve">NOPSEMA </w:t>
      </w:r>
      <w:r w:rsidR="00D60FE0" w:rsidRPr="00BC79AF">
        <w:rPr>
          <w:szCs w:val="18"/>
        </w:rPr>
        <w:t>in accordance with the terms of reference (</w:t>
      </w:r>
      <w:r w:rsidR="00D60FE0" w:rsidRPr="00BC79AF">
        <w:rPr>
          <w:b/>
          <w:szCs w:val="18"/>
        </w:rPr>
        <w:t>TOR</w:t>
      </w:r>
      <w:r w:rsidR="00D60FE0" w:rsidRPr="00BC79AF">
        <w:rPr>
          <w:szCs w:val="18"/>
        </w:rPr>
        <w:t xml:space="preserve">) prepared by </w:t>
      </w:r>
      <w:r w:rsidR="00872436" w:rsidRPr="00BC79AF">
        <w:rPr>
          <w:szCs w:val="18"/>
        </w:rPr>
        <w:t>DISER</w:t>
      </w:r>
      <w:r w:rsidR="00D60FE0" w:rsidRPr="00BC79AF">
        <w:rPr>
          <w:szCs w:val="18"/>
        </w:rPr>
        <w:t xml:space="preserve">, attached </w:t>
      </w:r>
      <w:r w:rsidR="00970E3C">
        <w:rPr>
          <w:szCs w:val="18"/>
        </w:rPr>
        <w:t>at</w:t>
      </w:r>
      <w:r w:rsidR="00D60FE0" w:rsidRPr="00BC79AF">
        <w:rPr>
          <w:szCs w:val="18"/>
        </w:rPr>
        <w:t xml:space="preserve"> </w:t>
      </w:r>
      <w:r w:rsidR="00A724DD">
        <w:rPr>
          <w:b/>
          <w:szCs w:val="18"/>
        </w:rPr>
        <w:t>Appendix A</w:t>
      </w:r>
      <w:r w:rsidR="00A00216" w:rsidRPr="00BC79AF">
        <w:rPr>
          <w:bCs/>
          <w:szCs w:val="18"/>
        </w:rPr>
        <w:t>,</w:t>
      </w:r>
      <w:r w:rsidR="008F13BF" w:rsidRPr="00BC79AF">
        <w:rPr>
          <w:b/>
          <w:szCs w:val="18"/>
        </w:rPr>
        <w:t xml:space="preserve"> </w:t>
      </w:r>
      <w:r w:rsidR="008F13BF" w:rsidRPr="00BC79AF">
        <w:rPr>
          <w:szCs w:val="18"/>
        </w:rPr>
        <w:t>for the period of</w:t>
      </w:r>
      <w:r w:rsidR="008F13BF" w:rsidRPr="00BC79AF">
        <w:rPr>
          <w:b/>
          <w:szCs w:val="18"/>
        </w:rPr>
        <w:t xml:space="preserve"> </w:t>
      </w:r>
      <w:r w:rsidR="008F13BF" w:rsidRPr="00BC79AF">
        <w:rPr>
          <w:szCs w:val="18"/>
        </w:rPr>
        <w:t>1 January 2015 to 31 December 2019</w:t>
      </w:r>
      <w:r w:rsidR="00D60FE0" w:rsidRPr="00BC79AF">
        <w:rPr>
          <w:szCs w:val="18"/>
        </w:rPr>
        <w:t>.</w:t>
      </w:r>
      <w:r w:rsidR="00FF2D12" w:rsidRPr="00BC79AF">
        <w:rPr>
          <w:szCs w:val="18"/>
        </w:rPr>
        <w:t xml:space="preserve"> </w:t>
      </w:r>
      <w:r w:rsidR="000070B3" w:rsidRPr="00BC79AF">
        <w:rPr>
          <w:szCs w:val="18"/>
        </w:rPr>
        <w:t xml:space="preserve">In writing our report, we have given </w:t>
      </w:r>
      <w:r w:rsidR="00FD6877" w:rsidRPr="00BC79AF">
        <w:rPr>
          <w:szCs w:val="18"/>
        </w:rPr>
        <w:t xml:space="preserve">some </w:t>
      </w:r>
      <w:r w:rsidR="000070B3" w:rsidRPr="00BC79AF">
        <w:rPr>
          <w:szCs w:val="18"/>
        </w:rPr>
        <w:t xml:space="preserve">consideration to the period up to October 2020 in </w:t>
      </w:r>
      <w:r w:rsidR="00FD6877" w:rsidRPr="00BC79AF">
        <w:rPr>
          <w:szCs w:val="18"/>
        </w:rPr>
        <w:t xml:space="preserve">specific </w:t>
      </w:r>
      <w:r w:rsidR="000070B3" w:rsidRPr="00BC79AF">
        <w:rPr>
          <w:szCs w:val="18"/>
        </w:rPr>
        <w:t>circumstances</w:t>
      </w:r>
      <w:r w:rsidR="00DB79ED" w:rsidRPr="00BC79AF">
        <w:rPr>
          <w:szCs w:val="18"/>
        </w:rPr>
        <w:t xml:space="preserve">. It would have been remiss to not consider this additional </w:t>
      </w:r>
      <w:r w:rsidR="0033739E" w:rsidRPr="00BC79AF">
        <w:rPr>
          <w:szCs w:val="18"/>
        </w:rPr>
        <w:t>time period</w:t>
      </w:r>
      <w:r w:rsidR="001D3E58" w:rsidRPr="00BC79AF">
        <w:rPr>
          <w:szCs w:val="18"/>
        </w:rPr>
        <w:t xml:space="preserve"> </w:t>
      </w:r>
      <w:r w:rsidR="008D363A" w:rsidRPr="00BC79AF">
        <w:rPr>
          <w:szCs w:val="18"/>
        </w:rPr>
        <w:t>given</w:t>
      </w:r>
      <w:r w:rsidR="001D3E58" w:rsidRPr="00BC79AF">
        <w:rPr>
          <w:szCs w:val="18"/>
        </w:rPr>
        <w:t xml:space="preserve"> the extraordinary circumstances </w:t>
      </w:r>
      <w:r w:rsidR="0074114D" w:rsidRPr="00BC79AF">
        <w:rPr>
          <w:szCs w:val="18"/>
        </w:rPr>
        <w:t>that emerged in 2020</w:t>
      </w:r>
      <w:r w:rsidR="001D3E58" w:rsidRPr="00BC79AF">
        <w:rPr>
          <w:szCs w:val="18"/>
        </w:rPr>
        <w:t xml:space="preserve"> due to COVID-19, and the role that played in shaping NOPSEMA and the industry</w:t>
      </w:r>
      <w:r w:rsidR="0025457B" w:rsidRPr="00BC79AF">
        <w:rPr>
          <w:szCs w:val="18"/>
        </w:rPr>
        <w:t xml:space="preserve">. </w:t>
      </w:r>
      <w:r w:rsidR="0033739E" w:rsidRPr="00BC79AF">
        <w:rPr>
          <w:szCs w:val="18"/>
        </w:rPr>
        <w:t>This will undoubtabl</w:t>
      </w:r>
      <w:r w:rsidR="001B1CDC" w:rsidRPr="00BC79AF">
        <w:rPr>
          <w:szCs w:val="18"/>
        </w:rPr>
        <w:t>y</w:t>
      </w:r>
      <w:r w:rsidR="0033739E" w:rsidRPr="00BC79AF">
        <w:rPr>
          <w:szCs w:val="18"/>
        </w:rPr>
        <w:t xml:space="preserve"> be the subject </w:t>
      </w:r>
      <w:r w:rsidR="0033739E" w:rsidRPr="00BC79AF">
        <w:rPr>
          <w:szCs w:val="18"/>
        </w:rPr>
        <w:lastRenderedPageBreak/>
        <w:t>of much comment in the next five</w:t>
      </w:r>
      <w:r w:rsidR="00047DC2">
        <w:rPr>
          <w:szCs w:val="18"/>
        </w:rPr>
        <w:t>-</w:t>
      </w:r>
      <w:r w:rsidR="0033739E" w:rsidRPr="00BC79AF">
        <w:rPr>
          <w:szCs w:val="18"/>
        </w:rPr>
        <w:t xml:space="preserve">year review period. </w:t>
      </w:r>
      <w:r w:rsidR="0025457B" w:rsidRPr="00BC79AF">
        <w:rPr>
          <w:szCs w:val="18"/>
        </w:rPr>
        <w:t>W</w:t>
      </w:r>
      <w:r w:rsidR="000070B3" w:rsidRPr="00BC79AF">
        <w:rPr>
          <w:szCs w:val="18"/>
        </w:rPr>
        <w:t>e also considered future directions of the industry and the associated implications for NOPSEMA.</w:t>
      </w:r>
    </w:p>
    <w:p w14:paraId="36A896CC" w14:textId="255A033A" w:rsidR="00FF2D12" w:rsidRPr="00BC79AF" w:rsidRDefault="00FF2D12" w:rsidP="00AE2D6E">
      <w:pPr>
        <w:pStyle w:val="BodyCopyNEW"/>
        <w:rPr>
          <w:szCs w:val="18"/>
        </w:rPr>
      </w:pPr>
      <w:r w:rsidRPr="00BC79AF">
        <w:rPr>
          <w:szCs w:val="18"/>
        </w:rPr>
        <w:t>With the recent decline in commodity prices, low industry confidence</w:t>
      </w:r>
      <w:r w:rsidR="0086095D" w:rsidRPr="00BC79AF">
        <w:rPr>
          <w:szCs w:val="18"/>
        </w:rPr>
        <w:t xml:space="preserve"> and </w:t>
      </w:r>
      <w:r w:rsidRPr="00BC79AF">
        <w:rPr>
          <w:szCs w:val="18"/>
        </w:rPr>
        <w:t xml:space="preserve">the </w:t>
      </w:r>
      <w:r w:rsidR="0086095D" w:rsidRPr="00BC79AF">
        <w:rPr>
          <w:szCs w:val="18"/>
        </w:rPr>
        <w:t>ongoing</w:t>
      </w:r>
      <w:r w:rsidRPr="00BC79AF">
        <w:rPr>
          <w:szCs w:val="18"/>
        </w:rPr>
        <w:t xml:space="preserve"> impacts of COVID-19</w:t>
      </w:r>
      <w:r w:rsidR="00BE6017" w:rsidRPr="00BC79AF">
        <w:rPr>
          <w:szCs w:val="18"/>
        </w:rPr>
        <w:t xml:space="preserve">, </w:t>
      </w:r>
      <w:r w:rsidRPr="00BC79AF">
        <w:rPr>
          <w:szCs w:val="18"/>
        </w:rPr>
        <w:t>the role of the regulator in maintaining appropriate oversight and challenge to industry to maintain health and safety, well integrity, and environment</w:t>
      </w:r>
      <w:r w:rsidR="001723A8" w:rsidRPr="00BC79AF">
        <w:rPr>
          <w:szCs w:val="18"/>
        </w:rPr>
        <w:t>al</w:t>
      </w:r>
      <w:r w:rsidRPr="00BC79AF">
        <w:rPr>
          <w:szCs w:val="18"/>
        </w:rPr>
        <w:t xml:space="preserve"> management practices is </w:t>
      </w:r>
      <w:r w:rsidR="006D2FC0" w:rsidRPr="00BC79AF">
        <w:rPr>
          <w:szCs w:val="18"/>
        </w:rPr>
        <w:t>paramount</w:t>
      </w:r>
      <w:r w:rsidRPr="00BC79AF">
        <w:rPr>
          <w:szCs w:val="18"/>
        </w:rPr>
        <w:t>.</w:t>
      </w:r>
    </w:p>
    <w:p w14:paraId="7CADD74A" w14:textId="51927D6F" w:rsidR="00FF2D12" w:rsidRPr="00BC79AF" w:rsidRDefault="00C44607" w:rsidP="00AE2D6E">
      <w:pPr>
        <w:pStyle w:val="BodyCopyNEW"/>
        <w:rPr>
          <w:szCs w:val="18"/>
        </w:rPr>
      </w:pPr>
      <w:r w:rsidRPr="00BC79AF">
        <w:rPr>
          <w:szCs w:val="18"/>
        </w:rPr>
        <w:t>Against</w:t>
      </w:r>
      <w:r w:rsidR="00FF2D12" w:rsidRPr="00BC79AF">
        <w:rPr>
          <w:szCs w:val="18"/>
        </w:rPr>
        <w:t xml:space="preserve"> </w:t>
      </w:r>
      <w:r w:rsidR="008D363A" w:rsidRPr="00BC79AF">
        <w:rPr>
          <w:szCs w:val="18"/>
        </w:rPr>
        <w:t xml:space="preserve">this </w:t>
      </w:r>
      <w:r w:rsidR="00FF2D12" w:rsidRPr="00BC79AF">
        <w:rPr>
          <w:szCs w:val="18"/>
        </w:rPr>
        <w:t xml:space="preserve">broader context, the </w:t>
      </w:r>
      <w:r w:rsidR="00BE6017" w:rsidRPr="00BC79AF">
        <w:rPr>
          <w:szCs w:val="18"/>
        </w:rPr>
        <w:t>review’s</w:t>
      </w:r>
      <w:r w:rsidR="00A9052E" w:rsidRPr="00BC79AF">
        <w:rPr>
          <w:szCs w:val="18"/>
        </w:rPr>
        <w:t xml:space="preserve"> legislative</w:t>
      </w:r>
      <w:r w:rsidR="00BE6017" w:rsidRPr="00BC79AF">
        <w:rPr>
          <w:szCs w:val="18"/>
        </w:rPr>
        <w:t xml:space="preserve"> </w:t>
      </w:r>
      <w:r w:rsidR="00FF2D12" w:rsidRPr="00BC79AF">
        <w:rPr>
          <w:szCs w:val="18"/>
        </w:rPr>
        <w:t>objective was to determine whether NOPSEMA has been effective in bringing about improvements in:</w:t>
      </w:r>
    </w:p>
    <w:p w14:paraId="34292127" w14:textId="77777777" w:rsidR="00FF2D12" w:rsidRPr="000221B2" w:rsidRDefault="00FF2D12" w:rsidP="000C1F53">
      <w:pPr>
        <w:pStyle w:val="BodycopyNEW0"/>
        <w:numPr>
          <w:ilvl w:val="0"/>
          <w:numId w:val="23"/>
        </w:numPr>
        <w:ind w:left="426"/>
        <w:rPr>
          <w:rFonts w:cs="Calibri Light"/>
        </w:rPr>
      </w:pPr>
      <w:r w:rsidRPr="00BC79AF">
        <w:rPr>
          <w:szCs w:val="18"/>
        </w:rPr>
        <w:t>The Occupational Health and Safety (</w:t>
      </w:r>
      <w:r w:rsidRPr="006018EF">
        <w:rPr>
          <w:rFonts w:cs="Calibri Light"/>
          <w:b/>
          <w:bCs/>
        </w:rPr>
        <w:t>OHS</w:t>
      </w:r>
      <w:r w:rsidRPr="00E41BAA">
        <w:rPr>
          <w:rFonts w:cs="Calibri Light"/>
        </w:rPr>
        <w:t>) of persons engaged in offshore petroleum operations or offshore</w:t>
      </w:r>
      <w:r w:rsidRPr="00E57D8F">
        <w:rPr>
          <w:rFonts w:cs="Calibri Light"/>
        </w:rPr>
        <w:t xml:space="preserve"> greenhouse gas storage operations</w:t>
      </w:r>
    </w:p>
    <w:p w14:paraId="28E9A4F8" w14:textId="77777777" w:rsidR="00FF2D12" w:rsidRPr="00D12861" w:rsidRDefault="00FF2D12" w:rsidP="000C1F53">
      <w:pPr>
        <w:pStyle w:val="BodycopyNEW0"/>
        <w:numPr>
          <w:ilvl w:val="0"/>
          <w:numId w:val="23"/>
        </w:numPr>
        <w:ind w:left="426"/>
        <w:rPr>
          <w:rFonts w:cs="Calibri Light"/>
        </w:rPr>
      </w:pPr>
      <w:r w:rsidRPr="00416650">
        <w:rPr>
          <w:rFonts w:cs="Calibri Light"/>
        </w:rPr>
        <w:t>The structural integrity of facilities, wells, and well-related equipment</w:t>
      </w:r>
    </w:p>
    <w:p w14:paraId="266A82BB" w14:textId="5C2FA618" w:rsidR="00FF2D12" w:rsidRPr="00120841" w:rsidRDefault="00FF2D12" w:rsidP="000C1F53">
      <w:pPr>
        <w:pStyle w:val="BodycopyNEW0"/>
        <w:numPr>
          <w:ilvl w:val="0"/>
          <w:numId w:val="23"/>
        </w:numPr>
        <w:ind w:left="426"/>
        <w:rPr>
          <w:rFonts w:cs="Calibri Light"/>
        </w:rPr>
      </w:pPr>
      <w:r w:rsidRPr="002674B5">
        <w:rPr>
          <w:rFonts w:cs="Calibri Light"/>
        </w:rPr>
        <w:t>Offshore petroleum environment</w:t>
      </w:r>
      <w:r w:rsidR="001723A8" w:rsidRPr="00480FB2">
        <w:rPr>
          <w:rFonts w:cs="Calibri Light"/>
        </w:rPr>
        <w:t>al</w:t>
      </w:r>
      <w:r w:rsidRPr="00F75AE9">
        <w:rPr>
          <w:rFonts w:cs="Calibri Light"/>
        </w:rPr>
        <w:t xml:space="preserve"> management</w:t>
      </w:r>
    </w:p>
    <w:p w14:paraId="214A771C" w14:textId="2E0007B3" w:rsidR="00250485" w:rsidRPr="00E41BAA" w:rsidRDefault="00FF2D12" w:rsidP="000C1F53">
      <w:pPr>
        <w:pStyle w:val="BodycopyNEW0"/>
        <w:numPr>
          <w:ilvl w:val="0"/>
          <w:numId w:val="23"/>
        </w:numPr>
        <w:ind w:left="426"/>
        <w:rPr>
          <w:rFonts w:cs="Calibri Light"/>
        </w:rPr>
      </w:pPr>
      <w:r w:rsidRPr="00485F34">
        <w:rPr>
          <w:rFonts w:cs="Calibri Light"/>
        </w:rPr>
        <w:t xml:space="preserve">Offshore </w:t>
      </w:r>
      <w:r w:rsidR="00C87029" w:rsidRPr="00485F34">
        <w:rPr>
          <w:rFonts w:cs="Calibri Light"/>
        </w:rPr>
        <w:t>GHG</w:t>
      </w:r>
      <w:r w:rsidRPr="00485F34">
        <w:rPr>
          <w:rFonts w:cs="Calibri Light"/>
        </w:rPr>
        <w:t xml:space="preserve"> storage environmental management</w:t>
      </w:r>
      <w:r w:rsidR="00C01409" w:rsidRPr="00A17F28">
        <w:rPr>
          <w:rFonts w:cs="Calibri Light"/>
          <w:vertAlign w:val="superscript"/>
        </w:rPr>
        <w:footnoteReference w:id="5"/>
      </w:r>
      <w:r w:rsidRPr="00485F34">
        <w:rPr>
          <w:rFonts w:cs="Calibri Light"/>
        </w:rPr>
        <w:t>.</w:t>
      </w:r>
    </w:p>
    <w:p w14:paraId="502B3B78" w14:textId="11CAAF13" w:rsidR="00FF2D12" w:rsidRPr="00BC79AF" w:rsidRDefault="00BD102C" w:rsidP="00AA72BA">
      <w:pPr>
        <w:pStyle w:val="BodyBullet1"/>
        <w:numPr>
          <w:ilvl w:val="0"/>
          <w:numId w:val="0"/>
        </w:numPr>
        <w:rPr>
          <w:szCs w:val="18"/>
        </w:rPr>
      </w:pPr>
      <w:r w:rsidRPr="00BC79AF">
        <w:rPr>
          <w:szCs w:val="18"/>
        </w:rPr>
        <w:t xml:space="preserve">The </w:t>
      </w:r>
      <w:r w:rsidR="00AA72BA" w:rsidRPr="00BC79AF">
        <w:rPr>
          <w:szCs w:val="18"/>
        </w:rPr>
        <w:t xml:space="preserve">TOR also called for </w:t>
      </w:r>
      <w:r w:rsidR="00492051" w:rsidRPr="00BC79AF">
        <w:rPr>
          <w:szCs w:val="18"/>
        </w:rPr>
        <w:t>examination of</w:t>
      </w:r>
      <w:r w:rsidR="0097713D" w:rsidRPr="00BC79AF">
        <w:rPr>
          <w:szCs w:val="18"/>
        </w:rPr>
        <w:t>:</w:t>
      </w:r>
    </w:p>
    <w:p w14:paraId="3E091214" w14:textId="2B92240F" w:rsidR="0097713D" w:rsidRPr="00E41BAA" w:rsidRDefault="0097713D" w:rsidP="000C1F53">
      <w:pPr>
        <w:pStyle w:val="BodycopyNEW0"/>
        <w:numPr>
          <w:ilvl w:val="0"/>
          <w:numId w:val="23"/>
        </w:numPr>
        <w:ind w:left="426"/>
        <w:rPr>
          <w:rFonts w:cs="Calibri Light"/>
        </w:rPr>
      </w:pPr>
      <w:r w:rsidRPr="00E41BAA">
        <w:rPr>
          <w:rFonts w:cs="Calibri Light"/>
        </w:rPr>
        <w:t>NOPSEMA’s prog</w:t>
      </w:r>
      <w:r w:rsidRPr="00E57D8F">
        <w:rPr>
          <w:rFonts w:cs="Calibri Light"/>
        </w:rPr>
        <w:t xml:space="preserve">ress in achieving the objective of the Endorsed Program under the EPBC Act of ensuring all offshore petroleum and GHG are carried out in a manner consistent with the Object of the </w:t>
      </w:r>
      <w:r w:rsidRPr="00485F34">
        <w:rPr>
          <w:rFonts w:cs="Calibri Light"/>
        </w:rPr>
        <w:t>Offshore Petroleum</w:t>
      </w:r>
      <w:r w:rsidR="00052DD6">
        <w:rPr>
          <w:rFonts w:cs="Calibri Light"/>
        </w:rPr>
        <w:t xml:space="preserve"> and</w:t>
      </w:r>
      <w:r w:rsidRPr="00485F34">
        <w:rPr>
          <w:rFonts w:cs="Calibri Light"/>
        </w:rPr>
        <w:t xml:space="preserve"> Greenhouse Gas Storage (Environment) Regulations 2009</w:t>
      </w:r>
    </w:p>
    <w:p w14:paraId="34BA3A99" w14:textId="0C453CA0" w:rsidR="0097713D" w:rsidRPr="00E57D8F" w:rsidRDefault="0097713D" w:rsidP="000C1F53">
      <w:pPr>
        <w:pStyle w:val="BodycopyNEW0"/>
        <w:numPr>
          <w:ilvl w:val="0"/>
          <w:numId w:val="23"/>
        </w:numPr>
        <w:ind w:left="426"/>
        <w:rPr>
          <w:rFonts w:cs="Calibri Light"/>
        </w:rPr>
      </w:pPr>
      <w:r w:rsidRPr="00E57D8F">
        <w:rPr>
          <w:rFonts w:cs="Calibri Light"/>
        </w:rPr>
        <w:t>A r</w:t>
      </w:r>
      <w:r w:rsidRPr="000221B2">
        <w:rPr>
          <w:rFonts w:cs="Calibri Light"/>
        </w:rPr>
        <w:t>eview of the actions of both NOPSEMA and</w:t>
      </w:r>
      <w:r w:rsidR="004660DB">
        <w:rPr>
          <w:rFonts w:cs="Calibri Light"/>
        </w:rPr>
        <w:t xml:space="preserve"> the </w:t>
      </w:r>
      <w:r w:rsidR="004660DB" w:rsidRPr="004660DB">
        <w:rPr>
          <w:rFonts w:cs="Calibri Light"/>
        </w:rPr>
        <w:t>Department of Agriculture, Water and the Environment</w:t>
      </w:r>
      <w:r w:rsidRPr="000221B2">
        <w:rPr>
          <w:rFonts w:cs="Calibri Light"/>
        </w:rPr>
        <w:t xml:space="preserve"> </w:t>
      </w:r>
      <w:r w:rsidR="004660DB">
        <w:rPr>
          <w:rFonts w:cs="Calibri Light"/>
        </w:rPr>
        <w:t>(</w:t>
      </w:r>
      <w:r w:rsidRPr="004660DB">
        <w:rPr>
          <w:rFonts w:cs="Calibri Light"/>
          <w:b/>
          <w:bCs/>
        </w:rPr>
        <w:t>DAWE</w:t>
      </w:r>
      <w:r w:rsidR="004660DB">
        <w:rPr>
          <w:rFonts w:cs="Calibri Light"/>
        </w:rPr>
        <w:t>)</w:t>
      </w:r>
      <w:r w:rsidRPr="000221B2">
        <w:rPr>
          <w:rFonts w:cs="Calibri Light"/>
        </w:rPr>
        <w:t xml:space="preserve"> required under the </w:t>
      </w:r>
      <w:r w:rsidR="009231B0" w:rsidRPr="00485F34">
        <w:rPr>
          <w:rFonts w:cs="Calibri Light"/>
        </w:rPr>
        <w:t xml:space="preserve">2017 Program Administrative Arrangements </w:t>
      </w:r>
      <w:r w:rsidRPr="00E41BAA">
        <w:rPr>
          <w:rFonts w:cs="Calibri Light"/>
        </w:rPr>
        <w:t>and provide advice on if all commitments are being met.</w:t>
      </w:r>
    </w:p>
    <w:p w14:paraId="0F78A39E" w14:textId="403F490C" w:rsidR="0097713D" w:rsidRPr="00BC79AF" w:rsidRDefault="0097713D" w:rsidP="00C066D9">
      <w:pPr>
        <w:pStyle w:val="BodyCopyNEW"/>
        <w:rPr>
          <w:szCs w:val="18"/>
        </w:rPr>
      </w:pPr>
      <w:r w:rsidRPr="00BC79AF">
        <w:rPr>
          <w:szCs w:val="18"/>
        </w:rPr>
        <w:t xml:space="preserve">We </w:t>
      </w:r>
      <w:r w:rsidR="00E353B3" w:rsidRPr="00BC79AF">
        <w:rPr>
          <w:szCs w:val="18"/>
        </w:rPr>
        <w:t xml:space="preserve">examine these </w:t>
      </w:r>
      <w:r w:rsidR="005472E6">
        <w:rPr>
          <w:szCs w:val="18"/>
        </w:rPr>
        <w:t xml:space="preserve">latter two </w:t>
      </w:r>
      <w:r w:rsidR="00E353B3" w:rsidRPr="00BC79AF">
        <w:rPr>
          <w:szCs w:val="18"/>
        </w:rPr>
        <w:t xml:space="preserve">items as part of our </w:t>
      </w:r>
      <w:r w:rsidR="00E353B3" w:rsidRPr="00465219">
        <w:rPr>
          <w:szCs w:val="18"/>
        </w:rPr>
        <w:t>2020 Endorsed Program Assessment</w:t>
      </w:r>
      <w:r w:rsidR="00E353B3" w:rsidRPr="00BC79AF">
        <w:rPr>
          <w:szCs w:val="18"/>
        </w:rPr>
        <w:t xml:space="preserve">, which is found </w:t>
      </w:r>
      <w:r w:rsidR="005472E6" w:rsidRPr="00782B57">
        <w:rPr>
          <w:szCs w:val="18"/>
        </w:rPr>
        <w:t xml:space="preserve">in </w:t>
      </w:r>
      <w:r w:rsidR="005472E6" w:rsidRPr="00465219">
        <w:rPr>
          <w:b/>
          <w:bCs/>
          <w:szCs w:val="18"/>
        </w:rPr>
        <w:t xml:space="preserve">Section </w:t>
      </w:r>
      <w:r w:rsidR="00E635AA">
        <w:rPr>
          <w:b/>
          <w:bCs/>
          <w:szCs w:val="18"/>
        </w:rPr>
        <w:fldChar w:fldCharType="begin"/>
      </w:r>
      <w:r w:rsidR="00E635AA">
        <w:rPr>
          <w:b/>
          <w:bCs/>
          <w:szCs w:val="18"/>
        </w:rPr>
        <w:instrText xml:space="preserve"> REF _Ref63974459 \r \h </w:instrText>
      </w:r>
      <w:r w:rsidR="00E635AA">
        <w:rPr>
          <w:b/>
          <w:bCs/>
          <w:szCs w:val="18"/>
        </w:rPr>
      </w:r>
      <w:r w:rsidR="00E635AA">
        <w:rPr>
          <w:b/>
          <w:bCs/>
          <w:szCs w:val="18"/>
        </w:rPr>
        <w:fldChar w:fldCharType="separate"/>
      </w:r>
      <w:r w:rsidR="00E816B8">
        <w:rPr>
          <w:b/>
          <w:bCs/>
          <w:szCs w:val="18"/>
        </w:rPr>
        <w:t>11</w:t>
      </w:r>
      <w:r w:rsidR="00E635AA">
        <w:rPr>
          <w:b/>
          <w:bCs/>
          <w:szCs w:val="18"/>
        </w:rPr>
        <w:fldChar w:fldCharType="end"/>
      </w:r>
      <w:r w:rsidR="008E6850" w:rsidRPr="00782B57">
        <w:rPr>
          <w:szCs w:val="18"/>
        </w:rPr>
        <w:t>.</w:t>
      </w:r>
      <w:r w:rsidR="001E7513" w:rsidRPr="00782B57">
        <w:rPr>
          <w:szCs w:val="18"/>
        </w:rPr>
        <w:t xml:space="preserve"> The</w:t>
      </w:r>
      <w:r w:rsidR="001E7513" w:rsidRPr="00BC79AF">
        <w:rPr>
          <w:szCs w:val="18"/>
        </w:rPr>
        <w:t xml:space="preserve"> ‘Our findings’</w:t>
      </w:r>
      <w:r w:rsidR="000C35B3" w:rsidRPr="00BC79AF">
        <w:rPr>
          <w:szCs w:val="18"/>
        </w:rPr>
        <w:t xml:space="preserve"> and ‘Our recommendations and identified opportunities’</w:t>
      </w:r>
      <w:r w:rsidR="001E7513" w:rsidRPr="00BC79AF">
        <w:rPr>
          <w:szCs w:val="18"/>
        </w:rPr>
        <w:t xml:space="preserve"> section</w:t>
      </w:r>
      <w:r w:rsidR="000C35B3" w:rsidRPr="00BC79AF">
        <w:rPr>
          <w:szCs w:val="18"/>
        </w:rPr>
        <w:t>s</w:t>
      </w:r>
      <w:r w:rsidR="001E7513" w:rsidRPr="00BC79AF">
        <w:rPr>
          <w:szCs w:val="18"/>
        </w:rPr>
        <w:t xml:space="preserve"> below include </w:t>
      </w:r>
      <w:r w:rsidR="000C35B3" w:rsidRPr="00BC79AF">
        <w:rPr>
          <w:szCs w:val="18"/>
        </w:rPr>
        <w:t xml:space="preserve">a summary of findings, recommendations, and opportunities from the </w:t>
      </w:r>
      <w:r w:rsidR="00EF5D24" w:rsidRPr="00465219">
        <w:rPr>
          <w:szCs w:val="18"/>
        </w:rPr>
        <w:t>2020 Endorsed Program Assessment</w:t>
      </w:r>
      <w:r w:rsidR="00EF5D24" w:rsidRPr="00BC79AF">
        <w:rPr>
          <w:szCs w:val="18"/>
        </w:rPr>
        <w:t xml:space="preserve"> in order to provide a consolidated view of our assessment of NOPSEMA across the review period.</w:t>
      </w:r>
    </w:p>
    <w:p w14:paraId="58385391" w14:textId="168CD399" w:rsidR="0060392D" w:rsidRPr="00AE2D6E" w:rsidRDefault="0060392D" w:rsidP="00AE2D6E">
      <w:pPr>
        <w:pStyle w:val="Heading2"/>
        <w:numPr>
          <w:ilvl w:val="1"/>
          <w:numId w:val="1"/>
        </w:numPr>
      </w:pPr>
      <w:bookmarkStart w:id="6" w:name="_Ref63976950"/>
      <w:r w:rsidRPr="00AE2D6E">
        <w:t xml:space="preserve">Our </w:t>
      </w:r>
      <w:r w:rsidR="005550F1">
        <w:t>findings</w:t>
      </w:r>
      <w:bookmarkEnd w:id="6"/>
    </w:p>
    <w:p w14:paraId="0698F438" w14:textId="68D21405" w:rsidR="00183929" w:rsidRPr="00946300" w:rsidRDefault="00183929" w:rsidP="00AE2D6E">
      <w:pPr>
        <w:pStyle w:val="BodyCopyNEW"/>
        <w:rPr>
          <w:szCs w:val="18"/>
        </w:rPr>
      </w:pPr>
      <w:r w:rsidRPr="00096BC3">
        <w:rPr>
          <w:szCs w:val="18"/>
        </w:rPr>
        <w:t>Our review has found NOPSEMA to be appropriately focused on bringing about improvements in OHS, well integrity, and environm</w:t>
      </w:r>
      <w:r w:rsidRPr="00611BAA">
        <w:rPr>
          <w:szCs w:val="18"/>
        </w:rPr>
        <w:t>ent</w:t>
      </w:r>
      <w:r w:rsidR="001723A8" w:rsidRPr="00946300">
        <w:rPr>
          <w:szCs w:val="18"/>
        </w:rPr>
        <w:t>al</w:t>
      </w:r>
      <w:r w:rsidRPr="00946300">
        <w:rPr>
          <w:szCs w:val="18"/>
        </w:rPr>
        <w:t xml:space="preserve"> management across the offshore petroleum industry in accordance with its functions under </w:t>
      </w:r>
      <w:r w:rsidRPr="000E4C62">
        <w:rPr>
          <w:szCs w:val="18"/>
        </w:rPr>
        <w:t xml:space="preserve">section 646 of the OPGGS Act. We also consider NOPSEMA to be </w:t>
      </w:r>
      <w:r w:rsidR="00592E26" w:rsidRPr="000E4C62">
        <w:rPr>
          <w:szCs w:val="18"/>
        </w:rPr>
        <w:t xml:space="preserve">compliant with its obligations in administering the streamlined </w:t>
      </w:r>
      <w:r w:rsidR="00E77C69" w:rsidRPr="000E4C62">
        <w:rPr>
          <w:szCs w:val="18"/>
        </w:rPr>
        <w:t>Endorsed Program under the EPBC Act.</w:t>
      </w:r>
      <w:r w:rsidR="00E77C69">
        <w:rPr>
          <w:szCs w:val="18"/>
        </w:rPr>
        <w:t xml:space="preserve"> </w:t>
      </w:r>
    </w:p>
    <w:p w14:paraId="34DDCB68" w14:textId="26D620DB" w:rsidR="00183929" w:rsidRPr="00946300" w:rsidRDefault="00E87258" w:rsidP="00AE2D6E">
      <w:pPr>
        <w:pStyle w:val="BodyCopyNEW"/>
        <w:rPr>
          <w:szCs w:val="18"/>
        </w:rPr>
      </w:pPr>
      <w:r w:rsidRPr="00946300">
        <w:rPr>
          <w:szCs w:val="18"/>
        </w:rPr>
        <w:t xml:space="preserve">NOPSEMA’s transformation of its approach to stakeholder engagement </w:t>
      </w:r>
      <w:r w:rsidR="008A3CAC">
        <w:rPr>
          <w:szCs w:val="18"/>
        </w:rPr>
        <w:t>across the review period</w:t>
      </w:r>
      <w:r w:rsidRPr="00946300">
        <w:rPr>
          <w:szCs w:val="18"/>
        </w:rPr>
        <w:t xml:space="preserve"> is commendable. Nevertheless, the l</w:t>
      </w:r>
      <w:r w:rsidR="00183929" w:rsidRPr="00946300">
        <w:rPr>
          <w:szCs w:val="18"/>
        </w:rPr>
        <w:t>evel of trust and confidence in NOPS</w:t>
      </w:r>
      <w:r w:rsidR="00183929" w:rsidRPr="00392AAF">
        <w:rPr>
          <w:szCs w:val="18"/>
        </w:rPr>
        <w:t>EMA</w:t>
      </w:r>
      <w:r w:rsidRPr="006C0E7D">
        <w:rPr>
          <w:szCs w:val="18"/>
        </w:rPr>
        <w:t xml:space="preserve"> </w:t>
      </w:r>
      <w:r w:rsidR="008A3CAC">
        <w:rPr>
          <w:szCs w:val="18"/>
        </w:rPr>
        <w:t>requires further</w:t>
      </w:r>
      <w:r w:rsidR="008A3CAC" w:rsidRPr="006C0E7D">
        <w:rPr>
          <w:szCs w:val="18"/>
        </w:rPr>
        <w:t xml:space="preserve"> </w:t>
      </w:r>
      <w:r w:rsidRPr="006C0E7D">
        <w:rPr>
          <w:szCs w:val="18"/>
        </w:rPr>
        <w:t>improvement</w:t>
      </w:r>
      <w:r w:rsidR="00183929" w:rsidRPr="00911F0E">
        <w:rPr>
          <w:szCs w:val="18"/>
        </w:rPr>
        <w:t xml:space="preserve">, including the transparency </w:t>
      </w:r>
      <w:r w:rsidRPr="004602AD">
        <w:rPr>
          <w:szCs w:val="18"/>
        </w:rPr>
        <w:t>over</w:t>
      </w:r>
      <w:r w:rsidR="00183929" w:rsidRPr="00C81CBA">
        <w:rPr>
          <w:szCs w:val="18"/>
        </w:rPr>
        <w:t xml:space="preserve"> decision-making</w:t>
      </w:r>
      <w:r w:rsidRPr="00953CA5">
        <w:rPr>
          <w:szCs w:val="18"/>
        </w:rPr>
        <w:t xml:space="preserve"> and enforcement</w:t>
      </w:r>
      <w:r w:rsidR="00183929" w:rsidRPr="00953CA5">
        <w:rPr>
          <w:szCs w:val="18"/>
        </w:rPr>
        <w:t xml:space="preserve">. </w:t>
      </w:r>
      <w:r w:rsidRPr="00171DEA">
        <w:rPr>
          <w:szCs w:val="18"/>
        </w:rPr>
        <w:t>T</w:t>
      </w:r>
      <w:r w:rsidR="00183929" w:rsidRPr="00777C5D">
        <w:rPr>
          <w:szCs w:val="18"/>
        </w:rPr>
        <w:t xml:space="preserve">he current suite of </w:t>
      </w:r>
      <w:r w:rsidR="00634C64">
        <w:rPr>
          <w:szCs w:val="18"/>
        </w:rPr>
        <w:t>‘</w:t>
      </w:r>
      <w:r w:rsidR="00183929" w:rsidRPr="00777C5D">
        <w:rPr>
          <w:szCs w:val="18"/>
        </w:rPr>
        <w:t>permissioning documents</w:t>
      </w:r>
      <w:r w:rsidR="00634C64">
        <w:rPr>
          <w:szCs w:val="18"/>
        </w:rPr>
        <w:t>’</w:t>
      </w:r>
      <w:r w:rsidR="00834627" w:rsidRPr="006C6606">
        <w:rPr>
          <w:szCs w:val="18"/>
        </w:rPr>
        <w:t xml:space="preserve"> </w:t>
      </w:r>
      <w:r w:rsidR="00183929" w:rsidRPr="00611BAA">
        <w:rPr>
          <w:szCs w:val="18"/>
        </w:rPr>
        <w:t xml:space="preserve">are perceived by many industry stakeholders as </w:t>
      </w:r>
      <w:r w:rsidR="009C67DE" w:rsidRPr="00946300">
        <w:rPr>
          <w:szCs w:val="18"/>
        </w:rPr>
        <w:t xml:space="preserve">complex and </w:t>
      </w:r>
      <w:r w:rsidR="00183929" w:rsidRPr="00946300">
        <w:rPr>
          <w:szCs w:val="18"/>
        </w:rPr>
        <w:t>burdensome</w:t>
      </w:r>
      <w:r w:rsidR="00634C64">
        <w:rPr>
          <w:szCs w:val="18"/>
        </w:rPr>
        <w:t xml:space="preserve"> in their delivery</w:t>
      </w:r>
      <w:r w:rsidR="00183929" w:rsidRPr="00946300">
        <w:rPr>
          <w:szCs w:val="18"/>
        </w:rPr>
        <w:t>.</w:t>
      </w:r>
    </w:p>
    <w:p w14:paraId="7682C386" w14:textId="5F8A472E" w:rsidR="005961B3" w:rsidRPr="00611BAA" w:rsidRDefault="00834627" w:rsidP="00AE2D6E">
      <w:pPr>
        <w:pStyle w:val="BodyCopyNEW"/>
        <w:rPr>
          <w:szCs w:val="18"/>
        </w:rPr>
      </w:pPr>
      <w:r w:rsidRPr="00392AAF">
        <w:rPr>
          <w:szCs w:val="18"/>
        </w:rPr>
        <w:t xml:space="preserve">The Australian offshore petroleum industry will face many challenges and threats over the coming decades, including declining fields, aging assets, </w:t>
      </w:r>
      <w:r w:rsidR="00893FBD" w:rsidRPr="00392AAF">
        <w:rPr>
          <w:szCs w:val="18"/>
        </w:rPr>
        <w:t xml:space="preserve">increasing asset transition activity, </w:t>
      </w:r>
      <w:r w:rsidRPr="00392AAF">
        <w:rPr>
          <w:szCs w:val="18"/>
        </w:rPr>
        <w:t>decommissioning</w:t>
      </w:r>
      <w:r w:rsidR="00702E8A">
        <w:rPr>
          <w:szCs w:val="18"/>
        </w:rPr>
        <w:t>,</w:t>
      </w:r>
      <w:r w:rsidRPr="00392AAF">
        <w:rPr>
          <w:szCs w:val="18"/>
        </w:rPr>
        <w:t xml:space="preserve"> and intensifying pressure to reduce emissi</w:t>
      </w:r>
      <w:r w:rsidRPr="006C0E7D">
        <w:t xml:space="preserve">ons. </w:t>
      </w:r>
      <w:r w:rsidR="00183929" w:rsidRPr="00911F0E">
        <w:rPr>
          <w:szCs w:val="18"/>
        </w:rPr>
        <w:t xml:space="preserve">The need for a cohesive </w:t>
      </w:r>
      <w:r w:rsidR="00DD7124" w:rsidRPr="00C81CBA">
        <w:rPr>
          <w:szCs w:val="18"/>
        </w:rPr>
        <w:t xml:space="preserve">approach to </w:t>
      </w:r>
      <w:r w:rsidR="00592620" w:rsidRPr="00953CA5">
        <w:rPr>
          <w:szCs w:val="18"/>
        </w:rPr>
        <w:t xml:space="preserve">regulation </w:t>
      </w:r>
      <w:r w:rsidR="00183929" w:rsidRPr="00953CA5">
        <w:rPr>
          <w:szCs w:val="18"/>
        </w:rPr>
        <w:t xml:space="preserve">is a key theme of our report. </w:t>
      </w:r>
      <w:r w:rsidR="001723A8" w:rsidRPr="00171DEA">
        <w:rPr>
          <w:szCs w:val="18"/>
        </w:rPr>
        <w:t>A recommendation</w:t>
      </w:r>
      <w:r w:rsidR="00183929" w:rsidRPr="00777C5D">
        <w:rPr>
          <w:szCs w:val="18"/>
        </w:rPr>
        <w:t xml:space="preserve"> at the regulator-level is </w:t>
      </w:r>
      <w:r w:rsidR="001723A8" w:rsidRPr="007F74D3">
        <w:rPr>
          <w:szCs w:val="18"/>
        </w:rPr>
        <w:t xml:space="preserve">embracing </w:t>
      </w:r>
      <w:r w:rsidR="00183929" w:rsidRPr="0047319A">
        <w:rPr>
          <w:szCs w:val="18"/>
        </w:rPr>
        <w:t>an integrated ‘One NOPSEMA’ approach to assessments</w:t>
      </w:r>
      <w:r w:rsidR="00E87258" w:rsidRPr="00C9422D">
        <w:rPr>
          <w:szCs w:val="18"/>
        </w:rPr>
        <w:t>,</w:t>
      </w:r>
      <w:r w:rsidR="00183929" w:rsidRPr="00F53817">
        <w:rPr>
          <w:szCs w:val="18"/>
        </w:rPr>
        <w:t xml:space="preserve"> inspections</w:t>
      </w:r>
      <w:r w:rsidR="00E87258" w:rsidRPr="00A32AAE">
        <w:rPr>
          <w:szCs w:val="18"/>
        </w:rPr>
        <w:t>, and investigations</w:t>
      </w:r>
      <w:r w:rsidR="00183929" w:rsidRPr="00B575BF">
        <w:rPr>
          <w:szCs w:val="18"/>
        </w:rPr>
        <w:t xml:space="preserve"> across saf</w:t>
      </w:r>
      <w:r w:rsidR="00183929" w:rsidRPr="00D11371">
        <w:rPr>
          <w:szCs w:val="18"/>
        </w:rPr>
        <w:t xml:space="preserve">ety, well integrity, and environment functions. </w:t>
      </w:r>
      <w:r w:rsidR="005961B3" w:rsidRPr="003E4CD6">
        <w:rPr>
          <w:szCs w:val="18"/>
        </w:rPr>
        <w:t>Underpinning this is the need for a ‘One Government’ approach to the delivery of the offshore legislative framework.</w:t>
      </w:r>
    </w:p>
    <w:p w14:paraId="607B1803" w14:textId="5EF0EFB6" w:rsidR="00183929" w:rsidRPr="00C81CBA" w:rsidRDefault="00183929" w:rsidP="00AE2D6E">
      <w:pPr>
        <w:pStyle w:val="BodyCopyNEW"/>
        <w:rPr>
          <w:szCs w:val="18"/>
        </w:rPr>
      </w:pPr>
      <w:r w:rsidRPr="00946300">
        <w:rPr>
          <w:szCs w:val="18"/>
        </w:rPr>
        <w:t xml:space="preserve">In support of our findings we </w:t>
      </w:r>
      <w:r w:rsidR="005961B3" w:rsidRPr="00946300">
        <w:rPr>
          <w:szCs w:val="18"/>
        </w:rPr>
        <w:t>offer</w:t>
      </w:r>
      <w:r w:rsidRPr="00946300">
        <w:rPr>
          <w:szCs w:val="18"/>
        </w:rPr>
        <w:t xml:space="preserve"> </w:t>
      </w:r>
      <w:r w:rsidR="00D266AE" w:rsidRPr="00D266AE">
        <w:rPr>
          <w:b/>
          <w:szCs w:val="18"/>
        </w:rPr>
        <w:t>31</w:t>
      </w:r>
      <w:r w:rsidR="00D266AE" w:rsidRPr="004B221D">
        <w:rPr>
          <w:b/>
          <w:szCs w:val="18"/>
        </w:rPr>
        <w:t xml:space="preserve"> </w:t>
      </w:r>
      <w:r w:rsidRPr="004B221D">
        <w:rPr>
          <w:b/>
          <w:szCs w:val="18"/>
        </w:rPr>
        <w:t xml:space="preserve">recommendations </w:t>
      </w:r>
      <w:r w:rsidR="005961B3" w:rsidRPr="004B221D">
        <w:rPr>
          <w:szCs w:val="18"/>
        </w:rPr>
        <w:t>for consideration</w:t>
      </w:r>
      <w:r w:rsidR="005961B3" w:rsidRPr="004B221D">
        <w:rPr>
          <w:b/>
          <w:szCs w:val="18"/>
        </w:rPr>
        <w:t xml:space="preserve"> </w:t>
      </w:r>
      <w:r w:rsidRPr="004B221D">
        <w:rPr>
          <w:szCs w:val="18"/>
        </w:rPr>
        <w:t xml:space="preserve">and </w:t>
      </w:r>
      <w:r w:rsidR="005961B3" w:rsidRPr="004B221D">
        <w:rPr>
          <w:szCs w:val="18"/>
        </w:rPr>
        <w:t xml:space="preserve">have </w:t>
      </w:r>
      <w:r w:rsidRPr="004B221D">
        <w:rPr>
          <w:szCs w:val="18"/>
        </w:rPr>
        <w:t xml:space="preserve">identified </w:t>
      </w:r>
      <w:r w:rsidR="00F155E1" w:rsidRPr="004B221D">
        <w:rPr>
          <w:b/>
          <w:szCs w:val="18"/>
        </w:rPr>
        <w:t>2</w:t>
      </w:r>
      <w:r w:rsidR="006018EF" w:rsidRPr="004B221D">
        <w:rPr>
          <w:b/>
          <w:szCs w:val="18"/>
        </w:rPr>
        <w:t>1</w:t>
      </w:r>
      <w:r w:rsidRPr="004B221D">
        <w:rPr>
          <w:b/>
          <w:szCs w:val="18"/>
        </w:rPr>
        <w:t xml:space="preserve"> opportunities</w:t>
      </w:r>
      <w:r w:rsidRPr="00096BC3">
        <w:rPr>
          <w:szCs w:val="18"/>
        </w:rPr>
        <w:t xml:space="preserve">, which are outlined in </w:t>
      </w:r>
      <w:r w:rsidR="001F429F" w:rsidRPr="001F429F">
        <w:rPr>
          <w:b/>
          <w:szCs w:val="18"/>
        </w:rPr>
        <w:fldChar w:fldCharType="begin"/>
      </w:r>
      <w:r w:rsidR="001F429F" w:rsidRPr="001F429F">
        <w:rPr>
          <w:b/>
          <w:szCs w:val="18"/>
        </w:rPr>
        <w:instrText xml:space="preserve"> REF _Ref58443452 \h  \* MERGEFORMAT </w:instrText>
      </w:r>
      <w:r w:rsidR="001F429F" w:rsidRPr="001F429F">
        <w:rPr>
          <w:b/>
          <w:szCs w:val="18"/>
        </w:rPr>
      </w:r>
      <w:r w:rsidR="001F429F" w:rsidRPr="001F429F">
        <w:rPr>
          <w:b/>
          <w:szCs w:val="18"/>
        </w:rPr>
        <w:fldChar w:fldCharType="separate"/>
      </w:r>
      <w:r w:rsidR="00E816B8" w:rsidRPr="00E816B8">
        <w:rPr>
          <w:b/>
        </w:rPr>
        <w:t xml:space="preserve">Table </w:t>
      </w:r>
      <w:r w:rsidR="00E816B8" w:rsidRPr="00E816B8">
        <w:rPr>
          <w:b/>
          <w:noProof/>
        </w:rPr>
        <w:t>2.1</w:t>
      </w:r>
      <w:r w:rsidR="001F429F" w:rsidRPr="001F429F">
        <w:rPr>
          <w:b/>
          <w:szCs w:val="18"/>
        </w:rPr>
        <w:fldChar w:fldCharType="end"/>
      </w:r>
      <w:r w:rsidRPr="00096BC3">
        <w:rPr>
          <w:szCs w:val="18"/>
        </w:rPr>
        <w:t xml:space="preserve"> and </w:t>
      </w:r>
      <w:r w:rsidR="001F429F" w:rsidRPr="001F429F">
        <w:rPr>
          <w:b/>
          <w:szCs w:val="18"/>
        </w:rPr>
        <w:fldChar w:fldCharType="begin"/>
      </w:r>
      <w:r w:rsidR="001F429F" w:rsidRPr="001F429F">
        <w:rPr>
          <w:b/>
          <w:szCs w:val="18"/>
        </w:rPr>
        <w:instrText xml:space="preserve"> REF _Ref58443683 \h  \* MERGEFORMAT </w:instrText>
      </w:r>
      <w:r w:rsidR="001F429F" w:rsidRPr="001F429F">
        <w:rPr>
          <w:b/>
          <w:szCs w:val="18"/>
        </w:rPr>
      </w:r>
      <w:r w:rsidR="001F429F" w:rsidRPr="001F429F">
        <w:rPr>
          <w:b/>
          <w:szCs w:val="18"/>
        </w:rPr>
        <w:fldChar w:fldCharType="separate"/>
      </w:r>
      <w:r w:rsidR="00E816B8" w:rsidRPr="00E816B8">
        <w:rPr>
          <w:b/>
        </w:rPr>
        <w:t xml:space="preserve">Table </w:t>
      </w:r>
      <w:r w:rsidR="00E816B8" w:rsidRPr="00E816B8">
        <w:rPr>
          <w:b/>
          <w:noProof/>
        </w:rPr>
        <w:t>2.2</w:t>
      </w:r>
      <w:r w:rsidR="001F429F" w:rsidRPr="001F429F">
        <w:rPr>
          <w:b/>
          <w:szCs w:val="18"/>
        </w:rPr>
        <w:fldChar w:fldCharType="end"/>
      </w:r>
      <w:r w:rsidRPr="00096BC3">
        <w:rPr>
          <w:szCs w:val="18"/>
        </w:rPr>
        <w:t>, respectively</w:t>
      </w:r>
      <w:r w:rsidR="005961B3" w:rsidRPr="00611BAA">
        <w:rPr>
          <w:szCs w:val="18"/>
        </w:rPr>
        <w:t>,</w:t>
      </w:r>
      <w:r w:rsidRPr="00946300">
        <w:rPr>
          <w:szCs w:val="18"/>
        </w:rPr>
        <w:t xml:space="preserve"> in </w:t>
      </w:r>
      <w:r w:rsidRPr="00946300">
        <w:rPr>
          <w:b/>
          <w:szCs w:val="18"/>
        </w:rPr>
        <w:t xml:space="preserve">Section </w:t>
      </w:r>
      <w:r w:rsidRPr="00611BAA">
        <w:rPr>
          <w:b/>
          <w:szCs w:val="18"/>
        </w:rPr>
        <w:fldChar w:fldCharType="begin"/>
      </w:r>
      <w:r w:rsidRPr="00E75BFD">
        <w:rPr>
          <w:b/>
          <w:szCs w:val="18"/>
        </w:rPr>
        <w:instrText xml:space="preserve"> REF _Ref56252132 \r \h  \* MERGEFORMAT </w:instrText>
      </w:r>
      <w:r w:rsidRPr="00611BAA">
        <w:rPr>
          <w:b/>
          <w:szCs w:val="18"/>
        </w:rPr>
      </w:r>
      <w:r w:rsidRPr="00611BAA">
        <w:rPr>
          <w:b/>
          <w:szCs w:val="18"/>
        </w:rPr>
        <w:fldChar w:fldCharType="separate"/>
      </w:r>
      <w:r w:rsidR="00E816B8">
        <w:rPr>
          <w:b/>
          <w:szCs w:val="18"/>
        </w:rPr>
        <w:t>2</w:t>
      </w:r>
      <w:r w:rsidRPr="00611BAA">
        <w:rPr>
          <w:b/>
          <w:szCs w:val="18"/>
        </w:rPr>
        <w:fldChar w:fldCharType="end"/>
      </w:r>
      <w:r w:rsidRPr="00096BC3">
        <w:rPr>
          <w:szCs w:val="18"/>
        </w:rPr>
        <w:t>. Colle</w:t>
      </w:r>
      <w:r w:rsidRPr="00611BAA">
        <w:rPr>
          <w:szCs w:val="18"/>
        </w:rPr>
        <w:t>ctively, these recommendations and opportu</w:t>
      </w:r>
      <w:r w:rsidRPr="00946300">
        <w:rPr>
          <w:szCs w:val="18"/>
        </w:rPr>
        <w:t>nities seek to prepare NOPSEMA, and other parties involved in delivering the offshore legislative framework,</w:t>
      </w:r>
      <w:r w:rsidR="004C3C32" w:rsidRPr="00946300">
        <w:rPr>
          <w:szCs w:val="18"/>
        </w:rPr>
        <w:t xml:space="preserve"> to respond to emergent challenges facing the offshore industry in a decisive and effective manner</w:t>
      </w:r>
      <w:r w:rsidRPr="004602AD">
        <w:rPr>
          <w:szCs w:val="18"/>
        </w:rPr>
        <w:t>.</w:t>
      </w:r>
    </w:p>
    <w:p w14:paraId="6D5520E0" w14:textId="0A9C3CD0" w:rsidR="00183929" w:rsidRPr="00784E0E" w:rsidRDefault="00183929" w:rsidP="00784E0E">
      <w:pPr>
        <w:pStyle w:val="Heading3"/>
        <w:numPr>
          <w:ilvl w:val="2"/>
          <w:numId w:val="1"/>
        </w:numPr>
      </w:pPr>
      <w:r w:rsidRPr="00784E0E">
        <w:lastRenderedPageBreak/>
        <w:t xml:space="preserve">NOPSEMA is a competent regulator focused on bringing about improvements in OHS, well integrity, and </w:t>
      </w:r>
      <w:r w:rsidR="001723A8" w:rsidRPr="00784E0E">
        <w:t>environmental management</w:t>
      </w:r>
      <w:r w:rsidRPr="00784E0E">
        <w:t xml:space="preserve"> but a ‘One NOPSEMA’ approach is needed</w:t>
      </w:r>
    </w:p>
    <w:p w14:paraId="75DB1FE4" w14:textId="77777777" w:rsidR="00183929" w:rsidRPr="00B27D38" w:rsidRDefault="00183929" w:rsidP="00784E0E">
      <w:pPr>
        <w:pStyle w:val="Heading3NoNumber"/>
      </w:pPr>
      <w:r w:rsidRPr="00B27D38">
        <w:t>NOPSEMA’s practices are robust but would benefit from a more risk-based approach and a clearer regulatory strategy</w:t>
      </w:r>
    </w:p>
    <w:p w14:paraId="72636B08" w14:textId="0D9E98BB" w:rsidR="00183929" w:rsidRPr="00C81CBA" w:rsidRDefault="00183929" w:rsidP="00AE2D6E">
      <w:pPr>
        <w:pStyle w:val="BodyCopyNEW"/>
        <w:rPr>
          <w:szCs w:val="18"/>
        </w:rPr>
      </w:pPr>
      <w:r w:rsidRPr="00096BC3">
        <w:rPr>
          <w:szCs w:val="18"/>
        </w:rPr>
        <w:t xml:space="preserve">NOPSEMA </w:t>
      </w:r>
      <w:r w:rsidR="00327ACB" w:rsidRPr="00611BAA">
        <w:rPr>
          <w:szCs w:val="18"/>
        </w:rPr>
        <w:t>has</w:t>
      </w:r>
      <w:r w:rsidRPr="00946300">
        <w:rPr>
          <w:szCs w:val="18"/>
        </w:rPr>
        <w:t xml:space="preserve"> established appropriate practices for discharging its </w:t>
      </w:r>
      <w:r w:rsidR="00E87258" w:rsidRPr="00946300">
        <w:rPr>
          <w:szCs w:val="18"/>
        </w:rPr>
        <w:t xml:space="preserve">assessment, inspection, investigation, and enforcement functions. </w:t>
      </w:r>
      <w:r w:rsidRPr="00946300">
        <w:rPr>
          <w:szCs w:val="18"/>
        </w:rPr>
        <w:t xml:space="preserve">NOPSEMA </w:t>
      </w:r>
      <w:r w:rsidR="00327ACB" w:rsidRPr="00946300">
        <w:rPr>
          <w:szCs w:val="18"/>
        </w:rPr>
        <w:t>has</w:t>
      </w:r>
      <w:r w:rsidRPr="00392AAF">
        <w:rPr>
          <w:szCs w:val="18"/>
        </w:rPr>
        <w:t xml:space="preserve"> </w:t>
      </w:r>
      <w:r w:rsidR="00273369">
        <w:rPr>
          <w:szCs w:val="18"/>
        </w:rPr>
        <w:t>adequate</w:t>
      </w:r>
      <w:r w:rsidR="00273369" w:rsidRPr="00392AAF">
        <w:rPr>
          <w:szCs w:val="18"/>
        </w:rPr>
        <w:t xml:space="preserve"> </w:t>
      </w:r>
      <w:r w:rsidRPr="00392AAF">
        <w:rPr>
          <w:szCs w:val="18"/>
        </w:rPr>
        <w:t xml:space="preserve">policies, processes, and procedures </w:t>
      </w:r>
      <w:r w:rsidR="00273369">
        <w:rPr>
          <w:szCs w:val="18"/>
        </w:rPr>
        <w:t>that</w:t>
      </w:r>
      <w:r w:rsidR="00273369" w:rsidRPr="006C0E7D">
        <w:rPr>
          <w:szCs w:val="18"/>
        </w:rPr>
        <w:t xml:space="preserve"> </w:t>
      </w:r>
      <w:r w:rsidR="00E87258" w:rsidRPr="006C0E7D">
        <w:rPr>
          <w:szCs w:val="18"/>
        </w:rPr>
        <w:t>support capable staff in delivering its functions</w:t>
      </w:r>
      <w:r w:rsidRPr="00911F0E">
        <w:rPr>
          <w:szCs w:val="18"/>
        </w:rPr>
        <w:t>. The review outcome is po</w:t>
      </w:r>
      <w:r w:rsidRPr="004602AD">
        <w:rPr>
          <w:szCs w:val="18"/>
        </w:rPr>
        <w:t>sitive, but we have identified areas where the effectiveness of NOPSEMA’s regulatory approach could be improved further.</w:t>
      </w:r>
    </w:p>
    <w:p w14:paraId="6B0DFFD3" w14:textId="1391AC73" w:rsidR="00183929" w:rsidRPr="006610D9" w:rsidRDefault="00183929" w:rsidP="00AE2D6E">
      <w:pPr>
        <w:pStyle w:val="BodyCopyNEW"/>
        <w:rPr>
          <w:szCs w:val="18"/>
        </w:rPr>
      </w:pPr>
      <w:r w:rsidRPr="00C81CBA">
        <w:rPr>
          <w:szCs w:val="18"/>
        </w:rPr>
        <w:t xml:space="preserve">Risk-based approaches to permissioning assessments and inspections could be enhanced. NOPSEMA currently has limited access </w:t>
      </w:r>
      <w:r w:rsidR="00C844BB" w:rsidRPr="00953CA5">
        <w:rPr>
          <w:szCs w:val="18"/>
        </w:rPr>
        <w:t xml:space="preserve">to a </w:t>
      </w:r>
      <w:r w:rsidRPr="00953CA5">
        <w:rPr>
          <w:szCs w:val="18"/>
        </w:rPr>
        <w:t>suitabl</w:t>
      </w:r>
      <w:r w:rsidR="00C844BB" w:rsidRPr="00171DEA">
        <w:rPr>
          <w:szCs w:val="18"/>
        </w:rPr>
        <w:t>e set of</w:t>
      </w:r>
      <w:r w:rsidRPr="00777C5D">
        <w:rPr>
          <w:szCs w:val="18"/>
        </w:rPr>
        <w:t xml:space="preserve"> lead indicator data from </w:t>
      </w:r>
      <w:r w:rsidR="00A241CF">
        <w:rPr>
          <w:szCs w:val="18"/>
        </w:rPr>
        <w:t>responsible parties</w:t>
      </w:r>
      <w:r w:rsidR="00A241CF" w:rsidRPr="006C6606">
        <w:rPr>
          <w:szCs w:val="18"/>
        </w:rPr>
        <w:t xml:space="preserve"> </w:t>
      </w:r>
      <w:r w:rsidR="00C844BB" w:rsidRPr="006C6606">
        <w:rPr>
          <w:szCs w:val="18"/>
        </w:rPr>
        <w:t>to assist with predictive analysis</w:t>
      </w:r>
      <w:r w:rsidRPr="00096BC3">
        <w:rPr>
          <w:szCs w:val="18"/>
        </w:rPr>
        <w:t>. There are also limitations with its Regulatory Management System’s (</w:t>
      </w:r>
      <w:r w:rsidRPr="00611BAA">
        <w:rPr>
          <w:b/>
          <w:szCs w:val="18"/>
        </w:rPr>
        <w:t>RMS</w:t>
      </w:r>
      <w:r w:rsidRPr="00946300">
        <w:rPr>
          <w:szCs w:val="18"/>
        </w:rPr>
        <w:t>) ability to derive risk-based insights. Industry stakeholders tended to support our view that NOPSEMA could be more risk-based in its approach</w:t>
      </w:r>
      <w:r w:rsidR="001723A8" w:rsidRPr="00946300">
        <w:rPr>
          <w:szCs w:val="18"/>
        </w:rPr>
        <w:t xml:space="preserve">, with </w:t>
      </w:r>
      <w:r w:rsidR="00FA7A16">
        <w:rPr>
          <w:szCs w:val="18"/>
        </w:rPr>
        <w:t>these</w:t>
      </w:r>
      <w:r w:rsidR="00FA7A16" w:rsidRPr="00946300">
        <w:rPr>
          <w:szCs w:val="18"/>
        </w:rPr>
        <w:t xml:space="preserve"> </w:t>
      </w:r>
      <w:r w:rsidR="001723A8" w:rsidRPr="00946300">
        <w:rPr>
          <w:szCs w:val="18"/>
        </w:rPr>
        <w:t xml:space="preserve">stakeholders </w:t>
      </w:r>
      <w:r w:rsidR="00FA7A16">
        <w:rPr>
          <w:szCs w:val="18"/>
        </w:rPr>
        <w:t>claiming</w:t>
      </w:r>
      <w:r w:rsidR="00FA7A16" w:rsidRPr="00946300">
        <w:rPr>
          <w:szCs w:val="18"/>
        </w:rPr>
        <w:t xml:space="preserve"> </w:t>
      </w:r>
      <w:r w:rsidR="001723A8" w:rsidRPr="00946300">
        <w:rPr>
          <w:szCs w:val="18"/>
        </w:rPr>
        <w:t xml:space="preserve">that NOPSEMA </w:t>
      </w:r>
      <w:r w:rsidR="00073AEE" w:rsidRPr="00392AAF">
        <w:rPr>
          <w:szCs w:val="18"/>
        </w:rPr>
        <w:t xml:space="preserve">was </w:t>
      </w:r>
      <w:r w:rsidR="001723A8" w:rsidRPr="006C0E7D">
        <w:rPr>
          <w:szCs w:val="18"/>
        </w:rPr>
        <w:t xml:space="preserve">not always </w:t>
      </w:r>
      <w:r w:rsidR="0010630F" w:rsidRPr="00911F0E">
        <w:rPr>
          <w:szCs w:val="18"/>
        </w:rPr>
        <w:t xml:space="preserve">focused on the areas of highest risk. </w:t>
      </w:r>
      <w:r w:rsidRPr="00171DEA">
        <w:rPr>
          <w:szCs w:val="18"/>
        </w:rPr>
        <w:t xml:space="preserve">As the </w:t>
      </w:r>
      <w:r w:rsidR="002A166D" w:rsidRPr="00777C5D">
        <w:rPr>
          <w:szCs w:val="18"/>
        </w:rPr>
        <w:t xml:space="preserve">petroleum </w:t>
      </w:r>
      <w:r w:rsidRPr="006C6606">
        <w:rPr>
          <w:szCs w:val="18"/>
        </w:rPr>
        <w:t xml:space="preserve">industry </w:t>
      </w:r>
      <w:r w:rsidR="00327ACB" w:rsidRPr="007F74D3">
        <w:rPr>
          <w:szCs w:val="18"/>
        </w:rPr>
        <w:t>matures,</w:t>
      </w:r>
      <w:r w:rsidRPr="0047319A">
        <w:rPr>
          <w:szCs w:val="18"/>
        </w:rPr>
        <w:t xml:space="preserve"> </w:t>
      </w:r>
      <w:r w:rsidR="002A166D" w:rsidRPr="00C9422D">
        <w:rPr>
          <w:szCs w:val="18"/>
        </w:rPr>
        <w:t>its</w:t>
      </w:r>
      <w:r w:rsidRPr="00F53817">
        <w:rPr>
          <w:szCs w:val="18"/>
        </w:rPr>
        <w:t xml:space="preserve"> risk profile </w:t>
      </w:r>
      <w:r w:rsidR="002A166D" w:rsidRPr="00A32AAE">
        <w:rPr>
          <w:szCs w:val="18"/>
        </w:rPr>
        <w:t>and</w:t>
      </w:r>
      <w:r w:rsidRPr="00B575BF">
        <w:rPr>
          <w:szCs w:val="18"/>
        </w:rPr>
        <w:t xml:space="preserve"> complex</w:t>
      </w:r>
      <w:r w:rsidR="002A166D" w:rsidRPr="00D11371">
        <w:rPr>
          <w:szCs w:val="18"/>
        </w:rPr>
        <w:t>ity will increase</w:t>
      </w:r>
      <w:r w:rsidRPr="003E4CD6">
        <w:rPr>
          <w:szCs w:val="18"/>
        </w:rPr>
        <w:t xml:space="preserve">. The ability to adopt data-driven approaches to risk identification </w:t>
      </w:r>
      <w:r w:rsidR="00A372CB" w:rsidRPr="00777710">
        <w:rPr>
          <w:szCs w:val="18"/>
        </w:rPr>
        <w:t>will be essential</w:t>
      </w:r>
      <w:r w:rsidRPr="00777710">
        <w:rPr>
          <w:szCs w:val="18"/>
        </w:rPr>
        <w:t xml:space="preserve">. Our recommendations look to address issues in accessing lead indicator data, developments of RMS’s functionality, and </w:t>
      </w:r>
      <w:r w:rsidR="00983D23">
        <w:rPr>
          <w:szCs w:val="18"/>
        </w:rPr>
        <w:t xml:space="preserve">the </w:t>
      </w:r>
      <w:r w:rsidRPr="00777710">
        <w:rPr>
          <w:szCs w:val="18"/>
        </w:rPr>
        <w:t>standardisation of structure, integration, and dig</w:t>
      </w:r>
      <w:r w:rsidRPr="006F091B">
        <w:rPr>
          <w:szCs w:val="18"/>
        </w:rPr>
        <w:t xml:space="preserve">itisation of permissioning documents. </w:t>
      </w:r>
    </w:p>
    <w:p w14:paraId="131C2D7A" w14:textId="77777777" w:rsidR="00183929" w:rsidRPr="0015526E" w:rsidRDefault="00183929" w:rsidP="00784E0E">
      <w:pPr>
        <w:pStyle w:val="Heading3NoNumber"/>
      </w:pPr>
      <w:r>
        <w:t>NOPSEMA</w:t>
      </w:r>
      <w:r w:rsidRPr="0015526E">
        <w:t>’s enforcement powers should be bolstered and enforcement actions more clearly communicated to stakeholders</w:t>
      </w:r>
    </w:p>
    <w:p w14:paraId="3B09637C" w14:textId="406797C6" w:rsidR="00183929" w:rsidRPr="00777C5D" w:rsidRDefault="00183929" w:rsidP="00AE2D6E">
      <w:pPr>
        <w:pStyle w:val="BodyCopyNEW"/>
      </w:pPr>
      <w:r>
        <w:t xml:space="preserve">NOPSEMA’s suite of enforcement powers </w:t>
      </w:r>
      <w:r w:rsidR="003709C1">
        <w:t xml:space="preserve">are </w:t>
      </w:r>
      <w:r w:rsidR="006071B3">
        <w:t>adequate for its pu</w:t>
      </w:r>
      <w:r w:rsidR="00610B4E">
        <w:t>r</w:t>
      </w:r>
      <w:r w:rsidR="006071B3">
        <w:t xml:space="preserve">pose </w:t>
      </w:r>
      <w:r>
        <w:t xml:space="preserve">and enables a graduated enforcement approach. However, NOPSEMA would benefit from being given the equivalent power </w:t>
      </w:r>
      <w:r w:rsidR="3C242E5B">
        <w:t xml:space="preserve">to prosecute for </w:t>
      </w:r>
      <w:r>
        <w:t xml:space="preserve">a ‘section 27 offence’ (i.e. </w:t>
      </w:r>
      <w:r w:rsidR="12FBBEAB">
        <w:t xml:space="preserve">an </w:t>
      </w:r>
      <w:r>
        <w:t xml:space="preserve">officer </w:t>
      </w:r>
      <w:r w:rsidR="1B67D1CB">
        <w:t>of a corporation’s duty to exe</w:t>
      </w:r>
      <w:r w:rsidR="125C655F">
        <w:t>r</w:t>
      </w:r>
      <w:r w:rsidR="1B67D1CB">
        <w:t>cise</w:t>
      </w:r>
      <w:r>
        <w:t xml:space="preserve"> due diligence</w:t>
      </w:r>
      <w:r w:rsidR="6843B797">
        <w:t xml:space="preserve"> to ensure the corporation is complying with its obligations</w:t>
      </w:r>
      <w:r>
        <w:t xml:space="preserve">) </w:t>
      </w:r>
      <w:r w:rsidR="001406BD">
        <w:t xml:space="preserve">as provided for </w:t>
      </w:r>
      <w:r>
        <w:t>under the harmonised Work Health and Safety (</w:t>
      </w:r>
      <w:r w:rsidRPr="612CD2FC">
        <w:rPr>
          <w:b/>
        </w:rPr>
        <w:t>WHS</w:t>
      </w:r>
      <w:r>
        <w:t xml:space="preserve">) laws. The ability for NOPSEMA to </w:t>
      </w:r>
      <w:r w:rsidRPr="00B968BF">
        <w:t>‘lift the corporate veil’</w:t>
      </w:r>
      <w:r>
        <w:t xml:space="preserve"> </w:t>
      </w:r>
      <w:r w:rsidR="2586BEE9">
        <w:t>in order to also prosecute officers of a</w:t>
      </w:r>
      <w:r w:rsidR="242395EF">
        <w:t xml:space="preserve"> corporation</w:t>
      </w:r>
      <w:r w:rsidR="2586BEE9">
        <w:t xml:space="preserve"> (in addition to the </w:t>
      </w:r>
      <w:r w:rsidR="4C55F807">
        <w:t xml:space="preserve">corporation) </w:t>
      </w:r>
      <w:r>
        <w:t xml:space="preserve">should help improve confidence in NOPSEMA’s capacity to regulate and better address root causes of non-compliance. NOPSEMA </w:t>
      </w:r>
      <w:r w:rsidR="310F7555">
        <w:t>would also benefit from being</w:t>
      </w:r>
      <w:r>
        <w:t xml:space="preserve"> </w:t>
      </w:r>
      <w:r w:rsidR="12D52FE8">
        <w:t>p</w:t>
      </w:r>
      <w:r>
        <w:t xml:space="preserve">rovided access to </w:t>
      </w:r>
      <w:r w:rsidR="00B12588">
        <w:t xml:space="preserve">investigative </w:t>
      </w:r>
      <w:r>
        <w:t>powers</w:t>
      </w:r>
      <w:r w:rsidR="00EF2622">
        <w:t xml:space="preserve">, </w:t>
      </w:r>
      <w:r w:rsidR="00EF2622" w:rsidRPr="006E36F2">
        <w:t xml:space="preserve">such as </w:t>
      </w:r>
      <w:r w:rsidR="546FD487" w:rsidRPr="006E36F2">
        <w:t>the express power to electronically record answers to questions during an interview.</w:t>
      </w:r>
    </w:p>
    <w:p w14:paraId="723A4E6E" w14:textId="0A02F409" w:rsidR="00183929" w:rsidRPr="00E75BFD" w:rsidRDefault="00183929" w:rsidP="00AE2D6E">
      <w:pPr>
        <w:pStyle w:val="BodyCopyNEW"/>
        <w:rPr>
          <w:szCs w:val="18"/>
        </w:rPr>
      </w:pPr>
      <w:r w:rsidRPr="007F74D3">
        <w:rPr>
          <w:szCs w:val="18"/>
        </w:rPr>
        <w:t xml:space="preserve">There </w:t>
      </w:r>
      <w:r w:rsidR="00A372CB" w:rsidRPr="0047319A">
        <w:rPr>
          <w:szCs w:val="18"/>
        </w:rPr>
        <w:t>is</w:t>
      </w:r>
      <w:r w:rsidRPr="00C9422D">
        <w:rPr>
          <w:szCs w:val="18"/>
        </w:rPr>
        <w:t xml:space="preserve"> a </w:t>
      </w:r>
      <w:r w:rsidR="001A02A2">
        <w:rPr>
          <w:szCs w:val="18"/>
        </w:rPr>
        <w:t>perception</w:t>
      </w:r>
      <w:r w:rsidRPr="00C9422D">
        <w:rPr>
          <w:szCs w:val="18"/>
        </w:rPr>
        <w:t xml:space="preserve"> by some non-industry stakeholders of insufficient enforcement action by NOPSEMA</w:t>
      </w:r>
      <w:r w:rsidR="001723A8" w:rsidRPr="00F53817">
        <w:rPr>
          <w:szCs w:val="18"/>
        </w:rPr>
        <w:t xml:space="preserve">, citing </w:t>
      </w:r>
      <w:r w:rsidRPr="00A32AAE">
        <w:rPr>
          <w:szCs w:val="18"/>
        </w:rPr>
        <w:t xml:space="preserve">NOPSEMA’s </w:t>
      </w:r>
      <w:r w:rsidR="001723A8" w:rsidRPr="00B575BF">
        <w:rPr>
          <w:szCs w:val="18"/>
        </w:rPr>
        <w:t xml:space="preserve">low </w:t>
      </w:r>
      <w:r w:rsidRPr="00D11371">
        <w:rPr>
          <w:szCs w:val="18"/>
        </w:rPr>
        <w:t>rate of prosecutions</w:t>
      </w:r>
      <w:r w:rsidR="001723A8" w:rsidRPr="003E4CD6">
        <w:rPr>
          <w:szCs w:val="18"/>
        </w:rPr>
        <w:t xml:space="preserve"> relative to accidents and injur</w:t>
      </w:r>
      <w:r w:rsidR="001723A8" w:rsidRPr="00777710">
        <w:rPr>
          <w:szCs w:val="18"/>
        </w:rPr>
        <w:t>ies</w:t>
      </w:r>
      <w:r w:rsidRPr="00777710">
        <w:rPr>
          <w:szCs w:val="18"/>
        </w:rPr>
        <w:t xml:space="preserve">. However, </w:t>
      </w:r>
      <w:r w:rsidR="001723A8" w:rsidRPr="006F091B">
        <w:rPr>
          <w:szCs w:val="18"/>
        </w:rPr>
        <w:t xml:space="preserve">we </w:t>
      </w:r>
      <w:r w:rsidR="00452865">
        <w:rPr>
          <w:szCs w:val="18"/>
        </w:rPr>
        <w:t>noted</w:t>
      </w:r>
      <w:r w:rsidR="00452865" w:rsidRPr="006F091B">
        <w:rPr>
          <w:szCs w:val="18"/>
        </w:rPr>
        <w:t xml:space="preserve"> </w:t>
      </w:r>
      <w:r w:rsidR="001723A8" w:rsidRPr="006F091B">
        <w:rPr>
          <w:szCs w:val="18"/>
        </w:rPr>
        <w:t xml:space="preserve">evidence of </w:t>
      </w:r>
      <w:r w:rsidRPr="006610D9">
        <w:rPr>
          <w:szCs w:val="18"/>
        </w:rPr>
        <w:t xml:space="preserve">NOPSEMA </w:t>
      </w:r>
      <w:r w:rsidR="001723A8" w:rsidRPr="00711FC9">
        <w:rPr>
          <w:szCs w:val="18"/>
        </w:rPr>
        <w:t xml:space="preserve">having </w:t>
      </w:r>
      <w:r w:rsidRPr="00834F3C">
        <w:rPr>
          <w:szCs w:val="18"/>
        </w:rPr>
        <w:t xml:space="preserve">undertaken a range of other enforcement actions in response to incidents and non-compliance by </w:t>
      </w:r>
      <w:r w:rsidR="004F4D82">
        <w:rPr>
          <w:szCs w:val="18"/>
        </w:rPr>
        <w:t>title</w:t>
      </w:r>
      <w:r w:rsidRPr="00834F3C">
        <w:rPr>
          <w:szCs w:val="18"/>
        </w:rPr>
        <w:t xml:space="preserve">holders. </w:t>
      </w:r>
      <w:r w:rsidR="0074458E">
        <w:rPr>
          <w:szCs w:val="18"/>
        </w:rPr>
        <w:t>In reconciling these two views</w:t>
      </w:r>
      <w:r w:rsidR="00481525">
        <w:rPr>
          <w:szCs w:val="18"/>
        </w:rPr>
        <w:t>,</w:t>
      </w:r>
      <w:r w:rsidR="0074458E">
        <w:rPr>
          <w:szCs w:val="18"/>
        </w:rPr>
        <w:t xml:space="preserve"> we </w:t>
      </w:r>
      <w:r w:rsidR="00C057F1">
        <w:rPr>
          <w:szCs w:val="18"/>
        </w:rPr>
        <w:t xml:space="preserve">conclude </w:t>
      </w:r>
      <w:r w:rsidR="001723A8" w:rsidRPr="00FF42CF">
        <w:rPr>
          <w:szCs w:val="18"/>
        </w:rPr>
        <w:t xml:space="preserve">that stakeholders do not have sufficient </w:t>
      </w:r>
      <w:r w:rsidR="00F66149" w:rsidRPr="002113A4">
        <w:rPr>
          <w:szCs w:val="18"/>
        </w:rPr>
        <w:t>visibility</w:t>
      </w:r>
      <w:r w:rsidR="001723A8" w:rsidRPr="0058332E">
        <w:rPr>
          <w:szCs w:val="18"/>
        </w:rPr>
        <w:t xml:space="preserve"> over NOPSEMA’s enforcement activities.</w:t>
      </w:r>
      <w:r w:rsidRPr="001D4317">
        <w:rPr>
          <w:szCs w:val="18"/>
        </w:rPr>
        <w:t xml:space="preserve"> NOPSEMA should more actively communicate to stakeholders its enforcement approach and the full suite of enforcement actions it undertakes.</w:t>
      </w:r>
      <w:r w:rsidR="3551DA46" w:rsidRPr="00A25353">
        <w:rPr>
          <w:szCs w:val="18"/>
        </w:rPr>
        <w:t xml:space="preserve"> We note the </w:t>
      </w:r>
      <w:r w:rsidR="00C844BB" w:rsidRPr="00C066D9">
        <w:rPr>
          <w:szCs w:val="18"/>
        </w:rPr>
        <w:t>Commonwealth</w:t>
      </w:r>
      <w:r w:rsidR="3551DA46" w:rsidRPr="00CD5AFE">
        <w:rPr>
          <w:szCs w:val="18"/>
        </w:rPr>
        <w:t xml:space="preserve"> Director of Public Prosecutions</w:t>
      </w:r>
      <w:r w:rsidR="00C844BB" w:rsidRPr="00CD5AFE">
        <w:rPr>
          <w:szCs w:val="18"/>
        </w:rPr>
        <w:t xml:space="preserve"> (the </w:t>
      </w:r>
      <w:r w:rsidR="00C844BB" w:rsidRPr="00CD5AFE">
        <w:rPr>
          <w:b/>
          <w:szCs w:val="18"/>
        </w:rPr>
        <w:t>CDPP</w:t>
      </w:r>
      <w:r w:rsidR="00C844BB" w:rsidRPr="00CD5AFE">
        <w:rPr>
          <w:szCs w:val="18"/>
        </w:rPr>
        <w:t>)</w:t>
      </w:r>
      <w:r w:rsidR="2A09C09B" w:rsidRPr="00E75BFD">
        <w:rPr>
          <w:szCs w:val="18"/>
        </w:rPr>
        <w:t xml:space="preserve"> has final discretion as to whether to file a prosecution in court.</w:t>
      </w:r>
    </w:p>
    <w:p w14:paraId="41DFCF9E" w14:textId="082ED52F" w:rsidR="00183929" w:rsidRPr="0015526E" w:rsidRDefault="00183929" w:rsidP="00784E0E">
      <w:pPr>
        <w:pStyle w:val="Heading3NoNumber"/>
      </w:pPr>
      <w:r>
        <w:t>NOP</w:t>
      </w:r>
      <w:r w:rsidRPr="0015526E">
        <w:t>SEMA’s capabilities and capacity will need to evolve to meet the demands of a maturing industry</w:t>
      </w:r>
    </w:p>
    <w:p w14:paraId="46B86170" w14:textId="5B19AF5F" w:rsidR="00183929" w:rsidRPr="00953CA5" w:rsidRDefault="00183929" w:rsidP="00AE2D6E">
      <w:pPr>
        <w:pStyle w:val="BodyCopyNEW"/>
        <w:rPr>
          <w:szCs w:val="18"/>
        </w:rPr>
      </w:pPr>
      <w:r w:rsidRPr="00392AAF">
        <w:rPr>
          <w:szCs w:val="18"/>
        </w:rPr>
        <w:t>NOPSEMA has developed strong skillsets across its OHS, well integrity, and environment functions</w:t>
      </w:r>
      <w:r w:rsidR="000A587B">
        <w:rPr>
          <w:szCs w:val="18"/>
        </w:rPr>
        <w:t xml:space="preserve"> and this </w:t>
      </w:r>
      <w:r w:rsidR="00B7279D">
        <w:rPr>
          <w:szCs w:val="18"/>
        </w:rPr>
        <w:t xml:space="preserve">view </w:t>
      </w:r>
      <w:r w:rsidR="00DA685B">
        <w:rPr>
          <w:szCs w:val="18"/>
        </w:rPr>
        <w:t>is</w:t>
      </w:r>
      <w:r w:rsidR="000A587B">
        <w:rPr>
          <w:szCs w:val="18"/>
        </w:rPr>
        <w:t xml:space="preserve"> supported by stakeholder </w:t>
      </w:r>
      <w:r w:rsidR="00953768">
        <w:rPr>
          <w:szCs w:val="18"/>
        </w:rPr>
        <w:t>feedback</w:t>
      </w:r>
      <w:r w:rsidRPr="00392AAF">
        <w:rPr>
          <w:szCs w:val="18"/>
        </w:rPr>
        <w:t xml:space="preserve">. </w:t>
      </w:r>
      <w:r w:rsidRPr="006C0E7D">
        <w:rPr>
          <w:rFonts w:cs="Calibri"/>
          <w:szCs w:val="18"/>
        </w:rPr>
        <w:t xml:space="preserve">We </w:t>
      </w:r>
      <w:r w:rsidR="009F24AF">
        <w:rPr>
          <w:rFonts w:cs="Calibri"/>
          <w:szCs w:val="18"/>
        </w:rPr>
        <w:t>found</w:t>
      </w:r>
      <w:r w:rsidRPr="006C0E7D">
        <w:rPr>
          <w:rFonts w:cs="Calibri"/>
          <w:szCs w:val="18"/>
        </w:rPr>
        <w:t xml:space="preserve"> emerging capability gaps, </w:t>
      </w:r>
      <w:r w:rsidR="0058137C" w:rsidRPr="00911F0E">
        <w:rPr>
          <w:rFonts w:cs="Calibri"/>
          <w:szCs w:val="18"/>
        </w:rPr>
        <w:t xml:space="preserve">which will become more pronounced </w:t>
      </w:r>
      <w:r w:rsidR="00EE2A63" w:rsidRPr="004602AD">
        <w:rPr>
          <w:rFonts w:cs="Calibri"/>
          <w:szCs w:val="18"/>
        </w:rPr>
        <w:t>going forward</w:t>
      </w:r>
      <w:r w:rsidRPr="00C81CBA">
        <w:rPr>
          <w:rFonts w:cs="Calibri"/>
          <w:szCs w:val="18"/>
        </w:rPr>
        <w:t xml:space="preserve">, in financial assurance and decommissioning. </w:t>
      </w:r>
      <w:r w:rsidRPr="00096BC3">
        <w:rPr>
          <w:rFonts w:eastAsia="Verdana" w:cs="Times New Roman"/>
          <w:szCs w:val="18"/>
        </w:rPr>
        <w:t>NOPSEMA should actively pursue the development of these capabilities as a priority.</w:t>
      </w:r>
      <w:r w:rsidR="00D81766">
        <w:rPr>
          <w:szCs w:val="18"/>
        </w:rPr>
        <w:t xml:space="preserve"> </w:t>
      </w:r>
      <w:r w:rsidRPr="00946300">
        <w:rPr>
          <w:szCs w:val="18"/>
        </w:rPr>
        <w:t xml:space="preserve">We view NOPSEMA’s capacity for delivering its current remit as sufficient, with the exception of the </w:t>
      </w:r>
      <w:r w:rsidR="00481525">
        <w:rPr>
          <w:szCs w:val="18"/>
        </w:rPr>
        <w:t>W</w:t>
      </w:r>
      <w:r w:rsidRPr="00946300">
        <w:rPr>
          <w:szCs w:val="18"/>
        </w:rPr>
        <w:t>ell Integrity function</w:t>
      </w:r>
      <w:r w:rsidR="00A372CB" w:rsidRPr="00946300">
        <w:rPr>
          <w:szCs w:val="18"/>
        </w:rPr>
        <w:t>,</w:t>
      </w:r>
      <w:r w:rsidRPr="00946300">
        <w:rPr>
          <w:szCs w:val="18"/>
        </w:rPr>
        <w:t xml:space="preserve"> which appears resource constrained. </w:t>
      </w:r>
      <w:r w:rsidR="00D81766">
        <w:rPr>
          <w:szCs w:val="18"/>
        </w:rPr>
        <w:t xml:space="preserve">Addressing of capacity </w:t>
      </w:r>
      <w:r w:rsidR="000D73BA">
        <w:rPr>
          <w:szCs w:val="18"/>
        </w:rPr>
        <w:t>constraints</w:t>
      </w:r>
      <w:r w:rsidR="00D81766">
        <w:rPr>
          <w:szCs w:val="18"/>
        </w:rPr>
        <w:t xml:space="preserve"> should consider </w:t>
      </w:r>
      <w:r w:rsidR="000D73BA">
        <w:rPr>
          <w:szCs w:val="18"/>
        </w:rPr>
        <w:t>process and job redesign, as well as personnel recruitment.</w:t>
      </w:r>
    </w:p>
    <w:p w14:paraId="2A7EE96B" w14:textId="4B550EEB" w:rsidR="00183929" w:rsidRPr="00096BC3" w:rsidRDefault="00700262" w:rsidP="00AE2D6E">
      <w:pPr>
        <w:pStyle w:val="BodyCopyNEW"/>
        <w:rPr>
          <w:szCs w:val="18"/>
        </w:rPr>
      </w:pPr>
      <w:r>
        <w:rPr>
          <w:szCs w:val="18"/>
        </w:rPr>
        <w:t xml:space="preserve">Pending Government agreement, </w:t>
      </w:r>
      <w:r w:rsidR="00183929" w:rsidRPr="00953CA5">
        <w:rPr>
          <w:szCs w:val="18"/>
        </w:rPr>
        <w:t xml:space="preserve">NOPSEMA’s </w:t>
      </w:r>
      <w:r>
        <w:rPr>
          <w:szCs w:val="18"/>
        </w:rPr>
        <w:t>remit may be expanded</w:t>
      </w:r>
      <w:r w:rsidR="00183929" w:rsidRPr="00953CA5">
        <w:rPr>
          <w:szCs w:val="18"/>
        </w:rPr>
        <w:t xml:space="preserve"> to incorporate offshore renewables</w:t>
      </w:r>
      <w:r w:rsidRPr="00901C7B">
        <w:rPr>
          <w:rStyle w:val="FootnoteReference"/>
        </w:rPr>
        <w:footnoteReference w:id="6"/>
      </w:r>
      <w:r w:rsidR="00183929" w:rsidRPr="00953CA5">
        <w:rPr>
          <w:szCs w:val="18"/>
        </w:rPr>
        <w:t xml:space="preserve"> safety an</w:t>
      </w:r>
      <w:r w:rsidR="00183929" w:rsidRPr="00171DEA">
        <w:rPr>
          <w:szCs w:val="18"/>
        </w:rPr>
        <w:t>d environment</w:t>
      </w:r>
      <w:r w:rsidR="001723A8" w:rsidRPr="00777C5D">
        <w:rPr>
          <w:szCs w:val="18"/>
        </w:rPr>
        <w:t>al management</w:t>
      </w:r>
      <w:r w:rsidR="00183929" w:rsidRPr="006C6606">
        <w:rPr>
          <w:szCs w:val="18"/>
        </w:rPr>
        <w:t xml:space="preserve"> regulation</w:t>
      </w:r>
      <w:r>
        <w:rPr>
          <w:szCs w:val="18"/>
        </w:rPr>
        <w:t>, which</w:t>
      </w:r>
      <w:r w:rsidR="00183929" w:rsidRPr="006C6606">
        <w:rPr>
          <w:szCs w:val="18"/>
        </w:rPr>
        <w:t xml:space="preserve"> </w:t>
      </w:r>
      <w:r>
        <w:rPr>
          <w:szCs w:val="18"/>
        </w:rPr>
        <w:t>would</w:t>
      </w:r>
      <w:r w:rsidRPr="006C6606">
        <w:rPr>
          <w:szCs w:val="18"/>
        </w:rPr>
        <w:t xml:space="preserve"> </w:t>
      </w:r>
      <w:r w:rsidR="00183929" w:rsidRPr="006C6606">
        <w:rPr>
          <w:szCs w:val="18"/>
        </w:rPr>
        <w:t xml:space="preserve">have </w:t>
      </w:r>
      <w:r w:rsidR="00A372CB" w:rsidRPr="007F74D3">
        <w:rPr>
          <w:szCs w:val="18"/>
        </w:rPr>
        <w:t xml:space="preserve">capability and capacity </w:t>
      </w:r>
      <w:r w:rsidR="0045415D">
        <w:rPr>
          <w:szCs w:val="18"/>
        </w:rPr>
        <w:t>implications</w:t>
      </w:r>
      <w:r w:rsidR="00183929" w:rsidRPr="0047319A">
        <w:rPr>
          <w:szCs w:val="18"/>
        </w:rPr>
        <w:t xml:space="preserve">. NOPSEMA </w:t>
      </w:r>
      <w:r w:rsidR="0045415D">
        <w:rPr>
          <w:szCs w:val="18"/>
        </w:rPr>
        <w:t>would</w:t>
      </w:r>
      <w:r w:rsidR="0045415D" w:rsidRPr="0047319A">
        <w:rPr>
          <w:szCs w:val="18"/>
        </w:rPr>
        <w:t xml:space="preserve"> </w:t>
      </w:r>
      <w:r w:rsidR="00183929" w:rsidRPr="0047319A">
        <w:rPr>
          <w:szCs w:val="18"/>
        </w:rPr>
        <w:t xml:space="preserve">be required to develop new capabilities </w:t>
      </w:r>
      <w:r w:rsidR="00AC1360" w:rsidRPr="00C9422D">
        <w:rPr>
          <w:szCs w:val="18"/>
        </w:rPr>
        <w:t xml:space="preserve">to </w:t>
      </w:r>
      <w:r w:rsidR="00183929" w:rsidRPr="00F53817">
        <w:rPr>
          <w:szCs w:val="18"/>
        </w:rPr>
        <w:t xml:space="preserve">support </w:t>
      </w:r>
      <w:r w:rsidR="00047C2A" w:rsidRPr="00A32AAE">
        <w:rPr>
          <w:szCs w:val="18"/>
        </w:rPr>
        <w:t>this</w:t>
      </w:r>
      <w:r w:rsidR="00183929" w:rsidRPr="00B575BF">
        <w:rPr>
          <w:szCs w:val="18"/>
        </w:rPr>
        <w:t xml:space="preserve"> complex emerging industry, where Australia has relativ</w:t>
      </w:r>
      <w:r w:rsidR="00183929" w:rsidRPr="00D11371">
        <w:rPr>
          <w:szCs w:val="18"/>
        </w:rPr>
        <w:t xml:space="preserve">ely little experience. Scarcity of talent and unfamiliarity with offshore renewables risks </w:t>
      </w:r>
      <w:r w:rsidR="0045415D">
        <w:rPr>
          <w:szCs w:val="18"/>
        </w:rPr>
        <w:t>would</w:t>
      </w:r>
      <w:r w:rsidR="0045415D" w:rsidRPr="00D11371">
        <w:rPr>
          <w:szCs w:val="18"/>
        </w:rPr>
        <w:t xml:space="preserve"> </w:t>
      </w:r>
      <w:r w:rsidR="00183929" w:rsidRPr="00D11371">
        <w:rPr>
          <w:szCs w:val="18"/>
        </w:rPr>
        <w:t xml:space="preserve">need to be carefully managed. NOPSEMA </w:t>
      </w:r>
      <w:r w:rsidR="0045415D">
        <w:rPr>
          <w:szCs w:val="18"/>
        </w:rPr>
        <w:t>would</w:t>
      </w:r>
      <w:r w:rsidR="0045415D" w:rsidRPr="00D11371">
        <w:rPr>
          <w:szCs w:val="18"/>
        </w:rPr>
        <w:t xml:space="preserve"> </w:t>
      </w:r>
      <w:r w:rsidR="00183929" w:rsidRPr="00D11371">
        <w:rPr>
          <w:szCs w:val="18"/>
        </w:rPr>
        <w:t xml:space="preserve">also need to demonstrate its ability to impartially regulate two industries (i.e. petroleum and renewables) that </w:t>
      </w:r>
      <w:r w:rsidR="00804236">
        <w:rPr>
          <w:szCs w:val="18"/>
        </w:rPr>
        <w:t>could be viewed as</w:t>
      </w:r>
      <w:r w:rsidR="00183929" w:rsidRPr="003E4CD6">
        <w:rPr>
          <w:szCs w:val="18"/>
        </w:rPr>
        <w:t xml:space="preserve"> in competition with one another. Examination of practices applied in more mature markets and proactive sourcing of talent is suggested.</w:t>
      </w:r>
      <w:r w:rsidR="007B5DDE">
        <w:rPr>
          <w:szCs w:val="18"/>
        </w:rPr>
        <w:t xml:space="preserve"> Equally, NOPSEMA’s regulation of GHG activities has many of the same challenges</w:t>
      </w:r>
      <w:r w:rsidR="00F04EEE">
        <w:rPr>
          <w:szCs w:val="18"/>
        </w:rPr>
        <w:t xml:space="preserve"> </w:t>
      </w:r>
      <w:r w:rsidR="00ED3516">
        <w:rPr>
          <w:szCs w:val="18"/>
        </w:rPr>
        <w:t xml:space="preserve">outlined above </w:t>
      </w:r>
      <w:r w:rsidR="00F04EEE">
        <w:rPr>
          <w:szCs w:val="18"/>
        </w:rPr>
        <w:t>and an uncertain demand profile</w:t>
      </w:r>
      <w:r w:rsidR="00195D85">
        <w:rPr>
          <w:szCs w:val="18"/>
        </w:rPr>
        <w:t xml:space="preserve"> for NOPSEMA to monitor closely</w:t>
      </w:r>
      <w:r w:rsidR="00F04EEE">
        <w:rPr>
          <w:szCs w:val="18"/>
        </w:rPr>
        <w:t>.</w:t>
      </w:r>
    </w:p>
    <w:p w14:paraId="61CD7EA4" w14:textId="01BBCF6E" w:rsidR="00183929" w:rsidRPr="0015526E" w:rsidRDefault="00183929" w:rsidP="00784E0E">
      <w:pPr>
        <w:pStyle w:val="Heading3NoNumber"/>
      </w:pPr>
      <w:r>
        <w:t xml:space="preserve">A </w:t>
      </w:r>
      <w:r w:rsidRPr="0015526E">
        <w:t>transition to a ‘One NOPSEMA’ operating model is required</w:t>
      </w:r>
    </w:p>
    <w:p w14:paraId="23805271" w14:textId="0369B57E" w:rsidR="00183929" w:rsidRPr="00777710" w:rsidRDefault="00183929" w:rsidP="00AE2D6E">
      <w:pPr>
        <w:pStyle w:val="BodyCopyNEW"/>
        <w:rPr>
          <w:szCs w:val="18"/>
        </w:rPr>
      </w:pPr>
      <w:r w:rsidRPr="00096BC3">
        <w:rPr>
          <w:szCs w:val="18"/>
        </w:rPr>
        <w:t xml:space="preserve">Consistency in approach and the integration of OHS, well integrity, and environment functions is essential for delivering an effective and cohesive regulatory response to industry. </w:t>
      </w:r>
      <w:r w:rsidR="00A372CB" w:rsidRPr="00611BAA">
        <w:rPr>
          <w:szCs w:val="18"/>
        </w:rPr>
        <w:t>Industry s</w:t>
      </w:r>
      <w:r w:rsidRPr="00946300">
        <w:rPr>
          <w:szCs w:val="18"/>
        </w:rPr>
        <w:t xml:space="preserve">takeholders </w:t>
      </w:r>
      <w:r w:rsidR="00195D85">
        <w:rPr>
          <w:szCs w:val="18"/>
        </w:rPr>
        <w:t xml:space="preserve">we consulted with </w:t>
      </w:r>
      <w:r w:rsidRPr="00946300">
        <w:rPr>
          <w:szCs w:val="18"/>
        </w:rPr>
        <w:t xml:space="preserve">frequently cited inconsistencies in assessments or inspections undertaken by NOPSEMA’s divisions and inconsistencies in the capabilities of some inspectors. NOPSEMA acknowledged </w:t>
      </w:r>
      <w:r w:rsidR="00A372CB" w:rsidRPr="00392AAF">
        <w:rPr>
          <w:szCs w:val="18"/>
        </w:rPr>
        <w:t xml:space="preserve">to us </w:t>
      </w:r>
      <w:r w:rsidRPr="006C0E7D">
        <w:rPr>
          <w:szCs w:val="18"/>
        </w:rPr>
        <w:t>the need for greater consistency and coordination between its functions. NOPSEMA’s structure, pr</w:t>
      </w:r>
      <w:r w:rsidRPr="00911F0E">
        <w:rPr>
          <w:szCs w:val="18"/>
        </w:rPr>
        <w:t xml:space="preserve">ocesses, and </w:t>
      </w:r>
      <w:r w:rsidR="00A372CB" w:rsidRPr="004602AD">
        <w:rPr>
          <w:szCs w:val="18"/>
        </w:rPr>
        <w:t xml:space="preserve">operational </w:t>
      </w:r>
      <w:r w:rsidRPr="00C81CBA">
        <w:rPr>
          <w:szCs w:val="18"/>
        </w:rPr>
        <w:t xml:space="preserve">documents are </w:t>
      </w:r>
      <w:r w:rsidRPr="00953CA5">
        <w:rPr>
          <w:szCs w:val="18"/>
        </w:rPr>
        <w:t>functionally orientated</w:t>
      </w:r>
      <w:r w:rsidR="00A372CB" w:rsidRPr="00171DEA">
        <w:rPr>
          <w:szCs w:val="18"/>
        </w:rPr>
        <w:t xml:space="preserve">. In our </w:t>
      </w:r>
      <w:r w:rsidR="005F6B26">
        <w:rPr>
          <w:szCs w:val="18"/>
        </w:rPr>
        <w:t>exp</w:t>
      </w:r>
      <w:r w:rsidR="0045663F">
        <w:rPr>
          <w:szCs w:val="18"/>
        </w:rPr>
        <w:t>erience</w:t>
      </w:r>
      <w:r w:rsidR="005F6B26" w:rsidRPr="00171DEA">
        <w:rPr>
          <w:szCs w:val="18"/>
        </w:rPr>
        <w:t xml:space="preserve"> </w:t>
      </w:r>
      <w:r w:rsidR="00A372CB" w:rsidRPr="00171DEA">
        <w:rPr>
          <w:szCs w:val="18"/>
        </w:rPr>
        <w:t>this</w:t>
      </w:r>
      <w:r w:rsidRPr="00777C5D">
        <w:rPr>
          <w:szCs w:val="18"/>
        </w:rPr>
        <w:t xml:space="preserve"> </w:t>
      </w:r>
      <w:r w:rsidR="00BE2922">
        <w:rPr>
          <w:szCs w:val="18"/>
        </w:rPr>
        <w:t xml:space="preserve">orientation </w:t>
      </w:r>
      <w:r w:rsidRPr="00777C5D">
        <w:rPr>
          <w:szCs w:val="18"/>
        </w:rPr>
        <w:t>perpetuate</w:t>
      </w:r>
      <w:r w:rsidR="00A372CB" w:rsidRPr="006C6606">
        <w:rPr>
          <w:szCs w:val="18"/>
        </w:rPr>
        <w:t>s</w:t>
      </w:r>
      <w:r w:rsidRPr="007F74D3">
        <w:rPr>
          <w:szCs w:val="18"/>
        </w:rPr>
        <w:t xml:space="preserve"> the delivery of regulatory activities in a siloed </w:t>
      </w:r>
      <w:r w:rsidRPr="007F74D3">
        <w:rPr>
          <w:szCs w:val="18"/>
        </w:rPr>
        <w:lastRenderedPageBreak/>
        <w:t xml:space="preserve">manner. There are risks in inconsistent approaches, particularly as the </w:t>
      </w:r>
      <w:r w:rsidR="002A166D" w:rsidRPr="007F74D3">
        <w:rPr>
          <w:szCs w:val="18"/>
        </w:rPr>
        <w:t xml:space="preserve">petroleum </w:t>
      </w:r>
      <w:r w:rsidRPr="0047319A">
        <w:rPr>
          <w:szCs w:val="18"/>
        </w:rPr>
        <w:t>industry matures an</w:t>
      </w:r>
      <w:r w:rsidRPr="00C9422D">
        <w:rPr>
          <w:szCs w:val="18"/>
        </w:rPr>
        <w:t xml:space="preserve">d decommissioning activities </w:t>
      </w:r>
      <w:r w:rsidR="00981497" w:rsidRPr="00F53817">
        <w:rPr>
          <w:szCs w:val="18"/>
        </w:rPr>
        <w:t xml:space="preserve">and </w:t>
      </w:r>
      <w:r w:rsidR="00A15C62" w:rsidRPr="00A32AAE">
        <w:rPr>
          <w:szCs w:val="18"/>
        </w:rPr>
        <w:t xml:space="preserve">asset transactions </w:t>
      </w:r>
      <w:r w:rsidRPr="00B575BF">
        <w:rPr>
          <w:szCs w:val="18"/>
        </w:rPr>
        <w:t>increase</w:t>
      </w:r>
      <w:r w:rsidR="00572ADD">
        <w:rPr>
          <w:szCs w:val="18"/>
        </w:rPr>
        <w:t xml:space="preserve"> in volume</w:t>
      </w:r>
      <w:r w:rsidRPr="00B575BF">
        <w:rPr>
          <w:szCs w:val="18"/>
        </w:rPr>
        <w:t xml:space="preserve">. </w:t>
      </w:r>
    </w:p>
    <w:p w14:paraId="0CE76C01" w14:textId="192A21F8" w:rsidR="00183929" w:rsidRPr="00CD5AFE" w:rsidRDefault="00183929" w:rsidP="00AE2D6E">
      <w:pPr>
        <w:pStyle w:val="BodyCopyNEW"/>
        <w:rPr>
          <w:szCs w:val="18"/>
        </w:rPr>
      </w:pPr>
      <w:r w:rsidRPr="006F091B">
        <w:rPr>
          <w:szCs w:val="18"/>
        </w:rPr>
        <w:t xml:space="preserve">A fundamental change to a ‘One NOPSEMA’ </w:t>
      </w:r>
      <w:r w:rsidRPr="006610D9">
        <w:rPr>
          <w:szCs w:val="18"/>
        </w:rPr>
        <w:t xml:space="preserve">operating model will help achieve the internal consistency and collaboration required. This operating model should </w:t>
      </w:r>
      <w:r w:rsidR="00854CC8">
        <w:rPr>
          <w:szCs w:val="18"/>
        </w:rPr>
        <w:t>consider</w:t>
      </w:r>
      <w:r w:rsidRPr="006610D9">
        <w:rPr>
          <w:szCs w:val="18"/>
        </w:rPr>
        <w:t xml:space="preserve"> the needs of the industr</w:t>
      </w:r>
      <w:r w:rsidR="002A166D" w:rsidRPr="00711FC9">
        <w:rPr>
          <w:szCs w:val="18"/>
        </w:rPr>
        <w:t>ies NOPSEMA regulates (</w:t>
      </w:r>
      <w:r w:rsidRPr="00834F3C">
        <w:rPr>
          <w:szCs w:val="18"/>
        </w:rPr>
        <w:t xml:space="preserve">rather </w:t>
      </w:r>
      <w:r w:rsidR="002A166D" w:rsidRPr="00FF42CF">
        <w:rPr>
          <w:szCs w:val="18"/>
        </w:rPr>
        <w:t xml:space="preserve">than </w:t>
      </w:r>
      <w:r w:rsidRPr="002113A4">
        <w:rPr>
          <w:szCs w:val="18"/>
        </w:rPr>
        <w:t>function</w:t>
      </w:r>
      <w:r w:rsidR="002A166D" w:rsidRPr="0058332E">
        <w:rPr>
          <w:szCs w:val="18"/>
        </w:rPr>
        <w:t>ally, as it is now)</w:t>
      </w:r>
      <w:r w:rsidRPr="001D4317">
        <w:rPr>
          <w:szCs w:val="18"/>
        </w:rPr>
        <w:t xml:space="preserve"> and enable greater cross-functional interaction. We also recommend improved integration of permissioning documents and greater alignment across NOPS</w:t>
      </w:r>
      <w:r w:rsidRPr="00A25353">
        <w:rPr>
          <w:szCs w:val="18"/>
        </w:rPr>
        <w:t>EMA’s inspectorate. NOPSEMA’s formation of the Compliance Committee and trialling of cross-functional ins</w:t>
      </w:r>
      <w:r w:rsidRPr="00C066D9">
        <w:rPr>
          <w:szCs w:val="18"/>
        </w:rPr>
        <w:t>pections are good examples of a ‘One NOPSEMA’ approach in practice. These should be built on and formalised further.</w:t>
      </w:r>
    </w:p>
    <w:p w14:paraId="2527299F" w14:textId="71A14B0E" w:rsidR="00183929" w:rsidRPr="00CD5AFE" w:rsidRDefault="00060617" w:rsidP="00AE2D6E">
      <w:pPr>
        <w:pStyle w:val="BodyCopyNEW"/>
        <w:rPr>
          <w:szCs w:val="18"/>
        </w:rPr>
      </w:pPr>
      <w:r>
        <w:rPr>
          <w:szCs w:val="18"/>
        </w:rPr>
        <w:t xml:space="preserve">Our analysis shows </w:t>
      </w:r>
      <w:r w:rsidR="00FF6DC1">
        <w:rPr>
          <w:szCs w:val="18"/>
        </w:rPr>
        <w:t xml:space="preserve">that </w:t>
      </w:r>
      <w:r w:rsidR="00FF6DC1" w:rsidRPr="00CD5AFE">
        <w:rPr>
          <w:szCs w:val="18"/>
        </w:rPr>
        <w:t>NOPSEMA</w:t>
      </w:r>
      <w:r w:rsidR="00183929" w:rsidRPr="00CD5AFE">
        <w:rPr>
          <w:szCs w:val="18"/>
        </w:rPr>
        <w:t xml:space="preserve"> </w:t>
      </w:r>
      <w:r w:rsidR="00061559">
        <w:rPr>
          <w:szCs w:val="18"/>
        </w:rPr>
        <w:t>is</w:t>
      </w:r>
      <w:r w:rsidR="00987CEA">
        <w:rPr>
          <w:szCs w:val="18"/>
        </w:rPr>
        <w:t xml:space="preserve"> </w:t>
      </w:r>
      <w:r w:rsidR="00390381">
        <w:rPr>
          <w:szCs w:val="18"/>
        </w:rPr>
        <w:t xml:space="preserve">generally </w:t>
      </w:r>
      <w:r w:rsidR="00987CEA">
        <w:rPr>
          <w:szCs w:val="18"/>
        </w:rPr>
        <w:t>operationally efficient</w:t>
      </w:r>
      <w:r w:rsidR="00183929" w:rsidRPr="00CD5AFE">
        <w:rPr>
          <w:szCs w:val="18"/>
        </w:rPr>
        <w:t xml:space="preserve"> and cost recovering in an effective manner</w:t>
      </w:r>
      <w:r w:rsidR="00987CEA">
        <w:rPr>
          <w:szCs w:val="18"/>
        </w:rPr>
        <w:t xml:space="preserve"> across the review period</w:t>
      </w:r>
      <w:r w:rsidR="00183929" w:rsidRPr="00CD5AFE">
        <w:rPr>
          <w:szCs w:val="18"/>
        </w:rPr>
        <w:t>. Further improvements to operational efficiency may be achieved through the aforementioned operating model realignment</w:t>
      </w:r>
      <w:r w:rsidR="0092016C" w:rsidRPr="00CD5AFE">
        <w:rPr>
          <w:szCs w:val="18"/>
        </w:rPr>
        <w:t>, streamlining of regulatory processes,</w:t>
      </w:r>
      <w:r w:rsidR="00183929" w:rsidRPr="00CD5AFE">
        <w:rPr>
          <w:szCs w:val="18"/>
        </w:rPr>
        <w:t xml:space="preserve"> and adoption of data enabled risk-based processes.</w:t>
      </w:r>
    </w:p>
    <w:tbl>
      <w:tblPr>
        <w:tblStyle w:val="ListTable3-Accent5"/>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183929" w:rsidRPr="00C4353F" w14:paraId="13AAA0D2" w14:textId="77777777" w:rsidTr="00D327D4">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000" w:type="pct"/>
            <w:shd w:val="clear" w:color="auto" w:fill="F2F2F2" w:themeFill="background1" w:themeFillShade="F2"/>
            <w:vAlign w:val="center"/>
          </w:tcPr>
          <w:p w14:paraId="6A7488A2" w14:textId="72B39A95" w:rsidR="00183929" w:rsidRPr="00901C7B" w:rsidRDefault="00183929" w:rsidP="00AE5A41">
            <w:pPr>
              <w:spacing w:before="120" w:after="120"/>
              <w:rPr>
                <w:rFonts w:ascii="Calibri" w:hAnsi="Calibri" w:cs="Calibri"/>
              </w:rPr>
            </w:pPr>
            <w:r w:rsidRPr="00901C7B">
              <w:rPr>
                <w:rFonts w:ascii="Calibri" w:hAnsi="Calibri" w:cs="Calibri"/>
                <w:color w:val="auto"/>
              </w:rPr>
              <w:t xml:space="preserve">The following </w:t>
            </w:r>
            <w:r w:rsidR="003A180F" w:rsidRPr="00901C7B">
              <w:rPr>
                <w:rFonts w:ascii="Calibri" w:hAnsi="Calibri" w:cs="Calibri"/>
                <w:color w:val="auto"/>
              </w:rPr>
              <w:t>recommendations</w:t>
            </w:r>
            <w:r w:rsidRPr="00901C7B">
              <w:rPr>
                <w:rFonts w:ascii="Calibri" w:hAnsi="Calibri" w:cs="Calibri"/>
                <w:color w:val="auto"/>
              </w:rPr>
              <w:t xml:space="preserve"> apply</w:t>
            </w:r>
            <w:r w:rsidR="003A180F" w:rsidRPr="00901C7B">
              <w:rPr>
                <w:rFonts w:ascii="Calibri" w:hAnsi="Calibri" w:cs="Calibri"/>
                <w:color w:val="auto"/>
              </w:rPr>
              <w:t xml:space="preserve"> to </w:t>
            </w:r>
            <w:r w:rsidR="006337D6" w:rsidRPr="00901C7B">
              <w:rPr>
                <w:rFonts w:ascii="Calibri" w:hAnsi="Calibri" w:cs="Calibri"/>
                <w:color w:val="auto"/>
              </w:rPr>
              <w:t>section</w:t>
            </w:r>
            <w:r w:rsidR="003A180F" w:rsidRPr="00901C7B">
              <w:rPr>
                <w:rFonts w:ascii="Calibri" w:hAnsi="Calibri" w:cs="Calibri"/>
                <w:color w:val="auto"/>
              </w:rPr>
              <w:t xml:space="preserve"> 1.3.1: </w:t>
            </w:r>
            <w:r w:rsidR="000E5FF4">
              <w:rPr>
                <w:rFonts w:ascii="Calibri" w:hAnsi="Calibri" w:cs="Calibri"/>
                <w:color w:val="00ABAB"/>
              </w:rPr>
              <w:t xml:space="preserve">1, 4, 5, 6, </w:t>
            </w:r>
            <w:r w:rsidR="00EC1945">
              <w:rPr>
                <w:rFonts w:ascii="Calibri" w:hAnsi="Calibri" w:cs="Calibri"/>
                <w:color w:val="00ABAB"/>
              </w:rPr>
              <w:t xml:space="preserve">7, 8, 9, 10, 11, </w:t>
            </w:r>
            <w:r w:rsidR="00CB6224">
              <w:rPr>
                <w:rFonts w:ascii="Calibri" w:hAnsi="Calibri" w:cs="Calibri"/>
                <w:color w:val="00ABAB"/>
              </w:rPr>
              <w:t>23</w:t>
            </w:r>
            <w:r w:rsidR="008F0F01">
              <w:rPr>
                <w:rFonts w:ascii="Calibri" w:hAnsi="Calibri" w:cs="Calibri"/>
                <w:color w:val="00ABAB"/>
              </w:rPr>
              <w:t>, 25, 2</w:t>
            </w:r>
            <w:r w:rsidR="00CB6224">
              <w:rPr>
                <w:rFonts w:ascii="Calibri" w:hAnsi="Calibri" w:cs="Calibri"/>
                <w:color w:val="00ABAB"/>
              </w:rPr>
              <w:t>6</w:t>
            </w:r>
          </w:p>
        </w:tc>
      </w:tr>
    </w:tbl>
    <w:p w14:paraId="13E85655" w14:textId="4D90950B" w:rsidR="00183929" w:rsidRPr="004B0063" w:rsidRDefault="0092016C" w:rsidP="00784E0E">
      <w:pPr>
        <w:pStyle w:val="Heading3"/>
        <w:numPr>
          <w:ilvl w:val="2"/>
          <w:numId w:val="1"/>
        </w:numPr>
      </w:pPr>
      <w:r>
        <w:t>The permissioning</w:t>
      </w:r>
      <w:r w:rsidR="00535C88">
        <w:t xml:space="preserve"> assessment</w:t>
      </w:r>
      <w:r>
        <w:t xml:space="preserve"> process may not be delivering its full value</w:t>
      </w:r>
    </w:p>
    <w:p w14:paraId="5D179073" w14:textId="53C94555" w:rsidR="00D50A50" w:rsidRPr="0015526E" w:rsidRDefault="00D50A50" w:rsidP="00784E0E">
      <w:pPr>
        <w:pStyle w:val="Heading3NoNumber"/>
      </w:pPr>
      <w:r>
        <w:t xml:space="preserve">NOPSEMA and industry </w:t>
      </w:r>
      <w:r w:rsidR="007B28C9">
        <w:t xml:space="preserve">should </w:t>
      </w:r>
      <w:r>
        <w:t xml:space="preserve">collaborate to </w:t>
      </w:r>
      <w:r w:rsidR="00535221" w:rsidRPr="0015526E">
        <w:t>improve</w:t>
      </w:r>
      <w:r w:rsidRPr="0015526E">
        <w:t xml:space="preserve"> </w:t>
      </w:r>
      <w:r w:rsidR="00535221" w:rsidRPr="0015526E">
        <w:t>the permissioning process</w:t>
      </w:r>
    </w:p>
    <w:p w14:paraId="7DD29C72" w14:textId="320E6C2D" w:rsidR="006337D6" w:rsidRPr="006610D9" w:rsidRDefault="00183929" w:rsidP="00AE2D6E">
      <w:pPr>
        <w:pStyle w:val="BodyCopyNEW"/>
      </w:pPr>
      <w:r>
        <w:t>NOPSEMA administer three permissioning documents</w:t>
      </w:r>
      <w:r w:rsidR="006F49A2">
        <w:t xml:space="preserve"> through the application of an objectives-based offshore legislative framework</w:t>
      </w:r>
      <w:r w:rsidR="000D4785">
        <w:t>:</w:t>
      </w:r>
      <w:r>
        <w:t xml:space="preserve"> the </w:t>
      </w:r>
      <w:r w:rsidRPr="309C7C72">
        <w:rPr>
          <w:i/>
        </w:rPr>
        <w:t>Well Operations Management Plan</w:t>
      </w:r>
      <w:r>
        <w:t xml:space="preserve"> (</w:t>
      </w:r>
      <w:r w:rsidRPr="309C7C72">
        <w:rPr>
          <w:b/>
        </w:rPr>
        <w:t>WOMP</w:t>
      </w:r>
      <w:r>
        <w:t xml:space="preserve">), the </w:t>
      </w:r>
      <w:r w:rsidRPr="309C7C72">
        <w:rPr>
          <w:i/>
        </w:rPr>
        <w:t>Environment Plan</w:t>
      </w:r>
      <w:r>
        <w:t xml:space="preserve"> (</w:t>
      </w:r>
      <w:r w:rsidRPr="309C7C72">
        <w:rPr>
          <w:b/>
        </w:rPr>
        <w:t>EP</w:t>
      </w:r>
      <w:r>
        <w:t xml:space="preserve">), and the </w:t>
      </w:r>
      <w:r w:rsidRPr="309C7C72">
        <w:rPr>
          <w:i/>
        </w:rPr>
        <w:t>Safety Case</w:t>
      </w:r>
      <w:r>
        <w:t>.</w:t>
      </w:r>
      <w:r w:rsidR="004D608C">
        <w:t xml:space="preserve"> </w:t>
      </w:r>
      <w:r>
        <w:t>Feedback from industry was compelling: the permissioning process as it</w:t>
      </w:r>
      <w:r w:rsidR="00037E1E">
        <w:t xml:space="preserve"> i</w:t>
      </w:r>
      <w:r w:rsidR="0E6222C7">
        <w:t>s</w:t>
      </w:r>
      <w:r>
        <w:t xml:space="preserve"> currently administered is not efficient and does not enable the appropriate focus on the areas of highest risk. </w:t>
      </w:r>
      <w:r w:rsidR="005F461A">
        <w:t xml:space="preserve">We </w:t>
      </w:r>
      <w:r w:rsidR="003E20DF">
        <w:t>note</w:t>
      </w:r>
      <w:r w:rsidR="00262C4E">
        <w:t>d</w:t>
      </w:r>
      <w:r w:rsidR="003E20DF">
        <w:t xml:space="preserve"> </w:t>
      </w:r>
      <w:r w:rsidR="005F461A">
        <w:t xml:space="preserve">feedback that </w:t>
      </w:r>
      <w:r w:rsidR="00AD4F28">
        <w:t>the process and documents are</w:t>
      </w:r>
      <w:r w:rsidR="21244C37">
        <w:t xml:space="preserve"> </w:t>
      </w:r>
      <w:r>
        <w:t>difficult to scale, unsuitable for workforce engagement, and requir</w:t>
      </w:r>
      <w:r w:rsidR="00AD4F28">
        <w:t>ing</w:t>
      </w:r>
      <w:r>
        <w:t xml:space="preserve"> </w:t>
      </w:r>
      <w:r w:rsidR="00C844BB">
        <w:t xml:space="preserve">increasingly high </w:t>
      </w:r>
      <w:r>
        <w:t xml:space="preserve">levels of effort to attain acceptance by NOPSEMA. </w:t>
      </w:r>
      <w:r w:rsidR="006337D6">
        <w:t xml:space="preserve">Industry had mixed views of the outcomes from </w:t>
      </w:r>
      <w:r w:rsidR="5CB557C7">
        <w:t>improve</w:t>
      </w:r>
      <w:r w:rsidR="4B587D49">
        <w:t>d</w:t>
      </w:r>
      <w:r w:rsidR="006337D6">
        <w:t xml:space="preserve"> transparency </w:t>
      </w:r>
      <w:r w:rsidR="004348F0">
        <w:t xml:space="preserve">from </w:t>
      </w:r>
      <w:r w:rsidR="006337D6">
        <w:t>the publication of EPs, citing increased effort required to make documents consumable publicly.</w:t>
      </w:r>
      <w:r w:rsidR="00AD4F28">
        <w:t xml:space="preserve"> </w:t>
      </w:r>
    </w:p>
    <w:p w14:paraId="0F2C105A" w14:textId="395DB4A2" w:rsidR="00183929" w:rsidRPr="00CD5AFE" w:rsidRDefault="00183929" w:rsidP="00AE2D6E">
      <w:pPr>
        <w:pStyle w:val="BodyCopyNEW"/>
        <w:rPr>
          <w:szCs w:val="18"/>
        </w:rPr>
      </w:pPr>
      <w:r w:rsidRPr="00711FC9">
        <w:rPr>
          <w:szCs w:val="18"/>
        </w:rPr>
        <w:t xml:space="preserve">We also heard from our conversations with NOPSEMA that the regulator is being used by some </w:t>
      </w:r>
      <w:r w:rsidR="00AD4F28">
        <w:rPr>
          <w:szCs w:val="18"/>
        </w:rPr>
        <w:t>title</w:t>
      </w:r>
      <w:r w:rsidRPr="00711FC9">
        <w:rPr>
          <w:szCs w:val="18"/>
        </w:rPr>
        <w:t>holders to identify weaknesses in</w:t>
      </w:r>
      <w:r w:rsidRPr="00834F3C">
        <w:rPr>
          <w:szCs w:val="18"/>
        </w:rPr>
        <w:t xml:space="preserve"> documents</w:t>
      </w:r>
      <w:r w:rsidR="0092016C" w:rsidRPr="00FF42CF">
        <w:rPr>
          <w:szCs w:val="18"/>
        </w:rPr>
        <w:t xml:space="preserve"> and </w:t>
      </w:r>
      <w:r w:rsidRPr="002113A4">
        <w:rPr>
          <w:szCs w:val="18"/>
        </w:rPr>
        <w:t xml:space="preserve">provide </w:t>
      </w:r>
      <w:r w:rsidR="0092016C" w:rsidRPr="0058332E">
        <w:rPr>
          <w:szCs w:val="18"/>
        </w:rPr>
        <w:t>lists</w:t>
      </w:r>
      <w:r w:rsidRPr="001D4317">
        <w:rPr>
          <w:szCs w:val="18"/>
        </w:rPr>
        <w:t xml:space="preserve"> of deficiencies to enable the </w:t>
      </w:r>
      <w:r w:rsidR="00AD4F28">
        <w:rPr>
          <w:szCs w:val="18"/>
        </w:rPr>
        <w:t>title</w:t>
      </w:r>
      <w:r w:rsidRPr="001D4317">
        <w:rPr>
          <w:szCs w:val="18"/>
        </w:rPr>
        <w:t>holder to submit an acceptable document.</w:t>
      </w:r>
      <w:r w:rsidR="0092016C" w:rsidRPr="001D4317">
        <w:rPr>
          <w:szCs w:val="18"/>
        </w:rPr>
        <w:t xml:space="preserve"> NOPSEMA also observed some </w:t>
      </w:r>
      <w:r w:rsidR="0092016C" w:rsidRPr="00A25353">
        <w:rPr>
          <w:szCs w:val="18"/>
        </w:rPr>
        <w:t>negative perceptions may stem from its</w:t>
      </w:r>
      <w:r w:rsidR="0092016C" w:rsidRPr="00CD5AFE">
        <w:rPr>
          <w:szCs w:val="18"/>
        </w:rPr>
        <w:t xml:space="preserve"> conscious drive towards ‘continuous industry improvement’ and the appearance </w:t>
      </w:r>
      <w:r w:rsidR="0000083C">
        <w:rPr>
          <w:szCs w:val="18"/>
        </w:rPr>
        <w:t>of</w:t>
      </w:r>
      <w:r w:rsidR="0000083C" w:rsidRPr="00CD5AFE">
        <w:rPr>
          <w:szCs w:val="18"/>
        </w:rPr>
        <w:t xml:space="preserve"> </w:t>
      </w:r>
      <w:r w:rsidR="0092016C" w:rsidRPr="00CD5AFE">
        <w:rPr>
          <w:szCs w:val="18"/>
        </w:rPr>
        <w:t xml:space="preserve">‘raising the bar’ that </w:t>
      </w:r>
      <w:r w:rsidR="00AD4F28">
        <w:rPr>
          <w:szCs w:val="18"/>
        </w:rPr>
        <w:t>such an approach</w:t>
      </w:r>
      <w:r w:rsidR="00AD4F28" w:rsidRPr="00CD5AFE">
        <w:rPr>
          <w:szCs w:val="18"/>
        </w:rPr>
        <w:t xml:space="preserve"> </w:t>
      </w:r>
      <w:r w:rsidR="0092016C" w:rsidRPr="00CD5AFE">
        <w:rPr>
          <w:szCs w:val="18"/>
        </w:rPr>
        <w:t>can give.</w:t>
      </w:r>
    </w:p>
    <w:p w14:paraId="287C0305" w14:textId="25F6D81B" w:rsidR="00183929" w:rsidRPr="00E75BFD" w:rsidRDefault="00496024" w:rsidP="00AE2D6E">
      <w:pPr>
        <w:pStyle w:val="BodyCopyNEW"/>
        <w:rPr>
          <w:szCs w:val="18"/>
        </w:rPr>
      </w:pPr>
      <w:r>
        <w:rPr>
          <w:szCs w:val="18"/>
        </w:rPr>
        <w:t>Our findings support</w:t>
      </w:r>
      <w:r w:rsidR="00183929" w:rsidRPr="00E75BFD">
        <w:rPr>
          <w:szCs w:val="18"/>
        </w:rPr>
        <w:t xml:space="preserve"> the principles of </w:t>
      </w:r>
      <w:r w:rsidR="00AD4F28">
        <w:rPr>
          <w:szCs w:val="18"/>
        </w:rPr>
        <w:t>an objective-based</w:t>
      </w:r>
      <w:r w:rsidR="00183929" w:rsidRPr="00CD5AFE">
        <w:rPr>
          <w:szCs w:val="18"/>
        </w:rPr>
        <w:t xml:space="preserve"> regime. However, our impression is that the full value from permissioning documents is not being obtained and the process is not efficie</w:t>
      </w:r>
      <w:r w:rsidR="00183929" w:rsidRPr="00E75BFD">
        <w:rPr>
          <w:szCs w:val="18"/>
        </w:rPr>
        <w:t xml:space="preserve">nt – for industry or NOPSEMA. </w:t>
      </w:r>
      <w:r w:rsidR="00535C88" w:rsidRPr="00E75BFD">
        <w:rPr>
          <w:szCs w:val="18"/>
        </w:rPr>
        <w:t xml:space="preserve">Longer documents are not necessarily better – they must be usable as a management tool by </w:t>
      </w:r>
      <w:r w:rsidR="00B530E3">
        <w:rPr>
          <w:szCs w:val="18"/>
        </w:rPr>
        <w:t>relevant parties</w:t>
      </w:r>
      <w:r w:rsidR="00535C88" w:rsidRPr="00CD5AFE">
        <w:rPr>
          <w:szCs w:val="18"/>
        </w:rPr>
        <w:t xml:space="preserve">. </w:t>
      </w:r>
      <w:r w:rsidR="00183929" w:rsidRPr="00CD5AFE">
        <w:rPr>
          <w:szCs w:val="18"/>
        </w:rPr>
        <w:t xml:space="preserve">The issues we have observed are not the responsibility of NOPSEMA alone to address. A joint </w:t>
      </w:r>
      <w:r w:rsidR="00183929" w:rsidRPr="00E75BFD">
        <w:rPr>
          <w:szCs w:val="18"/>
        </w:rPr>
        <w:t>industry-NOPSEMA approach will be required. A ‘One NOPSEMA’ approach and enhancements to RMS may also be of benefit in streamlining the permissioning assessment process.</w:t>
      </w:r>
    </w:p>
    <w:tbl>
      <w:tblPr>
        <w:tblStyle w:val="ListTable3-Accent5"/>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183929" w:rsidRPr="007906AC" w14:paraId="0698E345" w14:textId="77777777" w:rsidTr="00D327D4">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000" w:type="pct"/>
            <w:shd w:val="clear" w:color="auto" w:fill="F2F2F2" w:themeFill="background1" w:themeFillShade="F2"/>
            <w:vAlign w:val="center"/>
          </w:tcPr>
          <w:p w14:paraId="388CA4BE" w14:textId="17AD63C9" w:rsidR="00183929" w:rsidRPr="00901C7B" w:rsidRDefault="00183929" w:rsidP="00AE5A41">
            <w:pPr>
              <w:spacing w:before="120" w:after="120"/>
              <w:rPr>
                <w:rFonts w:ascii="Calibri" w:hAnsi="Calibri" w:cs="Calibri"/>
              </w:rPr>
            </w:pPr>
            <w:r w:rsidRPr="00901C7B">
              <w:rPr>
                <w:rFonts w:ascii="Calibri" w:hAnsi="Calibri" w:cs="Calibri"/>
                <w:color w:val="auto"/>
              </w:rPr>
              <w:t xml:space="preserve">The following </w:t>
            </w:r>
            <w:r w:rsidR="003A180F" w:rsidRPr="00901C7B">
              <w:rPr>
                <w:rFonts w:ascii="Calibri" w:hAnsi="Calibri" w:cs="Calibri"/>
                <w:color w:val="auto"/>
              </w:rPr>
              <w:t>recommendations</w:t>
            </w:r>
            <w:r w:rsidRPr="00901C7B">
              <w:rPr>
                <w:rFonts w:ascii="Calibri" w:hAnsi="Calibri" w:cs="Calibri"/>
                <w:color w:val="auto"/>
              </w:rPr>
              <w:t xml:space="preserve"> apply</w:t>
            </w:r>
            <w:r w:rsidR="003A180F" w:rsidRPr="00901C7B">
              <w:rPr>
                <w:rFonts w:ascii="Calibri" w:hAnsi="Calibri" w:cs="Calibri"/>
                <w:color w:val="auto"/>
              </w:rPr>
              <w:t xml:space="preserve"> to </w:t>
            </w:r>
            <w:r w:rsidR="006337D6" w:rsidRPr="00901C7B">
              <w:rPr>
                <w:rFonts w:ascii="Calibri" w:hAnsi="Calibri" w:cs="Calibri"/>
                <w:color w:val="auto"/>
              </w:rPr>
              <w:t>section</w:t>
            </w:r>
            <w:r w:rsidR="003A180F" w:rsidRPr="00901C7B">
              <w:rPr>
                <w:rFonts w:ascii="Calibri" w:hAnsi="Calibri" w:cs="Calibri"/>
                <w:color w:val="auto"/>
              </w:rPr>
              <w:t xml:space="preserve"> 1.3.2</w:t>
            </w:r>
            <w:r w:rsidRPr="00901C7B">
              <w:rPr>
                <w:rFonts w:ascii="Calibri" w:hAnsi="Calibri" w:cs="Calibri"/>
                <w:color w:val="auto"/>
              </w:rPr>
              <w:t xml:space="preserve">: </w:t>
            </w:r>
            <w:r w:rsidR="00E40A77">
              <w:rPr>
                <w:rFonts w:ascii="Calibri" w:hAnsi="Calibri" w:cs="Calibri"/>
                <w:color w:val="00ABAB"/>
              </w:rPr>
              <w:t xml:space="preserve">3, 4, </w:t>
            </w:r>
            <w:r w:rsidR="00DC2BF6">
              <w:rPr>
                <w:rFonts w:ascii="Calibri" w:hAnsi="Calibri" w:cs="Calibri"/>
                <w:color w:val="00ABAB"/>
              </w:rPr>
              <w:t>9</w:t>
            </w:r>
          </w:p>
        </w:tc>
      </w:tr>
    </w:tbl>
    <w:p w14:paraId="367D702B" w14:textId="77777777" w:rsidR="00183929" w:rsidRPr="00CA3719" w:rsidRDefault="00183929" w:rsidP="00784E0E">
      <w:pPr>
        <w:pStyle w:val="Heading3"/>
        <w:numPr>
          <w:ilvl w:val="2"/>
          <w:numId w:val="1"/>
        </w:numPr>
      </w:pPr>
      <w:r w:rsidRPr="00CA3719">
        <w:t>An Advisory Board or Governing Board?</w:t>
      </w:r>
    </w:p>
    <w:p w14:paraId="0544FC4A" w14:textId="77777777" w:rsidR="00183929" w:rsidRPr="0015526E" w:rsidRDefault="00183929" w:rsidP="00784E0E">
      <w:pPr>
        <w:pStyle w:val="Heading3NoNumber"/>
      </w:pPr>
      <w:r>
        <w:t xml:space="preserve">The Advisory Board </w:t>
      </w:r>
      <w:r w:rsidRPr="0015526E">
        <w:t>should take a more active role in helping set NOPSEMA’s strategic direction</w:t>
      </w:r>
    </w:p>
    <w:p w14:paraId="3AB2F5BD" w14:textId="77777777" w:rsidR="00825E9B" w:rsidRPr="001E29D2" w:rsidRDefault="00183929" w:rsidP="00AE2D6E">
      <w:pPr>
        <w:pStyle w:val="BodyCopyNEW"/>
        <w:rPr>
          <w:szCs w:val="18"/>
        </w:rPr>
      </w:pPr>
      <w:r w:rsidRPr="001E29D2">
        <w:rPr>
          <w:szCs w:val="18"/>
        </w:rPr>
        <w:t xml:space="preserve">The NOPSEMA Advisory Board (the </w:t>
      </w:r>
      <w:r w:rsidRPr="001E29D2">
        <w:rPr>
          <w:b/>
          <w:szCs w:val="18"/>
        </w:rPr>
        <w:t>Advisory</w:t>
      </w:r>
      <w:r w:rsidRPr="001E29D2">
        <w:rPr>
          <w:szCs w:val="18"/>
        </w:rPr>
        <w:t xml:space="preserve"> </w:t>
      </w:r>
      <w:r w:rsidRPr="001E29D2">
        <w:rPr>
          <w:b/>
          <w:szCs w:val="18"/>
        </w:rPr>
        <w:t>Board</w:t>
      </w:r>
      <w:r w:rsidRPr="001E29D2">
        <w:rPr>
          <w:szCs w:val="18"/>
        </w:rPr>
        <w:t xml:space="preserve">) is established in accordance with section 653 of the OPGGS Act as an entity separate to NOPSEMA and is not a Board as defined by the </w:t>
      </w:r>
      <w:r w:rsidRPr="001E29D2">
        <w:rPr>
          <w:i/>
          <w:szCs w:val="18"/>
        </w:rPr>
        <w:t xml:space="preserve">Corporations Act 2001 </w:t>
      </w:r>
      <w:r w:rsidRPr="001E29D2">
        <w:rPr>
          <w:szCs w:val="18"/>
        </w:rPr>
        <w:t xml:space="preserve">(the </w:t>
      </w:r>
      <w:r w:rsidRPr="001E29D2">
        <w:rPr>
          <w:b/>
          <w:szCs w:val="18"/>
        </w:rPr>
        <w:t>Corporations Act</w:t>
      </w:r>
      <w:r w:rsidRPr="001E29D2">
        <w:rPr>
          <w:szCs w:val="18"/>
        </w:rPr>
        <w:t xml:space="preserve">). </w:t>
      </w:r>
    </w:p>
    <w:p w14:paraId="15C1D4AE" w14:textId="6296E931" w:rsidR="00825E9B" w:rsidRDefault="00183929" w:rsidP="00AE2D6E">
      <w:pPr>
        <w:pStyle w:val="BodyCopyNEW"/>
      </w:pPr>
      <w:r w:rsidRPr="001E29D2">
        <w:t xml:space="preserve">Our </w:t>
      </w:r>
      <w:r w:rsidR="00594B08">
        <w:t>analysis shows</w:t>
      </w:r>
      <w:r w:rsidRPr="001E29D2">
        <w:t xml:space="preserve"> that the Advisory Board is composed of </w:t>
      </w:r>
      <w:r w:rsidR="00D02EFC" w:rsidRPr="001E29D2">
        <w:t>highly</w:t>
      </w:r>
      <w:r w:rsidRPr="001E29D2">
        <w:t xml:space="preserve"> experienced individuals with </w:t>
      </w:r>
      <w:r w:rsidR="00654F2E" w:rsidRPr="001E29D2">
        <w:t xml:space="preserve">the </w:t>
      </w:r>
      <w:r w:rsidRPr="001E29D2">
        <w:t xml:space="preserve">skillsets </w:t>
      </w:r>
      <w:r w:rsidR="00654F2E" w:rsidRPr="001E29D2">
        <w:t xml:space="preserve">required to </w:t>
      </w:r>
      <w:r w:rsidRPr="001E29D2">
        <w:t>advis</w:t>
      </w:r>
      <w:r w:rsidR="00654F2E" w:rsidRPr="001E29D2">
        <w:t>e</w:t>
      </w:r>
      <w:r w:rsidRPr="001E29D2">
        <w:t xml:space="preserve"> NOPSEMA management</w:t>
      </w:r>
      <w:r w:rsidR="006A2DBF" w:rsidRPr="001E29D2">
        <w:t>, now and as the industry evolves</w:t>
      </w:r>
      <w:r w:rsidRPr="001E29D2">
        <w:t xml:space="preserve">. However, the Advisory Board </w:t>
      </w:r>
      <w:r w:rsidR="007659A0" w:rsidRPr="001E29D2">
        <w:t>over the review period was</w:t>
      </w:r>
      <w:r w:rsidR="00236462">
        <w:t xml:space="preserve"> mainly</w:t>
      </w:r>
      <w:r w:rsidR="007659A0" w:rsidRPr="001E29D2">
        <w:t xml:space="preserve"> </w:t>
      </w:r>
      <w:r w:rsidR="31209330" w:rsidRPr="001E29D2">
        <w:t xml:space="preserve">used by NOPSEMA </w:t>
      </w:r>
      <w:r w:rsidR="00483C40" w:rsidRPr="001E29D2">
        <w:t xml:space="preserve">to address specific issues </w:t>
      </w:r>
      <w:r w:rsidR="5DDDF4B9" w:rsidRPr="001E29D2">
        <w:t xml:space="preserve">as requested by the </w:t>
      </w:r>
      <w:r w:rsidR="001D5D6F" w:rsidRPr="001E29D2">
        <w:t>Chief Executive Officer (</w:t>
      </w:r>
      <w:r w:rsidR="5DDDF4B9" w:rsidRPr="001E29D2">
        <w:rPr>
          <w:b/>
          <w:bCs/>
        </w:rPr>
        <w:t>CEO</w:t>
      </w:r>
      <w:r w:rsidR="001D5D6F" w:rsidRPr="001E29D2">
        <w:t>)</w:t>
      </w:r>
      <w:r w:rsidR="5DDDF4B9" w:rsidRPr="001E29D2">
        <w:t xml:space="preserve">, </w:t>
      </w:r>
      <w:r w:rsidR="00483C40" w:rsidRPr="001E29D2">
        <w:t xml:space="preserve">and </w:t>
      </w:r>
      <w:r w:rsidR="5A2A0F94" w:rsidRPr="001E29D2">
        <w:t xml:space="preserve">we </w:t>
      </w:r>
      <w:r w:rsidR="0059266D">
        <w:t>find</w:t>
      </w:r>
      <w:r w:rsidR="0059266D" w:rsidRPr="001E29D2">
        <w:t xml:space="preserve"> </w:t>
      </w:r>
      <w:r w:rsidR="5A2A0F94" w:rsidRPr="001E29D2">
        <w:t>the</w:t>
      </w:r>
      <w:r w:rsidR="00483C40" w:rsidRPr="001E29D2">
        <w:t xml:space="preserve"> </w:t>
      </w:r>
      <w:r w:rsidR="5A2A0F94" w:rsidRPr="001E29D2">
        <w:t xml:space="preserve">Board is likely being </w:t>
      </w:r>
      <w:r w:rsidR="007659A0" w:rsidRPr="001E29D2">
        <w:t>underutilised</w:t>
      </w:r>
      <w:r w:rsidR="00483C40" w:rsidRPr="001E29D2">
        <w:t xml:space="preserve"> relative to the advice and guidance they could provide</w:t>
      </w:r>
      <w:r w:rsidR="007659A0" w:rsidRPr="001E29D2">
        <w:t xml:space="preserve">. Specifically, the </w:t>
      </w:r>
      <w:r w:rsidR="0012197F" w:rsidRPr="001E29D2">
        <w:t xml:space="preserve">Advisory </w:t>
      </w:r>
      <w:r w:rsidR="00825E9B" w:rsidRPr="001E29D2">
        <w:t>B</w:t>
      </w:r>
      <w:r w:rsidR="0012197F" w:rsidRPr="001E29D2">
        <w:t>oard</w:t>
      </w:r>
      <w:r w:rsidRPr="001E29D2">
        <w:t xml:space="preserve"> </w:t>
      </w:r>
      <w:r w:rsidR="00825E9B" w:rsidRPr="001E29D2">
        <w:t xml:space="preserve">could have </w:t>
      </w:r>
      <w:r w:rsidR="00535C88" w:rsidRPr="001E29D2">
        <w:t>be</w:t>
      </w:r>
      <w:r w:rsidR="00825E9B" w:rsidRPr="001E29D2">
        <w:t>en</w:t>
      </w:r>
      <w:r w:rsidRPr="001E29D2">
        <w:t xml:space="preserve"> more active in helping set NOPSEMA’s strategic direction and </w:t>
      </w:r>
      <w:r w:rsidR="00825E9B" w:rsidRPr="001E29D2">
        <w:t xml:space="preserve">in </w:t>
      </w:r>
      <w:r w:rsidRPr="001E29D2">
        <w:t>provid</w:t>
      </w:r>
      <w:r w:rsidR="00825E9B" w:rsidRPr="001E29D2">
        <w:t>ing</w:t>
      </w:r>
      <w:r w:rsidRPr="001E29D2">
        <w:t xml:space="preserve"> greater input into </w:t>
      </w:r>
      <w:r w:rsidR="00535C88" w:rsidRPr="001E29D2">
        <w:t>non-Major</w:t>
      </w:r>
      <w:r w:rsidRPr="001E29D2">
        <w:t xml:space="preserve"> </w:t>
      </w:r>
      <w:r w:rsidR="00192BE7" w:rsidRPr="001E29D2">
        <w:t>A</w:t>
      </w:r>
      <w:r w:rsidRPr="001E29D2">
        <w:t xml:space="preserve">ccident </w:t>
      </w:r>
      <w:r w:rsidR="00192BE7" w:rsidRPr="001E29D2">
        <w:t>E</w:t>
      </w:r>
      <w:r w:rsidRPr="001E29D2">
        <w:t>vent (</w:t>
      </w:r>
      <w:r w:rsidRPr="001E29D2">
        <w:rPr>
          <w:b/>
        </w:rPr>
        <w:t>MAE</w:t>
      </w:r>
      <w:r w:rsidRPr="001E29D2">
        <w:t xml:space="preserve">) risk factors pertinent to the industry – factors such as mental health, decommissioning and financial assurance practices. </w:t>
      </w:r>
      <w:r w:rsidR="0011589C" w:rsidRPr="001E29D2">
        <w:t>Input from the</w:t>
      </w:r>
      <w:r w:rsidR="0011589C">
        <w:t xml:space="preserve"> Advisory Board in this manner may help challenge NOPSEMA management’s thinking on strategic direction </w:t>
      </w:r>
      <w:r w:rsidR="0016096E">
        <w:t>and any assumption</w:t>
      </w:r>
      <w:r w:rsidR="00FA5820">
        <w:t>s</w:t>
      </w:r>
      <w:r w:rsidR="0016096E">
        <w:t xml:space="preserve"> </w:t>
      </w:r>
      <w:r w:rsidR="00FA5820">
        <w:t>or cognitive bias</w:t>
      </w:r>
      <w:r w:rsidR="0016096E">
        <w:t xml:space="preserve">. </w:t>
      </w:r>
    </w:p>
    <w:p w14:paraId="0A04C28F" w14:textId="3878C03D" w:rsidR="003B3A0D" w:rsidRDefault="003B3A0D" w:rsidP="00B12871">
      <w:pPr>
        <w:pStyle w:val="BodyCopyNEW"/>
      </w:pPr>
      <w:r>
        <w:t>A</w:t>
      </w:r>
      <w:r w:rsidR="2943331D">
        <w:t xml:space="preserve"> move to become a </w:t>
      </w:r>
      <w:r w:rsidR="00D11AD0">
        <w:t xml:space="preserve">Governing Board could provide </w:t>
      </w:r>
      <w:r w:rsidR="00D82F50">
        <w:t>more</w:t>
      </w:r>
      <w:r w:rsidR="00D73C56">
        <w:t xml:space="preserve"> structure </w:t>
      </w:r>
      <w:r w:rsidR="00D82F50">
        <w:t xml:space="preserve">with regard to the dual outcomes of compliance and performance. The exact </w:t>
      </w:r>
      <w:r w:rsidR="009B566E">
        <w:t>remit</w:t>
      </w:r>
      <w:r w:rsidR="007A078F">
        <w:t xml:space="preserve"> of </w:t>
      </w:r>
      <w:r w:rsidR="009B566E">
        <w:t xml:space="preserve">a NOPSEMA </w:t>
      </w:r>
      <w:r w:rsidR="007A078F">
        <w:t xml:space="preserve">Governing Board would need to be </w:t>
      </w:r>
      <w:r w:rsidR="006C4B3D">
        <w:t>thoughtfully</w:t>
      </w:r>
      <w:r w:rsidR="007A078F">
        <w:t xml:space="preserve"> considered, but the Board could take on some more </w:t>
      </w:r>
      <w:r w:rsidR="00584542">
        <w:t>formal</w:t>
      </w:r>
      <w:r w:rsidR="00B74640">
        <w:t xml:space="preserve">, traditional Board </w:t>
      </w:r>
      <w:r w:rsidR="007A078F">
        <w:t>responsibilities including</w:t>
      </w:r>
      <w:r w:rsidR="00584542">
        <w:t xml:space="preserve"> supporting the CEO to achieve high levels of compliance and performance</w:t>
      </w:r>
      <w:r w:rsidR="00B12871">
        <w:t xml:space="preserve"> and </w:t>
      </w:r>
      <w:r w:rsidR="00160ECC">
        <w:t xml:space="preserve">also </w:t>
      </w:r>
      <w:r w:rsidR="007A078F">
        <w:t xml:space="preserve">being involved in </w:t>
      </w:r>
      <w:r>
        <w:t>evaluating the CEO’s performance</w:t>
      </w:r>
      <w:r w:rsidR="00F8666D">
        <w:t xml:space="preserve">. </w:t>
      </w:r>
    </w:p>
    <w:p w14:paraId="428F4E1E" w14:textId="25501B65" w:rsidR="00183929" w:rsidRPr="00171DEA" w:rsidRDefault="00825E9B" w:rsidP="00AE2D6E">
      <w:pPr>
        <w:pStyle w:val="BodyCopyNEW"/>
        <w:rPr>
          <w:szCs w:val="18"/>
        </w:rPr>
      </w:pPr>
      <w:r>
        <w:rPr>
          <w:szCs w:val="18"/>
        </w:rPr>
        <w:t>T</w:t>
      </w:r>
      <w:r w:rsidR="00183929" w:rsidRPr="004602AD">
        <w:rPr>
          <w:szCs w:val="18"/>
        </w:rPr>
        <w:t>he Advisory Board should look to apply lessons learned from the Australian National Audit Office’s (</w:t>
      </w:r>
      <w:r w:rsidR="00183929" w:rsidRPr="00C81CBA">
        <w:rPr>
          <w:b/>
          <w:szCs w:val="18"/>
        </w:rPr>
        <w:t>ANAO</w:t>
      </w:r>
      <w:r w:rsidR="00183929" w:rsidRPr="00953CA5">
        <w:rPr>
          <w:szCs w:val="18"/>
        </w:rPr>
        <w:t xml:space="preserve">) guidance on Government Boards. Consideration should be given by Government </w:t>
      </w:r>
      <w:r w:rsidR="00C26F9B">
        <w:rPr>
          <w:szCs w:val="18"/>
        </w:rPr>
        <w:t>to</w:t>
      </w:r>
      <w:r w:rsidR="00C26F9B" w:rsidRPr="00953CA5">
        <w:rPr>
          <w:szCs w:val="18"/>
        </w:rPr>
        <w:t xml:space="preserve"> </w:t>
      </w:r>
      <w:r w:rsidR="00183929" w:rsidRPr="00953CA5">
        <w:rPr>
          <w:szCs w:val="18"/>
        </w:rPr>
        <w:t xml:space="preserve">the benefits of reforming the Advisory Board as a Governance Board. There may also be improvements to stakeholder trust and confidence in NOPSEMA from a more active and visible governance structure. </w:t>
      </w:r>
      <w:r w:rsidR="0067283E">
        <w:rPr>
          <w:szCs w:val="18"/>
        </w:rPr>
        <w:lastRenderedPageBreak/>
        <w:t xml:space="preserve">Lastly, should </w:t>
      </w:r>
      <w:r w:rsidR="00692738">
        <w:rPr>
          <w:szCs w:val="18"/>
        </w:rPr>
        <w:t xml:space="preserve">a unified </w:t>
      </w:r>
      <w:r w:rsidRPr="00825E9B">
        <w:rPr>
          <w:szCs w:val="18"/>
        </w:rPr>
        <w:t>offshore resources regulator and administrator</w:t>
      </w:r>
      <w:r>
        <w:rPr>
          <w:szCs w:val="18"/>
        </w:rPr>
        <w:t xml:space="preserve"> ultimately be established</w:t>
      </w:r>
      <w:r w:rsidR="0076209F">
        <w:rPr>
          <w:szCs w:val="18"/>
        </w:rPr>
        <w:t xml:space="preserve"> (discussed below)</w:t>
      </w:r>
      <w:r>
        <w:rPr>
          <w:szCs w:val="18"/>
        </w:rPr>
        <w:t>, the need for a Governing Board structure would become more important.</w:t>
      </w:r>
    </w:p>
    <w:tbl>
      <w:tblPr>
        <w:tblStyle w:val="ListTable3-Accent5"/>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183929" w:rsidRPr="007906AC" w14:paraId="4383C723" w14:textId="77777777" w:rsidTr="00D327D4">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000" w:type="pct"/>
            <w:shd w:val="clear" w:color="auto" w:fill="F2F2F2" w:themeFill="background1" w:themeFillShade="F2"/>
            <w:vAlign w:val="center"/>
          </w:tcPr>
          <w:p w14:paraId="0EB4A753" w14:textId="49BD6226" w:rsidR="00183929" w:rsidRPr="00901C7B" w:rsidRDefault="00183929" w:rsidP="00226A35">
            <w:pPr>
              <w:spacing w:before="120" w:after="120"/>
              <w:rPr>
                <w:rFonts w:ascii="Calibri" w:hAnsi="Calibri" w:cs="Calibri"/>
              </w:rPr>
            </w:pPr>
            <w:bookmarkStart w:id="7" w:name="_Hlk56266835"/>
            <w:r w:rsidRPr="00901C7B">
              <w:rPr>
                <w:rFonts w:ascii="Calibri" w:hAnsi="Calibri" w:cs="Calibri"/>
                <w:color w:val="auto"/>
              </w:rPr>
              <w:t xml:space="preserve">The following </w:t>
            </w:r>
            <w:r w:rsidR="003A180F" w:rsidRPr="00901C7B">
              <w:rPr>
                <w:rFonts w:ascii="Calibri" w:hAnsi="Calibri" w:cs="Calibri"/>
                <w:color w:val="auto"/>
              </w:rPr>
              <w:t>recommendations</w:t>
            </w:r>
            <w:r w:rsidRPr="00901C7B">
              <w:rPr>
                <w:rFonts w:ascii="Calibri" w:hAnsi="Calibri" w:cs="Calibri"/>
                <w:color w:val="auto"/>
              </w:rPr>
              <w:t xml:space="preserve"> apply</w:t>
            </w:r>
            <w:r w:rsidR="003A180F" w:rsidRPr="00901C7B">
              <w:rPr>
                <w:rFonts w:ascii="Calibri" w:hAnsi="Calibri" w:cs="Calibri"/>
                <w:color w:val="auto"/>
              </w:rPr>
              <w:t xml:space="preserve"> to </w:t>
            </w:r>
            <w:r w:rsidR="006337D6" w:rsidRPr="00901C7B">
              <w:rPr>
                <w:rFonts w:ascii="Calibri" w:hAnsi="Calibri" w:cs="Calibri"/>
                <w:color w:val="auto"/>
              </w:rPr>
              <w:t>section</w:t>
            </w:r>
            <w:r w:rsidR="003A180F" w:rsidRPr="00901C7B">
              <w:rPr>
                <w:rFonts w:ascii="Calibri" w:hAnsi="Calibri" w:cs="Calibri"/>
                <w:color w:val="auto"/>
              </w:rPr>
              <w:t xml:space="preserve"> 1.3.</w:t>
            </w:r>
            <w:r w:rsidR="0067283E" w:rsidRPr="00901C7B">
              <w:rPr>
                <w:rFonts w:ascii="Calibri" w:hAnsi="Calibri" w:cs="Calibri"/>
                <w:color w:val="auto"/>
              </w:rPr>
              <w:t>3</w:t>
            </w:r>
            <w:r w:rsidRPr="00901C7B">
              <w:rPr>
                <w:rFonts w:ascii="Calibri" w:hAnsi="Calibri" w:cs="Calibri"/>
                <w:color w:val="auto"/>
              </w:rPr>
              <w:t xml:space="preserve">: </w:t>
            </w:r>
            <w:r w:rsidR="009C7150">
              <w:rPr>
                <w:rFonts w:ascii="Calibri" w:hAnsi="Calibri" w:cs="Calibri"/>
                <w:color w:val="00ABAB"/>
              </w:rPr>
              <w:t>1</w:t>
            </w:r>
            <w:r w:rsidR="00DC2BF6">
              <w:rPr>
                <w:rFonts w:ascii="Calibri" w:hAnsi="Calibri" w:cs="Calibri"/>
                <w:color w:val="00ABAB"/>
              </w:rPr>
              <w:t>2</w:t>
            </w:r>
            <w:r w:rsidR="009C7150">
              <w:rPr>
                <w:rFonts w:ascii="Calibri" w:hAnsi="Calibri" w:cs="Calibri"/>
                <w:color w:val="00ABAB"/>
              </w:rPr>
              <w:t>, 1</w:t>
            </w:r>
            <w:r w:rsidR="00DC2BF6">
              <w:rPr>
                <w:rFonts w:ascii="Calibri" w:hAnsi="Calibri" w:cs="Calibri"/>
                <w:color w:val="00ABAB"/>
              </w:rPr>
              <w:t>3</w:t>
            </w:r>
            <w:r w:rsidR="009C7150">
              <w:rPr>
                <w:rFonts w:ascii="Calibri" w:hAnsi="Calibri" w:cs="Calibri"/>
                <w:color w:val="00ABAB"/>
              </w:rPr>
              <w:t>, 14, 15, 16</w:t>
            </w:r>
          </w:p>
        </w:tc>
      </w:tr>
    </w:tbl>
    <w:bookmarkEnd w:id="7"/>
    <w:p w14:paraId="317B5518" w14:textId="0CE09291" w:rsidR="00183929" w:rsidRPr="00754DE1" w:rsidRDefault="00535C88" w:rsidP="00784E0E">
      <w:pPr>
        <w:pStyle w:val="Heading3"/>
        <w:numPr>
          <w:ilvl w:val="2"/>
          <w:numId w:val="1"/>
        </w:numPr>
      </w:pPr>
      <w:r>
        <w:t>A transformed stakeholder engagement approach but persistent challenges in building trust and confidence</w:t>
      </w:r>
    </w:p>
    <w:p w14:paraId="637C4937" w14:textId="2D52CC32" w:rsidR="00183929" w:rsidRPr="0015526E" w:rsidRDefault="00327ACB" w:rsidP="00784E0E">
      <w:pPr>
        <w:pStyle w:val="Heading3NoNumber"/>
      </w:pPr>
      <w:r>
        <w:t xml:space="preserve">NOPSEMA </w:t>
      </w:r>
      <w:r w:rsidR="00535C88">
        <w:t xml:space="preserve">is open and accessible </w:t>
      </w:r>
      <w:r w:rsidR="00153705">
        <w:t xml:space="preserve">but </w:t>
      </w:r>
      <w:r w:rsidR="00535C88">
        <w:t xml:space="preserve">should demonstrate how it ‘listens’ through </w:t>
      </w:r>
      <w:r w:rsidR="00812C9E">
        <w:t xml:space="preserve">its </w:t>
      </w:r>
      <w:r w:rsidR="00535C88">
        <w:t>engagements</w:t>
      </w:r>
      <w:r w:rsidR="00183929" w:rsidRPr="0015526E">
        <w:t xml:space="preserve"> </w:t>
      </w:r>
    </w:p>
    <w:p w14:paraId="6D0E4D52" w14:textId="187B4C12" w:rsidR="00183929" w:rsidRPr="00A32AAE" w:rsidRDefault="00327ACB" w:rsidP="00AE2D6E">
      <w:pPr>
        <w:pStyle w:val="BodyCopyNEW"/>
        <w:rPr>
          <w:szCs w:val="18"/>
        </w:rPr>
      </w:pPr>
      <w:r w:rsidRPr="00096BC3">
        <w:rPr>
          <w:rFonts w:cs="Calibri"/>
          <w:szCs w:val="18"/>
        </w:rPr>
        <w:t>NOPSEMA has</w:t>
      </w:r>
      <w:r w:rsidR="00183929" w:rsidRPr="00611BAA">
        <w:rPr>
          <w:rFonts w:cs="Calibri"/>
          <w:szCs w:val="18"/>
        </w:rPr>
        <w:t xml:space="preserve"> made considerable i</w:t>
      </w:r>
      <w:r w:rsidR="00183929" w:rsidRPr="00946300">
        <w:rPr>
          <w:rFonts w:cs="Calibri"/>
          <w:szCs w:val="18"/>
        </w:rPr>
        <w:t>mprovement to its stakeholder engagement since the 2015 Operational Review</w:t>
      </w:r>
      <w:r w:rsidR="00183929" w:rsidRPr="00946300">
        <w:rPr>
          <w:szCs w:val="18"/>
        </w:rPr>
        <w:t xml:space="preserve">. </w:t>
      </w:r>
      <w:r w:rsidR="006337D6" w:rsidRPr="00946300">
        <w:rPr>
          <w:szCs w:val="18"/>
        </w:rPr>
        <w:t>I</w:t>
      </w:r>
      <w:r w:rsidR="00183929" w:rsidRPr="00392AAF">
        <w:rPr>
          <w:szCs w:val="18"/>
        </w:rPr>
        <w:t>mprovement</w:t>
      </w:r>
      <w:r w:rsidR="006337D6" w:rsidRPr="007906AC">
        <w:rPr>
          <w:szCs w:val="18"/>
        </w:rPr>
        <w:t>s</w:t>
      </w:r>
      <w:r w:rsidR="00183929" w:rsidRPr="00911F0E">
        <w:rPr>
          <w:szCs w:val="18"/>
        </w:rPr>
        <w:t xml:space="preserve"> </w:t>
      </w:r>
      <w:r w:rsidR="006337D6" w:rsidRPr="004602AD">
        <w:rPr>
          <w:szCs w:val="18"/>
        </w:rPr>
        <w:t>were</w:t>
      </w:r>
      <w:r w:rsidR="00183929" w:rsidRPr="00C81CBA">
        <w:rPr>
          <w:szCs w:val="18"/>
        </w:rPr>
        <w:t xml:space="preserve">, </w:t>
      </w:r>
      <w:r w:rsidR="006337D6" w:rsidRPr="00953CA5">
        <w:rPr>
          <w:szCs w:val="18"/>
        </w:rPr>
        <w:t>on the whole</w:t>
      </w:r>
      <w:r w:rsidR="00183929" w:rsidRPr="00953CA5">
        <w:rPr>
          <w:szCs w:val="18"/>
        </w:rPr>
        <w:t>, acknowledged across stakeholder segments.</w:t>
      </w:r>
      <w:r w:rsidR="00183929" w:rsidRPr="00777C5D">
        <w:rPr>
          <w:szCs w:val="18"/>
        </w:rPr>
        <w:t xml:space="preserve"> </w:t>
      </w:r>
      <w:r w:rsidR="006337D6" w:rsidRPr="006C6606">
        <w:rPr>
          <w:szCs w:val="18"/>
        </w:rPr>
        <w:t>A</w:t>
      </w:r>
      <w:r w:rsidR="00183929" w:rsidRPr="007F74D3">
        <w:rPr>
          <w:szCs w:val="18"/>
        </w:rPr>
        <w:t xml:space="preserve"> step change </w:t>
      </w:r>
      <w:r w:rsidR="006337D6" w:rsidRPr="0047319A">
        <w:rPr>
          <w:szCs w:val="18"/>
        </w:rPr>
        <w:t xml:space="preserve">is evident </w:t>
      </w:r>
      <w:r w:rsidR="00183929" w:rsidRPr="00C9422D">
        <w:rPr>
          <w:szCs w:val="18"/>
        </w:rPr>
        <w:t>in the level of NOPSEMA’s engagement across stakeholder segments, particularly with environmental a</w:t>
      </w:r>
      <w:r w:rsidR="00183929" w:rsidRPr="00F53817">
        <w:rPr>
          <w:szCs w:val="18"/>
        </w:rPr>
        <w:t xml:space="preserve">dvocacy groups, community groups, and other marine estate users. </w:t>
      </w:r>
    </w:p>
    <w:p w14:paraId="3211B878" w14:textId="42E2DA07" w:rsidR="00183929" w:rsidRPr="00946300" w:rsidRDefault="00183929" w:rsidP="00AE2D6E">
      <w:pPr>
        <w:pStyle w:val="BodyCopyNEW"/>
        <w:rPr>
          <w:szCs w:val="18"/>
        </w:rPr>
      </w:pPr>
      <w:r w:rsidRPr="00B575BF">
        <w:rPr>
          <w:szCs w:val="18"/>
        </w:rPr>
        <w:t>NOPSEMA’s accessibility and openness to engagement has improved</w:t>
      </w:r>
      <w:r w:rsidR="00F36A97">
        <w:rPr>
          <w:szCs w:val="18"/>
        </w:rPr>
        <w:t xml:space="preserve"> and it</w:t>
      </w:r>
      <w:r w:rsidRPr="00B575BF">
        <w:rPr>
          <w:szCs w:val="18"/>
        </w:rPr>
        <w:t xml:space="preserve"> has also made </w:t>
      </w:r>
      <w:r w:rsidR="42446194" w:rsidRPr="00D11371">
        <w:rPr>
          <w:szCs w:val="18"/>
        </w:rPr>
        <w:t xml:space="preserve">a </w:t>
      </w:r>
      <w:r w:rsidRPr="003E4CD6">
        <w:rPr>
          <w:szCs w:val="18"/>
        </w:rPr>
        <w:t>concerted effort to increase transparency over its actions and the regulatory processes it overs</w:t>
      </w:r>
      <w:r w:rsidRPr="00777710">
        <w:rPr>
          <w:szCs w:val="18"/>
        </w:rPr>
        <w:t>ees</w:t>
      </w:r>
      <w:r w:rsidR="30282514" w:rsidRPr="00777710">
        <w:rPr>
          <w:szCs w:val="18"/>
        </w:rPr>
        <w:t xml:space="preserve">. </w:t>
      </w:r>
      <w:r w:rsidR="619BA937" w:rsidRPr="006F091B">
        <w:rPr>
          <w:szCs w:val="18"/>
        </w:rPr>
        <w:t>F</w:t>
      </w:r>
      <w:r w:rsidR="006337D6" w:rsidRPr="006610D9">
        <w:rPr>
          <w:szCs w:val="18"/>
        </w:rPr>
        <w:t xml:space="preserve">or instance, the </w:t>
      </w:r>
      <w:r w:rsidR="00B7088E" w:rsidRPr="00711FC9">
        <w:rPr>
          <w:szCs w:val="18"/>
        </w:rPr>
        <w:t>introduction</w:t>
      </w:r>
      <w:r w:rsidR="00B7088E" w:rsidRPr="00834F3C">
        <w:rPr>
          <w:szCs w:val="18"/>
        </w:rPr>
        <w:t xml:space="preserve"> </w:t>
      </w:r>
      <w:r w:rsidR="00812C9E" w:rsidRPr="00FF42CF">
        <w:rPr>
          <w:szCs w:val="18"/>
        </w:rPr>
        <w:t xml:space="preserve">(in conjunction with DISER) </w:t>
      </w:r>
      <w:r w:rsidR="00B7088E" w:rsidRPr="0058332E">
        <w:rPr>
          <w:szCs w:val="18"/>
        </w:rPr>
        <w:t>of mandatory</w:t>
      </w:r>
      <w:r w:rsidR="00126F2C">
        <w:rPr>
          <w:szCs w:val="18"/>
        </w:rPr>
        <w:t xml:space="preserve"> publication of E</w:t>
      </w:r>
      <w:r w:rsidR="00CF67D2">
        <w:rPr>
          <w:szCs w:val="18"/>
        </w:rPr>
        <w:t>P</w:t>
      </w:r>
      <w:r w:rsidR="00126F2C">
        <w:rPr>
          <w:szCs w:val="18"/>
        </w:rPr>
        <w:t>s</w:t>
      </w:r>
      <w:r w:rsidR="00CF67D2">
        <w:rPr>
          <w:szCs w:val="18"/>
        </w:rPr>
        <w:t xml:space="preserve">, </w:t>
      </w:r>
      <w:r w:rsidR="001D0AFA">
        <w:rPr>
          <w:szCs w:val="18"/>
        </w:rPr>
        <w:t>a</w:t>
      </w:r>
      <w:r w:rsidR="00B7088E" w:rsidRPr="0058332E">
        <w:rPr>
          <w:szCs w:val="18"/>
        </w:rPr>
        <w:t xml:space="preserve"> public comment period </w:t>
      </w:r>
      <w:r w:rsidR="00344004">
        <w:rPr>
          <w:szCs w:val="18"/>
        </w:rPr>
        <w:t xml:space="preserve">for </w:t>
      </w:r>
      <w:r w:rsidR="006337D6" w:rsidRPr="001D4317">
        <w:rPr>
          <w:szCs w:val="18"/>
        </w:rPr>
        <w:t>EPs</w:t>
      </w:r>
      <w:r w:rsidR="00931FE0">
        <w:rPr>
          <w:szCs w:val="18"/>
        </w:rPr>
        <w:t xml:space="preserve"> related to exploration activities</w:t>
      </w:r>
      <w:r w:rsidR="006337D6" w:rsidRPr="00096BC3">
        <w:rPr>
          <w:szCs w:val="18"/>
        </w:rPr>
        <w:t xml:space="preserve"> and the establishment of the Community and Environment Reference Group (</w:t>
      </w:r>
      <w:r w:rsidR="006337D6" w:rsidRPr="00611BAA">
        <w:rPr>
          <w:b/>
          <w:szCs w:val="18"/>
        </w:rPr>
        <w:t>CERG</w:t>
      </w:r>
      <w:r w:rsidR="006337D6" w:rsidRPr="00946300">
        <w:rPr>
          <w:szCs w:val="18"/>
        </w:rPr>
        <w:t>)</w:t>
      </w:r>
      <w:r w:rsidR="00213E34">
        <w:rPr>
          <w:szCs w:val="18"/>
        </w:rPr>
        <w:t xml:space="preserve"> are examples of actions NOPSEMA has undertaken to improve </w:t>
      </w:r>
      <w:r w:rsidR="000C2520">
        <w:rPr>
          <w:szCs w:val="18"/>
        </w:rPr>
        <w:t>transparency and its relationships with stakeholders</w:t>
      </w:r>
      <w:r w:rsidRPr="00946300">
        <w:rPr>
          <w:szCs w:val="18"/>
        </w:rPr>
        <w:t xml:space="preserve">. </w:t>
      </w:r>
    </w:p>
    <w:p w14:paraId="6CDEA63D" w14:textId="0CE34804" w:rsidR="00183929" w:rsidRPr="006C6606" w:rsidRDefault="00183929" w:rsidP="00AE2D6E">
      <w:pPr>
        <w:pStyle w:val="BodyCopyNEW"/>
        <w:rPr>
          <w:szCs w:val="18"/>
        </w:rPr>
      </w:pPr>
      <w:r w:rsidRPr="00392AAF">
        <w:rPr>
          <w:szCs w:val="18"/>
        </w:rPr>
        <w:t xml:space="preserve">We see further work required in demonstrating how the regulator listens to its stakeholders and processes feedback it receives. </w:t>
      </w:r>
      <w:r w:rsidR="00381D65" w:rsidRPr="007906AC">
        <w:rPr>
          <w:szCs w:val="18"/>
        </w:rPr>
        <w:t>As an example</w:t>
      </w:r>
      <w:r w:rsidRPr="00911F0E">
        <w:rPr>
          <w:szCs w:val="18"/>
        </w:rPr>
        <w:t xml:space="preserve">, there was a general sentiment that, while </w:t>
      </w:r>
      <w:r w:rsidR="00327ACB" w:rsidRPr="004602AD">
        <w:rPr>
          <w:szCs w:val="18"/>
        </w:rPr>
        <w:t>NOPSEMA is</w:t>
      </w:r>
      <w:r w:rsidRPr="00C81CBA">
        <w:rPr>
          <w:szCs w:val="18"/>
        </w:rPr>
        <w:t xml:space="preserve"> approachable and accessible, the outcomes of engagements can</w:t>
      </w:r>
      <w:r w:rsidRPr="00953CA5">
        <w:rPr>
          <w:szCs w:val="18"/>
        </w:rPr>
        <w:t xml:space="preserve"> feel predetermined and NOPSEMA do</w:t>
      </w:r>
      <w:r w:rsidR="00383A0B" w:rsidRPr="00953CA5">
        <w:rPr>
          <w:szCs w:val="18"/>
        </w:rPr>
        <w:t>es</w:t>
      </w:r>
      <w:r w:rsidRPr="00171DEA">
        <w:rPr>
          <w:szCs w:val="18"/>
        </w:rPr>
        <w:t xml:space="preserve"> not always appear to action feedback received. This detracts from trust and confidence in NOPSEMA. NOPSEMA should provide greater clarity on how it ‘listens’ to stakeholders</w:t>
      </w:r>
      <w:r w:rsidR="000C2520">
        <w:rPr>
          <w:szCs w:val="18"/>
        </w:rPr>
        <w:t xml:space="preserve"> – even where it disagrees</w:t>
      </w:r>
      <w:r w:rsidRPr="00171DEA">
        <w:rPr>
          <w:szCs w:val="18"/>
        </w:rPr>
        <w:t>, utilise engagement activities that elicit an</w:t>
      </w:r>
      <w:r w:rsidRPr="00777C5D">
        <w:rPr>
          <w:szCs w:val="18"/>
        </w:rPr>
        <w:t xml:space="preserve">onymous feedback about NOPSEMA, and increase visibility over the stakeholder activities it undertakes. </w:t>
      </w:r>
    </w:p>
    <w:p w14:paraId="6D1EF6AC" w14:textId="77777777" w:rsidR="00183929" w:rsidRDefault="00183929" w:rsidP="00784E0E">
      <w:pPr>
        <w:pStyle w:val="Heading3NoNumber"/>
      </w:pPr>
      <w:r>
        <w:t>Building t</w:t>
      </w:r>
      <w:r w:rsidRPr="0015526E">
        <w:t>rust and confidence will require a multifaceted approach</w:t>
      </w:r>
    </w:p>
    <w:p w14:paraId="57EA030B" w14:textId="7B3F1DE2" w:rsidR="00183929" w:rsidRPr="00953CA5" w:rsidRDefault="00183929" w:rsidP="00AE2D6E">
      <w:pPr>
        <w:pStyle w:val="BodyCopyNEW"/>
        <w:rPr>
          <w:rFonts w:cs="Calibri"/>
          <w:szCs w:val="18"/>
        </w:rPr>
      </w:pPr>
      <w:r w:rsidRPr="00096BC3">
        <w:rPr>
          <w:szCs w:val="18"/>
        </w:rPr>
        <w:t xml:space="preserve">The </w:t>
      </w:r>
      <w:r w:rsidRPr="00611BAA">
        <w:rPr>
          <w:szCs w:val="18"/>
        </w:rPr>
        <w:t>role of the regulator is not to please all of its stakeholders – this is an unrealistic expectati</w:t>
      </w:r>
      <w:r w:rsidRPr="00946300">
        <w:rPr>
          <w:szCs w:val="18"/>
        </w:rPr>
        <w:t xml:space="preserve">on to have of NOPSEMA – but it should inspire confidence in stakeholders in its ability to be impartial and make evidence-based decisions that support appropriate risk mitigation by </w:t>
      </w:r>
      <w:r w:rsidR="003446EB" w:rsidRPr="00946300">
        <w:rPr>
          <w:szCs w:val="18"/>
        </w:rPr>
        <w:t xml:space="preserve">the </w:t>
      </w:r>
      <w:r w:rsidRPr="00946300">
        <w:rPr>
          <w:szCs w:val="18"/>
        </w:rPr>
        <w:t xml:space="preserve">industry. </w:t>
      </w:r>
      <w:r w:rsidRPr="00AC323F">
        <w:rPr>
          <w:szCs w:val="18"/>
        </w:rPr>
        <w:t>The role of the regulator is not to set policy</w:t>
      </w:r>
      <w:r w:rsidR="003446EB" w:rsidRPr="00AC323F">
        <w:rPr>
          <w:szCs w:val="18"/>
        </w:rPr>
        <w:t xml:space="preserve"> or to prioritise, for example, competing uses of the marine estate</w:t>
      </w:r>
      <w:r w:rsidRPr="00AC323F">
        <w:rPr>
          <w:szCs w:val="18"/>
        </w:rPr>
        <w:t xml:space="preserve">. </w:t>
      </w:r>
      <w:r w:rsidR="003446EB" w:rsidRPr="00AC323F">
        <w:rPr>
          <w:rFonts w:cs="Calibri"/>
          <w:szCs w:val="18"/>
        </w:rPr>
        <w:t>Such m</w:t>
      </w:r>
      <w:r w:rsidRPr="00AC323F">
        <w:rPr>
          <w:rFonts w:cs="Calibri"/>
          <w:szCs w:val="18"/>
        </w:rPr>
        <w:t xml:space="preserve">isconceptions </w:t>
      </w:r>
      <w:r w:rsidR="003446EB" w:rsidRPr="00AC323F">
        <w:rPr>
          <w:rFonts w:cs="Calibri"/>
          <w:szCs w:val="18"/>
        </w:rPr>
        <w:t xml:space="preserve">have </w:t>
      </w:r>
      <w:r w:rsidRPr="00AC323F">
        <w:rPr>
          <w:rFonts w:cs="Calibri"/>
          <w:szCs w:val="18"/>
        </w:rPr>
        <w:t>serve</w:t>
      </w:r>
      <w:r w:rsidR="003446EB" w:rsidRPr="00AC323F">
        <w:rPr>
          <w:rFonts w:cs="Calibri"/>
          <w:szCs w:val="18"/>
        </w:rPr>
        <w:t>d</w:t>
      </w:r>
      <w:r w:rsidRPr="00AC323F">
        <w:rPr>
          <w:rFonts w:cs="Calibri"/>
          <w:szCs w:val="18"/>
        </w:rPr>
        <w:t xml:space="preserve"> to set expectations of the regulator that it cannot meet.</w:t>
      </w:r>
    </w:p>
    <w:p w14:paraId="1F9751E6" w14:textId="52E52F0C" w:rsidR="00183929" w:rsidRPr="00911F0E" w:rsidRDefault="00183929" w:rsidP="00AE2D6E">
      <w:pPr>
        <w:pStyle w:val="BodyCopyNEW"/>
        <w:rPr>
          <w:szCs w:val="18"/>
        </w:rPr>
      </w:pPr>
      <w:r w:rsidRPr="00171DEA">
        <w:rPr>
          <w:szCs w:val="18"/>
        </w:rPr>
        <w:t xml:space="preserve">NOPSEMA </w:t>
      </w:r>
      <w:r w:rsidR="003446EB" w:rsidRPr="00777C5D">
        <w:rPr>
          <w:szCs w:val="18"/>
        </w:rPr>
        <w:t>should</w:t>
      </w:r>
      <w:r w:rsidRPr="006C6606">
        <w:rPr>
          <w:szCs w:val="18"/>
        </w:rPr>
        <w:t xml:space="preserve"> more transparently communicate its decision-making process and rationale to stakeholders, although we acknowledge </w:t>
      </w:r>
      <w:r w:rsidR="00327ACB" w:rsidRPr="007F74D3">
        <w:rPr>
          <w:szCs w:val="18"/>
        </w:rPr>
        <w:t>NOPSEMA has</w:t>
      </w:r>
      <w:r w:rsidRPr="0047319A">
        <w:rPr>
          <w:szCs w:val="18"/>
        </w:rPr>
        <w:t xml:space="preserve"> made positive advances in this regard. As noted</w:t>
      </w:r>
      <w:r w:rsidR="003446EB" w:rsidRPr="00C9422D">
        <w:rPr>
          <w:szCs w:val="18"/>
        </w:rPr>
        <w:t xml:space="preserve"> ab</w:t>
      </w:r>
      <w:r w:rsidR="003446EB" w:rsidRPr="00F53817">
        <w:rPr>
          <w:szCs w:val="18"/>
        </w:rPr>
        <w:t>ove</w:t>
      </w:r>
      <w:r w:rsidRPr="00A32AAE">
        <w:rPr>
          <w:szCs w:val="18"/>
        </w:rPr>
        <w:t>, NOPSEMA</w:t>
      </w:r>
      <w:r w:rsidR="003446EB" w:rsidRPr="00B575BF">
        <w:rPr>
          <w:szCs w:val="18"/>
        </w:rPr>
        <w:t xml:space="preserve"> could</w:t>
      </w:r>
      <w:r w:rsidRPr="00D11371">
        <w:rPr>
          <w:szCs w:val="18"/>
        </w:rPr>
        <w:t xml:space="preserve"> more actively articulate its enforcement approach and </w:t>
      </w:r>
      <w:r w:rsidR="003446EB" w:rsidRPr="003E4CD6">
        <w:rPr>
          <w:szCs w:val="18"/>
        </w:rPr>
        <w:t xml:space="preserve">enforcement </w:t>
      </w:r>
      <w:r w:rsidRPr="00777710">
        <w:rPr>
          <w:szCs w:val="18"/>
        </w:rPr>
        <w:t xml:space="preserve">activities to demonstrate </w:t>
      </w:r>
      <w:r w:rsidR="003446EB" w:rsidRPr="00777710">
        <w:rPr>
          <w:szCs w:val="18"/>
        </w:rPr>
        <w:t xml:space="preserve">that </w:t>
      </w:r>
      <w:r w:rsidRPr="006F091B">
        <w:rPr>
          <w:szCs w:val="18"/>
        </w:rPr>
        <w:t xml:space="preserve">it has a </w:t>
      </w:r>
      <w:r w:rsidR="003446EB" w:rsidRPr="006610D9">
        <w:rPr>
          <w:szCs w:val="18"/>
        </w:rPr>
        <w:t>robust</w:t>
      </w:r>
      <w:r w:rsidRPr="00711FC9">
        <w:rPr>
          <w:szCs w:val="18"/>
        </w:rPr>
        <w:t xml:space="preserve"> approach to non-compliance. </w:t>
      </w:r>
      <w:r w:rsidRPr="00834F3C">
        <w:rPr>
          <w:rFonts w:cstheme="minorHAnsi"/>
          <w:szCs w:val="18"/>
        </w:rPr>
        <w:t>The development of a</w:t>
      </w:r>
      <w:r w:rsidR="007D121A">
        <w:rPr>
          <w:rFonts w:cstheme="minorHAnsi"/>
          <w:szCs w:val="18"/>
        </w:rPr>
        <w:t xml:space="preserve">n organisation-wide </w:t>
      </w:r>
      <w:r w:rsidRPr="00834F3C">
        <w:rPr>
          <w:rFonts w:cstheme="minorHAnsi"/>
          <w:szCs w:val="18"/>
        </w:rPr>
        <w:t xml:space="preserve">regulatory strategy, which we see as a missing element of </w:t>
      </w:r>
      <w:r w:rsidRPr="00FF42CF">
        <w:rPr>
          <w:rFonts w:cstheme="minorHAnsi"/>
          <w:szCs w:val="18"/>
        </w:rPr>
        <w:t>NOPSEMA’s strategic document suite</w:t>
      </w:r>
      <w:r w:rsidRPr="00901C7B">
        <w:rPr>
          <w:rStyle w:val="FootnoteReference"/>
          <w:sz w:val="18"/>
          <w:szCs w:val="18"/>
        </w:rPr>
        <w:footnoteReference w:id="7"/>
      </w:r>
      <w:r w:rsidRPr="00096BC3">
        <w:rPr>
          <w:rFonts w:cstheme="minorHAnsi"/>
          <w:szCs w:val="18"/>
        </w:rPr>
        <w:t xml:space="preserve">, </w:t>
      </w:r>
      <w:r w:rsidRPr="00611BAA">
        <w:rPr>
          <w:szCs w:val="18"/>
        </w:rPr>
        <w:t>would provide clari</w:t>
      </w:r>
      <w:r w:rsidRPr="00946300">
        <w:rPr>
          <w:szCs w:val="18"/>
        </w:rPr>
        <w:t xml:space="preserve">ty of </w:t>
      </w:r>
      <w:r w:rsidR="003446EB" w:rsidRPr="00946300">
        <w:rPr>
          <w:szCs w:val="18"/>
        </w:rPr>
        <w:t xml:space="preserve">strategic </w:t>
      </w:r>
      <w:r w:rsidRPr="00946300">
        <w:rPr>
          <w:szCs w:val="18"/>
        </w:rPr>
        <w:t>intent and direction to stakeholders</w:t>
      </w:r>
      <w:r w:rsidR="003446EB" w:rsidRPr="00946300">
        <w:rPr>
          <w:szCs w:val="18"/>
        </w:rPr>
        <w:t>. Clarity over strategic intent and direction w</w:t>
      </w:r>
      <w:r w:rsidRPr="00392AAF">
        <w:rPr>
          <w:szCs w:val="18"/>
        </w:rPr>
        <w:t xml:space="preserve">ill likely remove some of the negative perceptions about NOPSEMA. Such a strategy should articulate </w:t>
      </w:r>
      <w:r w:rsidRPr="007906AC">
        <w:rPr>
          <w:szCs w:val="18"/>
        </w:rPr>
        <w:t xml:space="preserve">how </w:t>
      </w:r>
      <w:r w:rsidR="00D770C5">
        <w:rPr>
          <w:szCs w:val="18"/>
        </w:rPr>
        <w:t>NOPSEMA’s</w:t>
      </w:r>
      <w:r w:rsidR="00D770C5" w:rsidRPr="007906AC">
        <w:rPr>
          <w:szCs w:val="18"/>
        </w:rPr>
        <w:t xml:space="preserve"> </w:t>
      </w:r>
      <w:r w:rsidRPr="007906AC">
        <w:rPr>
          <w:szCs w:val="18"/>
        </w:rPr>
        <w:t>activities are tied to the overarching requirements of the OPGGS Act; demonstrating its goals, focus areas and measures of success.</w:t>
      </w:r>
    </w:p>
    <w:p w14:paraId="0B2D9BC8" w14:textId="15C767B1" w:rsidR="00183929" w:rsidRPr="00B575BF" w:rsidRDefault="00194402" w:rsidP="00AE2D6E">
      <w:pPr>
        <w:pStyle w:val="BodyCopyNEW"/>
        <w:rPr>
          <w:szCs w:val="18"/>
        </w:rPr>
      </w:pPr>
      <w:r w:rsidRPr="004602AD">
        <w:rPr>
          <w:szCs w:val="18"/>
        </w:rPr>
        <w:t>Overall</w:t>
      </w:r>
      <w:r w:rsidR="00183929" w:rsidRPr="00C81CBA">
        <w:rPr>
          <w:szCs w:val="18"/>
        </w:rPr>
        <w:t>, NOPSEMA should undertake a more strategic approach to stakeholder engagements. NOPSEMA reported limited his</w:t>
      </w:r>
      <w:r w:rsidR="00183929" w:rsidRPr="00953CA5">
        <w:rPr>
          <w:szCs w:val="18"/>
        </w:rPr>
        <w:t xml:space="preserve">torical success with predicting where specific stakeholder issues </w:t>
      </w:r>
      <w:r w:rsidR="003446EB" w:rsidRPr="00953CA5">
        <w:rPr>
          <w:szCs w:val="18"/>
        </w:rPr>
        <w:t>might</w:t>
      </w:r>
      <w:r w:rsidR="00183929" w:rsidRPr="00171DEA">
        <w:rPr>
          <w:szCs w:val="18"/>
        </w:rPr>
        <w:t xml:space="preserve"> arise. This can place NOPSEMA in a ‘reactive’ position</w:t>
      </w:r>
      <w:r w:rsidR="003446EB" w:rsidRPr="00777C5D">
        <w:rPr>
          <w:szCs w:val="18"/>
        </w:rPr>
        <w:t xml:space="preserve"> </w:t>
      </w:r>
      <w:r w:rsidR="00D770C5">
        <w:rPr>
          <w:szCs w:val="18"/>
        </w:rPr>
        <w:t xml:space="preserve">when responding </w:t>
      </w:r>
      <w:r w:rsidR="003446EB" w:rsidRPr="00777C5D">
        <w:rPr>
          <w:szCs w:val="18"/>
        </w:rPr>
        <w:t xml:space="preserve">to </w:t>
      </w:r>
      <w:r w:rsidR="00D770C5">
        <w:rPr>
          <w:szCs w:val="18"/>
        </w:rPr>
        <w:t>stakeholder concerns</w:t>
      </w:r>
      <w:r w:rsidR="00183929" w:rsidRPr="006C6606">
        <w:rPr>
          <w:szCs w:val="18"/>
        </w:rPr>
        <w:t>. The application of scenario-based communication and engagement planning</w:t>
      </w:r>
      <w:r w:rsidR="00D770C5">
        <w:rPr>
          <w:szCs w:val="18"/>
        </w:rPr>
        <w:t xml:space="preserve"> approaches</w:t>
      </w:r>
      <w:r w:rsidR="00183929" w:rsidRPr="006C6606">
        <w:rPr>
          <w:szCs w:val="18"/>
        </w:rPr>
        <w:t xml:space="preserve"> may assist NOPSEMA management in proactively a</w:t>
      </w:r>
      <w:r w:rsidR="00183929" w:rsidRPr="007F74D3">
        <w:rPr>
          <w:szCs w:val="18"/>
        </w:rPr>
        <w:t>nd rapidly identifying and responding to ‘at risk’ situations before they escalate.</w:t>
      </w:r>
    </w:p>
    <w:tbl>
      <w:tblPr>
        <w:tblStyle w:val="ListTable3-Accent5"/>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183929" w:rsidRPr="0088078F" w14:paraId="659781B0" w14:textId="77777777" w:rsidTr="00D327D4">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000" w:type="pct"/>
            <w:shd w:val="clear" w:color="auto" w:fill="F2F2F2" w:themeFill="background1" w:themeFillShade="F2"/>
            <w:vAlign w:val="center"/>
          </w:tcPr>
          <w:p w14:paraId="6FBDF61C" w14:textId="779C3210" w:rsidR="00183929" w:rsidRPr="00901C7B" w:rsidRDefault="00183929" w:rsidP="008311BC">
            <w:pPr>
              <w:spacing w:before="120" w:after="120"/>
              <w:rPr>
                <w:rFonts w:ascii="Calibri" w:hAnsi="Calibri" w:cs="Calibri"/>
              </w:rPr>
            </w:pPr>
            <w:r w:rsidRPr="00901C7B">
              <w:rPr>
                <w:rFonts w:ascii="Calibri" w:hAnsi="Calibri" w:cs="Calibri"/>
                <w:color w:val="auto"/>
              </w:rPr>
              <w:t xml:space="preserve">The following </w:t>
            </w:r>
            <w:r w:rsidR="003A180F" w:rsidRPr="00901C7B">
              <w:rPr>
                <w:rFonts w:ascii="Calibri" w:hAnsi="Calibri" w:cs="Calibri"/>
                <w:color w:val="auto"/>
              </w:rPr>
              <w:t>recommendations</w:t>
            </w:r>
            <w:r w:rsidRPr="00901C7B">
              <w:rPr>
                <w:rFonts w:ascii="Calibri" w:hAnsi="Calibri" w:cs="Calibri"/>
                <w:color w:val="auto"/>
              </w:rPr>
              <w:t xml:space="preserve"> apply</w:t>
            </w:r>
            <w:r w:rsidR="003A180F" w:rsidRPr="00901C7B">
              <w:rPr>
                <w:rFonts w:ascii="Calibri" w:hAnsi="Calibri" w:cs="Calibri"/>
                <w:color w:val="auto"/>
              </w:rPr>
              <w:t xml:space="preserve"> to </w:t>
            </w:r>
            <w:r w:rsidR="006337D6" w:rsidRPr="00901C7B">
              <w:rPr>
                <w:rFonts w:ascii="Calibri" w:hAnsi="Calibri" w:cs="Calibri"/>
                <w:color w:val="auto"/>
              </w:rPr>
              <w:t>section</w:t>
            </w:r>
            <w:r w:rsidR="003A180F" w:rsidRPr="00901C7B">
              <w:rPr>
                <w:rFonts w:ascii="Calibri" w:hAnsi="Calibri" w:cs="Calibri"/>
                <w:color w:val="auto"/>
              </w:rPr>
              <w:t xml:space="preserve"> 1.3.</w:t>
            </w:r>
            <w:r w:rsidR="008F6425" w:rsidRPr="00901C7B">
              <w:rPr>
                <w:rFonts w:ascii="Calibri" w:hAnsi="Calibri" w:cs="Calibri"/>
                <w:color w:val="auto"/>
              </w:rPr>
              <w:t>4</w:t>
            </w:r>
            <w:r w:rsidRPr="00901C7B">
              <w:rPr>
                <w:rFonts w:ascii="Calibri" w:hAnsi="Calibri" w:cs="Calibri"/>
                <w:color w:val="auto"/>
              </w:rPr>
              <w:t xml:space="preserve">: </w:t>
            </w:r>
            <w:r w:rsidR="006C6E26" w:rsidRPr="00901C7B">
              <w:rPr>
                <w:rFonts w:ascii="Calibri" w:hAnsi="Calibri" w:cs="Calibri"/>
                <w:color w:val="00ABAB"/>
              </w:rPr>
              <w:t xml:space="preserve">1, 2, </w:t>
            </w:r>
            <w:r w:rsidR="00DC2BF6">
              <w:rPr>
                <w:rFonts w:ascii="Calibri" w:hAnsi="Calibri" w:cs="Calibri"/>
                <w:color w:val="00ABAB"/>
              </w:rPr>
              <w:t>17</w:t>
            </w:r>
            <w:r w:rsidR="00291546" w:rsidRPr="009C7150">
              <w:rPr>
                <w:rFonts w:ascii="Calibri" w:hAnsi="Calibri" w:cs="Calibri"/>
                <w:color w:val="00ABAB"/>
              </w:rPr>
              <w:t xml:space="preserve">, </w:t>
            </w:r>
            <w:r w:rsidR="00DC2BF6">
              <w:rPr>
                <w:rFonts w:ascii="Calibri" w:hAnsi="Calibri" w:cs="Calibri"/>
                <w:color w:val="00ABAB"/>
              </w:rPr>
              <w:t>18</w:t>
            </w:r>
            <w:r w:rsidR="00291546" w:rsidRPr="009C7150">
              <w:rPr>
                <w:rFonts w:ascii="Calibri" w:hAnsi="Calibri" w:cs="Calibri"/>
                <w:color w:val="00ABAB"/>
              </w:rPr>
              <w:t>, 19, 20</w:t>
            </w:r>
          </w:p>
        </w:tc>
      </w:tr>
    </w:tbl>
    <w:p w14:paraId="00571DF9" w14:textId="7503769A" w:rsidR="00183929" w:rsidRPr="00586544" w:rsidRDefault="006E2B57" w:rsidP="00784E0E">
      <w:pPr>
        <w:pStyle w:val="Heading3"/>
        <w:numPr>
          <w:ilvl w:val="2"/>
          <w:numId w:val="1"/>
        </w:numPr>
      </w:pPr>
      <w:r>
        <w:t>Adopting</w:t>
      </w:r>
      <w:r w:rsidR="00183929" w:rsidRPr="00586544">
        <w:t xml:space="preserve"> a ‘One Government’</w:t>
      </w:r>
      <w:r w:rsidR="000C7A41">
        <w:t xml:space="preserve"> approach</w:t>
      </w:r>
    </w:p>
    <w:p w14:paraId="24365404" w14:textId="77777777" w:rsidR="006E2B57" w:rsidRPr="00901C7B" w:rsidRDefault="006E2B57" w:rsidP="00901C7B">
      <w:pPr>
        <w:pStyle w:val="Heading3NoNumber"/>
        <w:rPr>
          <w:b w:val="0"/>
        </w:rPr>
      </w:pPr>
      <w:r w:rsidRPr="00901C7B">
        <w:t xml:space="preserve">The various role and functions of the different facets of the offshore legislative framework are not well understood </w:t>
      </w:r>
    </w:p>
    <w:p w14:paraId="5341E097" w14:textId="643EE763" w:rsidR="006E2B57" w:rsidRPr="0088078F" w:rsidRDefault="006E2B57" w:rsidP="00532418">
      <w:pPr>
        <w:spacing w:after="120" w:line="240" w:lineRule="auto"/>
        <w:rPr>
          <w:rFonts w:ascii="Calibri Light" w:eastAsia="Verdana" w:hAnsi="Calibri Light" w:cs="Calibri Light"/>
        </w:rPr>
      </w:pPr>
      <w:r w:rsidRPr="00AC323F">
        <w:rPr>
          <w:rFonts w:ascii="Calibri Light" w:eastAsia="Verdana" w:hAnsi="Calibri Light" w:cs="Calibri Light"/>
        </w:rPr>
        <w:t xml:space="preserve">Through our stakeholder consultation with industry, we identified a lack of understanding of the various roles and responsibilities of the administrative, policy development, regulatory and decision-making arms of the offshore legislative framework. This is a common finding in legislative frameworks, particularly where there is a relatively complex legislative delivery model encompassing multiple entities. Further exacerbating this is </w:t>
      </w:r>
      <w:r w:rsidR="004A46D9">
        <w:rPr>
          <w:rFonts w:ascii="Calibri Light" w:eastAsia="Verdana" w:hAnsi="Calibri Light" w:cs="Calibri Light"/>
        </w:rPr>
        <w:t xml:space="preserve">the </w:t>
      </w:r>
      <w:r w:rsidRPr="00AC323F">
        <w:rPr>
          <w:rFonts w:ascii="Calibri Light" w:eastAsia="Verdana" w:hAnsi="Calibri Light" w:cs="Calibri Light"/>
        </w:rPr>
        <w:t>misalign</w:t>
      </w:r>
      <w:r w:rsidR="007A0B52">
        <w:rPr>
          <w:rFonts w:ascii="Calibri Light" w:eastAsia="Verdana" w:hAnsi="Calibri Light" w:cs="Calibri Light"/>
        </w:rPr>
        <w:t>ed</w:t>
      </w:r>
      <w:r w:rsidRPr="00AC323F">
        <w:rPr>
          <w:rFonts w:ascii="Calibri Light" w:eastAsia="Verdana" w:hAnsi="Calibri Light" w:cs="Calibri Light"/>
        </w:rPr>
        <w:t xml:space="preserve"> and sometimes contradictory understanding of the respective parties’ roles under the offshore legislative framework by other members of the framework. </w:t>
      </w:r>
      <w:r w:rsidR="00681DFD" w:rsidRPr="00901C7B">
        <w:rPr>
          <w:rFonts w:ascii="Calibri Light" w:hAnsi="Calibri Light" w:cs="Calibri Light"/>
        </w:rPr>
        <w:t>W</w:t>
      </w:r>
      <w:r w:rsidRPr="00AC323F">
        <w:rPr>
          <w:rFonts w:ascii="Calibri Light" w:hAnsi="Calibri Light" w:cs="Calibri Light"/>
        </w:rPr>
        <w:t xml:space="preserve">e suggest that the Government take a more active approach to communicating the respective roles and functions of the arms of the regime to its stakeholders and the </w:t>
      </w:r>
      <w:r w:rsidR="002A2294" w:rsidRPr="00901C7B">
        <w:rPr>
          <w:rFonts w:ascii="Calibri Light" w:hAnsi="Calibri Light" w:cs="Calibri Light"/>
        </w:rPr>
        <w:t>community</w:t>
      </w:r>
      <w:r w:rsidRPr="00AC323F">
        <w:rPr>
          <w:rFonts w:ascii="Calibri Light" w:hAnsi="Calibri Light" w:cs="Calibri Light"/>
        </w:rPr>
        <w:t>.</w:t>
      </w:r>
    </w:p>
    <w:p w14:paraId="2151D11B" w14:textId="77777777" w:rsidR="006E2B57" w:rsidRPr="00901C7B" w:rsidRDefault="006E2B57" w:rsidP="00901C7B">
      <w:pPr>
        <w:pStyle w:val="Heading3NoNumber"/>
        <w:rPr>
          <w:b w:val="0"/>
        </w:rPr>
      </w:pPr>
      <w:r w:rsidRPr="00901C7B">
        <w:lastRenderedPageBreak/>
        <w:t xml:space="preserve">A ‘One Government’ approach is required </w:t>
      </w:r>
    </w:p>
    <w:p w14:paraId="5ACFC0E3" w14:textId="77777777" w:rsidR="006E2B57" w:rsidRPr="0088078F" w:rsidRDefault="006E2B57" w:rsidP="00532418">
      <w:pPr>
        <w:spacing w:after="120"/>
        <w:rPr>
          <w:rFonts w:ascii="Calibri Light" w:hAnsi="Calibri Light" w:cs="Calibri Light"/>
        </w:rPr>
      </w:pPr>
      <w:r w:rsidRPr="009750B0">
        <w:rPr>
          <w:rFonts w:ascii="Calibri Light" w:hAnsi="Calibri Light" w:cs="Calibri Light"/>
        </w:rPr>
        <w:t>All arms of the offshor</w:t>
      </w:r>
      <w:r w:rsidRPr="0088078F">
        <w:rPr>
          <w:rFonts w:ascii="Calibri Light" w:hAnsi="Calibri Light" w:cs="Calibri Light"/>
        </w:rPr>
        <w:t>e legislative framework (administrative, policy, regulatory, and decision-making) must work in unison to address the challenges ahead – even where elements remain independent of one another. A cohesive approach and independence are not mutually exclusive outcomes.</w:t>
      </w:r>
    </w:p>
    <w:p w14:paraId="622F771F" w14:textId="3187D9CD" w:rsidR="006E2B57" w:rsidRPr="0088078F" w:rsidRDefault="006E2B57" w:rsidP="00532418">
      <w:pPr>
        <w:spacing w:after="120"/>
        <w:rPr>
          <w:rFonts w:ascii="Calibri Light" w:hAnsi="Calibri Light" w:cs="Calibri Light"/>
        </w:rPr>
      </w:pPr>
      <w:r w:rsidRPr="0088078F">
        <w:rPr>
          <w:rFonts w:ascii="Calibri Light" w:hAnsi="Calibri Light" w:cs="Calibri Light"/>
        </w:rPr>
        <w:t xml:space="preserve">There have been improvements to NOPTA’s and NOPSEMA’s collaboration and coordination across the review period. Example actions implemented by NOPTA and NOPSEMA include joint meetings with titleholders on areas of regulatory overlap, co-location of personnel, sharing of capabilities, and seconding staff where appropriate. </w:t>
      </w:r>
      <w:r w:rsidR="00E8666A">
        <w:rPr>
          <w:rFonts w:ascii="Calibri Light" w:hAnsi="Calibri Light" w:cs="Calibri Light"/>
        </w:rPr>
        <w:t xml:space="preserve">However, </w:t>
      </w:r>
      <w:r w:rsidRPr="0088078F">
        <w:rPr>
          <w:rFonts w:ascii="Calibri Light" w:hAnsi="Calibri Light" w:cs="Calibri Light"/>
        </w:rPr>
        <w:t xml:space="preserve">NOPTA and NOPSEMA could work together more effectively to share knowledge, coordinate on strategic matters of industry significance, and break down information silos. </w:t>
      </w:r>
    </w:p>
    <w:p w14:paraId="51F9C8C9" w14:textId="17D3D1BF" w:rsidR="006E2B57" w:rsidRPr="0088078F" w:rsidRDefault="006E2B57" w:rsidP="00532418">
      <w:pPr>
        <w:spacing w:after="120"/>
        <w:rPr>
          <w:rFonts w:ascii="Calibri Light" w:hAnsi="Calibri Light" w:cs="Calibri Light"/>
        </w:rPr>
      </w:pPr>
      <w:r w:rsidRPr="0088078F">
        <w:rPr>
          <w:rFonts w:ascii="Calibri Light" w:hAnsi="Calibri Light" w:cs="Calibri Light"/>
        </w:rPr>
        <w:t>We have observed a degree of deviation between the various arms over understanding in roles and responsibilities and, in some instances, interpretations of the OPGGS Act. These inconsistencies within the framework do not support effective and efficient outcomes and may serve to perpetuate misconceptions by stakeholders in the various roles of each party. We recommend the pursuit of greater alignment between the facets of the offshore legislative framework.</w:t>
      </w:r>
    </w:p>
    <w:p w14:paraId="7698AFC4" w14:textId="558E930C" w:rsidR="006E2B57" w:rsidRPr="0088078F" w:rsidRDefault="006E2B57" w:rsidP="006E2B57">
      <w:pPr>
        <w:spacing w:after="120"/>
        <w:rPr>
          <w:rFonts w:ascii="Calibri Light" w:hAnsi="Calibri Light" w:cs="Calibri Light"/>
        </w:rPr>
      </w:pPr>
      <w:r w:rsidRPr="0088078F">
        <w:rPr>
          <w:rFonts w:ascii="Calibri Light" w:hAnsi="Calibri Light" w:cs="Calibri Light"/>
        </w:rPr>
        <w:t xml:space="preserve">A clear theme emerged that </w:t>
      </w:r>
      <w:r w:rsidR="001D4CE9" w:rsidRPr="00901C7B">
        <w:rPr>
          <w:rFonts w:ascii="Calibri Light" w:hAnsi="Calibri Light" w:cs="Calibri Light"/>
        </w:rPr>
        <w:t xml:space="preserve">NOPSEMA and its state regulator counterparts </w:t>
      </w:r>
      <w:r w:rsidR="00363960" w:rsidRPr="00901C7B">
        <w:rPr>
          <w:rFonts w:ascii="Calibri Light" w:hAnsi="Calibri Light" w:cs="Calibri Light"/>
        </w:rPr>
        <w:t>are limited in the information and data they can exchange. While we understand appropriate limitations need to be applied</w:t>
      </w:r>
      <w:r w:rsidRPr="00901C7B">
        <w:rPr>
          <w:rFonts w:ascii="Calibri Light" w:hAnsi="Calibri Light" w:cs="Calibri Light"/>
        </w:rPr>
        <w:t xml:space="preserve"> to the </w:t>
      </w:r>
      <w:r w:rsidR="00363960" w:rsidRPr="00901C7B">
        <w:rPr>
          <w:rFonts w:ascii="Calibri Light" w:hAnsi="Calibri Light" w:cs="Calibri Light"/>
        </w:rPr>
        <w:t>types of information and data that cannot be shared, we con</w:t>
      </w:r>
      <w:r w:rsidR="00C838A2" w:rsidRPr="00901C7B">
        <w:rPr>
          <w:rFonts w:ascii="Calibri Light" w:hAnsi="Calibri Light" w:cs="Calibri Light"/>
        </w:rPr>
        <w:t>sider further sharing of data and information on matters such as risks and trends would be of benefit.</w:t>
      </w:r>
      <w:r w:rsidRPr="009750B0">
        <w:rPr>
          <w:rFonts w:ascii="Calibri Light" w:hAnsi="Calibri Light" w:cs="Calibri Light"/>
        </w:rPr>
        <w:t xml:space="preserve"> </w:t>
      </w:r>
      <w:r w:rsidRPr="00EF3405">
        <w:rPr>
          <w:rFonts w:ascii="Calibri Light" w:hAnsi="Calibri Light" w:cs="Calibri Light"/>
        </w:rPr>
        <w:t xml:space="preserve">Current </w:t>
      </w:r>
      <w:r w:rsidR="00EF3405" w:rsidRPr="00EF3405">
        <w:rPr>
          <w:rFonts w:ascii="Calibri Light" w:hAnsi="Calibri Light" w:cs="Calibri Light"/>
        </w:rPr>
        <w:t>arrangements</w:t>
      </w:r>
      <w:r w:rsidRPr="00EF3405">
        <w:rPr>
          <w:rFonts w:ascii="Calibri Light" w:hAnsi="Calibri Light" w:cs="Calibri Light"/>
        </w:rPr>
        <w:t xml:space="preserve"> are </w:t>
      </w:r>
      <w:r w:rsidRPr="009750B0">
        <w:rPr>
          <w:rFonts w:ascii="Calibri Light" w:hAnsi="Calibri Light" w:cs="Calibri Light"/>
        </w:rPr>
        <w:t xml:space="preserve">not pragmatic or supportive of a cohesive application of policy or regulation. There is a risk </w:t>
      </w:r>
      <w:r w:rsidRPr="0088078F">
        <w:rPr>
          <w:rFonts w:ascii="Calibri Light" w:hAnsi="Calibri Light" w:cs="Calibri Light"/>
        </w:rPr>
        <w:t xml:space="preserve">of disconnect of regulatory and policy application, missed policy improvement benefits, and inefficiencies with the current siloed approach. Exchange of data and information is the foundation of any successful partnership. We recommend that the Government identify and address these barriers, applying an outcome-based approach in determining the scope of data to be exchanged, whilst still protecting mandatory privacy and commercial sensitivity requirements. </w:t>
      </w:r>
    </w:p>
    <w:tbl>
      <w:tblPr>
        <w:tblStyle w:val="ListTable3-Accent5"/>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183929" w:rsidRPr="007906AC" w14:paraId="13BF6895" w14:textId="77777777" w:rsidTr="00D327D4">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000" w:type="pct"/>
            <w:shd w:val="clear" w:color="auto" w:fill="F2F2F2" w:themeFill="background1" w:themeFillShade="F2"/>
            <w:vAlign w:val="center"/>
          </w:tcPr>
          <w:p w14:paraId="221ED433" w14:textId="75DCD7F6" w:rsidR="00183929" w:rsidRPr="00901C7B" w:rsidRDefault="00183929" w:rsidP="008311BC">
            <w:pPr>
              <w:spacing w:before="120" w:after="120"/>
              <w:rPr>
                <w:rFonts w:ascii="Calibri" w:hAnsi="Calibri" w:cs="Calibri"/>
              </w:rPr>
            </w:pPr>
            <w:r w:rsidRPr="00901C7B">
              <w:rPr>
                <w:rFonts w:ascii="Calibri" w:hAnsi="Calibri" w:cs="Calibri"/>
                <w:color w:val="auto"/>
              </w:rPr>
              <w:t xml:space="preserve">The following </w:t>
            </w:r>
            <w:r w:rsidR="003A180F" w:rsidRPr="00901C7B">
              <w:rPr>
                <w:rFonts w:ascii="Calibri" w:hAnsi="Calibri" w:cs="Calibri"/>
                <w:color w:val="auto"/>
              </w:rPr>
              <w:t>recommendation</w:t>
            </w:r>
            <w:r w:rsidR="00D521C3">
              <w:rPr>
                <w:rFonts w:ascii="Calibri" w:hAnsi="Calibri" w:cs="Calibri"/>
                <w:color w:val="auto"/>
              </w:rPr>
              <w:t>s</w:t>
            </w:r>
            <w:r w:rsidRPr="00901C7B">
              <w:rPr>
                <w:rFonts w:ascii="Calibri" w:hAnsi="Calibri" w:cs="Calibri"/>
                <w:color w:val="auto"/>
              </w:rPr>
              <w:t xml:space="preserve"> appl</w:t>
            </w:r>
            <w:r w:rsidR="59BCAF7C" w:rsidRPr="00901C7B">
              <w:rPr>
                <w:rFonts w:ascii="Calibri" w:hAnsi="Calibri" w:cs="Calibri"/>
                <w:color w:val="auto"/>
              </w:rPr>
              <w:t>ies</w:t>
            </w:r>
            <w:r w:rsidR="003A180F" w:rsidRPr="00901C7B">
              <w:rPr>
                <w:rFonts w:ascii="Calibri" w:hAnsi="Calibri" w:cs="Calibri"/>
                <w:color w:val="auto"/>
              </w:rPr>
              <w:t xml:space="preserve"> to </w:t>
            </w:r>
            <w:r w:rsidR="006337D6" w:rsidRPr="00901C7B">
              <w:rPr>
                <w:rFonts w:ascii="Calibri" w:hAnsi="Calibri" w:cs="Calibri"/>
                <w:color w:val="auto"/>
              </w:rPr>
              <w:t>section</w:t>
            </w:r>
            <w:r w:rsidR="003A180F" w:rsidRPr="00901C7B">
              <w:rPr>
                <w:rFonts w:ascii="Calibri" w:hAnsi="Calibri" w:cs="Calibri"/>
                <w:color w:val="auto"/>
              </w:rPr>
              <w:t xml:space="preserve"> 1.3.</w:t>
            </w:r>
            <w:r w:rsidR="008F6425" w:rsidRPr="00901C7B">
              <w:rPr>
                <w:rFonts w:ascii="Calibri" w:hAnsi="Calibri" w:cs="Calibri"/>
                <w:color w:val="auto"/>
              </w:rPr>
              <w:t>5</w:t>
            </w:r>
            <w:r w:rsidRPr="00901C7B">
              <w:rPr>
                <w:rFonts w:ascii="Calibri" w:hAnsi="Calibri" w:cs="Calibri"/>
                <w:color w:val="auto"/>
              </w:rPr>
              <w:t xml:space="preserve">: </w:t>
            </w:r>
            <w:r w:rsidR="00AE6646">
              <w:rPr>
                <w:rFonts w:ascii="Calibri" w:hAnsi="Calibri" w:cs="Calibri"/>
                <w:color w:val="00ABAB"/>
              </w:rPr>
              <w:t>2</w:t>
            </w:r>
            <w:r w:rsidR="00DC2BF6">
              <w:rPr>
                <w:rFonts w:ascii="Calibri" w:hAnsi="Calibri" w:cs="Calibri"/>
                <w:color w:val="00ABAB"/>
              </w:rPr>
              <w:t>1</w:t>
            </w:r>
            <w:r w:rsidR="00AE6646">
              <w:rPr>
                <w:rFonts w:ascii="Calibri" w:hAnsi="Calibri" w:cs="Calibri"/>
                <w:color w:val="00ABAB"/>
              </w:rPr>
              <w:t>, 2</w:t>
            </w:r>
            <w:r w:rsidR="00DC2BF6">
              <w:rPr>
                <w:rFonts w:ascii="Calibri" w:hAnsi="Calibri" w:cs="Calibri"/>
                <w:color w:val="00ABAB"/>
              </w:rPr>
              <w:t>2</w:t>
            </w:r>
          </w:p>
        </w:tc>
      </w:tr>
    </w:tbl>
    <w:p w14:paraId="2807C5E6" w14:textId="7A67474F" w:rsidR="00226853" w:rsidRDefault="00226853" w:rsidP="00784E0E">
      <w:pPr>
        <w:pStyle w:val="Heading3"/>
      </w:pPr>
      <w:r>
        <w:t xml:space="preserve">Exploration of </w:t>
      </w:r>
      <w:r w:rsidR="00DB1A7D">
        <w:t xml:space="preserve">a </w:t>
      </w:r>
      <w:bookmarkStart w:id="8" w:name="_Hlk58574071"/>
      <w:r w:rsidR="00DB1A7D">
        <w:t>unified offshore resources regulator and administrator</w:t>
      </w:r>
      <w:bookmarkEnd w:id="8"/>
    </w:p>
    <w:p w14:paraId="4F032A27" w14:textId="6D64B60A" w:rsidR="00F119DC" w:rsidRPr="00901C7B" w:rsidRDefault="00F119DC" w:rsidP="00901C7B">
      <w:pPr>
        <w:pStyle w:val="Heading3NoNumber"/>
        <w:rPr>
          <w:b w:val="0"/>
        </w:rPr>
      </w:pPr>
      <w:r w:rsidRPr="00901C7B">
        <w:t>Exploration of a unified model could be given but governance challenges in managing conflicting regulatory purviews must be addressed</w:t>
      </w:r>
    </w:p>
    <w:p w14:paraId="6ABD1132" w14:textId="04F71A25" w:rsidR="00891707" w:rsidRPr="0088078F" w:rsidRDefault="00891707" w:rsidP="00891707">
      <w:pPr>
        <w:spacing w:after="120" w:line="240" w:lineRule="auto"/>
        <w:rPr>
          <w:rFonts w:ascii="Calibri Light" w:hAnsi="Calibri Light" w:cs="Calibri Light"/>
        </w:rPr>
      </w:pPr>
      <w:r w:rsidRPr="009750B0">
        <w:rPr>
          <w:rFonts w:ascii="Calibri Light" w:hAnsi="Calibri Light" w:cs="Calibri Light"/>
        </w:rPr>
        <w:t>An obvious question is whether the current offshore model that separates the administrative functions of NOPTA from the regulatory functions of</w:t>
      </w:r>
      <w:r w:rsidRPr="0088078F" w:rsidDel="00E35983">
        <w:rPr>
          <w:rFonts w:ascii="Calibri Light" w:hAnsi="Calibri Light" w:cs="Calibri Light"/>
        </w:rPr>
        <w:t xml:space="preserve"> </w:t>
      </w:r>
      <w:r w:rsidRPr="0088078F">
        <w:rPr>
          <w:rFonts w:ascii="Calibri Light" w:hAnsi="Calibri Light" w:cs="Calibri Light"/>
        </w:rPr>
        <w:t xml:space="preserve">NOPSEMA, remains fit-for-purpose in responding to change and delivering the collaboration and coordination required for the industry. The establishment of a unified offshore resources model by moving NOPTA from </w:t>
      </w:r>
      <w:r w:rsidR="00384BA7">
        <w:rPr>
          <w:rFonts w:ascii="Calibri Light" w:hAnsi="Calibri Light" w:cs="Calibri Light"/>
        </w:rPr>
        <w:t>DISER</w:t>
      </w:r>
      <w:r w:rsidRPr="0088078F">
        <w:rPr>
          <w:rFonts w:ascii="Calibri Light" w:hAnsi="Calibri Light" w:cs="Calibri Light"/>
        </w:rPr>
        <w:t xml:space="preserve"> into NOPSEMA would align to the recommendation for a single national offshore regulator made by the </w:t>
      </w:r>
      <w:r w:rsidRPr="00901C7B">
        <w:rPr>
          <w:rFonts w:ascii="Calibri Light" w:hAnsi="Calibri Light"/>
        </w:rPr>
        <w:t xml:space="preserve">2009 Productivity Commission </w:t>
      </w:r>
      <w:r w:rsidRPr="00901C7B">
        <w:rPr>
          <w:rFonts w:ascii="Calibri Light" w:hAnsi="Calibri Light"/>
          <w:i/>
        </w:rPr>
        <w:t>Review of the Regulatory Burden on the Upstream Petroleum (Oil and Gas) Industry</w:t>
      </w:r>
      <w:r w:rsidRPr="00901C7B">
        <w:rPr>
          <w:rFonts w:ascii="Calibri Light" w:hAnsi="Calibri Light"/>
        </w:rPr>
        <w:t xml:space="preserve"> (</w:t>
      </w:r>
      <w:r w:rsidRPr="00901C7B">
        <w:rPr>
          <w:rFonts w:ascii="Calibri Light" w:hAnsi="Calibri Light"/>
          <w:b/>
        </w:rPr>
        <w:t>2009</w:t>
      </w:r>
      <w:r w:rsidRPr="00901C7B">
        <w:rPr>
          <w:rFonts w:ascii="Calibri Light" w:hAnsi="Calibri Light"/>
        </w:rPr>
        <w:t xml:space="preserve"> </w:t>
      </w:r>
      <w:r w:rsidRPr="00901C7B">
        <w:rPr>
          <w:rFonts w:ascii="Calibri Light" w:hAnsi="Calibri Light"/>
          <w:b/>
        </w:rPr>
        <w:t>Productivity Commission Review</w:t>
      </w:r>
      <w:r w:rsidRPr="00901C7B">
        <w:rPr>
          <w:rFonts w:ascii="Calibri Light" w:hAnsi="Calibri Light"/>
        </w:rPr>
        <w:t xml:space="preserve">) </w:t>
      </w:r>
      <w:r w:rsidRPr="009750B0">
        <w:rPr>
          <w:rFonts w:ascii="Calibri Light" w:hAnsi="Calibri Light" w:cs="Calibri Light"/>
        </w:rPr>
        <w:t>and result in a more cohesive regulatory landscape.</w:t>
      </w:r>
    </w:p>
    <w:p w14:paraId="7249981B" w14:textId="77777777" w:rsidR="00891707" w:rsidRPr="0088078F" w:rsidRDefault="00891707" w:rsidP="00891707">
      <w:pPr>
        <w:spacing w:after="120" w:line="240" w:lineRule="auto"/>
        <w:rPr>
          <w:rFonts w:ascii="Calibri Light" w:hAnsi="Calibri Light" w:cs="Calibri Light"/>
        </w:rPr>
      </w:pPr>
      <w:r w:rsidRPr="0088078F">
        <w:rPr>
          <w:rFonts w:ascii="Calibri Light" w:hAnsi="Calibri Light" w:cs="Calibri Light"/>
        </w:rPr>
        <w:t xml:space="preserve">Conversely, there are strong arguments as to why NOPTA and NOPSEMA were established as separate entities. The primary reason being to avoid actual or perceived conflicts of interest and ensure there is a distinct separation between the administration and assessment of titles applications (NOPTA), the decision makers (the Joint Authorities) and </w:t>
      </w:r>
      <w:r w:rsidRPr="0088078F" w:rsidDel="00E35983">
        <w:rPr>
          <w:rFonts w:ascii="Calibri Light" w:hAnsi="Calibri Light" w:cs="Calibri Light"/>
        </w:rPr>
        <w:t xml:space="preserve">the </w:t>
      </w:r>
      <w:r w:rsidRPr="0088078F">
        <w:rPr>
          <w:rFonts w:ascii="Calibri Light" w:hAnsi="Calibri Light" w:cs="Calibri Light"/>
        </w:rPr>
        <w:t>regulatory objectives for safety, well integrity and the environment (NOPSEMA). This argument is in line with the Hon Lord Cullen’s report into the 1988 Piper Alpha Disaster. International precedent for offshore petroleum regulatory frameworks is generally to have separate administration and licencing from health, safety, and environmental matters (e.g. the United Kingdom and Norway) but this is not universal (e.g. in the case of the Canada-Newfoundland &amp; Labrador Offshore Petroleum Board (</w:t>
      </w:r>
      <w:r w:rsidRPr="0088078F">
        <w:rPr>
          <w:rFonts w:ascii="Calibri Light" w:hAnsi="Calibri Light" w:cs="Calibri Light"/>
          <w:b/>
        </w:rPr>
        <w:t>C-NLOPB</w:t>
      </w:r>
      <w:r w:rsidRPr="0088078F">
        <w:rPr>
          <w:rFonts w:ascii="Calibri Light" w:hAnsi="Calibri Light" w:cs="Calibri Light"/>
        </w:rPr>
        <w:t xml:space="preserve">)). </w:t>
      </w:r>
    </w:p>
    <w:p w14:paraId="0C5D480F" w14:textId="077A98D7" w:rsidR="00891707" w:rsidRPr="0088078F" w:rsidRDefault="00891707" w:rsidP="00891707">
      <w:pPr>
        <w:spacing w:after="120" w:line="240" w:lineRule="auto"/>
        <w:rPr>
          <w:rFonts w:ascii="Calibri Light" w:hAnsi="Calibri Light" w:cs="Calibri Light"/>
        </w:rPr>
      </w:pPr>
      <w:r w:rsidRPr="0088078F">
        <w:rPr>
          <w:rFonts w:ascii="Calibri Light" w:hAnsi="Calibri Light" w:cs="Calibri Light"/>
        </w:rPr>
        <w:t>A unified offshore resources model would need to establish appropriate mechanisms for addressing such concerns. That said, should NOPTA take a more influential and proactive role in relation to resources management</w:t>
      </w:r>
      <w:r w:rsidR="00601603">
        <w:rPr>
          <w:rFonts w:ascii="Calibri Light" w:hAnsi="Calibri Light" w:cs="Calibri Light"/>
        </w:rPr>
        <w:t xml:space="preserve"> (as we recommend in our </w:t>
      </w:r>
      <w:r w:rsidR="00601603" w:rsidRPr="00901C7B">
        <w:rPr>
          <w:rFonts w:ascii="Calibri Light" w:hAnsi="Calibri Light" w:cs="Calibri Light"/>
          <w:i/>
          <w:iCs/>
        </w:rPr>
        <w:t>2020 Statutory Review of the National Offshore Petroleum Titles Administrator</w:t>
      </w:r>
      <w:r w:rsidR="00601603">
        <w:rPr>
          <w:rFonts w:ascii="Calibri Light" w:hAnsi="Calibri Light" w:cs="Calibri Light"/>
        </w:rPr>
        <w:t>)</w:t>
      </w:r>
      <w:r w:rsidRPr="0088078F">
        <w:rPr>
          <w:rFonts w:ascii="Calibri Light" w:hAnsi="Calibri Light" w:cs="Calibri Light"/>
        </w:rPr>
        <w:t>, the need for clear delineation of functions will become more, not less, important.</w:t>
      </w:r>
    </w:p>
    <w:p w14:paraId="7DAEFA90" w14:textId="73F6214C" w:rsidR="003A180F" w:rsidRPr="00096BC3" w:rsidRDefault="00891707" w:rsidP="00901C7B">
      <w:r w:rsidRPr="0088078F">
        <w:rPr>
          <w:rFonts w:ascii="Calibri Light" w:hAnsi="Calibri Light" w:cs="Calibri Light"/>
        </w:rPr>
        <w:t xml:space="preserve">While we have not taken a position on the question of whether a unified offshore resources model should be established by moving NOPTA from DISER into NOPSEMA – as it requires analysis beyond the scope of the current report – </w:t>
      </w:r>
      <w:r w:rsidR="00A6159E">
        <w:rPr>
          <w:rFonts w:ascii="Calibri Light" w:hAnsi="Calibri Light" w:cs="Calibri Light"/>
        </w:rPr>
        <w:t>there is</w:t>
      </w:r>
      <w:r w:rsidRPr="0088078F">
        <w:rPr>
          <w:rFonts w:ascii="Calibri Light" w:hAnsi="Calibri Light" w:cs="Calibri Light"/>
        </w:rPr>
        <w:t xml:space="preserve"> merit in the concept being explored further and recommend the Government considers the appropriateness of this. We also note that the balance of our recommendations are made on the assumption that the status quo model remains in place.</w:t>
      </w:r>
    </w:p>
    <w:tbl>
      <w:tblPr>
        <w:tblStyle w:val="ListTable3-Accent5"/>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183929" w:rsidRPr="0088078F" w14:paraId="09456EB5" w14:textId="77777777" w:rsidTr="00D327D4">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000" w:type="pct"/>
            <w:shd w:val="clear" w:color="auto" w:fill="F2F2F2" w:themeFill="background1" w:themeFillShade="F2"/>
            <w:vAlign w:val="center"/>
          </w:tcPr>
          <w:p w14:paraId="5484E4AC" w14:textId="616FE7E2" w:rsidR="00183929" w:rsidRPr="00901C7B" w:rsidRDefault="00183929" w:rsidP="00C95CDF">
            <w:pPr>
              <w:spacing w:before="120" w:after="120"/>
              <w:rPr>
                <w:rFonts w:ascii="Calibri" w:hAnsi="Calibri" w:cs="Calibri"/>
              </w:rPr>
            </w:pPr>
            <w:r w:rsidRPr="00901C7B">
              <w:rPr>
                <w:rFonts w:ascii="Calibri" w:hAnsi="Calibri" w:cs="Calibri"/>
                <w:color w:val="auto"/>
              </w:rPr>
              <w:t>The following recommendation appl</w:t>
            </w:r>
            <w:r w:rsidR="37594FEF" w:rsidRPr="00901C7B">
              <w:rPr>
                <w:rFonts w:ascii="Calibri" w:hAnsi="Calibri" w:cs="Calibri"/>
                <w:color w:val="auto"/>
              </w:rPr>
              <w:t>ies</w:t>
            </w:r>
            <w:r w:rsidR="003A180F" w:rsidRPr="00901C7B">
              <w:rPr>
                <w:rFonts w:ascii="Calibri" w:hAnsi="Calibri" w:cs="Calibri"/>
                <w:color w:val="auto"/>
              </w:rPr>
              <w:t xml:space="preserve"> to </w:t>
            </w:r>
            <w:r w:rsidR="006337D6" w:rsidRPr="00901C7B">
              <w:rPr>
                <w:rFonts w:ascii="Calibri" w:hAnsi="Calibri" w:cs="Calibri"/>
                <w:color w:val="auto"/>
              </w:rPr>
              <w:t>section</w:t>
            </w:r>
            <w:r w:rsidR="003A180F" w:rsidRPr="00901C7B">
              <w:rPr>
                <w:rFonts w:ascii="Calibri" w:hAnsi="Calibri" w:cs="Calibri"/>
                <w:color w:val="auto"/>
              </w:rPr>
              <w:t xml:space="preserve"> 1.3.</w:t>
            </w:r>
            <w:r w:rsidR="008F6425" w:rsidRPr="00901C7B">
              <w:rPr>
                <w:rFonts w:ascii="Calibri" w:hAnsi="Calibri" w:cs="Calibri"/>
                <w:color w:val="auto"/>
              </w:rPr>
              <w:t>6</w:t>
            </w:r>
            <w:r w:rsidRPr="00901C7B">
              <w:rPr>
                <w:rFonts w:ascii="Calibri" w:hAnsi="Calibri" w:cs="Calibri"/>
                <w:color w:val="auto"/>
              </w:rPr>
              <w:t xml:space="preserve">: </w:t>
            </w:r>
            <w:r w:rsidR="00474E29" w:rsidRPr="00901C7B">
              <w:rPr>
                <w:rFonts w:ascii="Calibri" w:hAnsi="Calibri" w:cs="Calibri"/>
                <w:color w:val="00ABAB"/>
              </w:rPr>
              <w:t>2</w:t>
            </w:r>
            <w:r w:rsidR="00DC2BF6">
              <w:rPr>
                <w:rFonts w:ascii="Calibri" w:hAnsi="Calibri" w:cs="Calibri"/>
                <w:color w:val="00ABAB"/>
              </w:rPr>
              <w:t>4</w:t>
            </w:r>
          </w:p>
        </w:tc>
      </w:tr>
    </w:tbl>
    <w:p w14:paraId="7A1839D1" w14:textId="0B5F8150" w:rsidR="005F78D6" w:rsidRPr="00CD5AFE" w:rsidRDefault="005F78D6" w:rsidP="00465219">
      <w:pPr>
        <w:pStyle w:val="Heading3"/>
      </w:pPr>
      <w:r w:rsidRPr="00342350">
        <w:lastRenderedPageBreak/>
        <w:t>Endorsed Program under the EPBC Act</w:t>
      </w:r>
      <w:r w:rsidR="00322C02">
        <w:t xml:space="preserve"> – 2020 Endorsed Program Assessment</w:t>
      </w:r>
    </w:p>
    <w:p w14:paraId="381AA02F" w14:textId="77777777" w:rsidR="005F78D6" w:rsidRPr="00EB629F" w:rsidRDefault="005F78D6" w:rsidP="005F78D6">
      <w:pPr>
        <w:pStyle w:val="Heading3NoNumber"/>
      </w:pPr>
      <w:r w:rsidRPr="00EB629F">
        <w:t xml:space="preserve">NOPSEMA </w:t>
      </w:r>
      <w:r w:rsidRPr="0015526E">
        <w:t xml:space="preserve">is </w:t>
      </w:r>
      <w:r w:rsidRPr="00EB629F">
        <w:t xml:space="preserve">achieving the objective of the Endorsed Program under the EPBC Act </w:t>
      </w:r>
    </w:p>
    <w:p w14:paraId="19759755" w14:textId="77777777" w:rsidR="00F461F8" w:rsidRDefault="00F461F8" w:rsidP="00F461F8">
      <w:pPr>
        <w:rPr>
          <w:rFonts w:ascii="Calibri Light" w:hAnsi="Calibri Light" w:cs="Calibri Light"/>
        </w:rPr>
      </w:pPr>
      <w:r w:rsidRPr="000D5384">
        <w:rPr>
          <w:rFonts w:ascii="Calibri Light" w:hAnsi="Calibri Light" w:cs="Calibri Light"/>
        </w:rPr>
        <w:t>Our assessment has found NOPSEMA to be</w:t>
      </w:r>
      <w:r w:rsidRPr="000D5384" w:rsidDel="00EF3EF3">
        <w:rPr>
          <w:rFonts w:ascii="Calibri Light" w:hAnsi="Calibri Light" w:cs="Calibri Light"/>
        </w:rPr>
        <w:t xml:space="preserve"> </w:t>
      </w:r>
      <w:r w:rsidR="00653A0D">
        <w:rPr>
          <w:rFonts w:ascii="Calibri Light" w:hAnsi="Calibri Light" w:cs="Calibri Light"/>
        </w:rPr>
        <w:t>meeting</w:t>
      </w:r>
      <w:r w:rsidRPr="000D5384">
        <w:rPr>
          <w:rFonts w:ascii="Calibri Light" w:hAnsi="Calibri Light" w:cs="Calibri Light"/>
        </w:rPr>
        <w:t xml:space="preserve"> its obligations in administering the streamlined Endorsed Program under the EPBC Act. </w:t>
      </w:r>
      <w:r>
        <w:rPr>
          <w:rFonts w:ascii="Calibri Light" w:hAnsi="Calibri Light" w:cs="Calibri Light"/>
        </w:rPr>
        <w:t>We have found:</w:t>
      </w:r>
    </w:p>
    <w:p w14:paraId="4F3B6355" w14:textId="77777777" w:rsidR="00C471A8" w:rsidRDefault="00C471A8" w:rsidP="00C471A8">
      <w:pPr>
        <w:pStyle w:val="BodycopyNEW0"/>
        <w:numPr>
          <w:ilvl w:val="0"/>
          <w:numId w:val="23"/>
        </w:numPr>
        <w:ind w:left="378"/>
        <w:rPr>
          <w:rFonts w:cs="Calibri Light"/>
        </w:rPr>
      </w:pPr>
      <w:r>
        <w:rPr>
          <w:rFonts w:cs="Calibri Light"/>
        </w:rPr>
        <w:t>NOPSEMA is adhering to the Objects of the OPGGS (Environment) Regulations. Specifically, NOPSEMA aligns to the five principles of ecologically sustainable development (</w:t>
      </w:r>
      <w:r w:rsidRPr="00884940">
        <w:rPr>
          <w:rFonts w:cs="Calibri Light"/>
          <w:b/>
          <w:bCs/>
        </w:rPr>
        <w:t>ESD</w:t>
      </w:r>
      <w:r>
        <w:rPr>
          <w:rFonts w:cs="Calibri Light"/>
        </w:rPr>
        <w:t xml:space="preserve">) and seeks to ensure activities are carried out by titleholders in a manner that reduces environmental impacts to </w:t>
      </w:r>
      <w:r w:rsidRPr="00762164">
        <w:rPr>
          <w:rFonts w:cs="Calibri Light"/>
        </w:rPr>
        <w:t>‘As Low As Reasonably Practicable’ (</w:t>
      </w:r>
      <w:r w:rsidRPr="00884940">
        <w:rPr>
          <w:rFonts w:cs="Calibri Light"/>
          <w:b/>
          <w:bCs/>
        </w:rPr>
        <w:t>ALARP</w:t>
      </w:r>
      <w:r w:rsidRPr="00762164">
        <w:rPr>
          <w:rFonts w:cs="Calibri Light"/>
        </w:rPr>
        <w:t>) and ‘acceptable’</w:t>
      </w:r>
      <w:r>
        <w:rPr>
          <w:rFonts w:cs="Calibri Light"/>
        </w:rPr>
        <w:t xml:space="preserve"> levels</w:t>
      </w:r>
    </w:p>
    <w:p w14:paraId="345E8A59" w14:textId="77777777" w:rsidR="00C471A8" w:rsidRPr="00486B65" w:rsidRDefault="00C471A8" w:rsidP="00C471A8">
      <w:pPr>
        <w:pStyle w:val="BodycopyNEW0"/>
        <w:numPr>
          <w:ilvl w:val="0"/>
          <w:numId w:val="23"/>
        </w:numPr>
        <w:ind w:left="378"/>
        <w:rPr>
          <w:rFonts w:cs="Calibri Light"/>
        </w:rPr>
      </w:pPr>
      <w:r w:rsidRPr="00390EDC">
        <w:rPr>
          <w:rFonts w:cs="Calibri Light"/>
        </w:rPr>
        <w:t xml:space="preserve">NOPSEMA </w:t>
      </w:r>
      <w:r>
        <w:rPr>
          <w:rFonts w:cs="Calibri Light"/>
        </w:rPr>
        <w:t>is</w:t>
      </w:r>
      <w:r w:rsidRPr="00390EDC">
        <w:rPr>
          <w:rFonts w:cs="Calibri Light"/>
        </w:rPr>
        <w:t xml:space="preserve"> meeting all of </w:t>
      </w:r>
      <w:r w:rsidRPr="00486B65">
        <w:rPr>
          <w:rFonts w:cs="Calibri Light"/>
        </w:rPr>
        <w:t xml:space="preserve">its commitments and outcomes specified under the Endorsed Program </w:t>
      </w:r>
      <w:r>
        <w:rPr>
          <w:rFonts w:cs="Calibri Light"/>
        </w:rPr>
        <w:t xml:space="preserve">so </w:t>
      </w:r>
      <w:r w:rsidRPr="00486B65">
        <w:rPr>
          <w:rFonts w:cs="Calibri Light"/>
        </w:rPr>
        <w:t>that environmental impacts on protected matters (as defined in Part 3 of the EPBC Act) are not unacceptable</w:t>
      </w:r>
    </w:p>
    <w:p w14:paraId="29EE4356" w14:textId="77777777" w:rsidR="00F461F8" w:rsidRDefault="00F461F8" w:rsidP="00C471A8">
      <w:pPr>
        <w:pStyle w:val="BodycopyNEW0"/>
        <w:numPr>
          <w:ilvl w:val="0"/>
          <w:numId w:val="23"/>
        </w:numPr>
        <w:ind w:left="378"/>
        <w:rPr>
          <w:rFonts w:cs="Calibri Light"/>
        </w:rPr>
      </w:pPr>
      <w:r w:rsidRPr="000C3CE3">
        <w:rPr>
          <w:szCs w:val="18"/>
        </w:rPr>
        <w:t>NOPSEMA</w:t>
      </w:r>
      <w:r>
        <w:rPr>
          <w:rFonts w:cs="Calibri Light"/>
        </w:rPr>
        <w:t xml:space="preserve"> </w:t>
      </w:r>
      <w:r w:rsidR="00C471A8">
        <w:rPr>
          <w:rFonts w:cs="Calibri Light"/>
        </w:rPr>
        <w:t>is</w:t>
      </w:r>
      <w:r>
        <w:rPr>
          <w:rFonts w:cs="Calibri Light"/>
        </w:rPr>
        <w:t xml:space="preserve"> appropriately implementing continuous improvement opportunities identified through prior reviews</w:t>
      </w:r>
    </w:p>
    <w:p w14:paraId="349A0D44" w14:textId="77777777" w:rsidR="00F461F8" w:rsidRDefault="00F461F8" w:rsidP="00C471A8">
      <w:pPr>
        <w:pStyle w:val="BodycopyNEW0"/>
        <w:numPr>
          <w:ilvl w:val="0"/>
          <w:numId w:val="23"/>
        </w:numPr>
        <w:ind w:left="378"/>
        <w:rPr>
          <w:rFonts w:cs="Calibri Light"/>
        </w:rPr>
      </w:pPr>
      <w:r w:rsidRPr="00390EDC">
        <w:rPr>
          <w:rFonts w:cs="Calibri Light"/>
        </w:rPr>
        <w:t xml:space="preserve">NOPSEMA </w:t>
      </w:r>
      <w:r>
        <w:rPr>
          <w:rFonts w:cs="Calibri Light"/>
        </w:rPr>
        <w:t>is meeting its commitments under the Administrative Arrangements</w:t>
      </w:r>
    </w:p>
    <w:p w14:paraId="14FBA713" w14:textId="77777777" w:rsidR="00F461F8" w:rsidRPr="002F5265" w:rsidRDefault="00F461F8" w:rsidP="00C471A8">
      <w:pPr>
        <w:pStyle w:val="BodycopyNEW0"/>
        <w:numPr>
          <w:ilvl w:val="0"/>
          <w:numId w:val="23"/>
        </w:numPr>
        <w:ind w:left="378"/>
        <w:rPr>
          <w:rFonts w:cs="Calibri Light"/>
        </w:rPr>
      </w:pPr>
      <w:r w:rsidRPr="000C3CE3">
        <w:rPr>
          <w:szCs w:val="18"/>
        </w:rPr>
        <w:t>NOPSEMA’s</w:t>
      </w:r>
      <w:r>
        <w:rPr>
          <w:rFonts w:cs="Calibri Light"/>
        </w:rPr>
        <w:t xml:space="preserve"> Environment Plan (</w:t>
      </w:r>
      <w:r w:rsidRPr="00884940">
        <w:rPr>
          <w:rFonts w:cs="Calibri Light"/>
          <w:b/>
        </w:rPr>
        <w:t>EP</w:t>
      </w:r>
      <w:r>
        <w:rPr>
          <w:rFonts w:cs="Calibri Light"/>
        </w:rPr>
        <w:t xml:space="preserve">) assessment process to be robust in its approach, but viewed by stakeholders as highly complex, </w:t>
      </w:r>
      <w:r w:rsidRPr="00567C50">
        <w:rPr>
          <w:rFonts w:cs="Calibri Light"/>
        </w:rPr>
        <w:t>prescripti</w:t>
      </w:r>
      <w:r>
        <w:rPr>
          <w:rFonts w:cs="Calibri Light"/>
        </w:rPr>
        <w:t>ve in its delivery</w:t>
      </w:r>
      <w:r w:rsidRPr="00567C50">
        <w:rPr>
          <w:rFonts w:cs="Calibri Light"/>
        </w:rPr>
        <w:t xml:space="preserve">, and </w:t>
      </w:r>
      <w:r>
        <w:rPr>
          <w:rFonts w:cs="Calibri Light"/>
        </w:rPr>
        <w:t xml:space="preserve">resulting in a high </w:t>
      </w:r>
      <w:r w:rsidRPr="00567C50">
        <w:rPr>
          <w:rFonts w:cs="Calibri Light"/>
        </w:rPr>
        <w:t xml:space="preserve">level of effort </w:t>
      </w:r>
      <w:r>
        <w:rPr>
          <w:rFonts w:cs="Calibri Light"/>
        </w:rPr>
        <w:t>to comply with the process</w:t>
      </w:r>
      <w:r w:rsidR="00C471A8">
        <w:rPr>
          <w:rFonts w:cs="Calibri Light"/>
        </w:rPr>
        <w:t xml:space="preserve"> regardless of the level of risk by the proposed activity</w:t>
      </w:r>
      <w:r>
        <w:rPr>
          <w:rFonts w:cs="Calibri Light"/>
        </w:rPr>
        <w:t>.</w:t>
      </w:r>
    </w:p>
    <w:p w14:paraId="15452E51" w14:textId="77777777" w:rsidR="00C471A8" w:rsidRDefault="00F461F8" w:rsidP="00C471A8">
      <w:pPr>
        <w:rPr>
          <w:rFonts w:ascii="Calibri Light" w:hAnsi="Calibri Light" w:cs="Calibri Light"/>
        </w:rPr>
      </w:pPr>
      <w:r w:rsidRPr="000D5384">
        <w:rPr>
          <w:rFonts w:ascii="Calibri Light" w:hAnsi="Calibri Light" w:cs="Calibri Light"/>
        </w:rPr>
        <w:t xml:space="preserve">The recommendations and opportunity identified </w:t>
      </w:r>
      <w:r w:rsidR="00C471A8" w:rsidRPr="000D5384">
        <w:rPr>
          <w:rFonts w:ascii="Calibri Light" w:hAnsi="Calibri Light" w:cs="Calibri Light"/>
        </w:rPr>
        <w:t xml:space="preserve">below </w:t>
      </w:r>
      <w:r w:rsidRPr="000D5384">
        <w:rPr>
          <w:rFonts w:ascii="Calibri Light" w:hAnsi="Calibri Light" w:cs="Calibri Light"/>
        </w:rPr>
        <w:t>fall within the category of ‘continuous improvement’ for the administration of the environment assessments and related IT tools and expert advice.</w:t>
      </w:r>
    </w:p>
    <w:p w14:paraId="775558B0" w14:textId="64F8021A" w:rsidR="005F78D6" w:rsidRPr="00F461F8" w:rsidRDefault="00293382" w:rsidP="00F461F8">
      <w:pPr>
        <w:rPr>
          <w:rFonts w:ascii="Calibri Light" w:hAnsi="Calibri Light" w:cs="Calibri Light"/>
        </w:rPr>
      </w:pPr>
      <w:r w:rsidRPr="00465219">
        <w:rPr>
          <w:rFonts w:ascii="Calibri Light" w:hAnsi="Calibri Light" w:cs="Calibri Light"/>
        </w:rPr>
        <w:t xml:space="preserve">NOPSEMA could work to improve implementation of the subjective ‘acceptability’ tests. This could potentially be achieved by providing greater internal and external transparency of the assessment criteria and the limits of ‘acceptability’. NOPSEMA could also work with </w:t>
      </w:r>
      <w:r w:rsidR="00347C9C" w:rsidRPr="00465219">
        <w:rPr>
          <w:rFonts w:ascii="Calibri Light" w:hAnsi="Calibri Light" w:cs="Calibri Light"/>
        </w:rPr>
        <w:t>titleholders</w:t>
      </w:r>
      <w:r w:rsidRPr="00465219">
        <w:rPr>
          <w:rFonts w:ascii="Calibri Light" w:hAnsi="Calibri Light" w:cs="Calibri Light"/>
        </w:rPr>
        <w:t xml:space="preserve"> at an earlier </w:t>
      </w:r>
      <w:r w:rsidR="00EF3405" w:rsidRPr="00465219">
        <w:rPr>
          <w:rFonts w:ascii="Calibri Light" w:hAnsi="Calibri Light" w:cs="Calibri Light"/>
        </w:rPr>
        <w:t xml:space="preserve">and </w:t>
      </w:r>
      <w:r w:rsidRPr="00465219">
        <w:rPr>
          <w:rFonts w:ascii="Calibri Light" w:hAnsi="Calibri Light" w:cs="Calibri Light"/>
        </w:rPr>
        <w:t>more informal stage to ensure that their draft EPs address the most significant risks and issues. This would help to reduce the number of EPs that are rejected or returned for amendment, and potentially streamline the size of EP documents. These measures would help to improve stakeholder views of NOPSEMA as being consistent in its approach to assessments.</w:t>
      </w:r>
    </w:p>
    <w:tbl>
      <w:tblPr>
        <w:tblStyle w:val="ListTable3-Accent5"/>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864"/>
      </w:tblGrid>
      <w:tr w:rsidR="005F78D6" w:rsidRPr="007906AC" w14:paraId="2DFE9ECA" w14:textId="77777777" w:rsidTr="00DA4B5E">
        <w:trPr>
          <w:cnfStyle w:val="100000000000" w:firstRow="1" w:lastRow="0" w:firstColumn="0" w:lastColumn="0" w:oddVBand="0" w:evenVBand="0" w:oddHBand="0" w:evenHBand="0" w:firstRowFirstColumn="0" w:firstRowLastColumn="0" w:lastRowFirstColumn="0" w:lastRowLastColumn="0"/>
          <w:trHeight w:val="469"/>
        </w:trPr>
        <w:tc>
          <w:tcPr>
            <w:cnfStyle w:val="001000000100" w:firstRow="0" w:lastRow="0" w:firstColumn="1" w:lastColumn="0" w:oddVBand="0" w:evenVBand="0" w:oddHBand="0" w:evenHBand="0" w:firstRowFirstColumn="1" w:firstRowLastColumn="0" w:lastRowFirstColumn="0" w:lastRowLastColumn="0"/>
            <w:tcW w:w="5000" w:type="pct"/>
            <w:shd w:val="clear" w:color="auto" w:fill="F2F2F2" w:themeFill="background1" w:themeFillShade="F2"/>
            <w:vAlign w:val="center"/>
          </w:tcPr>
          <w:p w14:paraId="2038616F" w14:textId="3C8311BE" w:rsidR="005F78D6" w:rsidRPr="002027C8" w:rsidRDefault="005F78D6" w:rsidP="00DA4B5E">
            <w:pPr>
              <w:spacing w:before="120" w:after="120"/>
              <w:rPr>
                <w:rFonts w:ascii="Calibri" w:hAnsi="Calibri" w:cs="Calibri"/>
                <w:sz w:val="16"/>
                <w:szCs w:val="16"/>
              </w:rPr>
            </w:pPr>
            <w:r w:rsidRPr="002027C8">
              <w:rPr>
                <w:rFonts w:ascii="Calibri" w:hAnsi="Calibri" w:cs="Calibri"/>
                <w:color w:val="auto"/>
              </w:rPr>
              <w:t>The following recommendations apply to section 1.3.</w:t>
            </w:r>
            <w:r w:rsidR="008F6425">
              <w:rPr>
                <w:rFonts w:ascii="Calibri" w:hAnsi="Calibri" w:cs="Calibri"/>
                <w:color w:val="auto"/>
              </w:rPr>
              <w:t>7</w:t>
            </w:r>
            <w:r w:rsidRPr="002027C8">
              <w:rPr>
                <w:rFonts w:ascii="Calibri" w:hAnsi="Calibri" w:cs="Calibri"/>
                <w:color w:val="auto"/>
              </w:rPr>
              <w:t xml:space="preserve">: </w:t>
            </w:r>
            <w:r w:rsidR="000A3087" w:rsidRPr="00A53F03">
              <w:rPr>
                <w:rFonts w:ascii="Calibri" w:hAnsi="Calibri" w:cs="Calibri"/>
                <w:color w:val="00ABAB"/>
              </w:rPr>
              <w:t>EPBC-R-1, EPBC-R-2, EPBC-R-3, EPBC-R-4</w:t>
            </w:r>
            <w:r w:rsidR="0041723E">
              <w:rPr>
                <w:rFonts w:ascii="Calibri" w:hAnsi="Calibri" w:cs="Calibri"/>
                <w:color w:val="00ABAB"/>
              </w:rPr>
              <w:t xml:space="preserve">, </w:t>
            </w:r>
            <w:r w:rsidR="0041723E" w:rsidRPr="00A53F03">
              <w:rPr>
                <w:rFonts w:ascii="Calibri" w:hAnsi="Calibri" w:cs="Calibri"/>
                <w:color w:val="00ABAB"/>
              </w:rPr>
              <w:t>EPBC-R-</w:t>
            </w:r>
            <w:r w:rsidR="0041723E">
              <w:rPr>
                <w:rFonts w:ascii="Calibri" w:hAnsi="Calibri" w:cs="Calibri"/>
                <w:color w:val="00ABAB"/>
              </w:rPr>
              <w:t>5</w:t>
            </w:r>
          </w:p>
        </w:tc>
      </w:tr>
    </w:tbl>
    <w:p w14:paraId="3AEA8B8A" w14:textId="5D2CFCFC" w:rsidR="005F78D6" w:rsidRDefault="005F78D6" w:rsidP="003A180F">
      <w:pPr>
        <w:sectPr w:rsidR="005F78D6" w:rsidSect="00E4608F">
          <w:headerReference w:type="even" r:id="rId21"/>
          <w:headerReference w:type="default" r:id="rId22"/>
          <w:footerReference w:type="default" r:id="rId23"/>
          <w:headerReference w:type="first" r:id="rId24"/>
          <w:pgSz w:w="11906" w:h="16838" w:code="9"/>
          <w:pgMar w:top="1985" w:right="1021" w:bottom="1134" w:left="1021" w:header="680" w:footer="425" w:gutter="0"/>
          <w:cols w:space="284"/>
          <w:docGrid w:linePitch="360"/>
        </w:sectPr>
      </w:pPr>
    </w:p>
    <w:p w14:paraId="5AE8A2DF" w14:textId="2E8B23FF" w:rsidR="00FF2D12" w:rsidRPr="00FF6541" w:rsidRDefault="00FF2D12" w:rsidP="0027287B">
      <w:pPr>
        <w:pStyle w:val="Heading1"/>
      </w:pPr>
      <w:bookmarkStart w:id="9" w:name="_Ref56252132"/>
      <w:bookmarkStart w:id="10" w:name="_Toc63970838"/>
      <w:r w:rsidRPr="00FF6541">
        <w:lastRenderedPageBreak/>
        <w:t>Our recommendations</w:t>
      </w:r>
      <w:r w:rsidR="00FF6541" w:rsidRPr="00FF6541">
        <w:t xml:space="preserve"> and identified opportunities</w:t>
      </w:r>
      <w:bookmarkEnd w:id="9"/>
      <w:bookmarkEnd w:id="10"/>
    </w:p>
    <w:p w14:paraId="7BC5C356" w14:textId="152E6FCE" w:rsidR="00D45649" w:rsidRPr="00915BB0" w:rsidRDefault="00D45649" w:rsidP="00D45649">
      <w:pPr>
        <w:spacing w:before="120" w:after="120"/>
        <w:rPr>
          <w:rFonts w:ascii="Calibri Light" w:hAnsi="Calibri Light" w:cs="Calibri Light"/>
        </w:rPr>
      </w:pPr>
      <w:bookmarkStart w:id="11" w:name="_Ref55554117"/>
      <w:r w:rsidRPr="00915BB0">
        <w:rPr>
          <w:rFonts w:ascii="Calibri Light" w:hAnsi="Calibri Light" w:cs="Calibri Light"/>
        </w:rPr>
        <w:t>Our recommendations and opportunities are consolidated in</w:t>
      </w:r>
      <w:r w:rsidRPr="00915BB0">
        <w:rPr>
          <w:rFonts w:ascii="Calibri Light" w:hAnsi="Calibri Light" w:cs="Calibri Light"/>
          <w:b/>
        </w:rPr>
        <w:t xml:space="preserve"> </w:t>
      </w:r>
      <w:r w:rsidR="00D160FE" w:rsidRPr="00CD5AFE">
        <w:rPr>
          <w:rFonts w:ascii="Calibri Light" w:hAnsi="Calibri Light" w:cs="Calibri Light"/>
          <w:b/>
        </w:rPr>
        <w:fldChar w:fldCharType="begin"/>
      </w:r>
      <w:r w:rsidR="00D160FE" w:rsidRPr="00915BB0">
        <w:rPr>
          <w:rFonts w:ascii="Calibri Light" w:hAnsi="Calibri Light" w:cs="Calibri Light"/>
          <w:b/>
        </w:rPr>
        <w:instrText xml:space="preserve"> REF _Ref58443452 \h  \* MERGEFORMAT </w:instrText>
      </w:r>
      <w:r w:rsidR="00D160FE" w:rsidRPr="00CD5AFE">
        <w:rPr>
          <w:rFonts w:ascii="Calibri Light" w:hAnsi="Calibri Light" w:cs="Calibri Light"/>
          <w:b/>
        </w:rPr>
      </w:r>
      <w:r w:rsidR="00D160FE" w:rsidRPr="00CD5AFE">
        <w:rPr>
          <w:rFonts w:ascii="Calibri Light" w:hAnsi="Calibri Light" w:cs="Calibri Light"/>
          <w:b/>
        </w:rPr>
        <w:fldChar w:fldCharType="separate"/>
      </w:r>
      <w:r w:rsidR="00E816B8" w:rsidRPr="00E816B8">
        <w:rPr>
          <w:rFonts w:ascii="Calibri Light" w:hAnsi="Calibri Light" w:cs="Calibri Light"/>
          <w:b/>
        </w:rPr>
        <w:t>Table 2.1</w:t>
      </w:r>
      <w:r w:rsidR="00D160FE" w:rsidRPr="00CD5AFE">
        <w:rPr>
          <w:rFonts w:ascii="Calibri Light" w:hAnsi="Calibri Light" w:cs="Calibri Light"/>
          <w:b/>
        </w:rPr>
        <w:fldChar w:fldCharType="end"/>
      </w:r>
      <w:r w:rsidRPr="00915BB0">
        <w:rPr>
          <w:rFonts w:ascii="Calibri Light" w:hAnsi="Calibri Light" w:cs="Calibri Light"/>
          <w:b/>
        </w:rPr>
        <w:t xml:space="preserve"> </w:t>
      </w:r>
      <w:r w:rsidRPr="00915BB0">
        <w:rPr>
          <w:rFonts w:ascii="Calibri Light" w:hAnsi="Calibri Light" w:cs="Calibri Light"/>
        </w:rPr>
        <w:t>and</w:t>
      </w:r>
      <w:r w:rsidR="007432C0" w:rsidRPr="00901C7B">
        <w:rPr>
          <w:rFonts w:ascii="Calibri Light" w:hAnsi="Calibri Light" w:cs="Calibri Light"/>
        </w:rPr>
        <w:t xml:space="preserve"> </w:t>
      </w:r>
      <w:r w:rsidR="003270FB" w:rsidRPr="00CD5AFE">
        <w:rPr>
          <w:rFonts w:ascii="Calibri Light" w:hAnsi="Calibri Light" w:cs="Calibri Light"/>
          <w:b/>
        </w:rPr>
        <w:fldChar w:fldCharType="begin"/>
      </w:r>
      <w:r w:rsidR="003270FB" w:rsidRPr="00915BB0">
        <w:rPr>
          <w:rFonts w:ascii="Calibri Light" w:hAnsi="Calibri Light" w:cs="Calibri Light"/>
          <w:b/>
        </w:rPr>
        <w:instrText xml:space="preserve"> REF _Ref58443683 \h  \* MERGEFORMAT </w:instrText>
      </w:r>
      <w:r w:rsidR="003270FB" w:rsidRPr="00CD5AFE">
        <w:rPr>
          <w:rFonts w:ascii="Calibri Light" w:hAnsi="Calibri Light" w:cs="Calibri Light"/>
          <w:b/>
        </w:rPr>
      </w:r>
      <w:r w:rsidR="003270FB" w:rsidRPr="00CD5AFE">
        <w:rPr>
          <w:rFonts w:ascii="Calibri Light" w:hAnsi="Calibri Light" w:cs="Calibri Light"/>
          <w:b/>
        </w:rPr>
        <w:fldChar w:fldCharType="separate"/>
      </w:r>
      <w:r w:rsidR="00E816B8" w:rsidRPr="00E816B8">
        <w:rPr>
          <w:rFonts w:ascii="Calibri Light" w:hAnsi="Calibri Light" w:cs="Calibri Light"/>
          <w:b/>
        </w:rPr>
        <w:t>Table 2.2</w:t>
      </w:r>
      <w:r w:rsidR="003270FB" w:rsidRPr="00CD5AFE">
        <w:rPr>
          <w:rFonts w:ascii="Calibri Light" w:hAnsi="Calibri Light" w:cs="Calibri Light"/>
          <w:b/>
        </w:rPr>
        <w:fldChar w:fldCharType="end"/>
      </w:r>
      <w:r w:rsidRPr="00915BB0">
        <w:rPr>
          <w:rFonts w:ascii="Calibri Light" w:hAnsi="Calibri Light" w:cs="Calibri Light"/>
        </w:rPr>
        <w:t>, respectively. Additional considerations and detail relating to recommendations and opportunities are contained within the respective sections where they are raised.</w:t>
      </w:r>
    </w:p>
    <w:p w14:paraId="6CE3B6C5" w14:textId="2CC16707" w:rsidR="00D45649" w:rsidRPr="00901C7B" w:rsidRDefault="00D45649" w:rsidP="00D45649">
      <w:pPr>
        <w:rPr>
          <w:rFonts w:ascii="Calibri Light" w:hAnsi="Calibri Light" w:cs="Calibri Light"/>
        </w:rPr>
      </w:pPr>
      <w:r w:rsidRPr="00915BB0">
        <w:rPr>
          <w:rFonts w:ascii="Calibri Light" w:hAnsi="Calibri Light" w:cs="Calibri Light"/>
        </w:rPr>
        <w:t>We distinguish between opportunities and recommendations. Opportunities are improvements or enhancements that are tactical in nature and, while important, do not reach the threshold for a formal recommendation. In contrast, recommendations are strategic in nature or are critical improvement areas that exceed the threshold for an opportunity.</w:t>
      </w:r>
    </w:p>
    <w:p w14:paraId="129A3822" w14:textId="243D21EF" w:rsidR="00EE4079" w:rsidRPr="00915BB0" w:rsidRDefault="00EE4079" w:rsidP="00AB4CA3">
      <w:pPr>
        <w:pStyle w:val="Caption"/>
      </w:pPr>
      <w:bookmarkStart w:id="12" w:name="_Ref58443452"/>
      <w:r w:rsidRPr="00915BB0">
        <w:t xml:space="preserve">Table </w:t>
      </w:r>
      <w:r w:rsidR="00F8476B">
        <w:fldChar w:fldCharType="begin"/>
      </w:r>
      <w:r w:rsidR="00F8476B">
        <w:instrText xml:space="preserve"> STYLEREF 1 \s </w:instrText>
      </w:r>
      <w:r w:rsidR="00F8476B">
        <w:fldChar w:fldCharType="separate"/>
      </w:r>
      <w:r w:rsidR="00E816B8">
        <w:rPr>
          <w:noProof/>
        </w:rPr>
        <w:t>2</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1</w:t>
      </w:r>
      <w:r w:rsidR="00F8476B">
        <w:fldChar w:fldCharType="end"/>
      </w:r>
      <w:bookmarkEnd w:id="12"/>
      <w:r w:rsidR="00D160FE" w:rsidRPr="00915BB0">
        <w:t>: Consolidated list of recommendations for consideration by Government</w:t>
      </w:r>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Pr>
      <w:tblGrid>
        <w:gridCol w:w="2128"/>
        <w:gridCol w:w="849"/>
        <w:gridCol w:w="11819"/>
      </w:tblGrid>
      <w:tr w:rsidR="009C2FCF" w:rsidRPr="00AF1581" w14:paraId="63F9C4F9" w14:textId="77777777" w:rsidTr="00360FAB">
        <w:trPr>
          <w:cnfStyle w:val="100000000000" w:firstRow="1" w:lastRow="0" w:firstColumn="0" w:lastColumn="0" w:oddVBand="0" w:evenVBand="0" w:oddHBand="0" w:evenHBand="0" w:firstRowFirstColumn="0" w:firstRowLastColumn="0" w:lastRowFirstColumn="0" w:lastRowLastColumn="0"/>
          <w:tblHeader/>
        </w:trPr>
        <w:tc>
          <w:tcPr>
            <w:tcW w:w="719" w:type="pct"/>
            <w:shd w:val="clear" w:color="auto" w:fill="007680"/>
          </w:tcPr>
          <w:bookmarkEnd w:id="11"/>
          <w:p w14:paraId="3C65988F" w14:textId="3A557C75" w:rsidR="009C2FCF" w:rsidRPr="004C3B7F" w:rsidRDefault="009C2FCF" w:rsidP="009C2FCF">
            <w:pPr>
              <w:pStyle w:val="Tableheader"/>
              <w:rPr>
                <w:color w:val="FFFFFF" w:themeColor="background1"/>
              </w:rPr>
            </w:pPr>
            <w:r w:rsidRPr="004C3B7F">
              <w:rPr>
                <w:color w:val="FFFFFF" w:themeColor="background1"/>
              </w:rPr>
              <w:t>Section</w:t>
            </w:r>
          </w:p>
        </w:tc>
        <w:tc>
          <w:tcPr>
            <w:tcW w:w="4281" w:type="pct"/>
            <w:gridSpan w:val="2"/>
            <w:shd w:val="clear" w:color="auto" w:fill="007680"/>
          </w:tcPr>
          <w:p w14:paraId="209A8C01" w14:textId="23025E84" w:rsidR="009C2FCF" w:rsidRPr="004C3B7F" w:rsidRDefault="009C2FCF" w:rsidP="00C44305">
            <w:pPr>
              <w:pStyle w:val="Tableheader"/>
              <w:rPr>
                <w:color w:val="FFFFFF" w:themeColor="background1"/>
              </w:rPr>
            </w:pPr>
            <w:r w:rsidRPr="004C3B7F">
              <w:rPr>
                <w:color w:val="FFFFFF" w:themeColor="background1"/>
              </w:rPr>
              <w:t>Recommendation</w:t>
            </w:r>
          </w:p>
        </w:tc>
      </w:tr>
      <w:tr w:rsidR="009C2FCF" w:rsidRPr="00AF1581" w14:paraId="3556B949" w14:textId="77777777" w:rsidTr="00360FAB">
        <w:tc>
          <w:tcPr>
            <w:tcW w:w="719" w:type="pct"/>
            <w:tcBorders>
              <w:bottom w:val="single" w:sz="4" w:space="0" w:color="BFBFBF" w:themeColor="background1" w:themeShade="BF"/>
            </w:tcBorders>
          </w:tcPr>
          <w:p w14:paraId="121C9B99" w14:textId="45E0C90A" w:rsidR="009C2FCF" w:rsidRPr="00D521C3" w:rsidRDefault="009C2FCF" w:rsidP="00AE2D6E">
            <w:pPr>
              <w:pStyle w:val="BodyCopyNEW"/>
              <w:rPr>
                <w:rFonts w:eastAsia="Verdana" w:cs="Calibri"/>
                <w:szCs w:val="18"/>
              </w:rPr>
            </w:pPr>
            <w:r w:rsidRPr="00D521C3">
              <w:rPr>
                <w:szCs w:val="18"/>
              </w:rPr>
              <w:t>NOPSEMA’s enablement of improvements in industry</w:t>
            </w:r>
          </w:p>
        </w:tc>
        <w:tc>
          <w:tcPr>
            <w:tcW w:w="287" w:type="pct"/>
            <w:tcBorders>
              <w:bottom w:val="single" w:sz="4" w:space="0" w:color="BFBFBF" w:themeColor="background1" w:themeShade="BF"/>
            </w:tcBorders>
          </w:tcPr>
          <w:p w14:paraId="4268D5EC" w14:textId="42389241" w:rsidR="009C2FCF" w:rsidRPr="00392AAF" w:rsidRDefault="009C2FCF" w:rsidP="00AE2D6E">
            <w:pPr>
              <w:pStyle w:val="BodyCopyNEW"/>
              <w:rPr>
                <w:szCs w:val="18"/>
              </w:rPr>
            </w:pPr>
            <w:r>
              <w:rPr>
                <w:szCs w:val="18"/>
              </w:rPr>
              <w:t>1</w:t>
            </w:r>
          </w:p>
        </w:tc>
        <w:tc>
          <w:tcPr>
            <w:tcW w:w="3994" w:type="pct"/>
            <w:tcBorders>
              <w:bottom w:val="single" w:sz="4" w:space="0" w:color="BFBFBF" w:themeColor="background1" w:themeShade="BF"/>
            </w:tcBorders>
          </w:tcPr>
          <w:p w14:paraId="5756BB27" w14:textId="5670DA05" w:rsidR="009C2FCF" w:rsidRPr="00946300" w:rsidRDefault="009C2FCF" w:rsidP="00AE2D6E">
            <w:pPr>
              <w:pStyle w:val="BodyCopyNEW"/>
              <w:rPr>
                <w:rFonts w:cs="Times New Roman"/>
                <w:szCs w:val="18"/>
              </w:rPr>
            </w:pPr>
            <w:r w:rsidRPr="00392AAF">
              <w:rPr>
                <w:szCs w:val="18"/>
              </w:rPr>
              <w:t xml:space="preserve">The Government should engage with industry and adjacent stakeholders to </w:t>
            </w:r>
            <w:r w:rsidRPr="00911F0E">
              <w:rPr>
                <w:szCs w:val="18"/>
              </w:rPr>
              <w:t>develop</w:t>
            </w:r>
            <w:r w:rsidRPr="004602AD">
              <w:rPr>
                <w:szCs w:val="18"/>
              </w:rPr>
              <w:t xml:space="preserve"> a clear and common understanding among these groups of the various roles, powers, and functions of the administrative, regulatory, policy, and decision-making facets of the offshore legislative framework.</w:t>
            </w:r>
          </w:p>
        </w:tc>
      </w:tr>
      <w:tr w:rsidR="009C2FCF" w:rsidRPr="00AF1581" w14:paraId="6F95298A" w14:textId="77777777" w:rsidTr="00360FAB">
        <w:tc>
          <w:tcPr>
            <w:tcW w:w="719" w:type="pct"/>
            <w:tcBorders>
              <w:top w:val="single" w:sz="4" w:space="0" w:color="BFBFBF" w:themeColor="background1" w:themeShade="BF"/>
              <w:bottom w:val="single" w:sz="4" w:space="0" w:color="BFBFBF" w:themeColor="background1" w:themeShade="BF"/>
            </w:tcBorders>
          </w:tcPr>
          <w:p w14:paraId="67537604" w14:textId="6BD5FA61" w:rsidR="009C2FCF" w:rsidRPr="00D521C3" w:rsidRDefault="009C2FCF" w:rsidP="00AE2D6E">
            <w:pPr>
              <w:pStyle w:val="BodyCopyNEW"/>
              <w:rPr>
                <w:rFonts w:cs="Calibri"/>
                <w:szCs w:val="18"/>
              </w:rPr>
            </w:pPr>
            <w:r w:rsidRPr="00D521C3">
              <w:rPr>
                <w:szCs w:val="18"/>
              </w:rPr>
              <w:t>NOPSEMA’s enablement of improvements in industry</w:t>
            </w:r>
          </w:p>
        </w:tc>
        <w:tc>
          <w:tcPr>
            <w:tcW w:w="287" w:type="pct"/>
            <w:tcBorders>
              <w:top w:val="single" w:sz="4" w:space="0" w:color="BFBFBF" w:themeColor="background1" w:themeShade="BF"/>
              <w:bottom w:val="single" w:sz="4" w:space="0" w:color="BFBFBF" w:themeColor="background1" w:themeShade="BF"/>
            </w:tcBorders>
          </w:tcPr>
          <w:p w14:paraId="16E66C69" w14:textId="6021CD9C" w:rsidR="009C2FCF" w:rsidRPr="00392AAF" w:rsidRDefault="009C2FCF">
            <w:pPr>
              <w:pStyle w:val="BodyCopyNEW"/>
              <w:rPr>
                <w:szCs w:val="18"/>
              </w:rPr>
            </w:pPr>
            <w:r>
              <w:rPr>
                <w:szCs w:val="18"/>
              </w:rPr>
              <w:t>2</w:t>
            </w:r>
          </w:p>
        </w:tc>
        <w:tc>
          <w:tcPr>
            <w:tcW w:w="3994" w:type="pct"/>
            <w:tcBorders>
              <w:top w:val="single" w:sz="4" w:space="0" w:color="BFBFBF" w:themeColor="background1" w:themeShade="BF"/>
              <w:bottom w:val="single" w:sz="4" w:space="0" w:color="BFBFBF" w:themeColor="background1" w:themeShade="BF"/>
            </w:tcBorders>
          </w:tcPr>
          <w:p w14:paraId="3BA622E3" w14:textId="00A361AA" w:rsidR="009C2FCF" w:rsidRPr="00711FC9" w:rsidRDefault="009C2FCF">
            <w:pPr>
              <w:pStyle w:val="BodyCopyNEW"/>
              <w:rPr>
                <w:szCs w:val="18"/>
              </w:rPr>
            </w:pPr>
            <w:r w:rsidRPr="00392AAF">
              <w:rPr>
                <w:szCs w:val="18"/>
              </w:rPr>
              <w:t>NOPSEMA</w:t>
            </w:r>
            <w:r w:rsidRPr="00FB420B">
              <w:t>, in consultat</w:t>
            </w:r>
            <w:r w:rsidRPr="00911F0E">
              <w:rPr>
                <w:szCs w:val="18"/>
              </w:rPr>
              <w:t>ion with the Minister and in alignment with the OPGGS Act,</w:t>
            </w:r>
            <w:r w:rsidRPr="004602AD">
              <w:rPr>
                <w:szCs w:val="18"/>
              </w:rPr>
              <w:t xml:space="preserve"> should develop a regulatory strategy (or update it</w:t>
            </w:r>
            <w:r w:rsidRPr="00C81CBA">
              <w:rPr>
                <w:szCs w:val="18"/>
              </w:rPr>
              <w:t>s current Corporate Plan document/approach) to reflect the broader risks and trends of the industry</w:t>
            </w:r>
            <w:r w:rsidRPr="00953CA5">
              <w:rPr>
                <w:szCs w:val="18"/>
              </w:rPr>
              <w:t xml:space="preserve">, how NOPSEMA is responding, and its role in influencing, overseeing, and enforcing expectations with industry. </w:t>
            </w:r>
          </w:p>
        </w:tc>
      </w:tr>
      <w:tr w:rsidR="009C2FCF" w:rsidRPr="00AF1581" w14:paraId="37E40EDC" w14:textId="77777777" w:rsidTr="00360FAB">
        <w:tc>
          <w:tcPr>
            <w:tcW w:w="719" w:type="pct"/>
            <w:tcBorders>
              <w:top w:val="single" w:sz="4" w:space="0" w:color="BFBFBF" w:themeColor="background1" w:themeShade="BF"/>
              <w:bottom w:val="single" w:sz="4" w:space="0" w:color="BFBFBF" w:themeColor="background1" w:themeShade="BF"/>
            </w:tcBorders>
          </w:tcPr>
          <w:p w14:paraId="4891DBBB" w14:textId="439906D3" w:rsidR="009C2FCF" w:rsidRPr="00D521C3" w:rsidRDefault="009C2FCF" w:rsidP="00AE2D6E">
            <w:pPr>
              <w:pStyle w:val="BodyCopyNEW"/>
              <w:rPr>
                <w:rFonts w:cs="Calibri"/>
                <w:szCs w:val="18"/>
              </w:rPr>
            </w:pPr>
            <w:r w:rsidRPr="00D521C3">
              <w:rPr>
                <w:szCs w:val="18"/>
              </w:rPr>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6C2011A3" w14:textId="0BD9B2EA" w:rsidR="009C2FCF" w:rsidRPr="00E950D6" w:rsidRDefault="009C2FCF" w:rsidP="00AE2D6E">
            <w:pPr>
              <w:pStyle w:val="BodyCopyNEW"/>
              <w:rPr>
                <w:szCs w:val="18"/>
              </w:rPr>
            </w:pPr>
            <w:r w:rsidRPr="00E950D6">
              <w:rPr>
                <w:szCs w:val="18"/>
              </w:rPr>
              <w:t>3</w:t>
            </w:r>
          </w:p>
        </w:tc>
        <w:tc>
          <w:tcPr>
            <w:tcW w:w="3994" w:type="pct"/>
            <w:tcBorders>
              <w:top w:val="single" w:sz="4" w:space="0" w:color="BFBFBF" w:themeColor="background1" w:themeShade="BF"/>
              <w:bottom w:val="single" w:sz="4" w:space="0" w:color="BFBFBF" w:themeColor="background1" w:themeShade="BF"/>
            </w:tcBorders>
          </w:tcPr>
          <w:p w14:paraId="0753E0CF" w14:textId="049AB9C5" w:rsidR="009C2FCF" w:rsidRPr="00E950D6" w:rsidRDefault="009C2FCF" w:rsidP="00AE2D6E">
            <w:pPr>
              <w:pStyle w:val="BodyCopyNEW"/>
              <w:rPr>
                <w:rFonts w:cs="Calibri"/>
                <w:szCs w:val="18"/>
              </w:rPr>
            </w:pPr>
            <w:r w:rsidRPr="00E950D6">
              <w:rPr>
                <w:szCs w:val="18"/>
              </w:rPr>
              <w:t xml:space="preserve">NOPSEMA should consider establishing an industry working group to understand issues with the safety case regime (including WOMPs and EPs), as currently regulated. The focus should be on the underlying principles associated with the regime, </w:t>
            </w:r>
            <w:r w:rsidR="00BA2301" w:rsidRPr="00BA2301">
              <w:rPr>
                <w:szCs w:val="18"/>
              </w:rPr>
              <w:t>clarifying</w:t>
            </w:r>
            <w:r w:rsidRPr="00BA2301">
              <w:rPr>
                <w:szCs w:val="18"/>
              </w:rPr>
              <w:t xml:space="preserve"> the requirements for permissioning documents and the role of guidance in their development, </w:t>
            </w:r>
            <w:r w:rsidRPr="00E950D6">
              <w:rPr>
                <w:szCs w:val="18"/>
              </w:rPr>
              <w:t>the accepted ways of working between parties in relation to assessment processes, and what better practice looks like to enable the regulator and industry to w</w:t>
            </w:r>
            <w:r w:rsidRPr="00BA2301">
              <w:rPr>
                <w:szCs w:val="18"/>
              </w:rPr>
              <w:t>ork together in a cooperative manner.</w:t>
            </w:r>
          </w:p>
        </w:tc>
      </w:tr>
      <w:tr w:rsidR="009C2FCF" w:rsidRPr="00AF1581" w14:paraId="474BD9AC" w14:textId="77777777" w:rsidTr="00360FAB">
        <w:tc>
          <w:tcPr>
            <w:tcW w:w="719" w:type="pct"/>
            <w:tcBorders>
              <w:top w:val="single" w:sz="4" w:space="0" w:color="BFBFBF" w:themeColor="background1" w:themeShade="BF"/>
              <w:bottom w:val="single" w:sz="4" w:space="0" w:color="BFBFBF" w:themeColor="background1" w:themeShade="BF"/>
            </w:tcBorders>
          </w:tcPr>
          <w:p w14:paraId="7A2E7607" w14:textId="7168FBCF" w:rsidR="009C2FCF" w:rsidRPr="00D521C3" w:rsidRDefault="009C2FCF" w:rsidP="00AE2D6E">
            <w:pPr>
              <w:pStyle w:val="BodyCopyNEW"/>
              <w:rPr>
                <w:rFonts w:cs="Calibri"/>
                <w:szCs w:val="18"/>
              </w:rPr>
            </w:pPr>
            <w:r w:rsidRPr="00D521C3">
              <w:rPr>
                <w:szCs w:val="18"/>
              </w:rPr>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72804994" w14:textId="39B17B4C" w:rsidR="009C2FCF" w:rsidRPr="005457A0" w:rsidRDefault="009C2FCF" w:rsidP="00AE2D6E">
            <w:pPr>
              <w:pStyle w:val="BodyCopyNEW"/>
              <w:rPr>
                <w:szCs w:val="18"/>
              </w:rPr>
            </w:pPr>
            <w:r w:rsidRPr="005457A0">
              <w:rPr>
                <w:szCs w:val="18"/>
              </w:rPr>
              <w:t>4</w:t>
            </w:r>
          </w:p>
        </w:tc>
        <w:tc>
          <w:tcPr>
            <w:tcW w:w="3994" w:type="pct"/>
            <w:tcBorders>
              <w:top w:val="single" w:sz="4" w:space="0" w:color="BFBFBF" w:themeColor="background1" w:themeShade="BF"/>
              <w:bottom w:val="single" w:sz="4" w:space="0" w:color="BFBFBF" w:themeColor="background1" w:themeShade="BF"/>
            </w:tcBorders>
          </w:tcPr>
          <w:p w14:paraId="6372D46A" w14:textId="17541A48" w:rsidR="009C2FCF" w:rsidRPr="005457A0" w:rsidRDefault="009C2FCF" w:rsidP="00AE2D6E">
            <w:pPr>
              <w:pStyle w:val="BodyCopyNEW"/>
              <w:rPr>
                <w:rFonts w:cs="Times New Roman"/>
                <w:szCs w:val="18"/>
              </w:rPr>
            </w:pPr>
            <w:r w:rsidRPr="005457A0">
              <w:rPr>
                <w:szCs w:val="18"/>
              </w:rPr>
              <w:t xml:space="preserve">NOPSEMA should continue to invest in the development of RMS, leveraging its data to provide meaningful, risk-based information of </w:t>
            </w:r>
            <w:r w:rsidRPr="005457A0">
              <w:t>title</w:t>
            </w:r>
            <w:r w:rsidRPr="005457A0">
              <w:rPr>
                <w:szCs w:val="18"/>
              </w:rPr>
              <w:t xml:space="preserve">holders and their facilities at an aggregate level, while also enabling interrogation at a facility level. This should also consider the ability for greater digitisation of information contained in safety cases, WOMPs, and EPs. </w:t>
            </w:r>
          </w:p>
        </w:tc>
      </w:tr>
      <w:tr w:rsidR="009C2FCF" w:rsidRPr="00AF1581" w14:paraId="2EB7E831" w14:textId="77777777" w:rsidTr="00360FAB">
        <w:tc>
          <w:tcPr>
            <w:tcW w:w="719" w:type="pct"/>
            <w:tcBorders>
              <w:top w:val="single" w:sz="4" w:space="0" w:color="BFBFBF" w:themeColor="background1" w:themeShade="BF"/>
              <w:bottom w:val="single" w:sz="4" w:space="0" w:color="BFBFBF" w:themeColor="background1" w:themeShade="BF"/>
            </w:tcBorders>
          </w:tcPr>
          <w:p w14:paraId="15AF16CD" w14:textId="6FAFFDB2" w:rsidR="009C2FCF" w:rsidRPr="00D521C3" w:rsidRDefault="009C2FCF" w:rsidP="00DE757C">
            <w:pPr>
              <w:pStyle w:val="BodyCopyNEW"/>
              <w:rPr>
                <w:rFonts w:cs="Calibri"/>
                <w:szCs w:val="18"/>
              </w:rPr>
            </w:pPr>
            <w:r w:rsidRPr="00D521C3">
              <w:rPr>
                <w:szCs w:val="18"/>
              </w:rPr>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07D7487F" w14:textId="68D3E69A" w:rsidR="009C2FCF" w:rsidRPr="00392AAF" w:rsidRDefault="009C2FCF" w:rsidP="00DE757C">
            <w:pPr>
              <w:pStyle w:val="BodyCopyNEW"/>
              <w:rPr>
                <w:szCs w:val="18"/>
              </w:rPr>
            </w:pPr>
            <w:r>
              <w:rPr>
                <w:szCs w:val="18"/>
              </w:rPr>
              <w:t>5</w:t>
            </w:r>
          </w:p>
        </w:tc>
        <w:tc>
          <w:tcPr>
            <w:tcW w:w="3994" w:type="pct"/>
            <w:tcBorders>
              <w:top w:val="single" w:sz="4" w:space="0" w:color="BFBFBF" w:themeColor="background1" w:themeShade="BF"/>
              <w:bottom w:val="single" w:sz="4" w:space="0" w:color="BFBFBF" w:themeColor="background1" w:themeShade="BF"/>
            </w:tcBorders>
          </w:tcPr>
          <w:p w14:paraId="5A858858" w14:textId="3B174C4F" w:rsidR="009C2FCF" w:rsidRPr="00FB420B" w:rsidRDefault="009C2FCF" w:rsidP="00DE757C">
            <w:pPr>
              <w:pStyle w:val="BodyCopyNEW"/>
              <w:rPr>
                <w:szCs w:val="18"/>
              </w:rPr>
            </w:pPr>
            <w:r w:rsidRPr="00392AAF">
              <w:rPr>
                <w:szCs w:val="18"/>
              </w:rPr>
              <w:t>NOPSEMA should consider the feasibility of:</w:t>
            </w:r>
          </w:p>
          <w:p w14:paraId="4FCC718B" w14:textId="77777777" w:rsidR="009C2FCF" w:rsidRPr="00A36467" w:rsidRDefault="009C2FCF" w:rsidP="00D521C3">
            <w:pPr>
              <w:pStyle w:val="BodyBullet1"/>
              <w:ind w:left="375"/>
              <w:rPr>
                <w:szCs w:val="18"/>
              </w:rPr>
            </w:pPr>
            <w:r w:rsidRPr="00893E23">
              <w:rPr>
                <w:szCs w:val="18"/>
              </w:rPr>
              <w:t>Redesigning its inspection regime to be a single regime of inspection procedures and supporting guidelines, tools, forms and templates, drawing upon, leveraging and building upon the ‘top of class’ documents that currently exis</w:t>
            </w:r>
            <w:r w:rsidRPr="00A36467">
              <w:rPr>
                <w:szCs w:val="18"/>
              </w:rPr>
              <w:t>t across the (3) regimes with particular nuances of the (3) subject matters accommodated as required, to give effect to the NOPSEMA Inspection Policy and Enforcement Policy in the OHS, environmental management and well integrity context</w:t>
            </w:r>
          </w:p>
          <w:p w14:paraId="02DE8C45" w14:textId="348BB411" w:rsidR="009C2FCF" w:rsidRPr="00A36467" w:rsidRDefault="009C2FCF" w:rsidP="00D521C3">
            <w:pPr>
              <w:pStyle w:val="BodyBullet1"/>
              <w:ind w:left="375"/>
              <w:rPr>
                <w:rFonts w:cs="Times New Roman"/>
                <w:szCs w:val="18"/>
              </w:rPr>
            </w:pPr>
            <w:r w:rsidRPr="00A36467">
              <w:rPr>
                <w:szCs w:val="18"/>
              </w:rPr>
              <w:lastRenderedPageBreak/>
              <w:t>Driving the combined OHS, environmental and well integrity inspections performed at the same time by multi-disciplinary teams.</w:t>
            </w:r>
          </w:p>
        </w:tc>
      </w:tr>
      <w:tr w:rsidR="009C2FCF" w:rsidRPr="00AF1581" w14:paraId="14E104CD" w14:textId="77777777" w:rsidTr="00360FAB">
        <w:tc>
          <w:tcPr>
            <w:tcW w:w="719" w:type="pct"/>
            <w:tcBorders>
              <w:top w:val="single" w:sz="4" w:space="0" w:color="BFBFBF" w:themeColor="background1" w:themeShade="BF"/>
              <w:bottom w:val="single" w:sz="4" w:space="0" w:color="BFBFBF" w:themeColor="background1" w:themeShade="BF"/>
            </w:tcBorders>
          </w:tcPr>
          <w:p w14:paraId="49EF33B3" w14:textId="5C1A541B" w:rsidR="009C2FCF" w:rsidRPr="00D521C3" w:rsidRDefault="009C2FCF" w:rsidP="00DE757C">
            <w:pPr>
              <w:pStyle w:val="BodyCopyNEW"/>
              <w:rPr>
                <w:szCs w:val="18"/>
              </w:rPr>
            </w:pPr>
            <w:r w:rsidRPr="00D521C3">
              <w:rPr>
                <w:szCs w:val="18"/>
              </w:rPr>
              <w:lastRenderedPageBreak/>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40A98CDE" w14:textId="00D5DFB4" w:rsidR="009C2FCF" w:rsidRDefault="009170F4" w:rsidP="00DE757C">
            <w:pPr>
              <w:pStyle w:val="BodyCopyNEW"/>
              <w:rPr>
                <w:szCs w:val="18"/>
              </w:rPr>
            </w:pPr>
            <w:r>
              <w:rPr>
                <w:szCs w:val="18"/>
              </w:rPr>
              <w:t>6</w:t>
            </w:r>
          </w:p>
        </w:tc>
        <w:tc>
          <w:tcPr>
            <w:tcW w:w="3994" w:type="pct"/>
            <w:tcBorders>
              <w:top w:val="single" w:sz="4" w:space="0" w:color="BFBFBF" w:themeColor="background1" w:themeShade="BF"/>
              <w:bottom w:val="single" w:sz="4" w:space="0" w:color="BFBFBF" w:themeColor="background1" w:themeShade="BF"/>
            </w:tcBorders>
          </w:tcPr>
          <w:p w14:paraId="13007DA6" w14:textId="640C255E" w:rsidR="009C2FCF" w:rsidRPr="00096BC3" w:rsidRDefault="00893B38" w:rsidP="00DE757C">
            <w:pPr>
              <w:pStyle w:val="BodyCopyNEW"/>
              <w:rPr>
                <w:szCs w:val="18"/>
              </w:rPr>
            </w:pPr>
            <w:r>
              <w:t>The Government should consider updating the OPGGS Act with respect to the power of NOPSEMA Inspectors to electronically record answers when using their powers to question under the Act.</w:t>
            </w:r>
          </w:p>
        </w:tc>
      </w:tr>
      <w:tr w:rsidR="009C2FCF" w:rsidRPr="00AF1581" w14:paraId="3D111630" w14:textId="77777777" w:rsidTr="00360FAB">
        <w:tc>
          <w:tcPr>
            <w:tcW w:w="719" w:type="pct"/>
            <w:tcBorders>
              <w:top w:val="single" w:sz="4" w:space="0" w:color="BFBFBF" w:themeColor="background1" w:themeShade="BF"/>
              <w:bottom w:val="single" w:sz="4" w:space="0" w:color="BFBFBF" w:themeColor="background1" w:themeShade="BF"/>
            </w:tcBorders>
          </w:tcPr>
          <w:p w14:paraId="72A82E53" w14:textId="7803043B" w:rsidR="009C2FCF" w:rsidRPr="00D521C3" w:rsidRDefault="009C2FCF" w:rsidP="00765B5C">
            <w:pPr>
              <w:pStyle w:val="BodyCopyNEW"/>
              <w:rPr>
                <w:szCs w:val="18"/>
              </w:rPr>
            </w:pPr>
            <w:r w:rsidRPr="00D521C3">
              <w:rPr>
                <w:szCs w:val="18"/>
              </w:rPr>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43856D5A" w14:textId="0DFDF9D6" w:rsidR="009C2FCF" w:rsidRPr="00AB522F" w:rsidRDefault="003D79E0" w:rsidP="00765B5C">
            <w:pPr>
              <w:pStyle w:val="BodyCopyNEW"/>
              <w:rPr>
                <w:szCs w:val="18"/>
              </w:rPr>
            </w:pPr>
            <w:r>
              <w:rPr>
                <w:szCs w:val="18"/>
              </w:rPr>
              <w:t>7</w:t>
            </w:r>
          </w:p>
        </w:tc>
        <w:tc>
          <w:tcPr>
            <w:tcW w:w="3994" w:type="pct"/>
            <w:tcBorders>
              <w:top w:val="single" w:sz="4" w:space="0" w:color="BFBFBF" w:themeColor="background1" w:themeShade="BF"/>
              <w:bottom w:val="single" w:sz="4" w:space="0" w:color="BFBFBF" w:themeColor="background1" w:themeShade="BF"/>
            </w:tcBorders>
          </w:tcPr>
          <w:p w14:paraId="39062DA0" w14:textId="271ADBDC" w:rsidR="009C2FCF" w:rsidRPr="004367F1" w:rsidRDefault="009C2FCF" w:rsidP="00765B5C">
            <w:pPr>
              <w:pStyle w:val="BodyCopyNEW"/>
              <w:rPr>
                <w:szCs w:val="18"/>
              </w:rPr>
            </w:pPr>
            <w:r w:rsidRPr="004367F1">
              <w:rPr>
                <w:szCs w:val="18"/>
              </w:rPr>
              <w:t>NOPSEMA should publish guidance for the benefit of all stakeholders as to how and in what circumstances the law concerning self-incrimination is relevant when a NOPSEMA Inspector exercises their powers</w:t>
            </w:r>
            <w:r w:rsidR="003B583A" w:rsidRPr="004367F1">
              <w:rPr>
                <w:szCs w:val="18"/>
              </w:rPr>
              <w:t xml:space="preserve"> to compel relevant </w:t>
            </w:r>
            <w:r w:rsidR="003052E4" w:rsidRPr="004367F1">
              <w:rPr>
                <w:szCs w:val="18"/>
              </w:rPr>
              <w:t>parties to</w:t>
            </w:r>
            <w:r w:rsidRPr="004367F1">
              <w:rPr>
                <w:szCs w:val="18"/>
              </w:rPr>
              <w:t xml:space="preserve"> answer questions.</w:t>
            </w:r>
          </w:p>
        </w:tc>
      </w:tr>
      <w:tr w:rsidR="009C2FCF" w:rsidRPr="00AF1581" w14:paraId="45F9B105" w14:textId="77777777" w:rsidTr="00360FAB">
        <w:tc>
          <w:tcPr>
            <w:tcW w:w="719" w:type="pct"/>
            <w:tcBorders>
              <w:top w:val="single" w:sz="4" w:space="0" w:color="BFBFBF" w:themeColor="background1" w:themeShade="BF"/>
              <w:bottom w:val="single" w:sz="4" w:space="0" w:color="BFBFBF" w:themeColor="background1" w:themeShade="BF"/>
            </w:tcBorders>
          </w:tcPr>
          <w:p w14:paraId="6DC0F034" w14:textId="3541DBE6" w:rsidR="009C2FCF" w:rsidRPr="00D521C3" w:rsidRDefault="009C2FCF" w:rsidP="00765B5C">
            <w:pPr>
              <w:pStyle w:val="BodyCopyNEW"/>
              <w:rPr>
                <w:szCs w:val="18"/>
              </w:rPr>
            </w:pPr>
            <w:r w:rsidRPr="00D521C3">
              <w:rPr>
                <w:szCs w:val="18"/>
              </w:rPr>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6BAC5640" w14:textId="62BD748F" w:rsidR="009C2FCF" w:rsidRPr="004602AD" w:rsidRDefault="003D79E0" w:rsidP="00765B5C">
            <w:pPr>
              <w:pStyle w:val="BodyCopyNEW"/>
              <w:rPr>
                <w:rFonts w:cs="Calibri"/>
                <w:szCs w:val="18"/>
              </w:rPr>
            </w:pPr>
            <w:r>
              <w:rPr>
                <w:rFonts w:cs="Calibri"/>
                <w:szCs w:val="18"/>
              </w:rPr>
              <w:t>8</w:t>
            </w:r>
          </w:p>
        </w:tc>
        <w:tc>
          <w:tcPr>
            <w:tcW w:w="3994" w:type="pct"/>
            <w:tcBorders>
              <w:top w:val="single" w:sz="4" w:space="0" w:color="BFBFBF" w:themeColor="background1" w:themeShade="BF"/>
              <w:bottom w:val="single" w:sz="4" w:space="0" w:color="BFBFBF" w:themeColor="background1" w:themeShade="BF"/>
            </w:tcBorders>
          </w:tcPr>
          <w:p w14:paraId="33F12A8A" w14:textId="15B805B9" w:rsidR="009C2FCF" w:rsidRPr="00763FBB" w:rsidRDefault="009642FE" w:rsidP="00765B5C">
            <w:pPr>
              <w:pStyle w:val="BodyCopyNEW"/>
              <w:rPr>
                <w:rFonts w:cs="Calibri"/>
                <w:szCs w:val="18"/>
              </w:rPr>
            </w:pPr>
            <w:r>
              <w:t>The Government should consider amending the OPGGS Act to include provisions similar to</w:t>
            </w:r>
            <w:r w:rsidRPr="004367F1">
              <w:rPr>
                <w:rFonts w:cs="Calibri"/>
                <w:szCs w:val="18"/>
              </w:rPr>
              <w:t xml:space="preserve"> </w:t>
            </w:r>
            <w:r w:rsidR="009C2FCF" w:rsidRPr="004367F1">
              <w:rPr>
                <w:szCs w:val="18"/>
              </w:rPr>
              <w:t>a ‘section 27 offence’ under the Australian Work Health and Safety harmonised laws (that is, for officers of the organisations to have a duty to demonstrate they have exercised due diligence to ensure the organisation has complied with its duty under the OPGGS Act).</w:t>
            </w:r>
          </w:p>
        </w:tc>
      </w:tr>
      <w:tr w:rsidR="009C2FCF" w:rsidRPr="00AF1581" w14:paraId="35ED3C1C" w14:textId="77777777" w:rsidTr="00360FAB">
        <w:tc>
          <w:tcPr>
            <w:tcW w:w="719" w:type="pct"/>
            <w:tcBorders>
              <w:top w:val="single" w:sz="4" w:space="0" w:color="BFBFBF" w:themeColor="background1" w:themeShade="BF"/>
              <w:bottom w:val="single" w:sz="4" w:space="0" w:color="BFBFBF" w:themeColor="background1" w:themeShade="BF"/>
            </w:tcBorders>
          </w:tcPr>
          <w:p w14:paraId="4D4038C9" w14:textId="5BC4C539" w:rsidR="009C2FCF" w:rsidRPr="00D521C3" w:rsidRDefault="009C2FCF" w:rsidP="00765B5C">
            <w:pPr>
              <w:pStyle w:val="BodyCopyNEW"/>
              <w:rPr>
                <w:szCs w:val="18"/>
              </w:rPr>
            </w:pPr>
            <w:r w:rsidRPr="00D521C3">
              <w:rPr>
                <w:szCs w:val="18"/>
              </w:rPr>
              <w:t>Capability and capacity of NOPSEMA</w:t>
            </w:r>
          </w:p>
        </w:tc>
        <w:tc>
          <w:tcPr>
            <w:tcW w:w="287" w:type="pct"/>
            <w:tcBorders>
              <w:top w:val="single" w:sz="4" w:space="0" w:color="BFBFBF" w:themeColor="background1" w:themeShade="BF"/>
              <w:bottom w:val="single" w:sz="4" w:space="0" w:color="BFBFBF" w:themeColor="background1" w:themeShade="BF"/>
            </w:tcBorders>
          </w:tcPr>
          <w:p w14:paraId="11FB7861" w14:textId="132147CC" w:rsidR="009C2FCF" w:rsidRPr="00392AAF" w:rsidRDefault="003D79E0" w:rsidP="00765B5C">
            <w:pPr>
              <w:pStyle w:val="BodyCopyNEW"/>
              <w:rPr>
                <w:szCs w:val="18"/>
              </w:rPr>
            </w:pPr>
            <w:r>
              <w:rPr>
                <w:szCs w:val="18"/>
              </w:rPr>
              <w:t>9</w:t>
            </w:r>
          </w:p>
        </w:tc>
        <w:tc>
          <w:tcPr>
            <w:tcW w:w="3994" w:type="pct"/>
            <w:tcBorders>
              <w:top w:val="single" w:sz="4" w:space="0" w:color="BFBFBF" w:themeColor="background1" w:themeShade="BF"/>
              <w:bottom w:val="single" w:sz="4" w:space="0" w:color="BFBFBF" w:themeColor="background1" w:themeShade="BF"/>
            </w:tcBorders>
          </w:tcPr>
          <w:p w14:paraId="33CF61F1" w14:textId="2A22BEB9" w:rsidR="009C2FCF" w:rsidRPr="00E75BFD" w:rsidRDefault="009C2FCF" w:rsidP="00765B5C">
            <w:pPr>
              <w:pStyle w:val="BodyCopyNEW"/>
              <w:rPr>
                <w:rFonts w:cs="Times New Roman"/>
                <w:szCs w:val="18"/>
              </w:rPr>
            </w:pPr>
            <w:r w:rsidRPr="00392AAF">
              <w:rPr>
                <w:szCs w:val="18"/>
              </w:rPr>
              <w:t>NOPSEMA should develop an integrated plan for enabli</w:t>
            </w:r>
            <w:r w:rsidRPr="00FB420B">
              <w:t xml:space="preserve">ng a shift to a ‘One NOPSEMA’ operating model which considers cross-functional </w:t>
            </w:r>
            <w:r w:rsidRPr="004602AD">
              <w:rPr>
                <w:szCs w:val="18"/>
              </w:rPr>
              <w:t xml:space="preserve">alignment of capabilities. </w:t>
            </w:r>
            <w:r w:rsidRPr="00E75BFD">
              <w:rPr>
                <w:szCs w:val="18"/>
              </w:rPr>
              <w:t>This recommendation reflects that people change, process change, and technology change must occur in unison to achieve the desired outcome of a more coordinated, collaborative, and consistent delivery of regulatory functions.</w:t>
            </w:r>
          </w:p>
        </w:tc>
      </w:tr>
      <w:tr w:rsidR="009C2FCF" w:rsidRPr="00AF1581" w14:paraId="1C918C7E" w14:textId="77777777" w:rsidTr="00360FAB">
        <w:tc>
          <w:tcPr>
            <w:tcW w:w="719" w:type="pct"/>
            <w:tcBorders>
              <w:top w:val="single" w:sz="4" w:space="0" w:color="BFBFBF" w:themeColor="background1" w:themeShade="BF"/>
              <w:bottom w:val="single" w:sz="4" w:space="0" w:color="BFBFBF" w:themeColor="background1" w:themeShade="BF"/>
            </w:tcBorders>
          </w:tcPr>
          <w:p w14:paraId="35B11E21" w14:textId="68B8C40A" w:rsidR="009C2FCF" w:rsidRPr="00D521C3" w:rsidRDefault="009C2FCF" w:rsidP="00765B5C">
            <w:pPr>
              <w:pStyle w:val="BodyCopyNEW"/>
              <w:rPr>
                <w:rFonts w:cs="OpenSansRegular"/>
                <w:szCs w:val="18"/>
              </w:rPr>
            </w:pPr>
            <w:r w:rsidRPr="00D521C3">
              <w:rPr>
                <w:szCs w:val="18"/>
              </w:rPr>
              <w:t>Capability and capacity of NOPSEMA</w:t>
            </w:r>
          </w:p>
        </w:tc>
        <w:tc>
          <w:tcPr>
            <w:tcW w:w="287" w:type="pct"/>
            <w:tcBorders>
              <w:top w:val="single" w:sz="4" w:space="0" w:color="BFBFBF" w:themeColor="background1" w:themeShade="BF"/>
              <w:bottom w:val="single" w:sz="4" w:space="0" w:color="BFBFBF" w:themeColor="background1" w:themeShade="BF"/>
            </w:tcBorders>
          </w:tcPr>
          <w:p w14:paraId="06E4287D" w14:textId="246DFCF0" w:rsidR="009C2FCF" w:rsidRPr="00392AAF" w:rsidRDefault="009C2FCF" w:rsidP="00765B5C">
            <w:pPr>
              <w:pStyle w:val="BodyCopyNEW"/>
              <w:rPr>
                <w:szCs w:val="18"/>
              </w:rPr>
            </w:pPr>
            <w:r>
              <w:rPr>
                <w:szCs w:val="18"/>
              </w:rPr>
              <w:t>1</w:t>
            </w:r>
            <w:r w:rsidR="003D79E0">
              <w:rPr>
                <w:szCs w:val="18"/>
              </w:rPr>
              <w:t>0</w:t>
            </w:r>
          </w:p>
        </w:tc>
        <w:tc>
          <w:tcPr>
            <w:tcW w:w="3994" w:type="pct"/>
            <w:tcBorders>
              <w:top w:val="single" w:sz="4" w:space="0" w:color="BFBFBF" w:themeColor="background1" w:themeShade="BF"/>
              <w:bottom w:val="single" w:sz="4" w:space="0" w:color="BFBFBF" w:themeColor="background1" w:themeShade="BF"/>
            </w:tcBorders>
          </w:tcPr>
          <w:p w14:paraId="587E4D45" w14:textId="56940081" w:rsidR="009C2FCF" w:rsidRPr="00FB420B" w:rsidRDefault="009C2FCF" w:rsidP="00765B5C">
            <w:pPr>
              <w:pStyle w:val="BodyCopyNEW"/>
              <w:rPr>
                <w:szCs w:val="18"/>
              </w:rPr>
            </w:pPr>
            <w:r w:rsidRPr="00392AAF">
              <w:rPr>
                <w:szCs w:val="18"/>
              </w:rPr>
              <w:t xml:space="preserve">NOPSEMA should </w:t>
            </w:r>
            <w:r>
              <w:rPr>
                <w:szCs w:val="18"/>
              </w:rPr>
              <w:t>increase</w:t>
            </w:r>
            <w:r w:rsidRPr="00392AAF">
              <w:rPr>
                <w:szCs w:val="18"/>
              </w:rPr>
              <w:t xml:space="preserve"> the capacity of the Well Integrity </w:t>
            </w:r>
            <w:r>
              <w:rPr>
                <w:szCs w:val="18"/>
              </w:rPr>
              <w:t>capability</w:t>
            </w:r>
            <w:r w:rsidRPr="00392AAF">
              <w:rPr>
                <w:szCs w:val="18"/>
              </w:rPr>
              <w:t xml:space="preserve">. At minimum, </w:t>
            </w:r>
            <w:r>
              <w:rPr>
                <w:szCs w:val="18"/>
              </w:rPr>
              <w:t>an increase in the capacity of the Well Integrity capability</w:t>
            </w:r>
            <w:r w:rsidRPr="00392AAF">
              <w:rPr>
                <w:szCs w:val="18"/>
              </w:rPr>
              <w:t xml:space="preserve"> should consider:</w:t>
            </w:r>
          </w:p>
          <w:p w14:paraId="00673A65" w14:textId="5D9DAB6D" w:rsidR="009C2FCF" w:rsidRPr="00A36467" w:rsidRDefault="009C2FCF" w:rsidP="00D521C3">
            <w:pPr>
              <w:pStyle w:val="BodyBullet1"/>
              <w:ind w:left="375"/>
              <w:rPr>
                <w:szCs w:val="18"/>
              </w:rPr>
            </w:pPr>
            <w:r w:rsidRPr="00893E23">
              <w:rPr>
                <w:rFonts w:cs="Times New Roman"/>
                <w:szCs w:val="18"/>
              </w:rPr>
              <w:t xml:space="preserve">Likely </w:t>
            </w:r>
            <w:r w:rsidRPr="00A36467">
              <w:rPr>
                <w:szCs w:val="18"/>
              </w:rPr>
              <w:t>industry activity moving forward</w:t>
            </w:r>
            <w:r>
              <w:rPr>
                <w:szCs w:val="18"/>
              </w:rPr>
              <w:t xml:space="preserve"> (the forecast demand for the Well Integrity capability)</w:t>
            </w:r>
          </w:p>
          <w:p w14:paraId="1337DE81" w14:textId="77777777" w:rsidR="009C2FCF" w:rsidRPr="00D521C3" w:rsidRDefault="009C2FCF" w:rsidP="00D521C3">
            <w:pPr>
              <w:pStyle w:val="BodyBullet1"/>
              <w:ind w:left="375"/>
              <w:rPr>
                <w:rFonts w:cs="Times New Roman"/>
                <w:szCs w:val="18"/>
              </w:rPr>
            </w:pPr>
            <w:r w:rsidRPr="00D521C3">
              <w:rPr>
                <w:rFonts w:cs="Times New Roman"/>
                <w:szCs w:val="18"/>
              </w:rPr>
              <w:t>The actual and desired allocation of the Well Integrity team’s effort across inspection and assessment activities</w:t>
            </w:r>
          </w:p>
          <w:p w14:paraId="62DEE8B0" w14:textId="0B1474D0" w:rsidR="009C2FCF" w:rsidRPr="00A36467" w:rsidRDefault="009C2FCF" w:rsidP="00D521C3">
            <w:pPr>
              <w:pStyle w:val="BodyBullet1"/>
              <w:ind w:left="375"/>
              <w:rPr>
                <w:szCs w:val="18"/>
              </w:rPr>
            </w:pPr>
            <w:r w:rsidRPr="00D521C3">
              <w:rPr>
                <w:rFonts w:cs="Times New Roman"/>
                <w:szCs w:val="18"/>
              </w:rPr>
              <w:t>Identifying potential operational efficiencies through process redesign, technology improvement, job design and/or, where a gap remains, addressing capacity shortages through the sourcing of talent</w:t>
            </w:r>
            <w:r w:rsidRPr="00C066D9">
              <w:rPr>
                <w:rFonts w:cs="Times New Roman"/>
                <w:szCs w:val="18"/>
              </w:rPr>
              <w:t>.</w:t>
            </w:r>
          </w:p>
        </w:tc>
      </w:tr>
      <w:tr w:rsidR="009C2FCF" w:rsidRPr="00AF1581" w14:paraId="686AA1C1" w14:textId="77777777" w:rsidTr="00360FAB">
        <w:tc>
          <w:tcPr>
            <w:tcW w:w="719" w:type="pct"/>
            <w:tcBorders>
              <w:top w:val="single" w:sz="4" w:space="0" w:color="BFBFBF" w:themeColor="background1" w:themeShade="BF"/>
              <w:bottom w:val="single" w:sz="4" w:space="0" w:color="BFBFBF" w:themeColor="background1" w:themeShade="BF"/>
            </w:tcBorders>
          </w:tcPr>
          <w:p w14:paraId="00B1837D" w14:textId="0E1D84BF" w:rsidR="009C2FCF" w:rsidRPr="00D521C3" w:rsidRDefault="009C2FCF" w:rsidP="00765B5C">
            <w:pPr>
              <w:pStyle w:val="BodyCopyNEW"/>
              <w:rPr>
                <w:rFonts w:cs="OpenSansRegular"/>
                <w:szCs w:val="18"/>
              </w:rPr>
            </w:pPr>
            <w:r w:rsidRPr="00D521C3">
              <w:rPr>
                <w:szCs w:val="18"/>
              </w:rPr>
              <w:t>Capability and capacity of NOPSEMA</w:t>
            </w:r>
          </w:p>
        </w:tc>
        <w:tc>
          <w:tcPr>
            <w:tcW w:w="287" w:type="pct"/>
            <w:tcBorders>
              <w:top w:val="single" w:sz="4" w:space="0" w:color="BFBFBF" w:themeColor="background1" w:themeShade="BF"/>
              <w:bottom w:val="single" w:sz="4" w:space="0" w:color="BFBFBF" w:themeColor="background1" w:themeShade="BF"/>
            </w:tcBorders>
          </w:tcPr>
          <w:p w14:paraId="79C8C7C3" w14:textId="2A8D40DB" w:rsidR="009C2FCF" w:rsidRPr="00946300" w:rsidRDefault="009C2FCF" w:rsidP="00765B5C">
            <w:pPr>
              <w:pStyle w:val="BodyCopyNEW"/>
              <w:rPr>
                <w:szCs w:val="18"/>
              </w:rPr>
            </w:pPr>
            <w:r>
              <w:rPr>
                <w:szCs w:val="18"/>
              </w:rPr>
              <w:t>1</w:t>
            </w:r>
            <w:r w:rsidR="003D79E0">
              <w:rPr>
                <w:szCs w:val="18"/>
              </w:rPr>
              <w:t>1</w:t>
            </w:r>
          </w:p>
        </w:tc>
        <w:tc>
          <w:tcPr>
            <w:tcW w:w="3994" w:type="pct"/>
            <w:tcBorders>
              <w:top w:val="single" w:sz="4" w:space="0" w:color="BFBFBF" w:themeColor="background1" w:themeShade="BF"/>
              <w:bottom w:val="single" w:sz="4" w:space="0" w:color="BFBFBF" w:themeColor="background1" w:themeShade="BF"/>
            </w:tcBorders>
          </w:tcPr>
          <w:p w14:paraId="722DF706" w14:textId="19BCC470" w:rsidR="009C2FCF" w:rsidRPr="00611BAA" w:rsidRDefault="009C2FCF" w:rsidP="00765B5C">
            <w:pPr>
              <w:pStyle w:val="BodyCopyNEW"/>
              <w:rPr>
                <w:szCs w:val="18"/>
              </w:rPr>
            </w:pPr>
            <w:r w:rsidRPr="00946300">
              <w:rPr>
                <w:szCs w:val="18"/>
              </w:rPr>
              <w:t>NOPTA and NOPSEMA should, once the policy framework for offshore decommissioning has been developed and agreed by the Government, coordinate on the building of capability and capacity for decommissioning and aging asset m</w:t>
            </w:r>
            <w:r w:rsidRPr="00392AAF">
              <w:rPr>
                <w:szCs w:val="18"/>
              </w:rPr>
              <w:t>anagement (including facilities engineering) and financial/commercial analysis (including transaction analysis and financial capacity). NOPTA and NOPSEMA may consider engaging with peers in more mature jurisdictions to identify the specific capability skil</w:t>
            </w:r>
            <w:r w:rsidRPr="00FB420B">
              <w:t>lsets required. NOPTA and NOPSEMA should consider opportunities for building a shared capability that can be accessed by both parties to avoid duplication of capabilities and capacity.</w:t>
            </w:r>
          </w:p>
        </w:tc>
      </w:tr>
      <w:tr w:rsidR="009C2FCF" w:rsidRPr="00AF1581" w14:paraId="7DAFDAF5" w14:textId="77777777" w:rsidTr="00360FAB">
        <w:tc>
          <w:tcPr>
            <w:tcW w:w="719" w:type="pct"/>
            <w:tcBorders>
              <w:top w:val="single" w:sz="4" w:space="0" w:color="BFBFBF" w:themeColor="background1" w:themeShade="BF"/>
              <w:bottom w:val="single" w:sz="4" w:space="0" w:color="BFBFBF" w:themeColor="background1" w:themeShade="BF"/>
            </w:tcBorders>
          </w:tcPr>
          <w:p w14:paraId="12987815" w14:textId="481CE6E4" w:rsidR="009C2FCF" w:rsidRPr="00D521C3" w:rsidRDefault="009C2FCF" w:rsidP="00765B5C">
            <w:pPr>
              <w:pStyle w:val="BodyCopyNEW"/>
              <w:rPr>
                <w:szCs w:val="18"/>
              </w:rPr>
            </w:pPr>
            <w:r w:rsidRPr="00D521C3">
              <w:rPr>
                <w:szCs w:val="18"/>
              </w:rPr>
              <w:t xml:space="preserve">Effectiveness of the Advisory Board in enabling </w:t>
            </w:r>
            <w:r w:rsidRPr="00D521C3">
              <w:rPr>
                <w:szCs w:val="18"/>
              </w:rPr>
              <w:lastRenderedPageBreak/>
              <w:t>NOPSEMA to carry out its functions</w:t>
            </w:r>
          </w:p>
        </w:tc>
        <w:tc>
          <w:tcPr>
            <w:tcW w:w="287" w:type="pct"/>
            <w:tcBorders>
              <w:top w:val="single" w:sz="4" w:space="0" w:color="BFBFBF" w:themeColor="background1" w:themeShade="BF"/>
              <w:bottom w:val="single" w:sz="4" w:space="0" w:color="BFBFBF" w:themeColor="background1" w:themeShade="BF"/>
            </w:tcBorders>
          </w:tcPr>
          <w:p w14:paraId="6C7C721C" w14:textId="304E3B7B" w:rsidR="009C2FCF" w:rsidRPr="00392AAF" w:rsidRDefault="009C2FCF" w:rsidP="00765B5C">
            <w:pPr>
              <w:pStyle w:val="BodyCopyNEW"/>
              <w:rPr>
                <w:szCs w:val="18"/>
              </w:rPr>
            </w:pPr>
            <w:r>
              <w:rPr>
                <w:szCs w:val="18"/>
              </w:rPr>
              <w:lastRenderedPageBreak/>
              <w:t>1</w:t>
            </w:r>
            <w:r w:rsidR="003D79E0">
              <w:rPr>
                <w:szCs w:val="18"/>
              </w:rPr>
              <w:t>2</w:t>
            </w:r>
          </w:p>
        </w:tc>
        <w:tc>
          <w:tcPr>
            <w:tcW w:w="3994" w:type="pct"/>
            <w:tcBorders>
              <w:top w:val="single" w:sz="4" w:space="0" w:color="BFBFBF" w:themeColor="background1" w:themeShade="BF"/>
              <w:bottom w:val="single" w:sz="4" w:space="0" w:color="BFBFBF" w:themeColor="background1" w:themeShade="BF"/>
            </w:tcBorders>
          </w:tcPr>
          <w:p w14:paraId="7E437A18" w14:textId="7A148659" w:rsidR="009C2FCF" w:rsidRPr="00C81CBA" w:rsidRDefault="009C2FCF" w:rsidP="00765B5C">
            <w:pPr>
              <w:pStyle w:val="BodyCopyNEW"/>
              <w:rPr>
                <w:szCs w:val="18"/>
              </w:rPr>
            </w:pPr>
            <w:r w:rsidRPr="004367F1">
              <w:rPr>
                <w:szCs w:val="18"/>
              </w:rPr>
              <w:t>The NOPSEMA Advisory Board</w:t>
            </w:r>
            <w:r w:rsidRPr="004367F1">
              <w:t xml:space="preserve">, in consultation with the </w:t>
            </w:r>
            <w:r w:rsidRPr="004367F1">
              <w:rPr>
                <w:szCs w:val="18"/>
              </w:rPr>
              <w:t>Minister</w:t>
            </w:r>
            <w:r w:rsidR="007A15C2" w:rsidRPr="004367F1">
              <w:rPr>
                <w:szCs w:val="18"/>
              </w:rPr>
              <w:t xml:space="preserve"> and NOPSEMA</w:t>
            </w:r>
            <w:r w:rsidRPr="004367F1">
              <w:rPr>
                <w:szCs w:val="18"/>
              </w:rPr>
              <w:t xml:space="preserve">, should develop a Terms of Reference or similar Charter that clearly details its scope, role, function, and responsibilities in the support of NOPSEMA and the industry. The Terms of Reference should clearly outline what it does, as well as </w:t>
            </w:r>
            <w:r w:rsidRPr="004367F1">
              <w:rPr>
                <w:szCs w:val="18"/>
              </w:rPr>
              <w:lastRenderedPageBreak/>
              <w:t>what it does not do given its status as an Advisory Board. The Terms of Reference should be made public to continue to drive transparency in approach and direction.</w:t>
            </w:r>
          </w:p>
        </w:tc>
      </w:tr>
      <w:tr w:rsidR="009C2FCF" w:rsidRPr="00AF1581" w14:paraId="7B8C813D" w14:textId="77777777" w:rsidTr="00360FAB">
        <w:tc>
          <w:tcPr>
            <w:tcW w:w="719" w:type="pct"/>
            <w:tcBorders>
              <w:top w:val="single" w:sz="4" w:space="0" w:color="BFBFBF" w:themeColor="background1" w:themeShade="BF"/>
              <w:bottom w:val="single" w:sz="4" w:space="0" w:color="BFBFBF" w:themeColor="background1" w:themeShade="BF"/>
            </w:tcBorders>
          </w:tcPr>
          <w:p w14:paraId="06E7E148" w14:textId="3A6DA609" w:rsidR="009C2FCF" w:rsidRPr="00D521C3" w:rsidRDefault="009C2FCF" w:rsidP="00765B5C">
            <w:pPr>
              <w:pStyle w:val="BodyCopyNEW"/>
              <w:rPr>
                <w:szCs w:val="18"/>
              </w:rPr>
            </w:pPr>
            <w:r w:rsidRPr="00D521C3">
              <w:rPr>
                <w:szCs w:val="18"/>
              </w:rPr>
              <w:lastRenderedPageBreak/>
              <w:t>Effectiveness of the Advisory Board in enabling NOPSEMA to carry out its functions</w:t>
            </w:r>
          </w:p>
        </w:tc>
        <w:tc>
          <w:tcPr>
            <w:tcW w:w="287" w:type="pct"/>
            <w:tcBorders>
              <w:top w:val="single" w:sz="4" w:space="0" w:color="BFBFBF" w:themeColor="background1" w:themeShade="BF"/>
              <w:bottom w:val="single" w:sz="4" w:space="0" w:color="BFBFBF" w:themeColor="background1" w:themeShade="BF"/>
            </w:tcBorders>
          </w:tcPr>
          <w:p w14:paraId="007234F7" w14:textId="4E4EBFAB" w:rsidR="009C2FCF" w:rsidRPr="00946300" w:rsidRDefault="009C2FCF" w:rsidP="00765B5C">
            <w:pPr>
              <w:pStyle w:val="BodyCopyNEW"/>
              <w:rPr>
                <w:szCs w:val="18"/>
              </w:rPr>
            </w:pPr>
            <w:r>
              <w:rPr>
                <w:szCs w:val="18"/>
              </w:rPr>
              <w:t>1</w:t>
            </w:r>
            <w:r w:rsidR="003D79E0">
              <w:rPr>
                <w:szCs w:val="18"/>
              </w:rPr>
              <w:t>3</w:t>
            </w:r>
          </w:p>
        </w:tc>
        <w:tc>
          <w:tcPr>
            <w:tcW w:w="3994" w:type="pct"/>
            <w:tcBorders>
              <w:top w:val="single" w:sz="4" w:space="0" w:color="BFBFBF" w:themeColor="background1" w:themeShade="BF"/>
              <w:bottom w:val="single" w:sz="4" w:space="0" w:color="BFBFBF" w:themeColor="background1" w:themeShade="BF"/>
            </w:tcBorders>
          </w:tcPr>
          <w:p w14:paraId="24A20B4B" w14:textId="3979605A" w:rsidR="009C2FCF" w:rsidRPr="00392AAF" w:rsidRDefault="009C2FCF" w:rsidP="00765B5C">
            <w:pPr>
              <w:pStyle w:val="BodyCopyNEW"/>
              <w:rPr>
                <w:szCs w:val="18"/>
              </w:rPr>
            </w:pPr>
            <w:r w:rsidRPr="00946300">
              <w:rPr>
                <w:szCs w:val="18"/>
              </w:rPr>
              <w:t>NOPSEMA’s Advisory Board should</w:t>
            </w:r>
            <w:r>
              <w:rPr>
                <w:szCs w:val="18"/>
              </w:rPr>
              <w:t xml:space="preserve"> be</w:t>
            </w:r>
            <w:r w:rsidRPr="00946300">
              <w:rPr>
                <w:szCs w:val="18"/>
              </w:rPr>
              <w:t>:</w:t>
            </w:r>
          </w:p>
          <w:p w14:paraId="7797F590" w14:textId="466AA614" w:rsidR="009C2FCF" w:rsidRPr="00D521C3" w:rsidRDefault="009C2FCF" w:rsidP="00D521C3">
            <w:pPr>
              <w:pStyle w:val="BodyBullet1"/>
              <w:ind w:left="375"/>
              <w:rPr>
                <w:rFonts w:cs="Times New Roman"/>
                <w:szCs w:val="18"/>
              </w:rPr>
            </w:pPr>
            <w:r w:rsidRPr="00D521C3">
              <w:rPr>
                <w:rFonts w:cs="Times New Roman"/>
                <w:szCs w:val="18"/>
              </w:rPr>
              <w:t>Involved in conducting industry-wide risk, issue, and trend analysis to identify areas for NOPSEMA focus or support to industry</w:t>
            </w:r>
          </w:p>
          <w:p w14:paraId="73D989E8" w14:textId="4C51BBE4" w:rsidR="009C2FCF" w:rsidRPr="00A36467" w:rsidRDefault="009C2FCF" w:rsidP="00D521C3">
            <w:pPr>
              <w:pStyle w:val="BodyBullet1"/>
              <w:ind w:left="375"/>
              <w:rPr>
                <w:szCs w:val="18"/>
              </w:rPr>
            </w:pPr>
            <w:r w:rsidRPr="00D521C3">
              <w:rPr>
                <w:rFonts w:cs="Times New Roman"/>
                <w:szCs w:val="18"/>
              </w:rPr>
              <w:t>Formally consulted on the build</w:t>
            </w:r>
            <w:r w:rsidRPr="00A36467">
              <w:rPr>
                <w:rFonts w:cs="Times New Roman"/>
                <w:szCs w:val="18"/>
              </w:rPr>
              <w:t xml:space="preserve"> and development of the NOPSEMA Corporate Plan.</w:t>
            </w:r>
          </w:p>
        </w:tc>
      </w:tr>
      <w:tr w:rsidR="009C2FCF" w:rsidRPr="00AF1581" w14:paraId="53C38AB9" w14:textId="77777777" w:rsidTr="00360FAB">
        <w:tc>
          <w:tcPr>
            <w:tcW w:w="719" w:type="pct"/>
            <w:tcBorders>
              <w:top w:val="single" w:sz="4" w:space="0" w:color="BFBFBF" w:themeColor="background1" w:themeShade="BF"/>
              <w:bottom w:val="single" w:sz="4" w:space="0" w:color="BFBFBF" w:themeColor="background1" w:themeShade="BF"/>
            </w:tcBorders>
          </w:tcPr>
          <w:p w14:paraId="35F26B35" w14:textId="18E559A5" w:rsidR="009C2FCF" w:rsidRPr="00D521C3" w:rsidRDefault="009C2FCF" w:rsidP="00765B5C">
            <w:pPr>
              <w:pStyle w:val="BodyCopyNEW"/>
              <w:rPr>
                <w:szCs w:val="18"/>
              </w:rPr>
            </w:pPr>
            <w:r w:rsidRPr="00D521C3">
              <w:rPr>
                <w:szCs w:val="18"/>
              </w:rPr>
              <w:t>Effectiveness of the Advisory Board in enabling NOPSEMA to carry out its functions</w:t>
            </w:r>
          </w:p>
        </w:tc>
        <w:tc>
          <w:tcPr>
            <w:tcW w:w="287" w:type="pct"/>
            <w:tcBorders>
              <w:top w:val="single" w:sz="4" w:space="0" w:color="BFBFBF" w:themeColor="background1" w:themeShade="BF"/>
              <w:bottom w:val="single" w:sz="4" w:space="0" w:color="BFBFBF" w:themeColor="background1" w:themeShade="BF"/>
            </w:tcBorders>
          </w:tcPr>
          <w:p w14:paraId="55AA1502" w14:textId="515F93DA" w:rsidR="009C2FCF" w:rsidRPr="00392AAF" w:rsidRDefault="009C2FCF" w:rsidP="00765B5C">
            <w:pPr>
              <w:pStyle w:val="BodyCopyNEW"/>
              <w:rPr>
                <w:szCs w:val="18"/>
              </w:rPr>
            </w:pPr>
            <w:r>
              <w:rPr>
                <w:szCs w:val="18"/>
              </w:rPr>
              <w:t>1</w:t>
            </w:r>
            <w:r w:rsidR="003D79E0">
              <w:rPr>
                <w:szCs w:val="18"/>
              </w:rPr>
              <w:t>4</w:t>
            </w:r>
          </w:p>
        </w:tc>
        <w:tc>
          <w:tcPr>
            <w:tcW w:w="3994" w:type="pct"/>
            <w:tcBorders>
              <w:top w:val="single" w:sz="4" w:space="0" w:color="BFBFBF" w:themeColor="background1" w:themeShade="BF"/>
              <w:bottom w:val="single" w:sz="4" w:space="0" w:color="BFBFBF" w:themeColor="background1" w:themeShade="BF"/>
            </w:tcBorders>
          </w:tcPr>
          <w:p w14:paraId="77A36E18" w14:textId="297DE301" w:rsidR="009C2FCF" w:rsidRPr="004602AD" w:rsidRDefault="009C2FCF" w:rsidP="00765B5C">
            <w:pPr>
              <w:pStyle w:val="BodyCopyNEW"/>
              <w:rPr>
                <w:rFonts w:cs="OpenSansRegular"/>
                <w:szCs w:val="18"/>
              </w:rPr>
            </w:pPr>
            <w:r w:rsidRPr="00392AAF">
              <w:rPr>
                <w:szCs w:val="18"/>
              </w:rPr>
              <w:t>DISER should, in consultation with the Advisory Board and NOPSEMA, determine the broader range of skills needed to reflect the current industry trends and issues faced by th</w:t>
            </w:r>
            <w:r w:rsidRPr="00FB420B">
              <w:rPr>
                <w:szCs w:val="18"/>
              </w:rPr>
              <w:t xml:space="preserve">e industry. The Advisory Board mix should then be re-evaluated to determine if there is the right balance of skills as the industry changes (e.g. determine if there is a need for a psychology/mental health expertise, financial assurance, safety regulation </w:t>
            </w:r>
            <w:r>
              <w:rPr>
                <w:szCs w:val="18"/>
              </w:rPr>
              <w:t>to supplement the skillset of the current Board members</w:t>
            </w:r>
            <w:r w:rsidRPr="00911F0E">
              <w:rPr>
                <w:szCs w:val="18"/>
              </w:rPr>
              <w:t>).</w:t>
            </w:r>
          </w:p>
        </w:tc>
      </w:tr>
      <w:tr w:rsidR="009C2FCF" w:rsidRPr="00AF1581" w14:paraId="2CD77972" w14:textId="77777777" w:rsidTr="00360FAB">
        <w:tc>
          <w:tcPr>
            <w:tcW w:w="719" w:type="pct"/>
            <w:tcBorders>
              <w:top w:val="single" w:sz="4" w:space="0" w:color="BFBFBF" w:themeColor="background1" w:themeShade="BF"/>
              <w:bottom w:val="single" w:sz="4" w:space="0" w:color="BFBFBF" w:themeColor="background1" w:themeShade="BF"/>
            </w:tcBorders>
          </w:tcPr>
          <w:p w14:paraId="3E93A626" w14:textId="027B2BBB" w:rsidR="009C2FCF" w:rsidRPr="00D521C3" w:rsidRDefault="009C2FCF" w:rsidP="00765B5C">
            <w:pPr>
              <w:pStyle w:val="BodyCopyNEW"/>
              <w:rPr>
                <w:szCs w:val="18"/>
              </w:rPr>
            </w:pPr>
            <w:r w:rsidRPr="00D521C3">
              <w:rPr>
                <w:szCs w:val="18"/>
              </w:rPr>
              <w:t>Effectiveness of the Advisory Board in enabling NOPSEMA to carry out its functions</w:t>
            </w:r>
          </w:p>
        </w:tc>
        <w:tc>
          <w:tcPr>
            <w:tcW w:w="287" w:type="pct"/>
            <w:tcBorders>
              <w:top w:val="single" w:sz="4" w:space="0" w:color="BFBFBF" w:themeColor="background1" w:themeShade="BF"/>
              <w:bottom w:val="single" w:sz="4" w:space="0" w:color="BFBFBF" w:themeColor="background1" w:themeShade="BF"/>
            </w:tcBorders>
          </w:tcPr>
          <w:p w14:paraId="6605AB62" w14:textId="5F6DA9D7" w:rsidR="009C2FCF" w:rsidRPr="00392AAF" w:rsidRDefault="009C2FCF" w:rsidP="00765B5C">
            <w:pPr>
              <w:pStyle w:val="BodyCopyNEW"/>
              <w:rPr>
                <w:szCs w:val="18"/>
              </w:rPr>
            </w:pPr>
            <w:r>
              <w:rPr>
                <w:szCs w:val="18"/>
              </w:rPr>
              <w:t>1</w:t>
            </w:r>
            <w:r w:rsidR="003D79E0">
              <w:rPr>
                <w:szCs w:val="18"/>
              </w:rPr>
              <w:t>5</w:t>
            </w:r>
          </w:p>
        </w:tc>
        <w:tc>
          <w:tcPr>
            <w:tcW w:w="3994" w:type="pct"/>
            <w:tcBorders>
              <w:top w:val="single" w:sz="4" w:space="0" w:color="BFBFBF" w:themeColor="background1" w:themeShade="BF"/>
              <w:bottom w:val="single" w:sz="4" w:space="0" w:color="BFBFBF" w:themeColor="background1" w:themeShade="BF"/>
            </w:tcBorders>
          </w:tcPr>
          <w:p w14:paraId="4159CB42" w14:textId="73F87586" w:rsidR="009C2FCF" w:rsidRPr="00392AAF" w:rsidRDefault="009C2FCF" w:rsidP="00765B5C">
            <w:pPr>
              <w:pStyle w:val="BodyCopyNEW"/>
              <w:rPr>
                <w:szCs w:val="18"/>
              </w:rPr>
            </w:pPr>
            <w:r w:rsidRPr="00392AAF">
              <w:rPr>
                <w:szCs w:val="18"/>
              </w:rPr>
              <w:t>The NOPSEMA Advisory B</w:t>
            </w:r>
            <w:r w:rsidRPr="00FB420B">
              <w:rPr>
                <w:szCs w:val="18"/>
              </w:rPr>
              <w:t xml:space="preserve">oard should perform a self-evaluation against the ANAO insights to identify areas of improvement. We recommend NOPSEMA and the Advisory Board look to address the gaps we have identified </w:t>
            </w:r>
            <w:r w:rsidR="00806FEC">
              <w:rPr>
                <w:szCs w:val="18"/>
              </w:rPr>
              <w:t>in the ANAO board governance recommendations and analysis</w:t>
            </w:r>
            <w:r w:rsidRPr="00FB420B">
              <w:rPr>
                <w:szCs w:val="18"/>
              </w:rPr>
              <w:t xml:space="preserve"> </w:t>
            </w:r>
            <w:r w:rsidR="00806FEC">
              <w:rPr>
                <w:szCs w:val="18"/>
              </w:rPr>
              <w:t>(</w:t>
            </w:r>
            <w:r w:rsidR="00691F60">
              <w:rPr>
                <w:b/>
                <w:szCs w:val="18"/>
              </w:rPr>
              <w:t xml:space="preserve">Appendix </w:t>
            </w:r>
            <w:r w:rsidR="003762F6">
              <w:rPr>
                <w:b/>
                <w:szCs w:val="18"/>
              </w:rPr>
              <w:t>F</w:t>
            </w:r>
            <w:r w:rsidR="00806FEC" w:rsidRPr="00806FEC">
              <w:rPr>
                <w:bCs/>
                <w:szCs w:val="18"/>
              </w:rPr>
              <w:t>)</w:t>
            </w:r>
            <w:r w:rsidRPr="00096BC3">
              <w:rPr>
                <w:szCs w:val="18"/>
              </w:rPr>
              <w:t>.</w:t>
            </w:r>
          </w:p>
        </w:tc>
      </w:tr>
      <w:tr w:rsidR="009C2FCF" w:rsidRPr="00AF1581" w14:paraId="57682F17" w14:textId="77777777" w:rsidTr="00360FAB">
        <w:tc>
          <w:tcPr>
            <w:tcW w:w="719" w:type="pct"/>
            <w:tcBorders>
              <w:top w:val="single" w:sz="4" w:space="0" w:color="BFBFBF" w:themeColor="background1" w:themeShade="BF"/>
              <w:bottom w:val="single" w:sz="4" w:space="0" w:color="BFBFBF" w:themeColor="background1" w:themeShade="BF"/>
            </w:tcBorders>
          </w:tcPr>
          <w:p w14:paraId="6A83F78C" w14:textId="031884EE" w:rsidR="009C2FCF" w:rsidRPr="00D521C3" w:rsidRDefault="009C2FCF" w:rsidP="00765B5C">
            <w:pPr>
              <w:pStyle w:val="BodyCopyNEW"/>
              <w:rPr>
                <w:szCs w:val="18"/>
              </w:rPr>
            </w:pPr>
            <w:r w:rsidRPr="00D521C3">
              <w:rPr>
                <w:szCs w:val="18"/>
              </w:rPr>
              <w:t>Effectiveness of the Advisory Board in enabling NOPSEMA to carry out its functions</w:t>
            </w:r>
          </w:p>
        </w:tc>
        <w:tc>
          <w:tcPr>
            <w:tcW w:w="287" w:type="pct"/>
            <w:tcBorders>
              <w:top w:val="single" w:sz="4" w:space="0" w:color="BFBFBF" w:themeColor="background1" w:themeShade="BF"/>
              <w:bottom w:val="single" w:sz="4" w:space="0" w:color="BFBFBF" w:themeColor="background1" w:themeShade="BF"/>
            </w:tcBorders>
          </w:tcPr>
          <w:p w14:paraId="05A07D38" w14:textId="29A95D66" w:rsidR="009C2FCF" w:rsidRPr="00392AAF" w:rsidRDefault="009C2FCF" w:rsidP="00765B5C">
            <w:pPr>
              <w:pStyle w:val="BodyCopyNEW"/>
              <w:rPr>
                <w:szCs w:val="18"/>
              </w:rPr>
            </w:pPr>
            <w:r>
              <w:rPr>
                <w:szCs w:val="18"/>
              </w:rPr>
              <w:t>1</w:t>
            </w:r>
            <w:r w:rsidR="003D79E0">
              <w:rPr>
                <w:szCs w:val="18"/>
              </w:rPr>
              <w:t>6</w:t>
            </w:r>
          </w:p>
        </w:tc>
        <w:tc>
          <w:tcPr>
            <w:tcW w:w="3994" w:type="pct"/>
            <w:tcBorders>
              <w:top w:val="single" w:sz="4" w:space="0" w:color="BFBFBF" w:themeColor="background1" w:themeShade="BF"/>
              <w:bottom w:val="single" w:sz="4" w:space="0" w:color="BFBFBF" w:themeColor="background1" w:themeShade="BF"/>
            </w:tcBorders>
          </w:tcPr>
          <w:p w14:paraId="63BCA739" w14:textId="272F0D43" w:rsidR="009C2FCF" w:rsidRPr="006C6606" w:rsidRDefault="009C2FCF" w:rsidP="00765B5C">
            <w:pPr>
              <w:pStyle w:val="BodyCopyNEW"/>
              <w:rPr>
                <w:rFonts w:cs="OpenSansRegular"/>
                <w:szCs w:val="18"/>
              </w:rPr>
            </w:pPr>
            <w:r w:rsidRPr="00392AAF">
              <w:rPr>
                <w:szCs w:val="18"/>
              </w:rPr>
              <w:t xml:space="preserve">DISER, in consultation with the NOPSEMA Advisory Board and the </w:t>
            </w:r>
            <w:r w:rsidR="001D5D6F">
              <w:rPr>
                <w:szCs w:val="18"/>
              </w:rPr>
              <w:t>CEO</w:t>
            </w:r>
            <w:r w:rsidRPr="00911F0E">
              <w:rPr>
                <w:szCs w:val="18"/>
              </w:rPr>
              <w:t xml:space="preserve"> of NOPSEMA, </w:t>
            </w:r>
            <w:r>
              <w:rPr>
                <w:szCs w:val="18"/>
              </w:rPr>
              <w:t>should consider</w:t>
            </w:r>
            <w:r w:rsidRPr="00911F0E">
              <w:rPr>
                <w:szCs w:val="18"/>
              </w:rPr>
              <w:t xml:space="preserve"> whether the Advisor</w:t>
            </w:r>
            <w:r w:rsidRPr="004602AD">
              <w:rPr>
                <w:szCs w:val="18"/>
              </w:rPr>
              <w:t>y Board should be</w:t>
            </w:r>
            <w:r w:rsidRPr="00C81CBA">
              <w:rPr>
                <w:szCs w:val="18"/>
              </w:rPr>
              <w:t xml:space="preserve"> retained</w:t>
            </w:r>
            <w:r w:rsidRPr="00953CA5">
              <w:rPr>
                <w:szCs w:val="18"/>
              </w:rPr>
              <w:t xml:space="preserve">, </w:t>
            </w:r>
            <w:r>
              <w:rPr>
                <w:szCs w:val="18"/>
              </w:rPr>
              <w:t>or</w:t>
            </w:r>
            <w:r w:rsidRPr="00953CA5">
              <w:rPr>
                <w:szCs w:val="18"/>
              </w:rPr>
              <w:t xml:space="preserve"> whether it </w:t>
            </w:r>
            <w:r w:rsidRPr="00171DEA">
              <w:rPr>
                <w:szCs w:val="18"/>
              </w:rPr>
              <w:t>should be</w:t>
            </w:r>
            <w:r w:rsidRPr="00777C5D">
              <w:rPr>
                <w:szCs w:val="18"/>
              </w:rPr>
              <w:t xml:space="preserve"> restructured to become a Governing Board.</w:t>
            </w:r>
          </w:p>
        </w:tc>
      </w:tr>
      <w:tr w:rsidR="009C2FCF" w:rsidRPr="00AF1581" w14:paraId="3D10E8B1" w14:textId="77777777" w:rsidTr="00360FAB">
        <w:tc>
          <w:tcPr>
            <w:tcW w:w="719" w:type="pct"/>
            <w:tcBorders>
              <w:top w:val="single" w:sz="4" w:space="0" w:color="BFBFBF" w:themeColor="background1" w:themeShade="BF"/>
              <w:bottom w:val="single" w:sz="4" w:space="0" w:color="BFBFBF" w:themeColor="background1" w:themeShade="BF"/>
            </w:tcBorders>
          </w:tcPr>
          <w:p w14:paraId="058FFA90" w14:textId="0105AFA3" w:rsidR="009C2FCF" w:rsidRPr="00D521C3" w:rsidRDefault="009C2FCF" w:rsidP="00765B5C">
            <w:pPr>
              <w:pStyle w:val="BodyCopyNEW"/>
              <w:rPr>
                <w:szCs w:val="18"/>
              </w:rPr>
            </w:pPr>
            <w:r w:rsidRPr="00D521C3">
              <w:rPr>
                <w:szCs w:val="18"/>
              </w:rPr>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128C864E" w14:textId="43F6E349" w:rsidR="009C2FCF" w:rsidRPr="00946300" w:rsidRDefault="009C2FCF" w:rsidP="00765B5C">
            <w:pPr>
              <w:pStyle w:val="BodyCopyNEW"/>
              <w:rPr>
                <w:szCs w:val="18"/>
              </w:rPr>
            </w:pPr>
            <w:r>
              <w:rPr>
                <w:szCs w:val="18"/>
              </w:rPr>
              <w:t>1</w:t>
            </w:r>
            <w:r w:rsidR="003D79E0">
              <w:rPr>
                <w:szCs w:val="18"/>
              </w:rPr>
              <w:t>7</w:t>
            </w:r>
          </w:p>
        </w:tc>
        <w:tc>
          <w:tcPr>
            <w:tcW w:w="3994" w:type="pct"/>
            <w:tcBorders>
              <w:top w:val="single" w:sz="4" w:space="0" w:color="BFBFBF" w:themeColor="background1" w:themeShade="BF"/>
              <w:bottom w:val="single" w:sz="4" w:space="0" w:color="BFBFBF" w:themeColor="background1" w:themeShade="BF"/>
            </w:tcBorders>
          </w:tcPr>
          <w:p w14:paraId="7F8C1BBC" w14:textId="49936089" w:rsidR="009C2FCF" w:rsidRPr="00911F0E" w:rsidRDefault="009C2FCF" w:rsidP="00765B5C">
            <w:pPr>
              <w:pStyle w:val="BodyCopyNEW"/>
              <w:rPr>
                <w:szCs w:val="18"/>
              </w:rPr>
            </w:pPr>
            <w:r w:rsidRPr="00946300">
              <w:rPr>
                <w:szCs w:val="18"/>
              </w:rPr>
              <w:t xml:space="preserve">NOPSEMA should place focus on demonstrating how it ‘listens’ to stakeholders </w:t>
            </w:r>
            <w:r w:rsidRPr="00392AAF">
              <w:rPr>
                <w:szCs w:val="18"/>
              </w:rPr>
              <w:t xml:space="preserve">through stakeholder engagement activities. Where feasible, NOPSEMA should ensure it provides </w:t>
            </w:r>
            <w:r w:rsidR="00584F11">
              <w:rPr>
                <w:szCs w:val="18"/>
              </w:rPr>
              <w:t xml:space="preserve">clearer </w:t>
            </w:r>
            <w:r w:rsidRPr="00392AAF">
              <w:rPr>
                <w:szCs w:val="18"/>
              </w:rPr>
              <w:t xml:space="preserve">feedback to stakeholders on how their inputs have (or have not) been reflected in outputs from engagement activities and why. NOPSEMA may also wish to consider </w:t>
            </w:r>
            <w:r>
              <w:rPr>
                <w:szCs w:val="18"/>
              </w:rPr>
              <w:t>additional</w:t>
            </w:r>
            <w:r w:rsidRPr="00FB420B">
              <w:rPr>
                <w:szCs w:val="18"/>
              </w:rPr>
              <w:t xml:space="preserve"> means of gathering candid stakeholder feedback, utilising mechanisms such as anonymous third-party delivered stakeholder engagement surveys.</w:t>
            </w:r>
          </w:p>
        </w:tc>
      </w:tr>
      <w:tr w:rsidR="009C2FCF" w:rsidRPr="00AF1581" w14:paraId="01649E9B" w14:textId="77777777" w:rsidTr="00360FAB">
        <w:tc>
          <w:tcPr>
            <w:tcW w:w="719" w:type="pct"/>
            <w:tcBorders>
              <w:top w:val="single" w:sz="4" w:space="0" w:color="BFBFBF" w:themeColor="background1" w:themeShade="BF"/>
              <w:bottom w:val="single" w:sz="4" w:space="0" w:color="BFBFBF" w:themeColor="background1" w:themeShade="BF"/>
            </w:tcBorders>
          </w:tcPr>
          <w:p w14:paraId="3EE1CA54" w14:textId="77777777" w:rsidR="009C2FCF" w:rsidRPr="00D521C3" w:rsidRDefault="009C2FCF" w:rsidP="00765B5C">
            <w:pPr>
              <w:pStyle w:val="BodyCopyNEW"/>
              <w:rPr>
                <w:szCs w:val="18"/>
              </w:rPr>
            </w:pPr>
            <w:r w:rsidRPr="00D521C3">
              <w:rPr>
                <w:szCs w:val="18"/>
              </w:rPr>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5183D3DA" w14:textId="08657E22" w:rsidR="009C2FCF" w:rsidRPr="00946300" w:rsidRDefault="003D79E0" w:rsidP="00765B5C">
            <w:pPr>
              <w:pStyle w:val="BodyCopyNEW"/>
              <w:rPr>
                <w:szCs w:val="18"/>
              </w:rPr>
            </w:pPr>
            <w:r>
              <w:rPr>
                <w:szCs w:val="18"/>
              </w:rPr>
              <w:t>18</w:t>
            </w:r>
          </w:p>
        </w:tc>
        <w:tc>
          <w:tcPr>
            <w:tcW w:w="3994" w:type="pct"/>
            <w:tcBorders>
              <w:top w:val="single" w:sz="4" w:space="0" w:color="BFBFBF" w:themeColor="background1" w:themeShade="BF"/>
              <w:bottom w:val="single" w:sz="4" w:space="0" w:color="BFBFBF" w:themeColor="background1" w:themeShade="BF"/>
            </w:tcBorders>
          </w:tcPr>
          <w:p w14:paraId="771BD26D" w14:textId="6D542A96" w:rsidR="009C2FCF" w:rsidRPr="00911F0E" w:rsidRDefault="009C2FCF" w:rsidP="00765B5C">
            <w:pPr>
              <w:pStyle w:val="BodyCopyNEW"/>
              <w:rPr>
                <w:szCs w:val="18"/>
              </w:rPr>
            </w:pPr>
            <w:r w:rsidRPr="00946300">
              <w:rPr>
                <w:szCs w:val="18"/>
              </w:rPr>
              <w:t xml:space="preserve">NOPSEMA should take </w:t>
            </w:r>
            <w:r>
              <w:rPr>
                <w:szCs w:val="18"/>
              </w:rPr>
              <w:t>a</w:t>
            </w:r>
            <w:r w:rsidRPr="00946300">
              <w:rPr>
                <w:szCs w:val="18"/>
              </w:rPr>
              <w:t xml:space="preserve"> </w:t>
            </w:r>
            <w:r w:rsidRPr="00392AAF">
              <w:rPr>
                <w:szCs w:val="18"/>
              </w:rPr>
              <w:t>more strategic and proactive approach to stakeholder engagement. This may be achieved through the application of scenario-based planning to common ‘high risk’ stakeholder engagement issues. Emphasis should be placed on identifying the ‘early warning indica</w:t>
            </w:r>
            <w:r w:rsidRPr="00FB420B">
              <w:rPr>
                <w:szCs w:val="18"/>
              </w:rPr>
              <w:t>tors’ of at-risk situations to enable NOPSEMA to more proactively address emergent stakeholder engagement issues.</w:t>
            </w:r>
          </w:p>
        </w:tc>
      </w:tr>
      <w:tr w:rsidR="009C2FCF" w:rsidRPr="00AF1581" w14:paraId="0A457248" w14:textId="77777777" w:rsidTr="00360FAB">
        <w:tc>
          <w:tcPr>
            <w:tcW w:w="719" w:type="pct"/>
            <w:tcBorders>
              <w:top w:val="single" w:sz="4" w:space="0" w:color="BFBFBF" w:themeColor="background1" w:themeShade="BF"/>
              <w:bottom w:val="single" w:sz="4" w:space="0" w:color="BFBFBF" w:themeColor="background1" w:themeShade="BF"/>
            </w:tcBorders>
          </w:tcPr>
          <w:p w14:paraId="0ADB1C5B" w14:textId="77777777" w:rsidR="009C2FCF" w:rsidRPr="00D521C3" w:rsidRDefault="009C2FCF" w:rsidP="00765B5C">
            <w:pPr>
              <w:pStyle w:val="BodyCopyNEW"/>
              <w:rPr>
                <w:szCs w:val="18"/>
              </w:rPr>
            </w:pPr>
            <w:r w:rsidRPr="00D521C3">
              <w:rPr>
                <w:szCs w:val="18"/>
              </w:rPr>
              <w:lastRenderedPageBreak/>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76EF1FD9" w14:textId="7369C908" w:rsidR="009C2FCF" w:rsidRPr="00392AAF" w:rsidRDefault="003D79E0" w:rsidP="00765B5C">
            <w:pPr>
              <w:pStyle w:val="BodyCopyNEW"/>
              <w:rPr>
                <w:szCs w:val="18"/>
              </w:rPr>
            </w:pPr>
            <w:r>
              <w:rPr>
                <w:szCs w:val="18"/>
              </w:rPr>
              <w:t>19</w:t>
            </w:r>
          </w:p>
        </w:tc>
        <w:tc>
          <w:tcPr>
            <w:tcW w:w="3994" w:type="pct"/>
            <w:tcBorders>
              <w:top w:val="single" w:sz="4" w:space="0" w:color="BFBFBF" w:themeColor="background1" w:themeShade="BF"/>
              <w:bottom w:val="single" w:sz="4" w:space="0" w:color="BFBFBF" w:themeColor="background1" w:themeShade="BF"/>
            </w:tcBorders>
          </w:tcPr>
          <w:p w14:paraId="12DB8336" w14:textId="33EBC4F1" w:rsidR="009C2FCF" w:rsidRPr="00953CA5" w:rsidRDefault="009C2FCF" w:rsidP="00765B5C">
            <w:pPr>
              <w:pStyle w:val="BodyCopyNEW"/>
              <w:rPr>
                <w:szCs w:val="18"/>
              </w:rPr>
            </w:pPr>
            <w:r w:rsidRPr="00392AAF">
              <w:rPr>
                <w:szCs w:val="18"/>
              </w:rPr>
              <w:t>NOPSEMA should more actively promote the stakeholder engagement activities i</w:t>
            </w:r>
            <w:r w:rsidRPr="00FB420B">
              <w:rPr>
                <w:szCs w:val="18"/>
              </w:rPr>
              <w:t xml:space="preserve">t undertakes and investigate the publication of reporting (for instance through its website, </w:t>
            </w:r>
            <w:r w:rsidRPr="00911F0E">
              <w:rPr>
                <w:i/>
                <w:szCs w:val="18"/>
              </w:rPr>
              <w:t>The Regulator</w:t>
            </w:r>
            <w:r w:rsidRPr="004602AD">
              <w:rPr>
                <w:szCs w:val="18"/>
              </w:rPr>
              <w:t xml:space="preserve"> magazine, or other means) of stakeholder engagement activities it has undertaken and how stakeholders can engage with them. This may take the form of</w:t>
            </w:r>
            <w:r w:rsidRPr="00C81CBA">
              <w:rPr>
                <w:szCs w:val="18"/>
              </w:rPr>
              <w:t xml:space="preserve"> a quarterly snapshot of stakeholder engagement activities undertaken.</w:t>
            </w:r>
          </w:p>
        </w:tc>
      </w:tr>
      <w:tr w:rsidR="009C2FCF" w:rsidRPr="00AF1581" w14:paraId="102A0773" w14:textId="77777777" w:rsidTr="00360FAB">
        <w:tc>
          <w:tcPr>
            <w:tcW w:w="719" w:type="pct"/>
            <w:tcBorders>
              <w:top w:val="single" w:sz="4" w:space="0" w:color="BFBFBF" w:themeColor="background1" w:themeShade="BF"/>
              <w:bottom w:val="single" w:sz="4" w:space="0" w:color="BFBFBF" w:themeColor="background1" w:themeShade="BF"/>
            </w:tcBorders>
          </w:tcPr>
          <w:p w14:paraId="636B1234" w14:textId="77777777" w:rsidR="009C2FCF" w:rsidRPr="00D521C3" w:rsidRDefault="009C2FCF" w:rsidP="00765B5C">
            <w:pPr>
              <w:pStyle w:val="BodyCopyNEW"/>
              <w:rPr>
                <w:szCs w:val="18"/>
              </w:rPr>
            </w:pPr>
            <w:r w:rsidRPr="00D521C3" w:rsidDel="00B63C6A">
              <w:rPr>
                <w:szCs w:val="18"/>
              </w:rPr>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75CA6883" w14:textId="3A676EAC" w:rsidR="009C2FCF" w:rsidRPr="00946300" w:rsidRDefault="009C2FCF" w:rsidP="00765B5C">
            <w:pPr>
              <w:pStyle w:val="BodyCopyNEW"/>
              <w:rPr>
                <w:szCs w:val="18"/>
              </w:rPr>
            </w:pPr>
            <w:r>
              <w:rPr>
                <w:szCs w:val="18"/>
              </w:rPr>
              <w:t>2</w:t>
            </w:r>
            <w:r w:rsidR="003D79E0">
              <w:rPr>
                <w:szCs w:val="18"/>
              </w:rPr>
              <w:t>0</w:t>
            </w:r>
          </w:p>
        </w:tc>
        <w:tc>
          <w:tcPr>
            <w:tcW w:w="3994" w:type="pct"/>
            <w:tcBorders>
              <w:top w:val="single" w:sz="4" w:space="0" w:color="BFBFBF" w:themeColor="background1" w:themeShade="BF"/>
              <w:bottom w:val="single" w:sz="4" w:space="0" w:color="BFBFBF" w:themeColor="background1" w:themeShade="BF"/>
            </w:tcBorders>
          </w:tcPr>
          <w:p w14:paraId="1DA64D3A" w14:textId="7A42F553" w:rsidR="009C2FCF" w:rsidRPr="00392AAF" w:rsidRDefault="009C2FCF" w:rsidP="00765B5C">
            <w:pPr>
              <w:pStyle w:val="BodyCopyNEW"/>
              <w:rPr>
                <w:szCs w:val="18"/>
              </w:rPr>
            </w:pPr>
            <w:r w:rsidRPr="00946300">
              <w:rPr>
                <w:szCs w:val="18"/>
              </w:rPr>
              <w:t>NOPSEMA should identify further mechanisms for transparently communicating its decision-making rationale</w:t>
            </w:r>
            <w:r w:rsidRPr="001979C0">
              <w:rPr>
                <w:szCs w:val="18"/>
              </w:rPr>
              <w:t>, including</w:t>
            </w:r>
            <w:r w:rsidRPr="00946300">
              <w:rPr>
                <w:szCs w:val="18"/>
              </w:rPr>
              <w:t>:</w:t>
            </w:r>
          </w:p>
          <w:p w14:paraId="0FED78F9" w14:textId="77777777" w:rsidR="009C2FCF" w:rsidRPr="001979C0" w:rsidRDefault="009C2FCF" w:rsidP="00D521C3">
            <w:pPr>
              <w:pStyle w:val="BodyBullet1"/>
              <w:ind w:left="375"/>
            </w:pPr>
            <w:r w:rsidRPr="001979C0">
              <w:t>Greater use of proactive communication by NOPSEMA of decision-making documents to impacted stakeholders who have raised concerns, beyond communication through the NOPSEMA website</w:t>
            </w:r>
          </w:p>
          <w:p w14:paraId="2446A633" w14:textId="77777777" w:rsidR="009C2FCF" w:rsidRPr="001979C0" w:rsidRDefault="009C2FCF" w:rsidP="00D521C3">
            <w:pPr>
              <w:pStyle w:val="BodyBullet1"/>
              <w:ind w:left="375"/>
            </w:pPr>
            <w:r w:rsidRPr="001979C0">
              <w:t>Establishing clarity and transparency for stakeholders over the process and methodologies used to arrive at the decisions, ensuring such explanations are accessible to non-technical audiences</w:t>
            </w:r>
          </w:p>
          <w:p w14:paraId="4562BFC7" w14:textId="77777777" w:rsidR="009C2FCF" w:rsidRPr="001979C0" w:rsidRDefault="009C2FCF" w:rsidP="00D521C3">
            <w:pPr>
              <w:pStyle w:val="BodyBullet1"/>
              <w:ind w:left="375"/>
            </w:pPr>
            <w:r w:rsidRPr="001979C0">
              <w:t>Reinforcing the independence of NOPSEMA and its assessment processes.</w:t>
            </w:r>
          </w:p>
          <w:p w14:paraId="3334EB0C" w14:textId="26735289" w:rsidR="009C2FCF" w:rsidRPr="00FB420B" w:rsidRDefault="009C2FCF" w:rsidP="00765B5C">
            <w:pPr>
              <w:pStyle w:val="BodyCopyNEW"/>
              <w:rPr>
                <w:rFonts w:eastAsia="Verdana" w:cs="Calibri"/>
                <w:szCs w:val="18"/>
              </w:rPr>
            </w:pPr>
            <w:r w:rsidRPr="00096BC3">
              <w:rPr>
                <w:szCs w:val="18"/>
              </w:rPr>
              <w:t>NOPSEMA may wish to</w:t>
            </w:r>
            <w:r w:rsidRPr="00611BAA">
              <w:rPr>
                <w:szCs w:val="18"/>
              </w:rPr>
              <w:t xml:space="preserve"> engage with stakeholders on how it could</w:t>
            </w:r>
            <w:r w:rsidRPr="00946300">
              <w:rPr>
                <w:szCs w:val="18"/>
              </w:rPr>
              <w:t xml:space="preserve"> further build trust and confidence in its role as the regulator. </w:t>
            </w:r>
          </w:p>
        </w:tc>
      </w:tr>
      <w:tr w:rsidR="009C2FCF" w:rsidRPr="00AF1581" w14:paraId="1320B411" w14:textId="77777777" w:rsidTr="00360FAB">
        <w:tc>
          <w:tcPr>
            <w:tcW w:w="719" w:type="pct"/>
            <w:tcBorders>
              <w:top w:val="single" w:sz="4" w:space="0" w:color="BFBFBF" w:themeColor="background1" w:themeShade="BF"/>
              <w:bottom w:val="single" w:sz="4" w:space="0" w:color="BFBFBF" w:themeColor="background1" w:themeShade="BF"/>
            </w:tcBorders>
          </w:tcPr>
          <w:p w14:paraId="35378F64" w14:textId="0CF4C64E" w:rsidR="009C2FCF" w:rsidRPr="00D521C3" w:rsidRDefault="009C2FCF" w:rsidP="00765B5C">
            <w:pPr>
              <w:pStyle w:val="BodyCopyNEW"/>
              <w:rPr>
                <w:rFonts w:cs="OpenSansRegular"/>
                <w:szCs w:val="18"/>
              </w:rPr>
            </w:pPr>
            <w:r w:rsidRPr="00D521C3">
              <w:rPr>
                <w:szCs w:val="18"/>
              </w:rPr>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0288CB6B" w14:textId="7EF34CCF" w:rsidR="009C2FCF" w:rsidRPr="00893E23" w:rsidRDefault="009C2FCF" w:rsidP="00765B5C">
            <w:pPr>
              <w:pStyle w:val="BodyCopyNEW"/>
              <w:rPr>
                <w:rFonts w:eastAsia="Verdana"/>
                <w:szCs w:val="18"/>
              </w:rPr>
            </w:pPr>
            <w:r>
              <w:rPr>
                <w:rFonts w:eastAsia="Verdana"/>
                <w:szCs w:val="18"/>
              </w:rPr>
              <w:t>2</w:t>
            </w:r>
            <w:r w:rsidR="003D79E0">
              <w:rPr>
                <w:rFonts w:eastAsia="Verdana"/>
                <w:szCs w:val="18"/>
              </w:rPr>
              <w:t>1</w:t>
            </w:r>
          </w:p>
        </w:tc>
        <w:tc>
          <w:tcPr>
            <w:tcW w:w="3994" w:type="pct"/>
            <w:tcBorders>
              <w:top w:val="single" w:sz="4" w:space="0" w:color="BFBFBF" w:themeColor="background1" w:themeShade="BF"/>
              <w:bottom w:val="single" w:sz="4" w:space="0" w:color="BFBFBF" w:themeColor="background1" w:themeShade="BF"/>
            </w:tcBorders>
          </w:tcPr>
          <w:p w14:paraId="2F84C25A" w14:textId="66CDDC49" w:rsidR="009C2FCF" w:rsidRPr="00096BC3" w:rsidRDefault="009C2FCF" w:rsidP="00765B5C">
            <w:pPr>
              <w:pStyle w:val="BodyCopyNEW"/>
              <w:rPr>
                <w:szCs w:val="18"/>
              </w:rPr>
            </w:pPr>
            <w:r w:rsidRPr="00893E23">
              <w:rPr>
                <w:rFonts w:eastAsia="Verdana"/>
                <w:szCs w:val="18"/>
              </w:rPr>
              <w:t>The administrative (NOPTA), regulatory (NOPSEMA), and policy development (DISER Offshore Resources Branch) arms of the offshore legislative framework should seek to improve their alignment, coordination and collaboration on matters such as policy developme</w:t>
            </w:r>
            <w:r w:rsidRPr="00A36467">
              <w:rPr>
                <w:rFonts w:eastAsia="Verdana"/>
                <w:szCs w:val="18"/>
              </w:rPr>
              <w:t xml:space="preserve">nt, interpretations of the OPGGS Act, exchange of data and information, and shared priorities to deliver a more cohesive ‘One Government’ approach. </w:t>
            </w:r>
          </w:p>
        </w:tc>
      </w:tr>
      <w:tr w:rsidR="009C2FCF" w:rsidRPr="00AF1581" w14:paraId="34E00288" w14:textId="77777777" w:rsidTr="00360FAB">
        <w:tc>
          <w:tcPr>
            <w:tcW w:w="719" w:type="pct"/>
            <w:tcBorders>
              <w:top w:val="single" w:sz="4" w:space="0" w:color="BFBFBF" w:themeColor="background1" w:themeShade="BF"/>
              <w:bottom w:val="single" w:sz="4" w:space="0" w:color="BFBFBF" w:themeColor="background1" w:themeShade="BF"/>
            </w:tcBorders>
          </w:tcPr>
          <w:p w14:paraId="7E2BF971" w14:textId="2D625262" w:rsidR="009C2FCF" w:rsidRPr="00D521C3" w:rsidRDefault="009C2FCF" w:rsidP="00765B5C">
            <w:pPr>
              <w:pStyle w:val="BodyCopyNEW"/>
              <w:rPr>
                <w:rFonts w:eastAsia="Verdana"/>
                <w:szCs w:val="18"/>
              </w:rPr>
            </w:pPr>
            <w:r w:rsidRPr="00D521C3">
              <w:rPr>
                <w:szCs w:val="18"/>
              </w:rPr>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16CF12CB" w14:textId="041D1108" w:rsidR="009C2FCF" w:rsidRPr="00A36467" w:rsidRDefault="009C2FCF" w:rsidP="00765B5C">
            <w:pPr>
              <w:pStyle w:val="BodyCopyNEW"/>
              <w:rPr>
                <w:szCs w:val="18"/>
              </w:rPr>
            </w:pPr>
            <w:r>
              <w:rPr>
                <w:szCs w:val="18"/>
              </w:rPr>
              <w:t>2</w:t>
            </w:r>
            <w:r w:rsidR="003D79E0">
              <w:rPr>
                <w:szCs w:val="18"/>
              </w:rPr>
              <w:t>2</w:t>
            </w:r>
          </w:p>
        </w:tc>
        <w:tc>
          <w:tcPr>
            <w:tcW w:w="3994" w:type="pct"/>
            <w:tcBorders>
              <w:top w:val="single" w:sz="4" w:space="0" w:color="BFBFBF" w:themeColor="background1" w:themeShade="BF"/>
              <w:bottom w:val="single" w:sz="4" w:space="0" w:color="BFBFBF" w:themeColor="background1" w:themeShade="BF"/>
            </w:tcBorders>
          </w:tcPr>
          <w:p w14:paraId="780D64C6" w14:textId="6DE8CB60" w:rsidR="009C2FCF" w:rsidRPr="00A36467" w:rsidRDefault="009C2FCF" w:rsidP="00765B5C">
            <w:pPr>
              <w:pStyle w:val="BodyCopyNEW"/>
              <w:rPr>
                <w:rFonts w:eastAsia="Verdana"/>
                <w:szCs w:val="18"/>
              </w:rPr>
            </w:pPr>
            <w:r w:rsidRPr="00A36467">
              <w:rPr>
                <w:szCs w:val="18"/>
              </w:rPr>
              <w:t xml:space="preserve">DISER, NOPSEMA, NOPTA, and relevant state/territory government departments should examine and address barriers inhibiting the secure, seamless, and sensible exchange of information and data between parties to </w:t>
            </w:r>
            <w:r w:rsidRPr="00A36467">
              <w:rPr>
                <w:rFonts w:eastAsia="Verdana"/>
                <w:szCs w:val="18"/>
              </w:rPr>
              <w:t>deliver a more cohesive ‘One Government’ approach</w:t>
            </w:r>
            <w:r w:rsidRPr="00A36467">
              <w:rPr>
                <w:szCs w:val="18"/>
              </w:rPr>
              <w:t xml:space="preserve">. </w:t>
            </w:r>
          </w:p>
        </w:tc>
      </w:tr>
      <w:tr w:rsidR="009C2FCF" w:rsidRPr="00AF1581" w14:paraId="2EA6BFC0" w14:textId="77777777" w:rsidTr="00360FAB">
        <w:tc>
          <w:tcPr>
            <w:tcW w:w="719" w:type="pct"/>
            <w:tcBorders>
              <w:top w:val="single" w:sz="4" w:space="0" w:color="BFBFBF" w:themeColor="background1" w:themeShade="BF"/>
              <w:bottom w:val="single" w:sz="4" w:space="0" w:color="BFBFBF" w:themeColor="background1" w:themeShade="BF"/>
            </w:tcBorders>
          </w:tcPr>
          <w:p w14:paraId="0B014B7D" w14:textId="7DF55B11" w:rsidR="009C2FCF" w:rsidRPr="00D521C3" w:rsidRDefault="009C2FCF" w:rsidP="00765B5C">
            <w:pPr>
              <w:pStyle w:val="BodyCopyNEW"/>
              <w:rPr>
                <w:rFonts w:cs="OpenSansRegular"/>
                <w:szCs w:val="18"/>
              </w:rPr>
            </w:pPr>
            <w:r w:rsidRPr="00D521C3">
              <w:rPr>
                <w:rFonts w:cs="OpenSansRegular"/>
                <w:szCs w:val="18"/>
              </w:rPr>
              <w:t>Strategic matters: Looking to the future</w:t>
            </w:r>
          </w:p>
        </w:tc>
        <w:tc>
          <w:tcPr>
            <w:tcW w:w="287" w:type="pct"/>
            <w:tcBorders>
              <w:top w:val="single" w:sz="4" w:space="0" w:color="BFBFBF" w:themeColor="background1" w:themeShade="BF"/>
              <w:bottom w:val="single" w:sz="4" w:space="0" w:color="BFBFBF" w:themeColor="background1" w:themeShade="BF"/>
            </w:tcBorders>
          </w:tcPr>
          <w:p w14:paraId="7DC5DDF3" w14:textId="5F777F17" w:rsidR="009C2FCF" w:rsidRPr="007F74D3" w:rsidRDefault="009C2FCF" w:rsidP="00901C7B">
            <w:pPr>
              <w:pStyle w:val="BodyCopyNEW"/>
              <w:rPr>
                <w:szCs w:val="18"/>
              </w:rPr>
            </w:pPr>
            <w:r>
              <w:rPr>
                <w:szCs w:val="18"/>
              </w:rPr>
              <w:t>2</w:t>
            </w:r>
            <w:r w:rsidR="003D79E0">
              <w:rPr>
                <w:szCs w:val="18"/>
              </w:rPr>
              <w:t>3</w:t>
            </w:r>
          </w:p>
        </w:tc>
        <w:tc>
          <w:tcPr>
            <w:tcW w:w="3994" w:type="pct"/>
            <w:tcBorders>
              <w:top w:val="single" w:sz="4" w:space="0" w:color="BFBFBF" w:themeColor="background1" w:themeShade="BF"/>
              <w:bottom w:val="single" w:sz="4" w:space="0" w:color="BFBFBF" w:themeColor="background1" w:themeShade="BF"/>
            </w:tcBorders>
          </w:tcPr>
          <w:p w14:paraId="4BB9B6CD" w14:textId="1A231641" w:rsidR="009C2FCF" w:rsidRPr="00893E23" w:rsidRDefault="009C2FCF" w:rsidP="00901C7B">
            <w:pPr>
              <w:pStyle w:val="BodyCopyNEW"/>
              <w:rPr>
                <w:rFonts w:eastAsia="Verdana"/>
              </w:rPr>
            </w:pPr>
            <w:r w:rsidRPr="007F74D3">
              <w:rPr>
                <w:szCs w:val="18"/>
              </w:rPr>
              <w:t xml:space="preserve">NOPSEMA should develop a </w:t>
            </w:r>
            <w:r w:rsidRPr="0047319A">
              <w:rPr>
                <w:szCs w:val="18"/>
              </w:rPr>
              <w:t xml:space="preserve">staged </w:t>
            </w:r>
            <w:r>
              <w:rPr>
                <w:szCs w:val="18"/>
              </w:rPr>
              <w:t xml:space="preserve">and risk-based </w:t>
            </w:r>
            <w:r w:rsidRPr="007F74D3">
              <w:rPr>
                <w:szCs w:val="18"/>
              </w:rPr>
              <w:t>work</w:t>
            </w:r>
            <w:r w:rsidRPr="0047319A">
              <w:rPr>
                <w:szCs w:val="18"/>
              </w:rPr>
              <w:t xml:space="preserve"> </w:t>
            </w:r>
            <w:r w:rsidR="007B16E0">
              <w:rPr>
                <w:szCs w:val="18"/>
              </w:rPr>
              <w:t>program</w:t>
            </w:r>
            <w:r w:rsidR="007B16E0" w:rsidRPr="0047319A">
              <w:rPr>
                <w:szCs w:val="18"/>
              </w:rPr>
              <w:t xml:space="preserve"> </w:t>
            </w:r>
            <w:r w:rsidRPr="0047319A">
              <w:rPr>
                <w:szCs w:val="18"/>
              </w:rPr>
              <w:t>for assessing ex</w:t>
            </w:r>
            <w:r w:rsidRPr="00C9422D">
              <w:rPr>
                <w:szCs w:val="18"/>
              </w:rPr>
              <w:t>isting titleholder financial capacity</w:t>
            </w:r>
            <w:r>
              <w:rPr>
                <w:szCs w:val="18"/>
              </w:rPr>
              <w:t>, applying a portfolio lens to these assessments</w:t>
            </w:r>
            <w:r w:rsidRPr="007F74D3">
              <w:rPr>
                <w:szCs w:val="18"/>
              </w:rPr>
              <w:t>.</w:t>
            </w:r>
          </w:p>
        </w:tc>
      </w:tr>
      <w:tr w:rsidR="009C2FCF" w:rsidRPr="00AF1581" w14:paraId="0D6CF449" w14:textId="77777777" w:rsidTr="00360FAB">
        <w:tc>
          <w:tcPr>
            <w:tcW w:w="719" w:type="pct"/>
            <w:tcBorders>
              <w:top w:val="single" w:sz="4" w:space="0" w:color="BFBFBF" w:themeColor="background1" w:themeShade="BF"/>
              <w:bottom w:val="single" w:sz="4" w:space="0" w:color="BFBFBF" w:themeColor="background1" w:themeShade="BF"/>
            </w:tcBorders>
          </w:tcPr>
          <w:p w14:paraId="495068FD" w14:textId="35495739" w:rsidR="009C2FCF" w:rsidRPr="00D521C3" w:rsidRDefault="009C2FCF" w:rsidP="00765B5C">
            <w:pPr>
              <w:pStyle w:val="BodyCopyNEW"/>
              <w:rPr>
                <w:rFonts w:cs="OpenSansRegular"/>
                <w:szCs w:val="18"/>
              </w:rPr>
            </w:pPr>
            <w:r w:rsidRPr="00D521C3">
              <w:rPr>
                <w:rFonts w:cs="OpenSansRegular"/>
                <w:szCs w:val="18"/>
              </w:rPr>
              <w:t>Strategic matters: Looking to the future</w:t>
            </w:r>
          </w:p>
        </w:tc>
        <w:tc>
          <w:tcPr>
            <w:tcW w:w="287" w:type="pct"/>
            <w:tcBorders>
              <w:top w:val="single" w:sz="4" w:space="0" w:color="BFBFBF" w:themeColor="background1" w:themeShade="BF"/>
              <w:bottom w:val="single" w:sz="4" w:space="0" w:color="BFBFBF" w:themeColor="background1" w:themeShade="BF"/>
            </w:tcBorders>
          </w:tcPr>
          <w:p w14:paraId="1F530B10" w14:textId="4BF16AE9" w:rsidR="009C2FCF" w:rsidRPr="00893E23" w:rsidRDefault="009C2FCF" w:rsidP="00765B5C">
            <w:pPr>
              <w:spacing w:after="60"/>
              <w:rPr>
                <w:rFonts w:ascii="Calibri Light" w:eastAsia="Verdana" w:hAnsi="Calibri Light" w:cs="Calibri Light"/>
              </w:rPr>
            </w:pPr>
            <w:r>
              <w:rPr>
                <w:rFonts w:ascii="Calibri Light" w:eastAsia="Verdana" w:hAnsi="Calibri Light" w:cs="Calibri Light"/>
              </w:rPr>
              <w:t>2</w:t>
            </w:r>
            <w:r w:rsidR="003D79E0">
              <w:rPr>
                <w:rFonts w:ascii="Calibri Light" w:eastAsia="Verdana" w:hAnsi="Calibri Light" w:cs="Calibri Light"/>
              </w:rPr>
              <w:t>4</w:t>
            </w:r>
          </w:p>
        </w:tc>
        <w:tc>
          <w:tcPr>
            <w:tcW w:w="3994" w:type="pct"/>
            <w:tcBorders>
              <w:top w:val="single" w:sz="4" w:space="0" w:color="BFBFBF" w:themeColor="background1" w:themeShade="BF"/>
              <w:bottom w:val="single" w:sz="4" w:space="0" w:color="BFBFBF" w:themeColor="background1" w:themeShade="BF"/>
            </w:tcBorders>
          </w:tcPr>
          <w:p w14:paraId="68068C87" w14:textId="0D0BF8C3" w:rsidR="009C2FCF" w:rsidRPr="00A36467" w:rsidRDefault="009C2FCF" w:rsidP="00765B5C">
            <w:pPr>
              <w:spacing w:after="60"/>
              <w:rPr>
                <w:rFonts w:ascii="Calibri Light" w:eastAsia="Verdana" w:hAnsi="Calibri Light" w:cs="Calibri Light"/>
              </w:rPr>
            </w:pPr>
            <w:r w:rsidRPr="00893E23">
              <w:rPr>
                <w:rFonts w:ascii="Calibri Light" w:eastAsia="Verdana" w:hAnsi="Calibri Light" w:cs="Calibri Light"/>
              </w:rPr>
              <w:t xml:space="preserve">The Government should, in consultation with other stakeholders as </w:t>
            </w:r>
            <w:r w:rsidRPr="00A36467">
              <w:rPr>
                <w:rFonts w:ascii="Calibri Light" w:eastAsia="Verdana" w:hAnsi="Calibri Light" w:cs="Calibri Light"/>
              </w:rPr>
              <w:t>appropriate, consider if there should be a single offshore resources regulator covering:</w:t>
            </w:r>
          </w:p>
          <w:p w14:paraId="5E4A149F" w14:textId="096A8673" w:rsidR="009C2FCF" w:rsidRPr="004A41A9" w:rsidRDefault="009C2FCF" w:rsidP="00D521C3">
            <w:pPr>
              <w:pStyle w:val="BodyBullet1"/>
              <w:ind w:left="375"/>
              <w:rPr>
                <w:szCs w:val="18"/>
              </w:rPr>
            </w:pPr>
            <w:r w:rsidRPr="00A36467">
              <w:rPr>
                <w:szCs w:val="18"/>
              </w:rPr>
              <w:t>Offshore petroleum</w:t>
            </w:r>
            <w:r w:rsidR="004A41A9">
              <w:rPr>
                <w:szCs w:val="18"/>
              </w:rPr>
              <w:t>,</w:t>
            </w:r>
            <w:r>
              <w:rPr>
                <w:szCs w:val="18"/>
              </w:rPr>
              <w:t xml:space="preserve"> </w:t>
            </w:r>
            <w:r w:rsidRPr="00A36467">
              <w:rPr>
                <w:szCs w:val="18"/>
              </w:rPr>
              <w:t xml:space="preserve">GHG </w:t>
            </w:r>
            <w:r w:rsidRPr="004A41A9">
              <w:rPr>
                <w:szCs w:val="18"/>
              </w:rPr>
              <w:t>storage</w:t>
            </w:r>
            <w:r w:rsidR="004A41A9" w:rsidRPr="004A41A9">
              <w:rPr>
                <w:szCs w:val="18"/>
              </w:rPr>
              <w:t xml:space="preserve"> </w:t>
            </w:r>
            <w:r w:rsidR="004A41A9" w:rsidRPr="004A41A9">
              <w:rPr>
                <w:lang w:val="en-GB"/>
              </w:rPr>
              <w:t>and titles administration</w:t>
            </w:r>
          </w:p>
          <w:p w14:paraId="5B060215" w14:textId="1E8F43F0" w:rsidR="009C2FCF" w:rsidRPr="00A36467" w:rsidRDefault="009C2FCF" w:rsidP="00D521C3">
            <w:pPr>
              <w:pStyle w:val="BodyBullet1"/>
              <w:ind w:left="375"/>
              <w:rPr>
                <w:szCs w:val="18"/>
              </w:rPr>
            </w:pPr>
            <w:r w:rsidRPr="004A41A9">
              <w:rPr>
                <w:szCs w:val="18"/>
              </w:rPr>
              <w:t>Regulation of safety and environmental matters for offshore petroleum</w:t>
            </w:r>
            <w:r>
              <w:rPr>
                <w:szCs w:val="18"/>
              </w:rPr>
              <w:t xml:space="preserve"> and</w:t>
            </w:r>
            <w:r w:rsidRPr="00A36467">
              <w:rPr>
                <w:szCs w:val="18"/>
              </w:rPr>
              <w:t xml:space="preserve"> GHG storage</w:t>
            </w:r>
            <w:r w:rsidRPr="00A36467" w:rsidDel="00963CB4">
              <w:rPr>
                <w:szCs w:val="18"/>
              </w:rPr>
              <w:t>.</w:t>
            </w:r>
          </w:p>
          <w:p w14:paraId="108AD62B" w14:textId="77777777" w:rsidR="009C2FCF" w:rsidRPr="00A36467" w:rsidRDefault="009C2FCF" w:rsidP="00765B5C">
            <w:pPr>
              <w:widowControl w:val="0"/>
              <w:spacing w:after="60" w:line="240" w:lineRule="auto"/>
              <w:rPr>
                <w:rFonts w:ascii="Calibri Light" w:eastAsia="Verdana" w:hAnsi="Calibri Light" w:cs="Calibri Light"/>
              </w:rPr>
            </w:pPr>
            <w:r w:rsidRPr="00A36467">
              <w:rPr>
                <w:rFonts w:ascii="Calibri Light" w:eastAsia="Verdana" w:hAnsi="Calibri Light" w:cs="Calibri Light"/>
              </w:rPr>
              <w:t>In undertaking this recommendation, there should be regard for:</w:t>
            </w:r>
          </w:p>
          <w:p w14:paraId="3946F0BC" w14:textId="77777777" w:rsidR="009C2FCF" w:rsidRPr="00A36467" w:rsidRDefault="009C2FCF" w:rsidP="00D521C3">
            <w:pPr>
              <w:pStyle w:val="BodyBullet1"/>
              <w:ind w:left="375"/>
              <w:rPr>
                <w:szCs w:val="18"/>
              </w:rPr>
            </w:pPr>
            <w:r w:rsidRPr="00A36467">
              <w:rPr>
                <w:szCs w:val="18"/>
              </w:rPr>
              <w:t>The relative merits of alternative options, such as retaining the current model</w:t>
            </w:r>
          </w:p>
          <w:p w14:paraId="2CD89F88" w14:textId="067B000B" w:rsidR="009C2FCF" w:rsidRPr="00A36467" w:rsidRDefault="009C2FCF" w:rsidP="00D521C3">
            <w:pPr>
              <w:pStyle w:val="BodyBullet1"/>
              <w:ind w:left="375"/>
              <w:rPr>
                <w:szCs w:val="18"/>
              </w:rPr>
            </w:pPr>
            <w:r w:rsidRPr="00A36467">
              <w:rPr>
                <w:szCs w:val="18"/>
              </w:rPr>
              <w:lastRenderedPageBreak/>
              <w:t>Governance models for such an entity, with reference to how governance structures can ensure the appropriate involvement of the Joint Authorities, maintenance of regulatory independence by NOPSEMA, and independence between titles administration activities and safety and environmental management regulation.</w:t>
            </w:r>
          </w:p>
        </w:tc>
      </w:tr>
      <w:tr w:rsidR="009C2FCF" w:rsidRPr="00AF1581" w14:paraId="01AA1B9D" w14:textId="77777777" w:rsidTr="00360FAB">
        <w:tc>
          <w:tcPr>
            <w:tcW w:w="719" w:type="pct"/>
            <w:tcBorders>
              <w:top w:val="single" w:sz="4" w:space="0" w:color="BFBFBF" w:themeColor="background1" w:themeShade="BF"/>
              <w:bottom w:val="single" w:sz="4" w:space="0" w:color="BFBFBF" w:themeColor="background1" w:themeShade="BF"/>
            </w:tcBorders>
          </w:tcPr>
          <w:p w14:paraId="151E1FD3" w14:textId="06F61FC5" w:rsidR="009C2FCF" w:rsidRPr="00D521C3" w:rsidRDefault="009C2FCF" w:rsidP="00765B5C">
            <w:pPr>
              <w:pStyle w:val="BodyCopyNEW"/>
              <w:rPr>
                <w:rFonts w:cs="OpenSansRegular"/>
                <w:szCs w:val="18"/>
              </w:rPr>
            </w:pPr>
            <w:r w:rsidRPr="00D521C3">
              <w:rPr>
                <w:rFonts w:cs="OpenSansRegular"/>
                <w:szCs w:val="18"/>
              </w:rPr>
              <w:lastRenderedPageBreak/>
              <w:t>Strategic matters: Looking to the future</w:t>
            </w:r>
          </w:p>
        </w:tc>
        <w:tc>
          <w:tcPr>
            <w:tcW w:w="287" w:type="pct"/>
            <w:tcBorders>
              <w:top w:val="single" w:sz="4" w:space="0" w:color="BFBFBF" w:themeColor="background1" w:themeShade="BF"/>
              <w:bottom w:val="single" w:sz="4" w:space="0" w:color="BFBFBF" w:themeColor="background1" w:themeShade="BF"/>
            </w:tcBorders>
          </w:tcPr>
          <w:p w14:paraId="39032309" w14:textId="05096D18" w:rsidR="009C2FCF" w:rsidRPr="00BD2955" w:rsidRDefault="009C2FCF" w:rsidP="00765B5C">
            <w:pPr>
              <w:pStyle w:val="BodyCopyNEW"/>
              <w:rPr>
                <w:szCs w:val="18"/>
              </w:rPr>
            </w:pPr>
            <w:r>
              <w:rPr>
                <w:szCs w:val="18"/>
              </w:rPr>
              <w:t>2</w:t>
            </w:r>
            <w:r w:rsidR="003D79E0">
              <w:rPr>
                <w:szCs w:val="18"/>
              </w:rPr>
              <w:t>5</w:t>
            </w:r>
          </w:p>
        </w:tc>
        <w:tc>
          <w:tcPr>
            <w:tcW w:w="3994" w:type="pct"/>
            <w:tcBorders>
              <w:top w:val="single" w:sz="4" w:space="0" w:color="BFBFBF" w:themeColor="background1" w:themeShade="BF"/>
              <w:bottom w:val="single" w:sz="4" w:space="0" w:color="BFBFBF" w:themeColor="background1" w:themeShade="BF"/>
            </w:tcBorders>
          </w:tcPr>
          <w:p w14:paraId="3FB79A60" w14:textId="51C2CB6E" w:rsidR="009C2FCF" w:rsidRPr="00096BC3" w:rsidRDefault="009C2FCF" w:rsidP="00765B5C">
            <w:pPr>
              <w:pStyle w:val="BodyCopyNEW"/>
              <w:rPr>
                <w:szCs w:val="18"/>
              </w:rPr>
            </w:pPr>
            <w:r w:rsidRPr="00BD2955">
              <w:rPr>
                <w:szCs w:val="18"/>
              </w:rPr>
              <w:t>NOPSEMA,</w:t>
            </w:r>
            <w:r w:rsidRPr="00BD2955">
              <w:rPr>
                <w:rFonts w:cs="Times New Roman"/>
                <w:szCs w:val="18"/>
              </w:rPr>
              <w:t xml:space="preserve"> in collaboration with other stakeholders as required, </w:t>
            </w:r>
            <w:r w:rsidRPr="00BD2955">
              <w:rPr>
                <w:szCs w:val="18"/>
              </w:rPr>
              <w:t xml:space="preserve">should identify areas where advanced technologies could be applied, particularly for augmenting in-person inspection processes or permissioning document assessments. </w:t>
            </w:r>
          </w:p>
        </w:tc>
      </w:tr>
      <w:tr w:rsidR="009C2FCF" w:rsidRPr="00AF1581" w14:paraId="2855D1DC" w14:textId="77777777" w:rsidTr="00360FAB">
        <w:tc>
          <w:tcPr>
            <w:tcW w:w="719" w:type="pct"/>
            <w:tcBorders>
              <w:top w:val="single" w:sz="4" w:space="0" w:color="BFBFBF" w:themeColor="background1" w:themeShade="BF"/>
              <w:bottom w:val="single" w:sz="4" w:space="0" w:color="BFBFBF" w:themeColor="background1" w:themeShade="BF"/>
            </w:tcBorders>
          </w:tcPr>
          <w:p w14:paraId="4D02E4B7" w14:textId="50AB82D8" w:rsidR="009C2FCF" w:rsidRPr="00D521C3" w:rsidRDefault="009C2FCF" w:rsidP="00765B5C">
            <w:pPr>
              <w:pStyle w:val="BodyCopyNEW"/>
              <w:rPr>
                <w:rFonts w:cs="OpenSansRegular"/>
                <w:szCs w:val="18"/>
              </w:rPr>
            </w:pPr>
            <w:r w:rsidRPr="00D521C3">
              <w:rPr>
                <w:szCs w:val="18"/>
              </w:rPr>
              <w:t>Strategic matters: Looking to the future</w:t>
            </w:r>
          </w:p>
        </w:tc>
        <w:tc>
          <w:tcPr>
            <w:tcW w:w="287" w:type="pct"/>
            <w:tcBorders>
              <w:top w:val="single" w:sz="4" w:space="0" w:color="BFBFBF" w:themeColor="background1" w:themeShade="BF"/>
              <w:bottom w:val="single" w:sz="4" w:space="0" w:color="BFBFBF" w:themeColor="background1" w:themeShade="BF"/>
            </w:tcBorders>
          </w:tcPr>
          <w:p w14:paraId="0CB69D2C" w14:textId="1624F7FD" w:rsidR="009C2FCF" w:rsidRPr="00BD2955" w:rsidRDefault="009C2FCF" w:rsidP="00765B5C">
            <w:pPr>
              <w:pStyle w:val="BodyCopyNEW"/>
              <w:rPr>
                <w:szCs w:val="18"/>
              </w:rPr>
            </w:pPr>
            <w:r>
              <w:rPr>
                <w:szCs w:val="18"/>
              </w:rPr>
              <w:t>2</w:t>
            </w:r>
            <w:r w:rsidR="003D79E0">
              <w:rPr>
                <w:szCs w:val="18"/>
              </w:rPr>
              <w:t>6</w:t>
            </w:r>
          </w:p>
        </w:tc>
        <w:tc>
          <w:tcPr>
            <w:tcW w:w="3994" w:type="pct"/>
            <w:tcBorders>
              <w:top w:val="single" w:sz="4" w:space="0" w:color="BFBFBF" w:themeColor="background1" w:themeShade="BF"/>
              <w:bottom w:val="single" w:sz="4" w:space="0" w:color="BFBFBF" w:themeColor="background1" w:themeShade="BF"/>
            </w:tcBorders>
          </w:tcPr>
          <w:p w14:paraId="030D17C7" w14:textId="0F175222" w:rsidR="009C2FCF" w:rsidRPr="00096BC3" w:rsidRDefault="009C2FCF" w:rsidP="00765B5C">
            <w:pPr>
              <w:pStyle w:val="BodyCopyNEW"/>
              <w:rPr>
                <w:szCs w:val="18"/>
              </w:rPr>
            </w:pPr>
            <w:r w:rsidRPr="00BD2955">
              <w:rPr>
                <w:szCs w:val="18"/>
              </w:rPr>
              <w:t xml:space="preserve">NOPSEMA (with the support of DISER as required) in consultation with industry, should explore mechanisms to enable NOPSEMA to gather relevant data from </w:t>
            </w:r>
            <w:r>
              <w:rPr>
                <w:szCs w:val="18"/>
              </w:rPr>
              <w:t>title</w:t>
            </w:r>
            <w:r w:rsidRPr="00BD2955">
              <w:rPr>
                <w:szCs w:val="18"/>
              </w:rPr>
              <w:t>holders on safety, well integrity, and environment related matters outside of current incident or accident reporting parameters to inform trend</w:t>
            </w:r>
            <w:r>
              <w:rPr>
                <w:szCs w:val="18"/>
              </w:rPr>
              <w:t>s</w:t>
            </w:r>
            <w:r w:rsidRPr="00BD2955">
              <w:rPr>
                <w:szCs w:val="18"/>
              </w:rPr>
              <w:t xml:space="preserve"> and predictive analytics. Mechanisms in this context may include any necessary legislative and/or regulatory change to section 699 of the OPGGS Act or other sections as applicable.</w:t>
            </w:r>
          </w:p>
        </w:tc>
      </w:tr>
      <w:tr w:rsidR="00377A91" w:rsidRPr="00377A91" w14:paraId="555E2D2F" w14:textId="77777777" w:rsidTr="00546B1D">
        <w:trPr>
          <w:trHeight w:val="168"/>
        </w:trPr>
        <w:tc>
          <w:tcPr>
            <w:tcW w:w="5000" w:type="pct"/>
            <w:gridSpan w:val="3"/>
            <w:tcBorders>
              <w:top w:val="single" w:sz="4" w:space="0" w:color="BFBFBF" w:themeColor="background1" w:themeShade="BF"/>
              <w:bottom w:val="single" w:sz="4" w:space="0" w:color="BFBFBF" w:themeColor="background1" w:themeShade="BF"/>
            </w:tcBorders>
            <w:shd w:val="clear" w:color="auto" w:fill="D9D9D9" w:themeFill="background1" w:themeFillShade="D9"/>
          </w:tcPr>
          <w:p w14:paraId="3BF23168" w14:textId="2CF06766" w:rsidR="00546B1D" w:rsidRPr="00377A91" w:rsidRDefault="00546B1D" w:rsidP="00EF0D8B">
            <w:pPr>
              <w:pStyle w:val="BodyCopyNEW"/>
            </w:pPr>
            <w:r w:rsidRPr="00377A91">
              <w:t xml:space="preserve">The following recommendations relate to the </w:t>
            </w:r>
            <w:r w:rsidRPr="00465219">
              <w:t>2020 Endorsed Program Assessment</w:t>
            </w:r>
            <w:r w:rsidRPr="00377A91">
              <w:t xml:space="preserve">, </w:t>
            </w:r>
            <w:r w:rsidRPr="00A53F03">
              <w:t xml:space="preserve">which is </w:t>
            </w:r>
            <w:r w:rsidRPr="00782B57">
              <w:t xml:space="preserve">found </w:t>
            </w:r>
            <w:r w:rsidR="0041723E" w:rsidRPr="00782B57">
              <w:t xml:space="preserve">in </w:t>
            </w:r>
            <w:r w:rsidR="0041723E" w:rsidRPr="00465219">
              <w:rPr>
                <w:b/>
                <w:bCs/>
              </w:rPr>
              <w:t>Section 11</w:t>
            </w:r>
          </w:p>
        </w:tc>
      </w:tr>
      <w:tr w:rsidR="009C2FCF" w:rsidRPr="00AF1581" w14:paraId="7391407E" w14:textId="77777777" w:rsidTr="00360FAB">
        <w:tc>
          <w:tcPr>
            <w:tcW w:w="719" w:type="pct"/>
            <w:tcBorders>
              <w:top w:val="single" w:sz="4" w:space="0" w:color="BFBFBF" w:themeColor="background1" w:themeShade="BF"/>
              <w:bottom w:val="single" w:sz="4" w:space="0" w:color="BFBFBF" w:themeColor="background1" w:themeShade="BF"/>
            </w:tcBorders>
          </w:tcPr>
          <w:p w14:paraId="7451E81F" w14:textId="3DE0ABA4" w:rsidR="009C2FCF" w:rsidRPr="00D521C3" w:rsidRDefault="005734CA" w:rsidP="00765B5C">
            <w:pPr>
              <w:pStyle w:val="BodyCopyNEW"/>
              <w:rPr>
                <w:rFonts w:cs="OpenSansRegular"/>
                <w:szCs w:val="18"/>
              </w:rPr>
            </w:pPr>
            <w:r>
              <w:rPr>
                <w:rFonts w:cs="OpenSansRegular"/>
                <w:szCs w:val="18"/>
              </w:rPr>
              <w:t>2020 Endorsed Program Assessment</w:t>
            </w:r>
          </w:p>
        </w:tc>
        <w:tc>
          <w:tcPr>
            <w:tcW w:w="287" w:type="pct"/>
            <w:tcBorders>
              <w:top w:val="single" w:sz="4" w:space="0" w:color="BFBFBF" w:themeColor="background1" w:themeShade="BF"/>
              <w:bottom w:val="single" w:sz="4" w:space="0" w:color="BFBFBF" w:themeColor="background1" w:themeShade="BF"/>
            </w:tcBorders>
          </w:tcPr>
          <w:p w14:paraId="14DA2725" w14:textId="6F259003" w:rsidR="009C2FCF" w:rsidRPr="00DB319F" w:rsidRDefault="0041723E" w:rsidP="00765B5C">
            <w:pPr>
              <w:pStyle w:val="BodyCopyNEW"/>
              <w:rPr>
                <w:szCs w:val="18"/>
              </w:rPr>
            </w:pPr>
            <w:r>
              <w:rPr>
                <w:szCs w:val="18"/>
              </w:rPr>
              <w:t>EPBC-R-1</w:t>
            </w:r>
          </w:p>
        </w:tc>
        <w:tc>
          <w:tcPr>
            <w:tcW w:w="3994" w:type="pct"/>
            <w:tcBorders>
              <w:top w:val="single" w:sz="4" w:space="0" w:color="BFBFBF" w:themeColor="background1" w:themeShade="BF"/>
              <w:bottom w:val="single" w:sz="4" w:space="0" w:color="BFBFBF" w:themeColor="background1" w:themeShade="BF"/>
            </w:tcBorders>
          </w:tcPr>
          <w:p w14:paraId="0542ED2B" w14:textId="5827091A" w:rsidR="009C2FCF" w:rsidRPr="00DB319F" w:rsidRDefault="004F09F9" w:rsidP="004F09F9">
            <w:pPr>
              <w:pStyle w:val="BodyBullet1"/>
              <w:numPr>
                <w:ilvl w:val="0"/>
                <w:numId w:val="0"/>
              </w:numPr>
            </w:pPr>
            <w:r w:rsidRPr="00BE23B8">
              <w:rPr>
                <w:szCs w:val="18"/>
              </w:rPr>
              <w:t xml:space="preserve">NOPSEMA </w:t>
            </w:r>
            <w:r>
              <w:rPr>
                <w:szCs w:val="18"/>
              </w:rPr>
              <w:t>should</w:t>
            </w:r>
            <w:r w:rsidRPr="00BE23B8">
              <w:rPr>
                <w:szCs w:val="18"/>
              </w:rPr>
              <w:t xml:space="preserve"> continue improving their guidance on how they assess </w:t>
            </w:r>
            <w:r>
              <w:rPr>
                <w:szCs w:val="18"/>
              </w:rPr>
              <w:t>‘ALARP’</w:t>
            </w:r>
            <w:r w:rsidRPr="00BE23B8">
              <w:rPr>
                <w:szCs w:val="18"/>
              </w:rPr>
              <w:t xml:space="preserve"> and ‘acceptable’ environmental risk and </w:t>
            </w:r>
            <w:r w:rsidRPr="004B400B">
              <w:rPr>
                <w:szCs w:val="18"/>
              </w:rPr>
              <w:t>ensure that the approach is consistent between assessments (where appropriate).</w:t>
            </w:r>
          </w:p>
        </w:tc>
      </w:tr>
      <w:tr w:rsidR="005734CA" w:rsidRPr="00AF1581" w14:paraId="27461FD0" w14:textId="77777777" w:rsidTr="00360FAB">
        <w:tc>
          <w:tcPr>
            <w:tcW w:w="719" w:type="pct"/>
            <w:tcBorders>
              <w:top w:val="single" w:sz="4" w:space="0" w:color="BFBFBF" w:themeColor="background1" w:themeShade="BF"/>
              <w:bottom w:val="single" w:sz="4" w:space="0" w:color="BFBFBF" w:themeColor="background1" w:themeShade="BF"/>
            </w:tcBorders>
          </w:tcPr>
          <w:p w14:paraId="25CBCB90" w14:textId="0F12B057" w:rsidR="005734CA" w:rsidRPr="00D521C3" w:rsidRDefault="005734CA" w:rsidP="005734CA">
            <w:pPr>
              <w:pStyle w:val="BodyCopyNEW"/>
              <w:rPr>
                <w:rFonts w:cs="OpenSansRegular"/>
                <w:szCs w:val="18"/>
              </w:rPr>
            </w:pPr>
            <w:r w:rsidRPr="00CA37D9">
              <w:rPr>
                <w:rFonts w:cs="OpenSansRegular"/>
                <w:szCs w:val="18"/>
              </w:rPr>
              <w:t>2020 Endorsed Program Assessment</w:t>
            </w:r>
          </w:p>
        </w:tc>
        <w:tc>
          <w:tcPr>
            <w:tcW w:w="287" w:type="pct"/>
            <w:tcBorders>
              <w:top w:val="single" w:sz="4" w:space="0" w:color="BFBFBF" w:themeColor="background1" w:themeShade="BF"/>
              <w:bottom w:val="single" w:sz="4" w:space="0" w:color="BFBFBF" w:themeColor="background1" w:themeShade="BF"/>
            </w:tcBorders>
          </w:tcPr>
          <w:p w14:paraId="20BBF3D4" w14:textId="5B03A6C9" w:rsidR="005734CA" w:rsidRPr="006F4816" w:rsidRDefault="005734CA" w:rsidP="005734CA">
            <w:pPr>
              <w:pStyle w:val="BodyCopyNEW"/>
              <w:rPr>
                <w:szCs w:val="18"/>
              </w:rPr>
            </w:pPr>
            <w:r w:rsidRPr="003E55F6">
              <w:rPr>
                <w:szCs w:val="18"/>
              </w:rPr>
              <w:t>EPBC-R-</w:t>
            </w:r>
            <w:r>
              <w:rPr>
                <w:szCs w:val="18"/>
              </w:rPr>
              <w:t>2</w:t>
            </w:r>
          </w:p>
        </w:tc>
        <w:tc>
          <w:tcPr>
            <w:tcW w:w="3994" w:type="pct"/>
            <w:tcBorders>
              <w:top w:val="single" w:sz="4" w:space="0" w:color="BFBFBF" w:themeColor="background1" w:themeShade="BF"/>
              <w:bottom w:val="single" w:sz="4" w:space="0" w:color="BFBFBF" w:themeColor="background1" w:themeShade="BF"/>
            </w:tcBorders>
          </w:tcPr>
          <w:p w14:paraId="164D1C5F" w14:textId="038145E9" w:rsidR="005734CA" w:rsidRPr="006F4816" w:rsidRDefault="0030130F" w:rsidP="005734CA">
            <w:pPr>
              <w:pStyle w:val="BodyCopyNEW"/>
              <w:rPr>
                <w:szCs w:val="18"/>
              </w:rPr>
            </w:pPr>
            <w:r w:rsidRPr="004B400B">
              <w:rPr>
                <w:szCs w:val="18"/>
              </w:rPr>
              <w:t>NOPSEMA</w:t>
            </w:r>
            <w:r>
              <w:rPr>
                <w:szCs w:val="18"/>
              </w:rPr>
              <w:t>, with the support of other Government Departments as required,</w:t>
            </w:r>
            <w:r w:rsidRPr="004B400B">
              <w:rPr>
                <w:szCs w:val="18"/>
              </w:rPr>
              <w:t xml:space="preserve"> </w:t>
            </w:r>
            <w:r>
              <w:rPr>
                <w:szCs w:val="18"/>
              </w:rPr>
              <w:t xml:space="preserve">should </w:t>
            </w:r>
            <w:r w:rsidRPr="004B400B">
              <w:rPr>
                <w:szCs w:val="18"/>
              </w:rPr>
              <w:t xml:space="preserve">enable </w:t>
            </w:r>
            <w:r>
              <w:rPr>
                <w:szCs w:val="18"/>
              </w:rPr>
              <w:t xml:space="preserve">more effective </w:t>
            </w:r>
            <w:r w:rsidRPr="004B400B">
              <w:rPr>
                <w:szCs w:val="18"/>
              </w:rPr>
              <w:t>cumulative impact assessment in the marine environment over spatial</w:t>
            </w:r>
            <w:r>
              <w:rPr>
                <w:szCs w:val="18"/>
              </w:rPr>
              <w:t xml:space="preserve"> and</w:t>
            </w:r>
            <w:r w:rsidRPr="004B400B">
              <w:rPr>
                <w:szCs w:val="18"/>
              </w:rPr>
              <w:t xml:space="preserve"> temporal</w:t>
            </w:r>
            <w:r>
              <w:rPr>
                <w:szCs w:val="18"/>
              </w:rPr>
              <w:t xml:space="preserve"> extents</w:t>
            </w:r>
            <w:r w:rsidRPr="004B400B">
              <w:rPr>
                <w:szCs w:val="18"/>
              </w:rPr>
              <w:t xml:space="preserve"> </w:t>
            </w:r>
            <w:r>
              <w:rPr>
                <w:szCs w:val="18"/>
              </w:rPr>
              <w:t>as well as</w:t>
            </w:r>
            <w:r w:rsidRPr="004B400B">
              <w:rPr>
                <w:szCs w:val="18"/>
              </w:rPr>
              <w:t xml:space="preserve"> across other industries.</w:t>
            </w:r>
          </w:p>
        </w:tc>
      </w:tr>
      <w:tr w:rsidR="005734CA" w:rsidRPr="00AF1581" w14:paraId="79D38A47" w14:textId="77777777" w:rsidTr="00360FAB">
        <w:tc>
          <w:tcPr>
            <w:tcW w:w="719" w:type="pct"/>
            <w:tcBorders>
              <w:top w:val="single" w:sz="4" w:space="0" w:color="BFBFBF" w:themeColor="background1" w:themeShade="BF"/>
              <w:bottom w:val="single" w:sz="4" w:space="0" w:color="BFBFBF" w:themeColor="background1" w:themeShade="BF"/>
            </w:tcBorders>
          </w:tcPr>
          <w:p w14:paraId="7BE776AD" w14:textId="02880089" w:rsidR="005734CA" w:rsidRPr="00D521C3" w:rsidDel="0041723E" w:rsidRDefault="005734CA" w:rsidP="005734CA">
            <w:pPr>
              <w:pStyle w:val="BodyCopyNEW"/>
              <w:rPr>
                <w:rFonts w:cs="OpenSansRegular"/>
                <w:szCs w:val="18"/>
              </w:rPr>
            </w:pPr>
            <w:r w:rsidRPr="00CA37D9">
              <w:rPr>
                <w:rFonts w:cs="OpenSansRegular"/>
                <w:szCs w:val="18"/>
              </w:rPr>
              <w:t>2020 Endorsed Program Assessment</w:t>
            </w:r>
          </w:p>
        </w:tc>
        <w:tc>
          <w:tcPr>
            <w:tcW w:w="287" w:type="pct"/>
            <w:tcBorders>
              <w:top w:val="single" w:sz="4" w:space="0" w:color="BFBFBF" w:themeColor="background1" w:themeShade="BF"/>
              <w:bottom w:val="single" w:sz="4" w:space="0" w:color="BFBFBF" w:themeColor="background1" w:themeShade="BF"/>
            </w:tcBorders>
          </w:tcPr>
          <w:p w14:paraId="79C0D10B" w14:textId="62E6FD84" w:rsidR="005734CA" w:rsidRPr="006F4816" w:rsidDel="0041723E" w:rsidRDefault="005734CA" w:rsidP="005734CA">
            <w:pPr>
              <w:pStyle w:val="BodyCopyNEW"/>
              <w:rPr>
                <w:szCs w:val="18"/>
              </w:rPr>
            </w:pPr>
            <w:r w:rsidRPr="003E55F6">
              <w:rPr>
                <w:szCs w:val="18"/>
              </w:rPr>
              <w:t>EPBC-R-</w:t>
            </w:r>
            <w:r>
              <w:rPr>
                <w:szCs w:val="18"/>
              </w:rPr>
              <w:t>3</w:t>
            </w:r>
          </w:p>
        </w:tc>
        <w:tc>
          <w:tcPr>
            <w:tcW w:w="3994" w:type="pct"/>
            <w:tcBorders>
              <w:top w:val="single" w:sz="4" w:space="0" w:color="BFBFBF" w:themeColor="background1" w:themeShade="BF"/>
              <w:bottom w:val="single" w:sz="4" w:space="0" w:color="BFBFBF" w:themeColor="background1" w:themeShade="BF"/>
            </w:tcBorders>
          </w:tcPr>
          <w:p w14:paraId="36C3BB23" w14:textId="77777777" w:rsidR="004F09F9" w:rsidRPr="00BE23B8" w:rsidRDefault="004F09F9" w:rsidP="004F09F9">
            <w:pPr>
              <w:pStyle w:val="BodyCopyNEW"/>
              <w:rPr>
                <w:szCs w:val="18"/>
              </w:rPr>
            </w:pPr>
            <w:r>
              <w:rPr>
                <w:szCs w:val="18"/>
              </w:rPr>
              <w:t>I</w:t>
            </w:r>
            <w:r w:rsidRPr="00BE23B8">
              <w:rPr>
                <w:szCs w:val="18"/>
              </w:rPr>
              <w:t xml:space="preserve">n reference to the opportunities for improvement and observations from the </w:t>
            </w:r>
            <w:r w:rsidR="00BC7157" w:rsidRPr="00BC7157">
              <w:rPr>
                <w:szCs w:val="18"/>
              </w:rPr>
              <w:t>2015 Endorsed Program Assessment</w:t>
            </w:r>
            <w:r w:rsidRPr="00BE23B8">
              <w:rPr>
                <w:szCs w:val="18"/>
              </w:rPr>
              <w:t>:</w:t>
            </w:r>
          </w:p>
          <w:p w14:paraId="0DEEEBC2" w14:textId="77777777" w:rsidR="004F09F9" w:rsidRPr="00BE23B8" w:rsidRDefault="004F09F9" w:rsidP="004F09F9">
            <w:pPr>
              <w:pStyle w:val="BodyBullet1"/>
              <w:ind w:left="368"/>
              <w:rPr>
                <w:szCs w:val="18"/>
              </w:rPr>
            </w:pPr>
            <w:r>
              <w:rPr>
                <w:szCs w:val="18"/>
              </w:rPr>
              <w:t>NOPSEMA should u</w:t>
            </w:r>
            <w:r w:rsidRPr="00BE23B8">
              <w:rPr>
                <w:szCs w:val="18"/>
              </w:rPr>
              <w:t xml:space="preserve">pdate the </w:t>
            </w:r>
            <w:r w:rsidRPr="009150BE">
              <w:rPr>
                <w:i/>
                <w:iCs/>
                <w:szCs w:val="18"/>
              </w:rPr>
              <w:t>Environment Plan Content Requirements</w:t>
            </w:r>
            <w:r w:rsidRPr="00BE23B8">
              <w:rPr>
                <w:szCs w:val="18"/>
              </w:rPr>
              <w:t xml:space="preserve"> </w:t>
            </w:r>
            <w:r w:rsidRPr="006D6552">
              <w:rPr>
                <w:szCs w:val="18"/>
              </w:rPr>
              <w:t>N-04750-GN1344 (A339814)</w:t>
            </w:r>
            <w:r w:rsidRPr="00BE23B8">
              <w:rPr>
                <w:szCs w:val="18"/>
              </w:rPr>
              <w:t xml:space="preserve"> to reflect additional information on defining acceptable levels as currently provided in the </w:t>
            </w:r>
            <w:r w:rsidRPr="009150BE">
              <w:rPr>
                <w:i/>
                <w:iCs/>
                <w:szCs w:val="18"/>
              </w:rPr>
              <w:t>Offshore Project Proposal Content Requirements Guidance Note</w:t>
            </w:r>
            <w:r w:rsidRPr="00BE23B8">
              <w:rPr>
                <w:szCs w:val="18"/>
              </w:rPr>
              <w:t xml:space="preserve"> N-04790-GN1663 (A473026)</w:t>
            </w:r>
          </w:p>
          <w:p w14:paraId="21D7343D" w14:textId="77777777" w:rsidR="004F09F9" w:rsidRDefault="004F09F9" w:rsidP="004F09F9">
            <w:pPr>
              <w:pStyle w:val="BodyBullet1"/>
              <w:ind w:left="368"/>
              <w:rPr>
                <w:szCs w:val="18"/>
              </w:rPr>
            </w:pPr>
            <w:r>
              <w:rPr>
                <w:szCs w:val="18"/>
              </w:rPr>
              <w:t>NOPSEMA should c</w:t>
            </w:r>
            <w:r w:rsidRPr="00BE23B8">
              <w:rPr>
                <w:szCs w:val="18"/>
              </w:rPr>
              <w:t>onsider further transparency in</w:t>
            </w:r>
            <w:r>
              <w:rPr>
                <w:szCs w:val="18"/>
              </w:rPr>
              <w:t xml:space="preserve"> the</w:t>
            </w:r>
            <w:r w:rsidRPr="00BE23B8">
              <w:rPr>
                <w:szCs w:val="18"/>
              </w:rPr>
              <w:t xml:space="preserve"> assessment process, including publication of assessment timeline and progress (e.g. the issue of Response to Request for Further Written Information)</w:t>
            </w:r>
          </w:p>
          <w:p w14:paraId="7520791F" w14:textId="57FBDBEE" w:rsidR="005734CA" w:rsidRPr="00BE23B8" w:rsidDel="0041723E" w:rsidRDefault="004F09F9" w:rsidP="005734CA">
            <w:pPr>
              <w:pStyle w:val="BodyCopyNEW"/>
              <w:rPr>
                <w:szCs w:val="18"/>
              </w:rPr>
            </w:pPr>
            <w:r w:rsidRPr="009150BE">
              <w:rPr>
                <w:bCs/>
                <w:szCs w:val="18"/>
              </w:rPr>
              <w:t>DAWE should consider options to make the process of identifying protected matters and related plans for management more efficient.</w:t>
            </w:r>
          </w:p>
        </w:tc>
      </w:tr>
      <w:tr w:rsidR="005734CA" w:rsidRPr="00AF1581" w14:paraId="0982B2E5" w14:textId="77777777" w:rsidTr="00360FAB">
        <w:tc>
          <w:tcPr>
            <w:tcW w:w="719" w:type="pct"/>
            <w:tcBorders>
              <w:top w:val="single" w:sz="4" w:space="0" w:color="BFBFBF" w:themeColor="background1" w:themeShade="BF"/>
              <w:bottom w:val="single" w:sz="4" w:space="0" w:color="BFBFBF" w:themeColor="background1" w:themeShade="BF"/>
            </w:tcBorders>
          </w:tcPr>
          <w:p w14:paraId="6526FE9B" w14:textId="36225B2A" w:rsidR="005734CA" w:rsidRPr="00D521C3" w:rsidRDefault="005734CA" w:rsidP="005734CA">
            <w:pPr>
              <w:pStyle w:val="BodyCopyNEW"/>
              <w:rPr>
                <w:rFonts w:cs="OpenSansRegular"/>
                <w:szCs w:val="18"/>
              </w:rPr>
            </w:pPr>
            <w:r w:rsidRPr="00CA37D9">
              <w:rPr>
                <w:rFonts w:cs="OpenSansRegular"/>
                <w:szCs w:val="18"/>
              </w:rPr>
              <w:t>2020 Endorsed Program Assessment</w:t>
            </w:r>
          </w:p>
        </w:tc>
        <w:tc>
          <w:tcPr>
            <w:tcW w:w="287" w:type="pct"/>
            <w:tcBorders>
              <w:top w:val="single" w:sz="4" w:space="0" w:color="BFBFBF" w:themeColor="background1" w:themeShade="BF"/>
              <w:bottom w:val="single" w:sz="4" w:space="0" w:color="BFBFBF" w:themeColor="background1" w:themeShade="BF"/>
            </w:tcBorders>
          </w:tcPr>
          <w:p w14:paraId="7989BEFE" w14:textId="5F10348B" w:rsidR="005734CA" w:rsidRPr="006E6F81" w:rsidRDefault="005734CA" w:rsidP="005734CA">
            <w:pPr>
              <w:pStyle w:val="BodyCopyNEW"/>
              <w:rPr>
                <w:szCs w:val="18"/>
              </w:rPr>
            </w:pPr>
            <w:r w:rsidRPr="003E55F6">
              <w:rPr>
                <w:szCs w:val="18"/>
              </w:rPr>
              <w:t>EPBC-R-</w:t>
            </w:r>
            <w:r>
              <w:rPr>
                <w:szCs w:val="18"/>
              </w:rPr>
              <w:t>4</w:t>
            </w:r>
          </w:p>
        </w:tc>
        <w:tc>
          <w:tcPr>
            <w:tcW w:w="3994" w:type="pct"/>
            <w:tcBorders>
              <w:top w:val="single" w:sz="4" w:space="0" w:color="BFBFBF" w:themeColor="background1" w:themeShade="BF"/>
              <w:bottom w:val="single" w:sz="4" w:space="0" w:color="BFBFBF" w:themeColor="background1" w:themeShade="BF"/>
            </w:tcBorders>
          </w:tcPr>
          <w:p w14:paraId="1A2B7DBC" w14:textId="77777777" w:rsidR="005734CA" w:rsidRPr="006E6F81" w:rsidDel="0041723E" w:rsidRDefault="005734CA" w:rsidP="005734CA">
            <w:pPr>
              <w:pStyle w:val="BodyCopyNEW"/>
              <w:rPr>
                <w:szCs w:val="18"/>
                <w:lang w:val="en-GB"/>
              </w:rPr>
            </w:pPr>
            <w:r w:rsidRPr="006E6F81" w:rsidDel="0041723E">
              <w:rPr>
                <w:szCs w:val="18"/>
                <w:lang w:val="en-GB"/>
              </w:rPr>
              <w:t>NOPSEMA</w:t>
            </w:r>
            <w:r w:rsidR="004F09F9">
              <w:rPr>
                <w:szCs w:val="18"/>
                <w:lang w:val="en-GB"/>
              </w:rPr>
              <w:t>,</w:t>
            </w:r>
            <w:r w:rsidRPr="006E6F81" w:rsidDel="0041723E">
              <w:rPr>
                <w:szCs w:val="18"/>
                <w:lang w:val="en-GB"/>
              </w:rPr>
              <w:t xml:space="preserve"> in consultation with DAWE</w:t>
            </w:r>
            <w:r w:rsidR="004F09F9">
              <w:rPr>
                <w:szCs w:val="18"/>
                <w:lang w:val="en-GB"/>
              </w:rPr>
              <w:t>,</w:t>
            </w:r>
            <w:r w:rsidRPr="006E6F81" w:rsidDel="0041723E">
              <w:rPr>
                <w:szCs w:val="18"/>
                <w:lang w:val="en-GB"/>
              </w:rPr>
              <w:t xml:space="preserve"> should agree acceptable levels on particular sensitive receptors, or within a significant location (such as a </w:t>
            </w:r>
            <w:r w:rsidR="004F09F9">
              <w:rPr>
                <w:szCs w:val="18"/>
                <w:lang w:val="en-GB"/>
              </w:rPr>
              <w:t>Biologically Important Area (</w:t>
            </w:r>
            <w:r w:rsidR="004F09F9" w:rsidRPr="00F962D1">
              <w:rPr>
                <w:b/>
                <w:bCs/>
                <w:szCs w:val="18"/>
                <w:lang w:val="en-GB"/>
              </w:rPr>
              <w:t>BIA</w:t>
            </w:r>
            <w:r w:rsidR="00C471A8" w:rsidRPr="00BE23B8">
              <w:rPr>
                <w:szCs w:val="18"/>
                <w:lang w:val="en-GB"/>
              </w:rPr>
              <w:t>)</w:t>
            </w:r>
            <w:r w:rsidR="00C471A8">
              <w:rPr>
                <w:szCs w:val="18"/>
                <w:lang w:val="en-GB"/>
              </w:rPr>
              <w:t>)</w:t>
            </w:r>
            <w:r w:rsidR="00C471A8" w:rsidRPr="00BE23B8">
              <w:rPr>
                <w:szCs w:val="18"/>
                <w:lang w:val="en-GB"/>
              </w:rPr>
              <w:t>.</w:t>
            </w:r>
            <w:r w:rsidRPr="006E6F81" w:rsidDel="0041723E">
              <w:rPr>
                <w:szCs w:val="18"/>
                <w:lang w:val="en-GB"/>
              </w:rPr>
              <w:t xml:space="preserve"> This could support an outcome to improve cumulative impact assessments on key species at certain locations.</w:t>
            </w:r>
          </w:p>
          <w:p w14:paraId="24025BA6" w14:textId="1183452E" w:rsidR="005734CA" w:rsidRPr="006E6F81" w:rsidRDefault="005734CA" w:rsidP="005734CA">
            <w:pPr>
              <w:pStyle w:val="BodyCopyNEW"/>
              <w:rPr>
                <w:szCs w:val="18"/>
              </w:rPr>
            </w:pPr>
            <w:r w:rsidRPr="00BE23B8" w:rsidDel="0041723E">
              <w:rPr>
                <w:szCs w:val="18"/>
                <w:lang w:val="en-GB"/>
              </w:rPr>
              <w:t xml:space="preserve">This recommendation should be read in conjunction with </w:t>
            </w:r>
            <w:r w:rsidRPr="00153E2D" w:rsidDel="0041723E">
              <w:rPr>
                <w:b/>
                <w:szCs w:val="18"/>
                <w:lang w:val="en-GB"/>
              </w:rPr>
              <w:t>recommendation EPBC-R-2</w:t>
            </w:r>
            <w:r w:rsidRPr="00153E2D" w:rsidDel="0041723E">
              <w:rPr>
                <w:szCs w:val="18"/>
                <w:lang w:val="en-GB"/>
              </w:rPr>
              <w:t>.</w:t>
            </w:r>
          </w:p>
        </w:tc>
      </w:tr>
      <w:tr w:rsidR="005734CA" w:rsidRPr="00AF1581" w14:paraId="680D85BE" w14:textId="77777777" w:rsidTr="00C471A8">
        <w:trPr>
          <w:trHeight w:val="92"/>
        </w:trPr>
        <w:tc>
          <w:tcPr>
            <w:tcW w:w="719" w:type="pct"/>
            <w:tcBorders>
              <w:top w:val="single" w:sz="4" w:space="0" w:color="BFBFBF" w:themeColor="background1" w:themeShade="BF"/>
              <w:bottom w:val="single" w:sz="4" w:space="0" w:color="BFBFBF" w:themeColor="background1" w:themeShade="BF"/>
            </w:tcBorders>
          </w:tcPr>
          <w:p w14:paraId="54A9B90B" w14:textId="0BBCB3FB" w:rsidR="005734CA" w:rsidRPr="00D521C3" w:rsidRDefault="005734CA" w:rsidP="005734CA">
            <w:pPr>
              <w:pStyle w:val="BodyCopyNEW"/>
              <w:rPr>
                <w:rFonts w:cs="OpenSansRegular"/>
                <w:szCs w:val="18"/>
              </w:rPr>
            </w:pPr>
            <w:r w:rsidRPr="00CA37D9">
              <w:rPr>
                <w:rFonts w:cs="OpenSansRegular"/>
                <w:szCs w:val="18"/>
              </w:rPr>
              <w:lastRenderedPageBreak/>
              <w:t>2020 Endorsed Program Assessment</w:t>
            </w:r>
          </w:p>
        </w:tc>
        <w:tc>
          <w:tcPr>
            <w:tcW w:w="287" w:type="pct"/>
            <w:tcBorders>
              <w:top w:val="single" w:sz="4" w:space="0" w:color="BFBFBF" w:themeColor="background1" w:themeShade="BF"/>
              <w:bottom w:val="single" w:sz="4" w:space="0" w:color="BFBFBF" w:themeColor="background1" w:themeShade="BF"/>
            </w:tcBorders>
          </w:tcPr>
          <w:p w14:paraId="4D90DC2D" w14:textId="615164D8" w:rsidR="005734CA" w:rsidRPr="00B7699F" w:rsidRDefault="005734CA" w:rsidP="005734CA">
            <w:pPr>
              <w:pStyle w:val="BodyCopyNEW"/>
              <w:rPr>
                <w:szCs w:val="18"/>
              </w:rPr>
            </w:pPr>
            <w:r w:rsidRPr="00B7699F">
              <w:rPr>
                <w:szCs w:val="18"/>
              </w:rPr>
              <w:t>EPBC-R-5</w:t>
            </w:r>
          </w:p>
        </w:tc>
        <w:tc>
          <w:tcPr>
            <w:tcW w:w="3994" w:type="pct"/>
            <w:tcBorders>
              <w:top w:val="single" w:sz="4" w:space="0" w:color="BFBFBF" w:themeColor="background1" w:themeShade="BF"/>
              <w:bottom w:val="single" w:sz="4" w:space="0" w:color="BFBFBF" w:themeColor="background1" w:themeShade="BF"/>
            </w:tcBorders>
          </w:tcPr>
          <w:p w14:paraId="0E2CCEFD" w14:textId="36F53B40" w:rsidR="005734CA" w:rsidRPr="00D50385" w:rsidRDefault="00F346F5" w:rsidP="00D50385">
            <w:pPr>
              <w:rPr>
                <w:rFonts w:ascii="Calibri Light" w:hAnsi="Calibri Light" w:cs="Calibri Light"/>
                <w:color w:val="000000"/>
                <w:szCs w:val="20"/>
                <w:lang w:val="en-GB"/>
              </w:rPr>
            </w:pPr>
            <w:r w:rsidRPr="00F346F5">
              <w:rPr>
                <w:rFonts w:ascii="Calibri Light" w:hAnsi="Calibri Light" w:cs="Calibri Light"/>
                <w:color w:val="000000"/>
                <w:szCs w:val="20"/>
                <w:lang w:val="en-GB"/>
              </w:rPr>
              <w:t>DAWE, in consultation with NOPSEMA, should focus on ensuring Recovery Plans that are relevant to the offshore petroleum industry are unambiguous, contain contemporary information and fit for purpose. Further, DAWE, in consultation with NOPSEMA should upgrade interactive IT tools such as the National Conservation Values Atlas</w:t>
            </w:r>
            <w:r w:rsidR="007F1005">
              <w:rPr>
                <w:rFonts w:ascii="Calibri Light" w:hAnsi="Calibri Light" w:cs="Calibri Light"/>
                <w:color w:val="000000"/>
                <w:szCs w:val="20"/>
                <w:lang w:val="en-GB"/>
              </w:rPr>
              <w:t xml:space="preserve"> (</w:t>
            </w:r>
            <w:r w:rsidR="007F1005" w:rsidRPr="007F1005">
              <w:rPr>
                <w:rFonts w:ascii="Calibri Light" w:hAnsi="Calibri Light" w:cs="Calibri Light"/>
                <w:b/>
                <w:bCs/>
                <w:color w:val="000000"/>
                <w:szCs w:val="20"/>
                <w:lang w:val="en-GB"/>
              </w:rPr>
              <w:t>NCVA</w:t>
            </w:r>
            <w:r w:rsidR="007F1005">
              <w:rPr>
                <w:rFonts w:ascii="Calibri Light" w:hAnsi="Calibri Light" w:cs="Calibri Light"/>
                <w:color w:val="000000"/>
                <w:szCs w:val="20"/>
                <w:lang w:val="en-GB"/>
              </w:rPr>
              <w:t>)</w:t>
            </w:r>
            <w:r w:rsidRPr="00F346F5">
              <w:rPr>
                <w:rFonts w:ascii="Calibri Light" w:hAnsi="Calibri Light" w:cs="Calibri Light"/>
                <w:color w:val="000000"/>
                <w:szCs w:val="20"/>
                <w:lang w:val="en-GB"/>
              </w:rPr>
              <w:t xml:space="preserve"> (or a subsequent platform with relevant data) to be consistent with marine threatened species Recovery Plans. Information in those tools should be updated close to real time when the Recovery Plans are made or amended.</w:t>
            </w:r>
          </w:p>
        </w:tc>
      </w:tr>
    </w:tbl>
    <w:p w14:paraId="1610738E" w14:textId="365B2153" w:rsidR="007432C0" w:rsidRDefault="003D4F09" w:rsidP="00AB4CA3">
      <w:pPr>
        <w:pStyle w:val="Caption"/>
      </w:pPr>
      <w:bookmarkStart w:id="13" w:name="_Ref58443683"/>
      <w:r>
        <w:t xml:space="preserve">Table </w:t>
      </w:r>
      <w:r w:rsidR="00F8476B">
        <w:fldChar w:fldCharType="begin"/>
      </w:r>
      <w:r w:rsidR="00F8476B">
        <w:instrText xml:space="preserve"> STYLEREF 1 \s </w:instrText>
      </w:r>
      <w:r w:rsidR="00F8476B">
        <w:fldChar w:fldCharType="separate"/>
      </w:r>
      <w:r w:rsidR="00E816B8">
        <w:rPr>
          <w:noProof/>
        </w:rPr>
        <w:t>2</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2</w:t>
      </w:r>
      <w:r w:rsidR="00F8476B">
        <w:fldChar w:fldCharType="end"/>
      </w:r>
      <w:bookmarkEnd w:id="13"/>
      <w:r>
        <w:t>: Consolidated list of opportunities for consideration by Government</w:t>
      </w:r>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Pr>
      <w:tblGrid>
        <w:gridCol w:w="2128"/>
        <w:gridCol w:w="849"/>
        <w:gridCol w:w="11819"/>
      </w:tblGrid>
      <w:tr w:rsidR="00830EF4" w:rsidRPr="00AF1581" w14:paraId="42A0851A" w14:textId="77777777" w:rsidTr="00360FAB">
        <w:trPr>
          <w:cnfStyle w:val="100000000000" w:firstRow="1" w:lastRow="0" w:firstColumn="0" w:lastColumn="0" w:oddVBand="0" w:evenVBand="0" w:oddHBand="0" w:evenHBand="0" w:firstRowFirstColumn="0" w:firstRowLastColumn="0" w:lastRowFirstColumn="0" w:lastRowLastColumn="0"/>
          <w:tblHeader/>
        </w:trPr>
        <w:tc>
          <w:tcPr>
            <w:tcW w:w="719" w:type="pct"/>
            <w:shd w:val="clear" w:color="auto" w:fill="6FC2B4"/>
          </w:tcPr>
          <w:p w14:paraId="70B0B08D" w14:textId="77777777" w:rsidR="00830EF4" w:rsidRPr="004C3B7F" w:rsidRDefault="00830EF4" w:rsidP="00C44305">
            <w:pPr>
              <w:pStyle w:val="Tableheader"/>
              <w:rPr>
                <w:color w:val="FFFFFF" w:themeColor="background1"/>
              </w:rPr>
            </w:pPr>
            <w:r w:rsidRPr="004C3B7F">
              <w:rPr>
                <w:color w:val="FFFFFF" w:themeColor="background1"/>
              </w:rPr>
              <w:t>Section</w:t>
            </w:r>
          </w:p>
        </w:tc>
        <w:tc>
          <w:tcPr>
            <w:tcW w:w="4281" w:type="pct"/>
            <w:gridSpan w:val="2"/>
            <w:shd w:val="clear" w:color="auto" w:fill="6FC2B4"/>
          </w:tcPr>
          <w:p w14:paraId="457207C2" w14:textId="45EDDF6C" w:rsidR="00830EF4" w:rsidRPr="004C3B7F" w:rsidRDefault="00830EF4" w:rsidP="00C44305">
            <w:pPr>
              <w:pStyle w:val="Tableheader"/>
              <w:rPr>
                <w:color w:val="FFFFFF" w:themeColor="background1"/>
              </w:rPr>
            </w:pPr>
            <w:r w:rsidRPr="004C3B7F">
              <w:rPr>
                <w:color w:val="FFFFFF" w:themeColor="background1"/>
              </w:rPr>
              <w:t>Opportunity</w:t>
            </w:r>
          </w:p>
        </w:tc>
      </w:tr>
      <w:tr w:rsidR="00C224DC" w:rsidRPr="00AF1581" w14:paraId="2500A395" w14:textId="77777777" w:rsidTr="00360FAB">
        <w:tc>
          <w:tcPr>
            <w:tcW w:w="719" w:type="pct"/>
            <w:tcBorders>
              <w:top w:val="single" w:sz="4" w:space="0" w:color="BFBFBF" w:themeColor="background1" w:themeShade="BF"/>
              <w:bottom w:val="single" w:sz="4" w:space="0" w:color="BFBFBF" w:themeColor="background1" w:themeShade="BF"/>
            </w:tcBorders>
          </w:tcPr>
          <w:p w14:paraId="4D83F81E" w14:textId="2D5B9D63" w:rsidR="00C224DC" w:rsidRPr="00D521C3" w:rsidRDefault="00C224DC" w:rsidP="00C224DC">
            <w:pPr>
              <w:pStyle w:val="BodyCopyNEW"/>
              <w:rPr>
                <w:szCs w:val="18"/>
              </w:rPr>
            </w:pPr>
            <w:r w:rsidRPr="00D521C3">
              <w:rPr>
                <w:szCs w:val="18"/>
              </w:rPr>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5AD26FD6" w14:textId="12F08A97" w:rsidR="00C224DC" w:rsidRDefault="00C224DC" w:rsidP="00C224DC">
            <w:pPr>
              <w:pStyle w:val="BodyCopyNEW"/>
              <w:rPr>
                <w:szCs w:val="18"/>
              </w:rPr>
            </w:pPr>
            <w:r>
              <w:rPr>
                <w:szCs w:val="18"/>
              </w:rPr>
              <w:t>1</w:t>
            </w:r>
          </w:p>
        </w:tc>
        <w:tc>
          <w:tcPr>
            <w:tcW w:w="3994" w:type="pct"/>
            <w:tcBorders>
              <w:top w:val="single" w:sz="4" w:space="0" w:color="BFBFBF" w:themeColor="background1" w:themeShade="BF"/>
              <w:bottom w:val="single" w:sz="4" w:space="0" w:color="BFBFBF" w:themeColor="background1" w:themeShade="BF"/>
            </w:tcBorders>
          </w:tcPr>
          <w:p w14:paraId="561955E2" w14:textId="1CE3BC96" w:rsidR="00C224DC" w:rsidRPr="00392AAF" w:rsidRDefault="00C224DC" w:rsidP="00C224DC">
            <w:pPr>
              <w:pStyle w:val="BodyCopyNEW"/>
              <w:rPr>
                <w:szCs w:val="18"/>
              </w:rPr>
            </w:pPr>
            <w:r w:rsidRPr="00A2548B">
              <w:rPr>
                <w:szCs w:val="18"/>
              </w:rPr>
              <w:t xml:space="preserve">NOPSEMA is encouraged to develop and implement a ‘Causal Investigation Policy’, considering the substance of the NSW Resources Regulator </w:t>
            </w:r>
            <w:r w:rsidRPr="00A2548B">
              <w:rPr>
                <w:i/>
                <w:szCs w:val="18"/>
              </w:rPr>
              <w:t xml:space="preserve">Causal Investigation Policy </w:t>
            </w:r>
            <w:r w:rsidRPr="00A2548B">
              <w:rPr>
                <w:szCs w:val="18"/>
              </w:rPr>
              <w:t>as a starting point.</w:t>
            </w:r>
          </w:p>
        </w:tc>
      </w:tr>
      <w:tr w:rsidR="00C224DC" w:rsidRPr="00AF1581" w14:paraId="1B829390" w14:textId="77777777" w:rsidTr="00360FAB">
        <w:tc>
          <w:tcPr>
            <w:tcW w:w="719" w:type="pct"/>
            <w:tcBorders>
              <w:top w:val="single" w:sz="4" w:space="0" w:color="BFBFBF" w:themeColor="background1" w:themeShade="BF"/>
              <w:bottom w:val="single" w:sz="4" w:space="0" w:color="BFBFBF" w:themeColor="background1" w:themeShade="BF"/>
            </w:tcBorders>
          </w:tcPr>
          <w:p w14:paraId="6F4D4595" w14:textId="1BD4F9DA" w:rsidR="00C224DC" w:rsidRPr="00D521C3" w:rsidRDefault="00C224DC" w:rsidP="00C224DC">
            <w:pPr>
              <w:pStyle w:val="BodyCopyNEW"/>
              <w:rPr>
                <w:szCs w:val="18"/>
              </w:rPr>
            </w:pPr>
            <w:r w:rsidRPr="00D521C3">
              <w:rPr>
                <w:szCs w:val="18"/>
              </w:rPr>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702D455C" w14:textId="23054B72" w:rsidR="00C224DC" w:rsidRPr="00392AAF" w:rsidRDefault="00C224DC" w:rsidP="00C224DC">
            <w:pPr>
              <w:pStyle w:val="BodyCopyNEW"/>
              <w:rPr>
                <w:szCs w:val="18"/>
              </w:rPr>
            </w:pPr>
            <w:r>
              <w:rPr>
                <w:szCs w:val="18"/>
              </w:rPr>
              <w:t>2</w:t>
            </w:r>
          </w:p>
        </w:tc>
        <w:tc>
          <w:tcPr>
            <w:tcW w:w="3994" w:type="pct"/>
            <w:tcBorders>
              <w:top w:val="single" w:sz="4" w:space="0" w:color="BFBFBF" w:themeColor="background1" w:themeShade="BF"/>
              <w:bottom w:val="single" w:sz="4" w:space="0" w:color="BFBFBF" w:themeColor="background1" w:themeShade="BF"/>
            </w:tcBorders>
          </w:tcPr>
          <w:p w14:paraId="0273474A" w14:textId="1BF70FFE" w:rsidR="00C224DC" w:rsidRPr="004602AD" w:rsidRDefault="00C224DC" w:rsidP="00C224DC">
            <w:pPr>
              <w:pStyle w:val="BodyCopyNEW"/>
              <w:rPr>
                <w:rFonts w:cs="OpenSansRegular"/>
                <w:szCs w:val="18"/>
              </w:rPr>
            </w:pPr>
            <w:r w:rsidRPr="00392AAF">
              <w:rPr>
                <w:szCs w:val="18"/>
              </w:rPr>
              <w:t>NOPSEMA</w:t>
            </w:r>
            <w:r w:rsidRPr="00FB420B">
              <w:rPr>
                <w:szCs w:val="18"/>
              </w:rPr>
              <w:t xml:space="preserve"> is encouraged to update its investigation framework and Investigation Level Determination Tool to provide criteria and discretion for inspectors in determining investigation requirements for exceptional or compassionate grounds with oversight or approval </w:t>
            </w:r>
            <w:r w:rsidRPr="00911F0E">
              <w:rPr>
                <w:szCs w:val="18"/>
              </w:rPr>
              <w:t>provided by the NOPSEMA Compliance Committee.</w:t>
            </w:r>
          </w:p>
        </w:tc>
      </w:tr>
      <w:tr w:rsidR="00C224DC" w:rsidRPr="00AF1581" w14:paraId="6F837453" w14:textId="77777777" w:rsidTr="00360FAB">
        <w:tc>
          <w:tcPr>
            <w:tcW w:w="719" w:type="pct"/>
            <w:tcBorders>
              <w:top w:val="single" w:sz="4" w:space="0" w:color="BFBFBF" w:themeColor="background1" w:themeShade="BF"/>
              <w:bottom w:val="single" w:sz="4" w:space="0" w:color="BFBFBF" w:themeColor="background1" w:themeShade="BF"/>
            </w:tcBorders>
          </w:tcPr>
          <w:p w14:paraId="46277D8A" w14:textId="0FAFD73B" w:rsidR="00C224DC" w:rsidRPr="00D521C3" w:rsidRDefault="00C224DC" w:rsidP="00C224DC">
            <w:pPr>
              <w:pStyle w:val="BodyCopyNEW"/>
              <w:rPr>
                <w:szCs w:val="18"/>
              </w:rPr>
            </w:pPr>
            <w:r w:rsidRPr="00D521C3">
              <w:rPr>
                <w:szCs w:val="18"/>
              </w:rPr>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190FB84C" w14:textId="4006272B" w:rsidR="00C224DC" w:rsidRPr="00392AAF" w:rsidRDefault="00C224DC" w:rsidP="00C224DC">
            <w:pPr>
              <w:pStyle w:val="BodyCopyNEW"/>
              <w:rPr>
                <w:szCs w:val="18"/>
              </w:rPr>
            </w:pPr>
            <w:r>
              <w:rPr>
                <w:rFonts w:cs="Times New Roman"/>
                <w:szCs w:val="18"/>
              </w:rPr>
              <w:t>3</w:t>
            </w:r>
          </w:p>
        </w:tc>
        <w:tc>
          <w:tcPr>
            <w:tcW w:w="3994" w:type="pct"/>
            <w:tcBorders>
              <w:top w:val="single" w:sz="4" w:space="0" w:color="BFBFBF" w:themeColor="background1" w:themeShade="BF"/>
              <w:bottom w:val="single" w:sz="4" w:space="0" w:color="BFBFBF" w:themeColor="background1" w:themeShade="BF"/>
            </w:tcBorders>
          </w:tcPr>
          <w:p w14:paraId="7407EFB2" w14:textId="14E5020C" w:rsidR="00C224DC" w:rsidRPr="00911F0E" w:rsidRDefault="00C224DC" w:rsidP="00C224DC">
            <w:pPr>
              <w:pStyle w:val="BodyCopyNEW"/>
              <w:rPr>
                <w:rFonts w:cs="OpenSansRegular"/>
                <w:szCs w:val="18"/>
              </w:rPr>
            </w:pPr>
            <w:r w:rsidRPr="00392AAF">
              <w:rPr>
                <w:szCs w:val="18"/>
              </w:rPr>
              <w:t xml:space="preserve">NOPSEMA is encouraged to consider amending Level 3 and Level 4 investigation procedures to incorporate by reference or provide linkage </w:t>
            </w:r>
            <w:r w:rsidRPr="00FB420B">
              <w:rPr>
                <w:szCs w:val="18"/>
              </w:rPr>
              <w:t>to detailed NOPSEMA procedures, work instructions, guidelines, forms and templates that translate or operationalise coercive powers of entry and powers available upon entry that are conferred upon NOPSEMA Inspectors by the</w:t>
            </w:r>
            <w:r>
              <w:rPr>
                <w:szCs w:val="18"/>
              </w:rPr>
              <w:t xml:space="preserve"> OPGGS </w:t>
            </w:r>
            <w:r w:rsidRPr="00FB420B">
              <w:rPr>
                <w:szCs w:val="18"/>
              </w:rPr>
              <w:t>Act and Regulatory Powers Act.</w:t>
            </w:r>
          </w:p>
        </w:tc>
      </w:tr>
      <w:tr w:rsidR="00C224DC" w:rsidRPr="00AF1581" w14:paraId="23A5B4DC" w14:textId="77777777" w:rsidTr="00360FAB">
        <w:tc>
          <w:tcPr>
            <w:tcW w:w="719" w:type="pct"/>
            <w:tcBorders>
              <w:top w:val="single" w:sz="4" w:space="0" w:color="BFBFBF" w:themeColor="background1" w:themeShade="BF"/>
              <w:bottom w:val="single" w:sz="4" w:space="0" w:color="BFBFBF" w:themeColor="background1" w:themeShade="BF"/>
            </w:tcBorders>
          </w:tcPr>
          <w:p w14:paraId="657BB97A" w14:textId="6E3EE50C" w:rsidR="00C224DC" w:rsidRPr="00D521C3" w:rsidRDefault="00C224DC" w:rsidP="00C224DC">
            <w:pPr>
              <w:pStyle w:val="BodyCopyNEW"/>
              <w:rPr>
                <w:szCs w:val="18"/>
              </w:rPr>
            </w:pPr>
            <w:r w:rsidRPr="00D521C3">
              <w:rPr>
                <w:szCs w:val="18"/>
              </w:rPr>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76904E1B" w14:textId="37A5D5BF" w:rsidR="00C224DC" w:rsidRPr="00392AAF" w:rsidRDefault="00C224DC" w:rsidP="00C224DC">
            <w:pPr>
              <w:pStyle w:val="BodyCopyNEW"/>
              <w:rPr>
                <w:rFonts w:cs="Times New Roman"/>
                <w:szCs w:val="18"/>
              </w:rPr>
            </w:pPr>
            <w:r>
              <w:rPr>
                <w:rFonts w:cs="Times New Roman"/>
                <w:szCs w:val="18"/>
              </w:rPr>
              <w:t>4</w:t>
            </w:r>
          </w:p>
        </w:tc>
        <w:tc>
          <w:tcPr>
            <w:tcW w:w="3994" w:type="pct"/>
            <w:tcBorders>
              <w:top w:val="single" w:sz="4" w:space="0" w:color="BFBFBF" w:themeColor="background1" w:themeShade="BF"/>
              <w:bottom w:val="single" w:sz="4" w:space="0" w:color="BFBFBF" w:themeColor="background1" w:themeShade="BF"/>
            </w:tcBorders>
          </w:tcPr>
          <w:p w14:paraId="568767CB" w14:textId="1F01A4C0" w:rsidR="00C224DC" w:rsidRPr="00611BAA" w:rsidRDefault="00C224DC" w:rsidP="00C224DC">
            <w:pPr>
              <w:pStyle w:val="BodyCopyNEW"/>
              <w:rPr>
                <w:rFonts w:cs="OpenSansRegular"/>
              </w:rPr>
            </w:pPr>
            <w:r w:rsidRPr="00392AAF">
              <w:rPr>
                <w:rFonts w:cs="Times New Roman"/>
                <w:szCs w:val="18"/>
              </w:rPr>
              <w:t xml:space="preserve">NOPSEMA is encouraged to consider the design of </w:t>
            </w:r>
            <w:r w:rsidRPr="00FB420B">
              <w:t xml:space="preserve">an Investigation Checklist </w:t>
            </w:r>
            <w:r w:rsidRPr="00911F0E">
              <w:rPr>
                <w:szCs w:val="18"/>
              </w:rPr>
              <w:t>(</w:t>
            </w:r>
            <w:r w:rsidRPr="004602AD">
              <w:rPr>
                <w:szCs w:val="18"/>
              </w:rPr>
              <w:t>or similar</w:t>
            </w:r>
            <w:r w:rsidRPr="00C81CBA">
              <w:rPr>
                <w:szCs w:val="18"/>
              </w:rPr>
              <w:t>)</w:t>
            </w:r>
            <w:r w:rsidRPr="00953CA5">
              <w:rPr>
                <w:szCs w:val="18"/>
              </w:rPr>
              <w:t xml:space="preserve"> directed toward identifying elements of offences and potential defences, together with counterpart evidence, to support the Investigation Plan for category 3 </w:t>
            </w:r>
            <w:r>
              <w:rPr>
                <w:szCs w:val="18"/>
              </w:rPr>
              <w:t>and</w:t>
            </w:r>
            <w:r w:rsidRPr="00953CA5">
              <w:rPr>
                <w:szCs w:val="18"/>
              </w:rPr>
              <w:t xml:space="preserve"> 4 investigations (i.e. investigation levels justifying it) to be reviewed and approved by the </w:t>
            </w:r>
            <w:r w:rsidRPr="00171DEA">
              <w:rPr>
                <w:szCs w:val="18"/>
              </w:rPr>
              <w:t xml:space="preserve">Representative of </w:t>
            </w:r>
            <w:r w:rsidRPr="00777C5D">
              <w:rPr>
                <w:szCs w:val="18"/>
              </w:rPr>
              <w:t>N</w:t>
            </w:r>
            <w:r w:rsidRPr="006C6606">
              <w:rPr>
                <w:szCs w:val="18"/>
              </w:rPr>
              <w:t xml:space="preserve">OPSEMA </w:t>
            </w:r>
            <w:r w:rsidRPr="00C9422D">
              <w:rPr>
                <w:szCs w:val="18"/>
              </w:rPr>
              <w:t>(</w:t>
            </w:r>
            <w:r>
              <w:rPr>
                <w:szCs w:val="18"/>
              </w:rPr>
              <w:t>L</w:t>
            </w:r>
            <w:r w:rsidRPr="00C9422D">
              <w:rPr>
                <w:szCs w:val="18"/>
              </w:rPr>
              <w:t xml:space="preserve">evel 3) or Investigation </w:t>
            </w:r>
            <w:r w:rsidRPr="00F53817">
              <w:rPr>
                <w:szCs w:val="18"/>
              </w:rPr>
              <w:t>M</w:t>
            </w:r>
            <w:r w:rsidRPr="00A32AAE">
              <w:rPr>
                <w:szCs w:val="18"/>
              </w:rPr>
              <w:t>anager (</w:t>
            </w:r>
            <w:r>
              <w:rPr>
                <w:szCs w:val="18"/>
              </w:rPr>
              <w:t>L</w:t>
            </w:r>
            <w:r w:rsidRPr="00A32AAE">
              <w:rPr>
                <w:szCs w:val="18"/>
              </w:rPr>
              <w:t>evel 4).</w:t>
            </w:r>
          </w:p>
        </w:tc>
      </w:tr>
      <w:tr w:rsidR="00C224DC" w:rsidRPr="00AF1581" w14:paraId="39781C9A" w14:textId="77777777" w:rsidTr="00360FAB">
        <w:tc>
          <w:tcPr>
            <w:tcW w:w="719" w:type="pct"/>
            <w:tcBorders>
              <w:top w:val="single" w:sz="4" w:space="0" w:color="BFBFBF" w:themeColor="background1" w:themeShade="BF"/>
              <w:bottom w:val="single" w:sz="4" w:space="0" w:color="BFBFBF" w:themeColor="background1" w:themeShade="BF"/>
            </w:tcBorders>
          </w:tcPr>
          <w:p w14:paraId="35B1DE0D" w14:textId="3ADB9D34" w:rsidR="00C224DC" w:rsidRPr="00D521C3" w:rsidRDefault="00C224DC" w:rsidP="00C224DC">
            <w:pPr>
              <w:pStyle w:val="BodyCopyNEW"/>
              <w:rPr>
                <w:szCs w:val="18"/>
              </w:rPr>
            </w:pPr>
            <w:r w:rsidRPr="00D521C3">
              <w:rPr>
                <w:szCs w:val="18"/>
              </w:rPr>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18C1457D" w14:textId="29C009B2" w:rsidR="00C224DC" w:rsidRPr="00392AAF" w:rsidRDefault="00C224DC" w:rsidP="00C224DC">
            <w:pPr>
              <w:pStyle w:val="BodyCopyNEW"/>
              <w:rPr>
                <w:rFonts w:cs="Times New Roman"/>
                <w:szCs w:val="18"/>
              </w:rPr>
            </w:pPr>
            <w:r>
              <w:rPr>
                <w:szCs w:val="18"/>
              </w:rPr>
              <w:t>5</w:t>
            </w:r>
          </w:p>
        </w:tc>
        <w:tc>
          <w:tcPr>
            <w:tcW w:w="3994" w:type="pct"/>
            <w:tcBorders>
              <w:top w:val="single" w:sz="4" w:space="0" w:color="BFBFBF" w:themeColor="background1" w:themeShade="BF"/>
              <w:bottom w:val="single" w:sz="4" w:space="0" w:color="BFBFBF" w:themeColor="background1" w:themeShade="BF"/>
            </w:tcBorders>
          </w:tcPr>
          <w:p w14:paraId="3DEC76C7" w14:textId="2AE11A78" w:rsidR="00C224DC" w:rsidRPr="004602AD" w:rsidRDefault="00C224DC" w:rsidP="00C224DC">
            <w:pPr>
              <w:pStyle w:val="BodyCopyNEW"/>
              <w:rPr>
                <w:szCs w:val="18"/>
              </w:rPr>
            </w:pPr>
            <w:r w:rsidRPr="00392AAF">
              <w:rPr>
                <w:rFonts w:cs="Times New Roman"/>
                <w:szCs w:val="18"/>
              </w:rPr>
              <w:t xml:space="preserve">NOPSEMA is encouraged to </w:t>
            </w:r>
            <w:r w:rsidRPr="00FB420B">
              <w:rPr>
                <w:szCs w:val="18"/>
              </w:rPr>
              <w:t xml:space="preserve">amend the </w:t>
            </w:r>
            <w:r w:rsidRPr="00901C7B">
              <w:rPr>
                <w:i/>
                <w:szCs w:val="18"/>
              </w:rPr>
              <w:t>Level 3 Investigation Procedure</w:t>
            </w:r>
            <w:r w:rsidRPr="00FB420B">
              <w:rPr>
                <w:szCs w:val="18"/>
              </w:rPr>
              <w:t xml:space="preserve"> and </w:t>
            </w:r>
            <w:r w:rsidRPr="00901C7B">
              <w:rPr>
                <w:i/>
                <w:szCs w:val="18"/>
              </w:rPr>
              <w:t>Level 4 Investigation Procedure</w:t>
            </w:r>
            <w:r w:rsidRPr="00FB420B">
              <w:rPr>
                <w:szCs w:val="18"/>
              </w:rPr>
              <w:t xml:space="preserve"> to</w:t>
            </w:r>
            <w:r w:rsidRPr="00911F0E">
              <w:rPr>
                <w:szCs w:val="18"/>
              </w:rPr>
              <w:t>:</w:t>
            </w:r>
          </w:p>
          <w:p w14:paraId="1115FF22" w14:textId="45D674B7" w:rsidR="00C224DC" w:rsidRPr="00A36467" w:rsidRDefault="00C224DC" w:rsidP="00C224DC">
            <w:pPr>
              <w:pStyle w:val="BodyBullet1"/>
              <w:ind w:left="375"/>
              <w:rPr>
                <w:szCs w:val="18"/>
              </w:rPr>
            </w:pPr>
            <w:r w:rsidRPr="00893E23">
              <w:rPr>
                <w:szCs w:val="18"/>
              </w:rPr>
              <w:t>Mandate</w:t>
            </w:r>
            <w:r w:rsidRPr="00A36467">
              <w:rPr>
                <w:szCs w:val="18"/>
              </w:rPr>
              <w:t xml:space="preserve"> that a legal officer must be at the first case management meeting (soon after commencement of an investigation) and last case management meeting (immediately prior to finalisation of an investigation when critical decisions are made) and otherwise ‘as required’ in the case of </w:t>
            </w:r>
            <w:r>
              <w:rPr>
                <w:szCs w:val="18"/>
              </w:rPr>
              <w:t>L</w:t>
            </w:r>
            <w:r w:rsidRPr="00A36467">
              <w:rPr>
                <w:szCs w:val="18"/>
              </w:rPr>
              <w:t xml:space="preserve">evel </w:t>
            </w:r>
            <w:r>
              <w:rPr>
                <w:szCs w:val="18"/>
              </w:rPr>
              <w:t>3</w:t>
            </w:r>
            <w:r w:rsidRPr="00A36467">
              <w:rPr>
                <w:szCs w:val="18"/>
              </w:rPr>
              <w:t xml:space="preserve"> and </w:t>
            </w:r>
            <w:r>
              <w:rPr>
                <w:szCs w:val="18"/>
              </w:rPr>
              <w:t>Level 4</w:t>
            </w:r>
            <w:r w:rsidRPr="00A36467">
              <w:rPr>
                <w:szCs w:val="18"/>
              </w:rPr>
              <w:t xml:space="preserve"> investigations</w:t>
            </w:r>
          </w:p>
          <w:p w14:paraId="03E81298" w14:textId="4F48769B" w:rsidR="00C224DC" w:rsidRPr="00A36467" w:rsidRDefault="00C224DC" w:rsidP="00C224DC">
            <w:pPr>
              <w:pStyle w:val="BodyBullet1"/>
              <w:ind w:left="375"/>
              <w:rPr>
                <w:szCs w:val="18"/>
              </w:rPr>
            </w:pPr>
            <w:r w:rsidRPr="00A36467">
              <w:rPr>
                <w:szCs w:val="18"/>
              </w:rPr>
              <w:t xml:space="preserve">Record case management outcomes in documented </w:t>
            </w:r>
            <w:r w:rsidRPr="00A36467">
              <w:rPr>
                <w:i/>
                <w:szCs w:val="18"/>
              </w:rPr>
              <w:t>Case Management Notes</w:t>
            </w:r>
            <w:r w:rsidRPr="00A36467">
              <w:rPr>
                <w:szCs w:val="18"/>
              </w:rPr>
              <w:t xml:space="preserve"> annexed to the </w:t>
            </w:r>
            <w:r w:rsidRPr="00A36467">
              <w:rPr>
                <w:i/>
                <w:szCs w:val="18"/>
              </w:rPr>
              <w:t>Investigation Plan</w:t>
            </w:r>
            <w:r w:rsidRPr="00A36467">
              <w:rPr>
                <w:szCs w:val="18"/>
              </w:rPr>
              <w:t xml:space="preserve"> that are continually updated as live document</w:t>
            </w:r>
            <w:r>
              <w:rPr>
                <w:szCs w:val="18"/>
              </w:rPr>
              <w:t>s</w:t>
            </w:r>
            <w:r w:rsidRPr="00A36467">
              <w:rPr>
                <w:szCs w:val="18"/>
              </w:rPr>
              <w:t xml:space="preserve"> throughout the life of the investigation (including decisions, reasons for decision, decision makers, actions, responsible persons and due dates)</w:t>
            </w:r>
          </w:p>
          <w:p w14:paraId="03A058B7" w14:textId="423AA1F9" w:rsidR="00C224DC" w:rsidRPr="00A36467" w:rsidRDefault="00C224DC" w:rsidP="00C224DC">
            <w:pPr>
              <w:pStyle w:val="BodyBullet1"/>
              <w:ind w:left="375"/>
              <w:rPr>
                <w:szCs w:val="18"/>
              </w:rPr>
            </w:pPr>
            <w:r w:rsidRPr="00A36467">
              <w:rPr>
                <w:rFonts w:eastAsia="Verdana" w:cs="Verdana"/>
                <w:szCs w:val="18"/>
              </w:rPr>
              <w:lastRenderedPageBreak/>
              <w:t>Consider clearly defining Case Management Notes as a ‘Critical Decision Record’</w:t>
            </w:r>
            <w:r w:rsidRPr="00893E23">
              <w:rPr>
                <w:szCs w:val="18"/>
                <w:vertAlign w:val="superscript"/>
              </w:rPr>
              <w:footnoteReference w:id="8"/>
            </w:r>
            <w:r w:rsidRPr="00893E23">
              <w:rPr>
                <w:rFonts w:eastAsia="Verdana" w:cs="Verdana"/>
                <w:szCs w:val="18"/>
              </w:rPr>
              <w:t xml:space="preserve"> – ‘Critical Decision Records’ are currently referred to in the Level 3 Investigation Procedure as being required so treating Case Management Notes in this manner would deliver efficiencies and avoid duplication.</w:t>
            </w:r>
          </w:p>
        </w:tc>
      </w:tr>
      <w:tr w:rsidR="00C224DC" w:rsidRPr="00AF1581" w14:paraId="118C6B99" w14:textId="77777777" w:rsidTr="00360FAB">
        <w:tc>
          <w:tcPr>
            <w:tcW w:w="719" w:type="pct"/>
            <w:tcBorders>
              <w:top w:val="single" w:sz="4" w:space="0" w:color="BFBFBF" w:themeColor="background1" w:themeShade="BF"/>
              <w:bottom w:val="single" w:sz="4" w:space="0" w:color="BFBFBF" w:themeColor="background1" w:themeShade="BF"/>
            </w:tcBorders>
          </w:tcPr>
          <w:p w14:paraId="58F6E6DE" w14:textId="30BCAB24" w:rsidR="00C224DC" w:rsidRPr="00D521C3" w:rsidRDefault="00C224DC" w:rsidP="00C224DC">
            <w:pPr>
              <w:pStyle w:val="BodyCopyNEW"/>
              <w:rPr>
                <w:szCs w:val="18"/>
              </w:rPr>
            </w:pPr>
            <w:r w:rsidRPr="00D521C3">
              <w:rPr>
                <w:szCs w:val="18"/>
              </w:rPr>
              <w:lastRenderedPageBreak/>
              <w:t>NOPSEMA’s effective regulation and use of its powers</w:t>
            </w:r>
          </w:p>
        </w:tc>
        <w:tc>
          <w:tcPr>
            <w:tcW w:w="287" w:type="pct"/>
            <w:tcBorders>
              <w:top w:val="single" w:sz="4" w:space="0" w:color="BFBFBF" w:themeColor="background1" w:themeShade="BF"/>
              <w:bottom w:val="single" w:sz="4" w:space="0" w:color="BFBFBF" w:themeColor="background1" w:themeShade="BF"/>
            </w:tcBorders>
          </w:tcPr>
          <w:p w14:paraId="7AE769B9" w14:textId="184B0DE3" w:rsidR="00C224DC" w:rsidRPr="00FB420B" w:rsidRDefault="00C224DC" w:rsidP="00C224DC">
            <w:pPr>
              <w:pStyle w:val="BodyCopyNEW"/>
              <w:rPr>
                <w:szCs w:val="18"/>
              </w:rPr>
            </w:pPr>
            <w:r>
              <w:t>6</w:t>
            </w:r>
          </w:p>
        </w:tc>
        <w:tc>
          <w:tcPr>
            <w:tcW w:w="3994" w:type="pct"/>
            <w:tcBorders>
              <w:top w:val="single" w:sz="4" w:space="0" w:color="BFBFBF" w:themeColor="background1" w:themeShade="BF"/>
              <w:bottom w:val="single" w:sz="4" w:space="0" w:color="BFBFBF" w:themeColor="background1" w:themeShade="BF"/>
            </w:tcBorders>
          </w:tcPr>
          <w:p w14:paraId="1303BD93" w14:textId="107F3380" w:rsidR="00C224DC" w:rsidRPr="00611BAA" w:rsidRDefault="00C224DC" w:rsidP="00C224DC">
            <w:pPr>
              <w:pStyle w:val="BodyCopyNEW"/>
              <w:rPr>
                <w:szCs w:val="18"/>
              </w:rPr>
            </w:pPr>
            <w:r w:rsidRPr="00FB420B">
              <w:rPr>
                <w:szCs w:val="18"/>
              </w:rPr>
              <w:t xml:space="preserve">NOPSEMA is encouraged to more visibly publish its </w:t>
            </w:r>
            <w:r w:rsidRPr="00911F0E">
              <w:rPr>
                <w:szCs w:val="18"/>
              </w:rPr>
              <w:t>approach to enforcement</w:t>
            </w:r>
            <w:r w:rsidRPr="004602AD">
              <w:rPr>
                <w:szCs w:val="18"/>
              </w:rPr>
              <w:t xml:space="preserve"> activities across its graduated set of enforcement options. Clarity should be provided to stakeholders on the rigo</w:t>
            </w:r>
            <w:r>
              <w:rPr>
                <w:szCs w:val="18"/>
              </w:rPr>
              <w:t>u</w:t>
            </w:r>
            <w:r w:rsidRPr="004602AD">
              <w:rPr>
                <w:szCs w:val="18"/>
              </w:rPr>
              <w:t>r and rationale of NOPSEMA’s approach to enforceme</w:t>
            </w:r>
            <w:r w:rsidRPr="00C81CBA">
              <w:rPr>
                <w:szCs w:val="18"/>
              </w:rPr>
              <w:t>nt actions</w:t>
            </w:r>
            <w:r w:rsidRPr="00096BC3">
              <w:rPr>
                <w:szCs w:val="18"/>
              </w:rPr>
              <w:t>.</w:t>
            </w:r>
          </w:p>
        </w:tc>
      </w:tr>
      <w:tr w:rsidR="00C224DC" w:rsidRPr="00AF1581" w14:paraId="39D85CB1" w14:textId="77777777" w:rsidTr="00360FAB">
        <w:tc>
          <w:tcPr>
            <w:tcW w:w="719" w:type="pct"/>
            <w:tcBorders>
              <w:top w:val="single" w:sz="4" w:space="0" w:color="BFBFBF" w:themeColor="background1" w:themeShade="BF"/>
              <w:bottom w:val="single" w:sz="4" w:space="0" w:color="BFBFBF" w:themeColor="background1" w:themeShade="BF"/>
            </w:tcBorders>
          </w:tcPr>
          <w:p w14:paraId="0DB7D64E" w14:textId="66464E47" w:rsidR="00C224DC" w:rsidRPr="00D521C3" w:rsidRDefault="00C224DC" w:rsidP="00C224DC">
            <w:pPr>
              <w:pStyle w:val="BodyCopyNEW"/>
              <w:rPr>
                <w:szCs w:val="18"/>
              </w:rPr>
            </w:pPr>
            <w:r w:rsidRPr="00D521C3">
              <w:rPr>
                <w:szCs w:val="18"/>
              </w:rPr>
              <w:t>Capability and capacity of NOPSEMA</w:t>
            </w:r>
          </w:p>
        </w:tc>
        <w:tc>
          <w:tcPr>
            <w:tcW w:w="287" w:type="pct"/>
            <w:tcBorders>
              <w:top w:val="single" w:sz="4" w:space="0" w:color="BFBFBF" w:themeColor="background1" w:themeShade="BF"/>
              <w:bottom w:val="single" w:sz="4" w:space="0" w:color="BFBFBF" w:themeColor="background1" w:themeShade="BF"/>
            </w:tcBorders>
          </w:tcPr>
          <w:p w14:paraId="6106027D" w14:textId="1BBF3DDC" w:rsidR="00C224DC" w:rsidRPr="00795134" w:rsidRDefault="00C224DC" w:rsidP="00C224DC">
            <w:pPr>
              <w:pStyle w:val="BodyCopyNEW"/>
            </w:pPr>
            <w:r>
              <w:rPr>
                <w:szCs w:val="18"/>
              </w:rPr>
              <w:t>7</w:t>
            </w:r>
          </w:p>
        </w:tc>
        <w:tc>
          <w:tcPr>
            <w:tcW w:w="3994" w:type="pct"/>
            <w:tcBorders>
              <w:top w:val="single" w:sz="4" w:space="0" w:color="BFBFBF" w:themeColor="background1" w:themeShade="BF"/>
              <w:bottom w:val="single" w:sz="4" w:space="0" w:color="BFBFBF" w:themeColor="background1" w:themeShade="BF"/>
            </w:tcBorders>
          </w:tcPr>
          <w:p w14:paraId="60A52063" w14:textId="65BEBA82" w:rsidR="00C224DC" w:rsidRPr="00392AAF" w:rsidRDefault="00C224DC" w:rsidP="00C224DC">
            <w:pPr>
              <w:pStyle w:val="BodyCopyNEW"/>
              <w:rPr>
                <w:szCs w:val="18"/>
              </w:rPr>
            </w:pPr>
            <w:r w:rsidRPr="00795134">
              <w:t>NOPSEMA is encouraged to</w:t>
            </w:r>
            <w:r>
              <w:t xml:space="preserve"> apply a consistent approach to capturing current and future capability requirements across its divisions.</w:t>
            </w:r>
          </w:p>
        </w:tc>
      </w:tr>
      <w:tr w:rsidR="00C224DC" w:rsidRPr="00AF1581" w14:paraId="4EB0F29B" w14:textId="77777777" w:rsidTr="00360FAB">
        <w:tc>
          <w:tcPr>
            <w:tcW w:w="719" w:type="pct"/>
            <w:tcBorders>
              <w:top w:val="single" w:sz="4" w:space="0" w:color="BFBFBF" w:themeColor="background1" w:themeShade="BF"/>
              <w:bottom w:val="single" w:sz="4" w:space="0" w:color="BFBFBF" w:themeColor="background1" w:themeShade="BF"/>
            </w:tcBorders>
          </w:tcPr>
          <w:p w14:paraId="580DE109" w14:textId="1766DC5B" w:rsidR="00C224DC" w:rsidRPr="00D521C3" w:rsidRDefault="00C224DC" w:rsidP="00C224DC">
            <w:pPr>
              <w:pStyle w:val="BodyCopyNEW"/>
              <w:rPr>
                <w:szCs w:val="18"/>
              </w:rPr>
            </w:pPr>
            <w:r w:rsidRPr="00D521C3">
              <w:rPr>
                <w:szCs w:val="18"/>
              </w:rPr>
              <w:t>Capability and capacity of NOPSEMA</w:t>
            </w:r>
          </w:p>
        </w:tc>
        <w:tc>
          <w:tcPr>
            <w:tcW w:w="287" w:type="pct"/>
            <w:tcBorders>
              <w:top w:val="single" w:sz="4" w:space="0" w:color="BFBFBF" w:themeColor="background1" w:themeShade="BF"/>
              <w:bottom w:val="single" w:sz="4" w:space="0" w:color="BFBFBF" w:themeColor="background1" w:themeShade="BF"/>
            </w:tcBorders>
          </w:tcPr>
          <w:p w14:paraId="32B1B3A1" w14:textId="3FD78C9F" w:rsidR="00C224DC" w:rsidRPr="00392AAF" w:rsidRDefault="00C224DC" w:rsidP="00C224DC">
            <w:pPr>
              <w:pStyle w:val="BodyCopyNEW"/>
              <w:rPr>
                <w:szCs w:val="18"/>
              </w:rPr>
            </w:pPr>
            <w:r>
              <w:rPr>
                <w:szCs w:val="18"/>
              </w:rPr>
              <w:t>8</w:t>
            </w:r>
          </w:p>
        </w:tc>
        <w:tc>
          <w:tcPr>
            <w:tcW w:w="3994" w:type="pct"/>
            <w:tcBorders>
              <w:top w:val="single" w:sz="4" w:space="0" w:color="BFBFBF" w:themeColor="background1" w:themeShade="BF"/>
              <w:bottom w:val="single" w:sz="4" w:space="0" w:color="BFBFBF" w:themeColor="background1" w:themeShade="BF"/>
            </w:tcBorders>
          </w:tcPr>
          <w:p w14:paraId="7D8D3713" w14:textId="4DEDB125" w:rsidR="00C224DC" w:rsidRPr="00FB420B" w:rsidRDefault="00C224DC" w:rsidP="00C224DC">
            <w:pPr>
              <w:pStyle w:val="BodyCopyNEW"/>
              <w:rPr>
                <w:szCs w:val="18"/>
              </w:rPr>
            </w:pPr>
            <w:r w:rsidRPr="00392AAF">
              <w:rPr>
                <w:szCs w:val="18"/>
              </w:rPr>
              <w:t>NOPSEMA is encouraged to:</w:t>
            </w:r>
          </w:p>
          <w:p w14:paraId="2D86CB44" w14:textId="77777777" w:rsidR="00C224DC" w:rsidRPr="00A36467" w:rsidRDefault="00C224DC" w:rsidP="00C224DC">
            <w:pPr>
              <w:pStyle w:val="BodyBullet1"/>
              <w:ind w:left="375"/>
              <w:rPr>
                <w:szCs w:val="18"/>
              </w:rPr>
            </w:pPr>
            <w:r w:rsidRPr="00893E23">
              <w:rPr>
                <w:szCs w:val="18"/>
              </w:rPr>
              <w:t>Identify digital</w:t>
            </w:r>
            <w:r w:rsidRPr="00A36467">
              <w:rPr>
                <w:szCs w:val="18"/>
              </w:rPr>
              <w:t xml:space="preserve"> capability requirements, with reference to industry and regulatory practice trends globally and the strategic direction of NOPSEMA</w:t>
            </w:r>
          </w:p>
          <w:p w14:paraId="2730B0D1" w14:textId="77777777" w:rsidR="00C224DC" w:rsidRPr="00A36467" w:rsidRDefault="00C224DC" w:rsidP="00C224DC">
            <w:pPr>
              <w:pStyle w:val="BodyBullet1"/>
              <w:ind w:left="375"/>
              <w:rPr>
                <w:szCs w:val="18"/>
              </w:rPr>
            </w:pPr>
            <w:r w:rsidRPr="00A36467">
              <w:rPr>
                <w:szCs w:val="18"/>
              </w:rPr>
              <w:t>Undertake a digital skills and literacy capability gap assessment to determine where digital capability maturity is lowest</w:t>
            </w:r>
          </w:p>
          <w:p w14:paraId="277F035E" w14:textId="56E29C9E" w:rsidR="00C224DC" w:rsidRPr="00392AAF" w:rsidRDefault="00C224DC" w:rsidP="00C224DC">
            <w:pPr>
              <w:pStyle w:val="BodyBullet1"/>
              <w:ind w:left="375"/>
            </w:pPr>
            <w:r w:rsidRPr="00A36467">
              <w:t>Develop or source appropriate training to address high priority gaps.</w:t>
            </w:r>
          </w:p>
        </w:tc>
      </w:tr>
      <w:tr w:rsidR="00C224DC" w:rsidRPr="00AF1581" w14:paraId="52DC945F" w14:textId="77777777" w:rsidTr="00360FAB">
        <w:tc>
          <w:tcPr>
            <w:tcW w:w="719" w:type="pct"/>
            <w:tcBorders>
              <w:top w:val="single" w:sz="4" w:space="0" w:color="BFBFBF" w:themeColor="background1" w:themeShade="BF"/>
              <w:bottom w:val="single" w:sz="4" w:space="0" w:color="BFBFBF" w:themeColor="background1" w:themeShade="BF"/>
            </w:tcBorders>
          </w:tcPr>
          <w:p w14:paraId="6635F225" w14:textId="4228FD32" w:rsidR="00C224DC" w:rsidRPr="00D521C3" w:rsidRDefault="00C224DC" w:rsidP="00C224DC">
            <w:pPr>
              <w:pStyle w:val="BodyCopyNEW"/>
              <w:rPr>
                <w:szCs w:val="18"/>
              </w:rPr>
            </w:pPr>
            <w:r w:rsidRPr="00D521C3">
              <w:rPr>
                <w:szCs w:val="18"/>
              </w:rPr>
              <w:t>Capability and capacity of NOPSEMA</w:t>
            </w:r>
          </w:p>
        </w:tc>
        <w:tc>
          <w:tcPr>
            <w:tcW w:w="287" w:type="pct"/>
            <w:tcBorders>
              <w:top w:val="single" w:sz="4" w:space="0" w:color="BFBFBF" w:themeColor="background1" w:themeShade="BF"/>
              <w:bottom w:val="single" w:sz="4" w:space="0" w:color="BFBFBF" w:themeColor="background1" w:themeShade="BF"/>
            </w:tcBorders>
          </w:tcPr>
          <w:p w14:paraId="2670F820" w14:textId="1F72EDFB" w:rsidR="00C224DC" w:rsidRPr="00392AAF" w:rsidRDefault="00C224DC" w:rsidP="00C224DC">
            <w:pPr>
              <w:pStyle w:val="BodyCopyNEW"/>
              <w:rPr>
                <w:szCs w:val="18"/>
              </w:rPr>
            </w:pPr>
            <w:r>
              <w:rPr>
                <w:szCs w:val="18"/>
              </w:rPr>
              <w:t>9</w:t>
            </w:r>
          </w:p>
        </w:tc>
        <w:tc>
          <w:tcPr>
            <w:tcW w:w="3994" w:type="pct"/>
            <w:tcBorders>
              <w:top w:val="single" w:sz="4" w:space="0" w:color="BFBFBF" w:themeColor="background1" w:themeShade="BF"/>
              <w:bottom w:val="single" w:sz="4" w:space="0" w:color="BFBFBF" w:themeColor="background1" w:themeShade="BF"/>
            </w:tcBorders>
          </w:tcPr>
          <w:p w14:paraId="3E977126" w14:textId="29FB0841" w:rsidR="00C224DC" w:rsidRPr="00392AAF" w:rsidRDefault="00C224DC" w:rsidP="00C224DC">
            <w:pPr>
              <w:pStyle w:val="BodyCopyNEW"/>
              <w:rPr>
                <w:szCs w:val="18"/>
              </w:rPr>
            </w:pPr>
            <w:r w:rsidRPr="00392AAF">
              <w:rPr>
                <w:szCs w:val="18"/>
              </w:rPr>
              <w:t>NOPSEMA is encouraged to</w:t>
            </w:r>
            <w:r>
              <w:rPr>
                <w:szCs w:val="18"/>
              </w:rPr>
              <w:t xml:space="preserve"> further develop stakeholder engagement capabilities at the middle management and inspector level.</w:t>
            </w:r>
          </w:p>
        </w:tc>
      </w:tr>
      <w:tr w:rsidR="00C224DC" w:rsidRPr="00AF1581" w14:paraId="2F021805" w14:textId="77777777" w:rsidTr="00360FAB">
        <w:tc>
          <w:tcPr>
            <w:tcW w:w="719" w:type="pct"/>
            <w:tcBorders>
              <w:top w:val="single" w:sz="4" w:space="0" w:color="BFBFBF" w:themeColor="background1" w:themeShade="BF"/>
              <w:bottom w:val="single" w:sz="4" w:space="0" w:color="BFBFBF" w:themeColor="background1" w:themeShade="BF"/>
            </w:tcBorders>
          </w:tcPr>
          <w:p w14:paraId="30487E55" w14:textId="617E37A1" w:rsidR="00C224DC" w:rsidRPr="00D521C3" w:rsidRDefault="00C224DC" w:rsidP="00C224DC">
            <w:pPr>
              <w:pStyle w:val="BodyCopyNEW"/>
              <w:rPr>
                <w:szCs w:val="18"/>
              </w:rPr>
            </w:pPr>
            <w:r w:rsidRPr="00D521C3">
              <w:rPr>
                <w:szCs w:val="18"/>
              </w:rPr>
              <w:t>Capability and capacity of NOPSEMA</w:t>
            </w:r>
          </w:p>
        </w:tc>
        <w:tc>
          <w:tcPr>
            <w:tcW w:w="287" w:type="pct"/>
            <w:tcBorders>
              <w:top w:val="single" w:sz="4" w:space="0" w:color="BFBFBF" w:themeColor="background1" w:themeShade="BF"/>
              <w:bottom w:val="single" w:sz="4" w:space="0" w:color="BFBFBF" w:themeColor="background1" w:themeShade="BF"/>
            </w:tcBorders>
          </w:tcPr>
          <w:p w14:paraId="620C5320" w14:textId="56001656" w:rsidR="00C224DC" w:rsidRPr="00392AAF" w:rsidRDefault="00C224DC" w:rsidP="00C224DC">
            <w:pPr>
              <w:pStyle w:val="BodyCopyNEW"/>
              <w:rPr>
                <w:szCs w:val="18"/>
              </w:rPr>
            </w:pPr>
            <w:r>
              <w:rPr>
                <w:szCs w:val="18"/>
              </w:rPr>
              <w:t>10</w:t>
            </w:r>
          </w:p>
        </w:tc>
        <w:tc>
          <w:tcPr>
            <w:tcW w:w="3994" w:type="pct"/>
            <w:tcBorders>
              <w:top w:val="single" w:sz="4" w:space="0" w:color="BFBFBF" w:themeColor="background1" w:themeShade="BF"/>
              <w:bottom w:val="single" w:sz="4" w:space="0" w:color="BFBFBF" w:themeColor="background1" w:themeShade="BF"/>
            </w:tcBorders>
          </w:tcPr>
          <w:p w14:paraId="6823585F" w14:textId="6ADAAC2E" w:rsidR="00C224DC" w:rsidRPr="00392AAF" w:rsidRDefault="00C224DC" w:rsidP="00C224DC">
            <w:pPr>
              <w:pStyle w:val="BodyCopyNEW"/>
              <w:rPr>
                <w:szCs w:val="18"/>
              </w:rPr>
            </w:pPr>
            <w:r w:rsidRPr="00392AAF">
              <w:rPr>
                <w:szCs w:val="18"/>
              </w:rPr>
              <w:t>NOPSEMA</w:t>
            </w:r>
            <w:r w:rsidRPr="00FB420B">
              <w:rPr>
                <w:szCs w:val="18"/>
              </w:rPr>
              <w:t xml:space="preserve"> is encouraged to develop a talent strategy that outlines the required approach to “buy, build and borrow” the capability required for the future.</w:t>
            </w:r>
          </w:p>
        </w:tc>
      </w:tr>
      <w:tr w:rsidR="00C224DC" w:rsidRPr="00AF1581" w14:paraId="03921ABA" w14:textId="77777777" w:rsidTr="00360FAB">
        <w:tc>
          <w:tcPr>
            <w:tcW w:w="719" w:type="pct"/>
            <w:tcBorders>
              <w:top w:val="single" w:sz="4" w:space="0" w:color="BFBFBF" w:themeColor="background1" w:themeShade="BF"/>
              <w:bottom w:val="single" w:sz="4" w:space="0" w:color="BFBFBF" w:themeColor="background1" w:themeShade="BF"/>
            </w:tcBorders>
          </w:tcPr>
          <w:p w14:paraId="7AF4245A" w14:textId="5852EAAF" w:rsidR="00C224DC" w:rsidRPr="00D521C3" w:rsidRDefault="00C224DC" w:rsidP="00C224DC">
            <w:pPr>
              <w:pStyle w:val="BodyCopyNEW"/>
              <w:rPr>
                <w:rFonts w:cs="OpenSansRegular"/>
                <w:szCs w:val="18"/>
              </w:rPr>
            </w:pPr>
            <w:r w:rsidRPr="00D521C3">
              <w:rPr>
                <w:szCs w:val="18"/>
              </w:rPr>
              <w:t>Capability and capacity of NOPSEMA</w:t>
            </w:r>
          </w:p>
        </w:tc>
        <w:tc>
          <w:tcPr>
            <w:tcW w:w="287" w:type="pct"/>
            <w:tcBorders>
              <w:top w:val="single" w:sz="4" w:space="0" w:color="BFBFBF" w:themeColor="background1" w:themeShade="BF"/>
              <w:bottom w:val="single" w:sz="4" w:space="0" w:color="BFBFBF" w:themeColor="background1" w:themeShade="BF"/>
            </w:tcBorders>
          </w:tcPr>
          <w:p w14:paraId="695F180B" w14:textId="45E3A502" w:rsidR="00C224DC" w:rsidRPr="00392AAF" w:rsidRDefault="00C224DC" w:rsidP="00C224DC">
            <w:pPr>
              <w:pStyle w:val="BodyCopyNEW"/>
              <w:rPr>
                <w:szCs w:val="18"/>
              </w:rPr>
            </w:pPr>
            <w:r>
              <w:rPr>
                <w:rFonts w:cs="OpenSansRegular"/>
                <w:szCs w:val="18"/>
              </w:rPr>
              <w:t>11</w:t>
            </w:r>
          </w:p>
        </w:tc>
        <w:tc>
          <w:tcPr>
            <w:tcW w:w="3994" w:type="pct"/>
            <w:tcBorders>
              <w:top w:val="single" w:sz="4" w:space="0" w:color="BFBFBF" w:themeColor="background1" w:themeShade="BF"/>
              <w:bottom w:val="single" w:sz="4" w:space="0" w:color="BFBFBF" w:themeColor="background1" w:themeShade="BF"/>
            </w:tcBorders>
          </w:tcPr>
          <w:p w14:paraId="03237D7F" w14:textId="546CB4C0" w:rsidR="00C224DC" w:rsidRPr="00611BAA" w:rsidRDefault="00C224DC" w:rsidP="00C224DC">
            <w:pPr>
              <w:pStyle w:val="BodyCopyNEW"/>
              <w:rPr>
                <w:rFonts w:eastAsia="Verdana" w:cs="Times New Roman"/>
                <w:szCs w:val="18"/>
              </w:rPr>
            </w:pPr>
            <w:r w:rsidRPr="00392AAF">
              <w:rPr>
                <w:szCs w:val="18"/>
              </w:rPr>
              <w:t xml:space="preserve">NOPSEMA is encouraged to ensure performance management outcomes are </w:t>
            </w:r>
            <w:r w:rsidRPr="00FB420B">
              <w:rPr>
                <w:szCs w:val="18"/>
              </w:rPr>
              <w:t xml:space="preserve">more </w:t>
            </w:r>
            <w:r w:rsidRPr="00911F0E">
              <w:rPr>
                <w:szCs w:val="18"/>
              </w:rPr>
              <w:t>explicitly linked to personnel learning and development plans</w:t>
            </w:r>
            <w:r w:rsidRPr="00096BC3">
              <w:rPr>
                <w:szCs w:val="18"/>
              </w:rPr>
              <w:t>.</w:t>
            </w:r>
          </w:p>
        </w:tc>
      </w:tr>
      <w:tr w:rsidR="00C224DC" w:rsidRPr="00AF1581" w14:paraId="161F436F" w14:textId="77777777" w:rsidTr="00360FAB">
        <w:tc>
          <w:tcPr>
            <w:tcW w:w="719" w:type="pct"/>
            <w:tcBorders>
              <w:top w:val="single" w:sz="4" w:space="0" w:color="BFBFBF" w:themeColor="background1" w:themeShade="BF"/>
              <w:bottom w:val="single" w:sz="4" w:space="0" w:color="BFBFBF" w:themeColor="background1" w:themeShade="BF"/>
            </w:tcBorders>
          </w:tcPr>
          <w:p w14:paraId="50321C61" w14:textId="531EE2AF" w:rsidR="00C224DC" w:rsidRPr="00D521C3" w:rsidRDefault="00C224DC" w:rsidP="00C224DC">
            <w:pPr>
              <w:pStyle w:val="BodyCopyNEW"/>
              <w:rPr>
                <w:szCs w:val="18"/>
              </w:rPr>
            </w:pPr>
            <w:r w:rsidRPr="00D521C3">
              <w:rPr>
                <w:szCs w:val="18"/>
              </w:rPr>
              <w:t>Capability and capacity of NOPSEMA</w:t>
            </w:r>
          </w:p>
        </w:tc>
        <w:tc>
          <w:tcPr>
            <w:tcW w:w="287" w:type="pct"/>
            <w:tcBorders>
              <w:top w:val="single" w:sz="4" w:space="0" w:color="BFBFBF" w:themeColor="background1" w:themeShade="BF"/>
              <w:bottom w:val="single" w:sz="4" w:space="0" w:color="BFBFBF" w:themeColor="background1" w:themeShade="BF"/>
            </w:tcBorders>
          </w:tcPr>
          <w:p w14:paraId="593DB82C" w14:textId="6D9C6D09" w:rsidR="00C224DC" w:rsidRPr="00392AAF" w:rsidRDefault="00C224DC" w:rsidP="00C224DC">
            <w:pPr>
              <w:pStyle w:val="BodyCopyNEW"/>
              <w:rPr>
                <w:rFonts w:cs="OpenSansRegular"/>
                <w:szCs w:val="18"/>
              </w:rPr>
            </w:pPr>
            <w:r>
              <w:rPr>
                <w:szCs w:val="18"/>
              </w:rPr>
              <w:t>12</w:t>
            </w:r>
          </w:p>
        </w:tc>
        <w:tc>
          <w:tcPr>
            <w:tcW w:w="3994" w:type="pct"/>
            <w:tcBorders>
              <w:top w:val="single" w:sz="4" w:space="0" w:color="BFBFBF" w:themeColor="background1" w:themeShade="BF"/>
              <w:bottom w:val="single" w:sz="4" w:space="0" w:color="BFBFBF" w:themeColor="background1" w:themeShade="BF"/>
            </w:tcBorders>
          </w:tcPr>
          <w:p w14:paraId="6205DDEA" w14:textId="2DACCCE8" w:rsidR="00C224DC" w:rsidRPr="00777C5D" w:rsidRDefault="00C224DC" w:rsidP="00C224DC">
            <w:pPr>
              <w:pStyle w:val="BodyCopyNEW"/>
              <w:rPr>
                <w:szCs w:val="18"/>
              </w:rPr>
            </w:pPr>
            <w:r w:rsidRPr="00392AAF">
              <w:rPr>
                <w:rFonts w:cs="OpenSansRegular"/>
                <w:szCs w:val="18"/>
              </w:rPr>
              <w:t xml:space="preserve">NOPSEMA is </w:t>
            </w:r>
            <w:r w:rsidRPr="00FB420B">
              <w:rPr>
                <w:rFonts w:cs="OpenSansRegular"/>
                <w:szCs w:val="18"/>
              </w:rPr>
              <w:t>encouraged to continue b</w:t>
            </w:r>
            <w:r w:rsidRPr="00911F0E">
              <w:rPr>
                <w:szCs w:val="18"/>
              </w:rPr>
              <w:t xml:space="preserve">uilding capability in its leaders for managing underperformance through targeted leadership development training. </w:t>
            </w:r>
            <w:r w:rsidRPr="004602AD">
              <w:rPr>
                <w:szCs w:val="18"/>
              </w:rPr>
              <w:t>This training should seek to build familiarity and confidence with leading practice techniques for managing underperfo</w:t>
            </w:r>
            <w:r w:rsidRPr="00C81CBA">
              <w:rPr>
                <w:szCs w:val="18"/>
              </w:rPr>
              <w:t>rmance in line with APS guidelines.</w:t>
            </w:r>
            <w:r w:rsidRPr="00953CA5">
              <w:rPr>
                <w:szCs w:val="18"/>
              </w:rPr>
              <w:t xml:space="preserve"> Consideration should be given to building a culture where leaders and followers feel safe to</w:t>
            </w:r>
            <w:r w:rsidRPr="00171DEA">
              <w:rPr>
                <w:szCs w:val="18"/>
              </w:rPr>
              <w:t xml:space="preserve"> provide open and constructive feedback to one another.</w:t>
            </w:r>
          </w:p>
        </w:tc>
      </w:tr>
      <w:tr w:rsidR="00C224DC" w:rsidRPr="00AF1581" w14:paraId="5BCE8A2E" w14:textId="77777777" w:rsidTr="00360FAB">
        <w:tc>
          <w:tcPr>
            <w:tcW w:w="719" w:type="pct"/>
            <w:tcBorders>
              <w:top w:val="single" w:sz="4" w:space="0" w:color="BFBFBF" w:themeColor="background1" w:themeShade="BF"/>
              <w:bottom w:val="single" w:sz="4" w:space="0" w:color="BFBFBF" w:themeColor="background1" w:themeShade="BF"/>
            </w:tcBorders>
          </w:tcPr>
          <w:p w14:paraId="6F0A24F4" w14:textId="77777777" w:rsidR="00C224DC" w:rsidRPr="00D521C3" w:rsidRDefault="00C224DC" w:rsidP="00C224DC">
            <w:pPr>
              <w:pStyle w:val="BodyCopyNEW"/>
              <w:rPr>
                <w:rFonts w:cs="OpenSansRegular"/>
                <w:szCs w:val="18"/>
              </w:rPr>
            </w:pPr>
            <w:r w:rsidRPr="00D521C3">
              <w:rPr>
                <w:szCs w:val="18"/>
              </w:rPr>
              <w:lastRenderedPageBreak/>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60A5DB69" w14:textId="6E323095" w:rsidR="00C224DC" w:rsidRPr="00392AAF" w:rsidRDefault="00C224DC" w:rsidP="00C224DC">
            <w:pPr>
              <w:pStyle w:val="BodyCopyNEW"/>
              <w:rPr>
                <w:szCs w:val="18"/>
              </w:rPr>
            </w:pPr>
            <w:r>
              <w:rPr>
                <w:szCs w:val="18"/>
              </w:rPr>
              <w:t>13</w:t>
            </w:r>
          </w:p>
        </w:tc>
        <w:tc>
          <w:tcPr>
            <w:tcW w:w="3994" w:type="pct"/>
            <w:tcBorders>
              <w:top w:val="single" w:sz="4" w:space="0" w:color="BFBFBF" w:themeColor="background1" w:themeShade="BF"/>
              <w:bottom w:val="single" w:sz="4" w:space="0" w:color="BFBFBF" w:themeColor="background1" w:themeShade="BF"/>
            </w:tcBorders>
          </w:tcPr>
          <w:p w14:paraId="73388EE3" w14:textId="13517CC8" w:rsidR="00C224DC" w:rsidRPr="00C81CBA" w:rsidRDefault="00C224DC" w:rsidP="00C224DC">
            <w:pPr>
              <w:pStyle w:val="BodyCopyNEW"/>
              <w:rPr>
                <w:szCs w:val="18"/>
              </w:rPr>
            </w:pPr>
            <w:r w:rsidRPr="00392AAF">
              <w:rPr>
                <w:szCs w:val="18"/>
              </w:rPr>
              <w:t xml:space="preserve">NOPSEMA is encouraged to conduct </w:t>
            </w:r>
            <w:r>
              <w:rPr>
                <w:szCs w:val="18"/>
              </w:rPr>
              <w:t>an evaluation of and develop</w:t>
            </w:r>
            <w:r w:rsidRPr="00392AAF">
              <w:rPr>
                <w:szCs w:val="18"/>
              </w:rPr>
              <w:t xml:space="preserve"> a business case for implementing an appropriately scaled </w:t>
            </w:r>
            <w:r w:rsidRPr="00FB420B">
              <w:rPr>
                <w:szCs w:val="18"/>
              </w:rPr>
              <w:t>Customer Relationship Management (</w:t>
            </w:r>
            <w:r w:rsidRPr="00911F0E">
              <w:rPr>
                <w:b/>
                <w:szCs w:val="18"/>
              </w:rPr>
              <w:t>CRM</w:t>
            </w:r>
            <w:r w:rsidRPr="004602AD">
              <w:rPr>
                <w:szCs w:val="18"/>
              </w:rPr>
              <w:t>) tool to support its growing stakeholder engagement requirements.</w:t>
            </w:r>
          </w:p>
        </w:tc>
      </w:tr>
      <w:tr w:rsidR="00C224DC" w:rsidRPr="00C537C2" w14:paraId="6EDE9CB4" w14:textId="77777777" w:rsidTr="00360FAB">
        <w:trPr>
          <w:trHeight w:val="25"/>
        </w:trPr>
        <w:tc>
          <w:tcPr>
            <w:tcW w:w="719" w:type="pct"/>
            <w:tcBorders>
              <w:top w:val="single" w:sz="4" w:space="0" w:color="BFBFBF" w:themeColor="background1" w:themeShade="BF"/>
              <w:bottom w:val="single" w:sz="4" w:space="0" w:color="BFBFBF" w:themeColor="background1" w:themeShade="BF"/>
            </w:tcBorders>
          </w:tcPr>
          <w:p w14:paraId="69C2D739" w14:textId="212E9DD3" w:rsidR="00C224DC" w:rsidRPr="00D521C3" w:rsidRDefault="00C224DC" w:rsidP="00C224DC">
            <w:pPr>
              <w:pStyle w:val="BodyCopyNEW"/>
              <w:rPr>
                <w:rFonts w:cs="OpenSansRegular"/>
                <w:szCs w:val="18"/>
              </w:rPr>
            </w:pPr>
            <w:r w:rsidRPr="00D521C3">
              <w:rPr>
                <w:szCs w:val="18"/>
              </w:rPr>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1F3EA354" w14:textId="17672C41" w:rsidR="00C224DC" w:rsidRPr="00392AAF" w:rsidRDefault="00C224DC" w:rsidP="00C224DC">
            <w:pPr>
              <w:pStyle w:val="BodyCopyNEW"/>
              <w:rPr>
                <w:szCs w:val="18"/>
              </w:rPr>
            </w:pPr>
            <w:r>
              <w:rPr>
                <w:szCs w:val="18"/>
              </w:rPr>
              <w:t>14</w:t>
            </w:r>
          </w:p>
        </w:tc>
        <w:tc>
          <w:tcPr>
            <w:tcW w:w="3994" w:type="pct"/>
            <w:tcBorders>
              <w:top w:val="single" w:sz="4" w:space="0" w:color="BFBFBF" w:themeColor="background1" w:themeShade="BF"/>
              <w:bottom w:val="single" w:sz="4" w:space="0" w:color="BFBFBF" w:themeColor="background1" w:themeShade="BF"/>
            </w:tcBorders>
          </w:tcPr>
          <w:p w14:paraId="72C79CFD" w14:textId="083D14D6" w:rsidR="00C224DC" w:rsidRPr="00C537C2" w:rsidRDefault="00C224DC" w:rsidP="00C224DC">
            <w:pPr>
              <w:pStyle w:val="BodyCopyNEW"/>
              <w:rPr>
                <w:szCs w:val="18"/>
              </w:rPr>
            </w:pPr>
            <w:r w:rsidRPr="00C537C2">
              <w:rPr>
                <w:szCs w:val="18"/>
              </w:rPr>
              <w:t>NOPSEMA is encouraged to identify, with broad industry input, any potential gaps in engagement with non-operator Health and Safety Representatives (</w:t>
            </w:r>
            <w:r w:rsidRPr="00C537C2">
              <w:rPr>
                <w:b/>
                <w:szCs w:val="18"/>
              </w:rPr>
              <w:t>HSRs</w:t>
            </w:r>
            <w:r w:rsidRPr="00C537C2">
              <w:rPr>
                <w:szCs w:val="18"/>
              </w:rPr>
              <w:t>).</w:t>
            </w:r>
          </w:p>
        </w:tc>
      </w:tr>
      <w:tr w:rsidR="00C224DC" w:rsidRPr="00AF1581" w14:paraId="058EB341" w14:textId="77777777" w:rsidTr="00360FAB">
        <w:tc>
          <w:tcPr>
            <w:tcW w:w="719" w:type="pct"/>
            <w:tcBorders>
              <w:top w:val="single" w:sz="4" w:space="0" w:color="BFBFBF" w:themeColor="background1" w:themeShade="BF"/>
              <w:bottom w:val="single" w:sz="4" w:space="0" w:color="BFBFBF" w:themeColor="background1" w:themeShade="BF"/>
            </w:tcBorders>
          </w:tcPr>
          <w:p w14:paraId="3BE3E75C" w14:textId="05EE7EF8" w:rsidR="00C224DC" w:rsidRPr="00D521C3" w:rsidRDefault="00C224DC" w:rsidP="00C224DC">
            <w:pPr>
              <w:pStyle w:val="BodyCopyNEW"/>
              <w:rPr>
                <w:rFonts w:cs="OpenSansRegular"/>
                <w:szCs w:val="18"/>
              </w:rPr>
            </w:pPr>
            <w:r w:rsidRPr="00D521C3">
              <w:rPr>
                <w:szCs w:val="18"/>
              </w:rPr>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42D5620E" w14:textId="26BCFA0E" w:rsidR="00C224DC" w:rsidRPr="00392AAF" w:rsidRDefault="00C224DC" w:rsidP="00C224DC">
            <w:pPr>
              <w:pStyle w:val="BodyCopyNEW"/>
              <w:rPr>
                <w:szCs w:val="18"/>
              </w:rPr>
            </w:pPr>
            <w:r>
              <w:rPr>
                <w:szCs w:val="18"/>
              </w:rPr>
              <w:t>15</w:t>
            </w:r>
          </w:p>
        </w:tc>
        <w:tc>
          <w:tcPr>
            <w:tcW w:w="3994" w:type="pct"/>
            <w:tcBorders>
              <w:top w:val="single" w:sz="4" w:space="0" w:color="BFBFBF" w:themeColor="background1" w:themeShade="BF"/>
              <w:bottom w:val="single" w:sz="4" w:space="0" w:color="BFBFBF" w:themeColor="background1" w:themeShade="BF"/>
            </w:tcBorders>
          </w:tcPr>
          <w:p w14:paraId="312F7B01" w14:textId="7A3AF4FC" w:rsidR="00C224DC" w:rsidRPr="00096BC3" w:rsidRDefault="00C224DC" w:rsidP="00C224DC">
            <w:pPr>
              <w:pStyle w:val="BodyCopyNEW"/>
              <w:rPr>
                <w:szCs w:val="18"/>
              </w:rPr>
            </w:pPr>
            <w:r w:rsidRPr="00392AAF">
              <w:rPr>
                <w:szCs w:val="18"/>
              </w:rPr>
              <w:t>NOPSEMA, in collaboration with industry and unions, is encouraged to</w:t>
            </w:r>
            <w:r w:rsidRPr="00FB420B" w:rsidDel="00502ABD">
              <w:rPr>
                <w:szCs w:val="18"/>
              </w:rPr>
              <w:t xml:space="preserve"> </w:t>
            </w:r>
            <w:r w:rsidRPr="00911F0E">
              <w:rPr>
                <w:szCs w:val="18"/>
              </w:rPr>
              <w:t xml:space="preserve">establish </w:t>
            </w:r>
            <w:r w:rsidRPr="004602AD">
              <w:rPr>
                <w:szCs w:val="18"/>
              </w:rPr>
              <w:t>tripartite forum(s)</w:t>
            </w:r>
            <w:r w:rsidRPr="00C81CBA">
              <w:rPr>
                <w:szCs w:val="18"/>
              </w:rPr>
              <w:t xml:space="preserve"> (beyond its current applications)</w:t>
            </w:r>
            <w:r w:rsidRPr="00953CA5">
              <w:rPr>
                <w:szCs w:val="18"/>
              </w:rPr>
              <w:t xml:space="preserve"> to facilitate proactive engagement on health and safety matters. This could consider </w:t>
            </w:r>
            <w:r w:rsidRPr="00171DEA">
              <w:rPr>
                <w:szCs w:val="18"/>
              </w:rPr>
              <w:t xml:space="preserve">the </w:t>
            </w:r>
            <w:r w:rsidRPr="00777C5D">
              <w:rPr>
                <w:szCs w:val="18"/>
              </w:rPr>
              <w:t>establish</w:t>
            </w:r>
            <w:r w:rsidRPr="006C6606">
              <w:rPr>
                <w:szCs w:val="18"/>
              </w:rPr>
              <w:t>ment of</w:t>
            </w:r>
            <w:r w:rsidRPr="007F74D3">
              <w:rPr>
                <w:szCs w:val="18"/>
              </w:rPr>
              <w:t xml:space="preserve"> a mutually agreed set of engagement principles and a clear terms of reference for the forum(s).</w:t>
            </w:r>
          </w:p>
        </w:tc>
      </w:tr>
      <w:tr w:rsidR="00C224DC" w:rsidRPr="00AF1581" w14:paraId="084A7C6A" w14:textId="77777777" w:rsidTr="00360FAB">
        <w:tc>
          <w:tcPr>
            <w:tcW w:w="719" w:type="pct"/>
            <w:tcBorders>
              <w:top w:val="single" w:sz="4" w:space="0" w:color="BFBFBF" w:themeColor="background1" w:themeShade="BF"/>
              <w:bottom w:val="single" w:sz="4" w:space="0" w:color="BFBFBF" w:themeColor="background1" w:themeShade="BF"/>
            </w:tcBorders>
          </w:tcPr>
          <w:p w14:paraId="5A08752B" w14:textId="7B54DD88" w:rsidR="00C224DC" w:rsidRPr="00D521C3" w:rsidRDefault="00C224DC" w:rsidP="00C224DC">
            <w:pPr>
              <w:pStyle w:val="BodyCopyNEW"/>
              <w:rPr>
                <w:rFonts w:cs="OpenSansRegular"/>
                <w:szCs w:val="18"/>
              </w:rPr>
            </w:pPr>
            <w:r w:rsidRPr="00D521C3">
              <w:rPr>
                <w:szCs w:val="18"/>
              </w:rPr>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70D8A29B" w14:textId="19B96996" w:rsidR="00C224DC" w:rsidRPr="00392AAF" w:rsidRDefault="00C224DC" w:rsidP="00C224DC">
            <w:pPr>
              <w:pStyle w:val="BodyCopyNEW"/>
              <w:rPr>
                <w:szCs w:val="18"/>
              </w:rPr>
            </w:pPr>
            <w:r>
              <w:rPr>
                <w:szCs w:val="18"/>
              </w:rPr>
              <w:t>16</w:t>
            </w:r>
          </w:p>
        </w:tc>
        <w:tc>
          <w:tcPr>
            <w:tcW w:w="3994" w:type="pct"/>
            <w:tcBorders>
              <w:top w:val="single" w:sz="4" w:space="0" w:color="BFBFBF" w:themeColor="background1" w:themeShade="BF"/>
              <w:bottom w:val="single" w:sz="4" w:space="0" w:color="BFBFBF" w:themeColor="background1" w:themeShade="BF"/>
            </w:tcBorders>
          </w:tcPr>
          <w:p w14:paraId="1183CC8A" w14:textId="5444DCD4" w:rsidR="00C224DC" w:rsidRPr="00A32AAE" w:rsidRDefault="00C224DC" w:rsidP="00C224DC">
            <w:pPr>
              <w:pStyle w:val="BodyCopyNEW"/>
              <w:rPr>
                <w:szCs w:val="18"/>
              </w:rPr>
            </w:pPr>
            <w:r w:rsidRPr="00392AAF">
              <w:rPr>
                <w:szCs w:val="18"/>
              </w:rPr>
              <w:t>NOPSEMA</w:t>
            </w:r>
            <w:r>
              <w:rPr>
                <w:szCs w:val="18"/>
              </w:rPr>
              <w:t>, in collaboration with DISER,</w:t>
            </w:r>
            <w:r w:rsidRPr="00392AAF">
              <w:rPr>
                <w:szCs w:val="18"/>
              </w:rPr>
              <w:t xml:space="preserve"> </w:t>
            </w:r>
            <w:r w:rsidRPr="00096BC3">
              <w:rPr>
                <w:szCs w:val="18"/>
              </w:rPr>
              <w:t xml:space="preserve">is encouraged to explore mechanisms for reducing engagement burden on adjacent industry stakeholders where there are identified overlaps in permissioning documents covering a single geography. </w:t>
            </w:r>
          </w:p>
        </w:tc>
      </w:tr>
      <w:tr w:rsidR="00C224DC" w:rsidRPr="00AF1581" w14:paraId="183DD427" w14:textId="77777777" w:rsidTr="00360FAB">
        <w:tc>
          <w:tcPr>
            <w:tcW w:w="719" w:type="pct"/>
            <w:tcBorders>
              <w:top w:val="single" w:sz="4" w:space="0" w:color="BFBFBF" w:themeColor="background1" w:themeShade="BF"/>
              <w:bottom w:val="single" w:sz="4" w:space="0" w:color="BFBFBF" w:themeColor="background1" w:themeShade="BF"/>
            </w:tcBorders>
          </w:tcPr>
          <w:p w14:paraId="0104B01F" w14:textId="45CBB695" w:rsidR="00C224DC" w:rsidRPr="00D521C3" w:rsidRDefault="00C224DC" w:rsidP="00C224DC">
            <w:pPr>
              <w:pStyle w:val="BodyCopyNEW"/>
              <w:rPr>
                <w:szCs w:val="18"/>
              </w:rPr>
            </w:pPr>
            <w:r w:rsidRPr="00D521C3">
              <w:rPr>
                <w:szCs w:val="18"/>
              </w:rPr>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554CE25A" w14:textId="1E212A5A" w:rsidR="00C224DC" w:rsidRPr="00911F0E" w:rsidRDefault="00C224DC" w:rsidP="00C224DC">
            <w:pPr>
              <w:pStyle w:val="BodyCopyNEW"/>
              <w:rPr>
                <w:szCs w:val="18"/>
              </w:rPr>
            </w:pPr>
            <w:r>
              <w:rPr>
                <w:szCs w:val="18"/>
              </w:rPr>
              <w:t>17</w:t>
            </w:r>
          </w:p>
        </w:tc>
        <w:tc>
          <w:tcPr>
            <w:tcW w:w="3994" w:type="pct"/>
            <w:tcBorders>
              <w:top w:val="single" w:sz="4" w:space="0" w:color="BFBFBF" w:themeColor="background1" w:themeShade="BF"/>
              <w:bottom w:val="single" w:sz="4" w:space="0" w:color="BFBFBF" w:themeColor="background1" w:themeShade="BF"/>
            </w:tcBorders>
          </w:tcPr>
          <w:p w14:paraId="2BE556C0" w14:textId="2E03C5E6" w:rsidR="00C224DC" w:rsidRPr="006C6606" w:rsidRDefault="00C224DC" w:rsidP="00C224DC">
            <w:pPr>
              <w:pStyle w:val="BodyCopyNEW"/>
              <w:rPr>
                <w:szCs w:val="18"/>
              </w:rPr>
            </w:pPr>
            <w:r w:rsidRPr="00911F0E">
              <w:rPr>
                <w:szCs w:val="18"/>
              </w:rPr>
              <w:t>The Australian Government is</w:t>
            </w:r>
            <w:r w:rsidRPr="004602AD">
              <w:rPr>
                <w:szCs w:val="18"/>
              </w:rPr>
              <w:t xml:space="preserve"> encouraged to identify opportunities for</w:t>
            </w:r>
            <w:r w:rsidRPr="00C81CBA">
              <w:rPr>
                <w:szCs w:val="18"/>
              </w:rPr>
              <w:t xml:space="preserve"> NOPSEMA </w:t>
            </w:r>
            <w:r w:rsidRPr="00953CA5">
              <w:rPr>
                <w:szCs w:val="18"/>
              </w:rPr>
              <w:t xml:space="preserve">and </w:t>
            </w:r>
            <w:r w:rsidRPr="007C01EF">
              <w:rPr>
                <w:szCs w:val="18"/>
              </w:rPr>
              <w:t xml:space="preserve">Australian Maritime Safety Authority </w:t>
            </w:r>
            <w:r>
              <w:rPr>
                <w:szCs w:val="18"/>
              </w:rPr>
              <w:t>(</w:t>
            </w:r>
            <w:r w:rsidRPr="007C01EF">
              <w:rPr>
                <w:b/>
                <w:bCs/>
                <w:szCs w:val="18"/>
              </w:rPr>
              <w:t>AMSA</w:t>
            </w:r>
            <w:r>
              <w:rPr>
                <w:szCs w:val="18"/>
              </w:rPr>
              <w:t>)</w:t>
            </w:r>
            <w:r w:rsidRPr="00953CA5">
              <w:rPr>
                <w:szCs w:val="18"/>
              </w:rPr>
              <w:t xml:space="preserve"> in</w:t>
            </w:r>
            <w:r w:rsidRPr="00171DEA">
              <w:rPr>
                <w:szCs w:val="18"/>
              </w:rPr>
              <w:t xml:space="preserve"> building and delivering joint guidance, briefings, or information packages for industry on issues of strateg</w:t>
            </w:r>
            <w:r w:rsidRPr="00777C5D">
              <w:rPr>
                <w:szCs w:val="18"/>
              </w:rPr>
              <w:t>ic importance or regulatory overlap, such as decommissioning.</w:t>
            </w:r>
          </w:p>
        </w:tc>
      </w:tr>
      <w:tr w:rsidR="00C224DC" w:rsidRPr="00AF1581" w14:paraId="6BBA3ECF" w14:textId="77777777" w:rsidTr="00360FAB">
        <w:tc>
          <w:tcPr>
            <w:tcW w:w="719" w:type="pct"/>
            <w:tcBorders>
              <w:top w:val="single" w:sz="4" w:space="0" w:color="BFBFBF" w:themeColor="background1" w:themeShade="BF"/>
              <w:bottom w:val="single" w:sz="4" w:space="0" w:color="BFBFBF" w:themeColor="background1" w:themeShade="BF"/>
            </w:tcBorders>
          </w:tcPr>
          <w:p w14:paraId="2E5E70C4" w14:textId="0F4CB45B" w:rsidR="00C224DC" w:rsidRPr="00D521C3" w:rsidRDefault="00C224DC" w:rsidP="00C224DC">
            <w:pPr>
              <w:pStyle w:val="BodyCopyNEW"/>
              <w:rPr>
                <w:rFonts w:cs="OpenSansRegular"/>
                <w:szCs w:val="18"/>
              </w:rPr>
            </w:pPr>
            <w:r w:rsidRPr="00D521C3">
              <w:rPr>
                <w:szCs w:val="18"/>
              </w:rPr>
              <w:t>Effectiveness of NOPSEMA’s engagement with external parties</w:t>
            </w:r>
          </w:p>
        </w:tc>
        <w:tc>
          <w:tcPr>
            <w:tcW w:w="287" w:type="pct"/>
            <w:tcBorders>
              <w:top w:val="single" w:sz="4" w:space="0" w:color="BFBFBF" w:themeColor="background1" w:themeShade="BF"/>
              <w:bottom w:val="single" w:sz="4" w:space="0" w:color="BFBFBF" w:themeColor="background1" w:themeShade="BF"/>
            </w:tcBorders>
          </w:tcPr>
          <w:p w14:paraId="4B14361E" w14:textId="5204C52C" w:rsidR="00C224DC" w:rsidRPr="00392AAF" w:rsidRDefault="00C224DC" w:rsidP="00C224DC">
            <w:pPr>
              <w:pStyle w:val="BodyCopyNEW"/>
              <w:rPr>
                <w:szCs w:val="18"/>
              </w:rPr>
            </w:pPr>
            <w:r>
              <w:rPr>
                <w:szCs w:val="18"/>
              </w:rPr>
              <w:t>18</w:t>
            </w:r>
          </w:p>
        </w:tc>
        <w:tc>
          <w:tcPr>
            <w:tcW w:w="3994" w:type="pct"/>
            <w:tcBorders>
              <w:top w:val="single" w:sz="4" w:space="0" w:color="BFBFBF" w:themeColor="background1" w:themeShade="BF"/>
              <w:bottom w:val="single" w:sz="4" w:space="0" w:color="BFBFBF" w:themeColor="background1" w:themeShade="BF"/>
            </w:tcBorders>
          </w:tcPr>
          <w:p w14:paraId="7818D542" w14:textId="2D4F0233" w:rsidR="00C224DC" w:rsidRPr="00C81CBA" w:rsidRDefault="00C224DC" w:rsidP="00C224DC">
            <w:pPr>
              <w:pStyle w:val="BodyCopyNEW"/>
              <w:rPr>
                <w:szCs w:val="18"/>
              </w:rPr>
            </w:pPr>
            <w:r w:rsidRPr="00392AAF">
              <w:rPr>
                <w:szCs w:val="18"/>
              </w:rPr>
              <w:t xml:space="preserve">NOPTA and NOPSEMA are encouraged to identify </w:t>
            </w:r>
            <w:r w:rsidRPr="00FB420B">
              <w:rPr>
                <w:szCs w:val="18"/>
              </w:rPr>
              <w:t xml:space="preserve">further </w:t>
            </w:r>
            <w:r w:rsidRPr="00911F0E">
              <w:rPr>
                <w:szCs w:val="18"/>
              </w:rPr>
              <w:t xml:space="preserve">opportunities for building and delivering joint guidance, </w:t>
            </w:r>
            <w:r w:rsidRPr="004602AD">
              <w:rPr>
                <w:szCs w:val="18"/>
              </w:rPr>
              <w:t>briefings, or information packages for industry on issues of strategic importance or regulatory overlap, such as decommissioning.</w:t>
            </w:r>
          </w:p>
        </w:tc>
      </w:tr>
      <w:tr w:rsidR="00C224DC" w:rsidRPr="00AF1581" w14:paraId="5DED012F" w14:textId="77777777" w:rsidTr="00360FAB">
        <w:tc>
          <w:tcPr>
            <w:tcW w:w="719" w:type="pct"/>
            <w:tcBorders>
              <w:top w:val="single" w:sz="4" w:space="0" w:color="BFBFBF" w:themeColor="background1" w:themeShade="BF"/>
              <w:bottom w:val="single" w:sz="4" w:space="0" w:color="BFBFBF" w:themeColor="background1" w:themeShade="BF"/>
            </w:tcBorders>
          </w:tcPr>
          <w:p w14:paraId="33B00B7C" w14:textId="2A2368FA" w:rsidR="00C224DC" w:rsidRPr="00D521C3" w:rsidRDefault="00C224DC" w:rsidP="00C224DC">
            <w:pPr>
              <w:pStyle w:val="BodyCopyNEW"/>
              <w:rPr>
                <w:szCs w:val="18"/>
              </w:rPr>
            </w:pPr>
            <w:r w:rsidRPr="00D521C3">
              <w:rPr>
                <w:szCs w:val="18"/>
              </w:rPr>
              <w:t>Efficient, reducing regulatory burden and recovering costs fairly and equitably</w:t>
            </w:r>
          </w:p>
        </w:tc>
        <w:tc>
          <w:tcPr>
            <w:tcW w:w="287" w:type="pct"/>
            <w:tcBorders>
              <w:top w:val="single" w:sz="4" w:space="0" w:color="BFBFBF" w:themeColor="background1" w:themeShade="BF"/>
              <w:bottom w:val="single" w:sz="4" w:space="0" w:color="BFBFBF" w:themeColor="background1" w:themeShade="BF"/>
            </w:tcBorders>
          </w:tcPr>
          <w:p w14:paraId="526AE85F" w14:textId="39F8ACE9" w:rsidR="00C224DC" w:rsidRPr="00392AAF" w:rsidRDefault="00C224DC" w:rsidP="00C224DC">
            <w:pPr>
              <w:pStyle w:val="BodyCopyNEW"/>
              <w:rPr>
                <w:szCs w:val="18"/>
              </w:rPr>
            </w:pPr>
            <w:r>
              <w:rPr>
                <w:szCs w:val="18"/>
              </w:rPr>
              <w:t>19</w:t>
            </w:r>
          </w:p>
        </w:tc>
        <w:tc>
          <w:tcPr>
            <w:tcW w:w="3994" w:type="pct"/>
            <w:tcBorders>
              <w:top w:val="single" w:sz="4" w:space="0" w:color="BFBFBF" w:themeColor="background1" w:themeShade="BF"/>
              <w:bottom w:val="single" w:sz="4" w:space="0" w:color="BFBFBF" w:themeColor="background1" w:themeShade="BF"/>
            </w:tcBorders>
          </w:tcPr>
          <w:p w14:paraId="03B550E5" w14:textId="4A2C833B" w:rsidR="00C224DC" w:rsidRPr="00096BC3" w:rsidRDefault="00C224DC" w:rsidP="00C224DC">
            <w:pPr>
              <w:pStyle w:val="BodyCopyNEW"/>
              <w:rPr>
                <w:szCs w:val="18"/>
              </w:rPr>
            </w:pPr>
            <w:r w:rsidRPr="00392AAF">
              <w:rPr>
                <w:szCs w:val="18"/>
              </w:rPr>
              <w:t>NOPSEMA is encouraged to consult with industry, perhaps through the next</w:t>
            </w:r>
            <w:r>
              <w:rPr>
                <w:szCs w:val="18"/>
              </w:rPr>
              <w:t xml:space="preserve"> C</w:t>
            </w:r>
            <w:r w:rsidRPr="0025370E">
              <w:rPr>
                <w:szCs w:val="18"/>
              </w:rPr>
              <w:t xml:space="preserve">ost </w:t>
            </w:r>
            <w:r>
              <w:rPr>
                <w:szCs w:val="18"/>
              </w:rPr>
              <w:t>R</w:t>
            </w:r>
            <w:r w:rsidRPr="0025370E">
              <w:rPr>
                <w:szCs w:val="18"/>
              </w:rPr>
              <w:t xml:space="preserve">ecovery </w:t>
            </w:r>
            <w:r>
              <w:rPr>
                <w:szCs w:val="18"/>
              </w:rPr>
              <w:t>I</w:t>
            </w:r>
            <w:r w:rsidRPr="0025370E">
              <w:rPr>
                <w:szCs w:val="18"/>
              </w:rPr>
              <w:t xml:space="preserve">mplementation </w:t>
            </w:r>
            <w:r>
              <w:rPr>
                <w:szCs w:val="18"/>
              </w:rPr>
              <w:t>S</w:t>
            </w:r>
            <w:r w:rsidRPr="0025370E">
              <w:rPr>
                <w:szCs w:val="18"/>
              </w:rPr>
              <w:t>tatement</w:t>
            </w:r>
            <w:r w:rsidRPr="00392AAF">
              <w:rPr>
                <w:szCs w:val="18"/>
              </w:rPr>
              <w:t xml:space="preserve"> </w:t>
            </w:r>
            <w:r>
              <w:rPr>
                <w:szCs w:val="18"/>
              </w:rPr>
              <w:t>(</w:t>
            </w:r>
            <w:r w:rsidRPr="00CB348A">
              <w:rPr>
                <w:b/>
                <w:bCs/>
                <w:szCs w:val="18"/>
              </w:rPr>
              <w:t>CRIS</w:t>
            </w:r>
            <w:r>
              <w:rPr>
                <w:szCs w:val="18"/>
              </w:rPr>
              <w:t>)</w:t>
            </w:r>
            <w:r w:rsidRPr="00392AAF">
              <w:rPr>
                <w:szCs w:val="18"/>
              </w:rPr>
              <w:t xml:space="preserve"> process, on indexing levies and fees to </w:t>
            </w:r>
            <w:r w:rsidRPr="00FB420B">
              <w:rPr>
                <w:szCs w:val="18"/>
              </w:rPr>
              <w:t>the Consumer Price Index</w:t>
            </w:r>
            <w:r w:rsidRPr="00911F0E">
              <w:rPr>
                <w:rFonts w:cs="OpenSansRegular"/>
                <w:szCs w:val="18"/>
              </w:rPr>
              <w:t xml:space="preserve"> (</w:t>
            </w:r>
            <w:r w:rsidRPr="004602AD">
              <w:rPr>
                <w:rFonts w:cs="OpenSansRegular"/>
                <w:b/>
                <w:szCs w:val="18"/>
              </w:rPr>
              <w:t>CPI</w:t>
            </w:r>
            <w:r w:rsidRPr="00C81CBA">
              <w:rPr>
                <w:rFonts w:cs="OpenSansRegular"/>
                <w:szCs w:val="18"/>
              </w:rPr>
              <w:t>)</w:t>
            </w:r>
            <w:r w:rsidRPr="00953CA5">
              <w:rPr>
                <w:szCs w:val="18"/>
              </w:rPr>
              <w:t xml:space="preserve"> or an</w:t>
            </w:r>
            <w:r w:rsidRPr="00171DEA">
              <w:rPr>
                <w:szCs w:val="18"/>
              </w:rPr>
              <w:t>other appropriate index</w:t>
            </w:r>
            <w:r w:rsidRPr="00777C5D">
              <w:rPr>
                <w:szCs w:val="18"/>
              </w:rPr>
              <w:t xml:space="preserve"> to ensure cost recovery keeps pace with inflation</w:t>
            </w:r>
            <w:r w:rsidRPr="006C6606">
              <w:rPr>
                <w:szCs w:val="18"/>
              </w:rPr>
              <w:t>.</w:t>
            </w:r>
          </w:p>
        </w:tc>
      </w:tr>
      <w:tr w:rsidR="00C224DC" w:rsidRPr="00AF1581" w14:paraId="72EC64EE" w14:textId="77777777" w:rsidTr="00360FAB">
        <w:tc>
          <w:tcPr>
            <w:tcW w:w="719" w:type="pct"/>
            <w:tcBorders>
              <w:top w:val="single" w:sz="4" w:space="0" w:color="BFBFBF" w:themeColor="background1" w:themeShade="BF"/>
              <w:bottom w:val="single" w:sz="4" w:space="0" w:color="BFBFBF" w:themeColor="background1" w:themeShade="BF"/>
            </w:tcBorders>
          </w:tcPr>
          <w:p w14:paraId="1D79907C" w14:textId="13E14C43" w:rsidR="00C224DC" w:rsidRPr="00D521C3" w:rsidRDefault="00C224DC" w:rsidP="00C224DC">
            <w:pPr>
              <w:pStyle w:val="BodyCopyNEW"/>
              <w:rPr>
                <w:rFonts w:cs="OpenSansRegular"/>
                <w:szCs w:val="18"/>
              </w:rPr>
            </w:pPr>
            <w:r w:rsidRPr="00D521C3">
              <w:rPr>
                <w:szCs w:val="18"/>
              </w:rPr>
              <w:t>Efficient, reducing regulatory burden and recovering costs fairly and equitably</w:t>
            </w:r>
          </w:p>
        </w:tc>
        <w:tc>
          <w:tcPr>
            <w:tcW w:w="287" w:type="pct"/>
            <w:tcBorders>
              <w:top w:val="single" w:sz="4" w:space="0" w:color="BFBFBF" w:themeColor="background1" w:themeShade="BF"/>
              <w:bottom w:val="single" w:sz="4" w:space="0" w:color="BFBFBF" w:themeColor="background1" w:themeShade="BF"/>
            </w:tcBorders>
          </w:tcPr>
          <w:p w14:paraId="551C999B" w14:textId="0295DDAC" w:rsidR="00C224DC" w:rsidRPr="00392AAF" w:rsidRDefault="00C224DC" w:rsidP="00C224DC">
            <w:pPr>
              <w:pStyle w:val="BodyCopyNEW"/>
              <w:rPr>
                <w:szCs w:val="18"/>
              </w:rPr>
            </w:pPr>
            <w:r>
              <w:t>20</w:t>
            </w:r>
          </w:p>
        </w:tc>
        <w:tc>
          <w:tcPr>
            <w:tcW w:w="3994" w:type="pct"/>
            <w:tcBorders>
              <w:top w:val="single" w:sz="4" w:space="0" w:color="BFBFBF" w:themeColor="background1" w:themeShade="BF"/>
              <w:bottom w:val="single" w:sz="4" w:space="0" w:color="BFBFBF" w:themeColor="background1" w:themeShade="BF"/>
            </w:tcBorders>
          </w:tcPr>
          <w:p w14:paraId="5BA8B9CA" w14:textId="5CC9F8ED" w:rsidR="00C224DC" w:rsidRPr="00953CA5" w:rsidRDefault="00C224DC" w:rsidP="00C224DC">
            <w:pPr>
              <w:pStyle w:val="BodyCopyNEW"/>
              <w:rPr>
                <w:szCs w:val="18"/>
              </w:rPr>
            </w:pPr>
            <w:r w:rsidRPr="00392AAF">
              <w:rPr>
                <w:szCs w:val="18"/>
              </w:rPr>
              <w:t>NOPSEMA is encouraged to review and update its CRIS modelling to ensure it is complete and transparent, and that it is consistent with its objectives and principles for cost re</w:t>
            </w:r>
            <w:r w:rsidRPr="00FB420B">
              <w:rPr>
                <w:szCs w:val="18"/>
              </w:rPr>
              <w:t xml:space="preserve">covery. The rationale for the levy amounts that are set and the </w:t>
            </w:r>
            <w:r w:rsidRPr="00911F0E">
              <w:rPr>
                <w:szCs w:val="18"/>
              </w:rPr>
              <w:t>factors</w:t>
            </w:r>
            <w:r w:rsidRPr="004602AD">
              <w:rPr>
                <w:szCs w:val="18"/>
              </w:rPr>
              <w:t xml:space="preserve"> </w:t>
            </w:r>
            <w:r>
              <w:rPr>
                <w:szCs w:val="18"/>
              </w:rPr>
              <w:t>considered through the CRIS process</w:t>
            </w:r>
            <w:r w:rsidRPr="00953CA5">
              <w:rPr>
                <w:szCs w:val="18"/>
              </w:rPr>
              <w:t xml:space="preserve"> should be clearly documented.</w:t>
            </w:r>
          </w:p>
        </w:tc>
      </w:tr>
      <w:tr w:rsidR="00C224DC" w:rsidRPr="00AF1581" w14:paraId="247F6936" w14:textId="77777777" w:rsidTr="00360FAB">
        <w:tc>
          <w:tcPr>
            <w:tcW w:w="719" w:type="pct"/>
            <w:tcBorders>
              <w:top w:val="single" w:sz="4" w:space="0" w:color="BFBFBF" w:themeColor="background1" w:themeShade="BF"/>
              <w:bottom w:val="single" w:sz="4" w:space="0" w:color="BFBFBF" w:themeColor="background1" w:themeShade="BF"/>
            </w:tcBorders>
          </w:tcPr>
          <w:p w14:paraId="0A64CC02" w14:textId="4D540867" w:rsidR="00C224DC" w:rsidRPr="00D521C3" w:rsidRDefault="00C224DC" w:rsidP="00C224DC">
            <w:pPr>
              <w:pStyle w:val="BodyCopyNEW"/>
              <w:rPr>
                <w:rFonts w:cs="OpenSansRegular"/>
                <w:szCs w:val="18"/>
              </w:rPr>
            </w:pPr>
            <w:r w:rsidRPr="00D521C3">
              <w:rPr>
                <w:szCs w:val="18"/>
              </w:rPr>
              <w:lastRenderedPageBreak/>
              <w:t xml:space="preserve">Strategic matters: </w:t>
            </w:r>
            <w:r w:rsidRPr="00D521C3">
              <w:rPr>
                <w:rFonts w:cs="OpenSansRegular"/>
                <w:szCs w:val="18"/>
              </w:rPr>
              <w:t>Looking to the future</w:t>
            </w:r>
            <w:r w:rsidRPr="00D521C3">
              <w:rPr>
                <w:rStyle w:val="CommentReference"/>
                <w:rFonts w:ascii="Verdana" w:hAnsi="Verdana" w:cstheme="minorBidi"/>
                <w:sz w:val="18"/>
                <w:szCs w:val="18"/>
              </w:rPr>
              <w:t xml:space="preserve"> </w:t>
            </w:r>
          </w:p>
        </w:tc>
        <w:tc>
          <w:tcPr>
            <w:tcW w:w="287" w:type="pct"/>
            <w:tcBorders>
              <w:top w:val="single" w:sz="4" w:space="0" w:color="BFBFBF" w:themeColor="background1" w:themeShade="BF"/>
              <w:bottom w:val="single" w:sz="4" w:space="0" w:color="BFBFBF" w:themeColor="background1" w:themeShade="BF"/>
            </w:tcBorders>
          </w:tcPr>
          <w:p w14:paraId="7A43E7B3" w14:textId="1F25773E" w:rsidR="00C224DC" w:rsidRDefault="00C224DC" w:rsidP="00C224DC">
            <w:pPr>
              <w:pStyle w:val="BodyCopyNEW"/>
            </w:pPr>
            <w:r>
              <w:t>21</w:t>
            </w:r>
          </w:p>
        </w:tc>
        <w:tc>
          <w:tcPr>
            <w:tcW w:w="3994" w:type="pct"/>
            <w:tcBorders>
              <w:top w:val="single" w:sz="4" w:space="0" w:color="BFBFBF" w:themeColor="background1" w:themeShade="BF"/>
              <w:bottom w:val="single" w:sz="4" w:space="0" w:color="BFBFBF" w:themeColor="background1" w:themeShade="BF"/>
            </w:tcBorders>
          </w:tcPr>
          <w:p w14:paraId="64AC0AE0" w14:textId="5BBFED15" w:rsidR="00C224DC" w:rsidRPr="009F1B2B" w:rsidRDefault="00C224DC" w:rsidP="00C224DC">
            <w:pPr>
              <w:pStyle w:val="BodyCopyNEW"/>
            </w:pPr>
            <w:r>
              <w:t>If the Government formally agrees to NOPSEMA assuming the role of regulator for offshore renewables, NOPSEMA would be encouraged to</w:t>
            </w:r>
            <w:r w:rsidRPr="009F1B2B">
              <w:t>:</w:t>
            </w:r>
          </w:p>
          <w:p w14:paraId="372A154F" w14:textId="4464D506" w:rsidR="00C224DC" w:rsidRPr="009F1B2B" w:rsidRDefault="00C224DC" w:rsidP="00C224DC">
            <w:pPr>
              <w:pStyle w:val="BodyBullet1"/>
              <w:ind w:left="375"/>
            </w:pPr>
            <w:r w:rsidRPr="009F1B2B">
              <w:t xml:space="preserve">Give sufficient emphasis in its strategic and operational planning to supporting emerging industries within its remit, given in many instances the presence of an established regulatory framework is a clear signal </w:t>
            </w:r>
            <w:r>
              <w:t>to</w:t>
            </w:r>
            <w:r w:rsidRPr="009F1B2B">
              <w:t xml:space="preserve"> potential market entrants o</w:t>
            </w:r>
            <w:r>
              <w:t>f</w:t>
            </w:r>
            <w:r w:rsidRPr="009F1B2B">
              <w:t xml:space="preserve"> ‘</w:t>
            </w:r>
            <w:r>
              <w:t>industry</w:t>
            </w:r>
            <w:r w:rsidRPr="009F1B2B">
              <w:t xml:space="preserve"> readiness’ for investment</w:t>
            </w:r>
          </w:p>
          <w:p w14:paraId="64803AAF" w14:textId="3EFCFB30" w:rsidR="00C224DC" w:rsidRPr="009F1B2B" w:rsidRDefault="00C224DC" w:rsidP="00C224DC">
            <w:pPr>
              <w:pStyle w:val="BodyBullet1"/>
              <w:ind w:left="375"/>
            </w:pPr>
            <w:r w:rsidRPr="009F1B2B">
              <w:t>Consider how it might transparently manage perceived conflicts of interest surrounding potentially competing industries (i.e. petroleum and renewables), particularly how governance mechanisms may be structured</w:t>
            </w:r>
            <w:r>
              <w:t>,</w:t>
            </w:r>
            <w:r w:rsidRPr="009F1B2B">
              <w:t xml:space="preserve"> and stakeholder confidence built in </w:t>
            </w:r>
            <w:r>
              <w:t>NOPSEMA’s</w:t>
            </w:r>
            <w:r w:rsidRPr="009F1B2B">
              <w:t xml:space="preserve"> ability to manage potential conflicts in a transparent and effective manner</w:t>
            </w:r>
          </w:p>
          <w:p w14:paraId="26583440" w14:textId="41CEFB37" w:rsidR="00C224DC" w:rsidRPr="009F1B2B" w:rsidRDefault="00C224DC" w:rsidP="00C224DC">
            <w:pPr>
              <w:pStyle w:val="BodyBullet1"/>
              <w:ind w:left="375"/>
            </w:pPr>
            <w:r w:rsidRPr="009F1B2B">
              <w:t xml:space="preserve">As part of </w:t>
            </w:r>
            <w:r>
              <w:t>its financial</w:t>
            </w:r>
            <w:r w:rsidRPr="009F1B2B">
              <w:t xml:space="preserve"> scenario modelling process</w:t>
            </w:r>
            <w:r>
              <w:t>es</w:t>
            </w:r>
            <w:r w:rsidRPr="009F1B2B">
              <w:t xml:space="preserve">, forecast its financial sustainability with regards to different industry activity scenarios (e.g. an </w:t>
            </w:r>
            <w:r>
              <w:t>increase in transactional activity</w:t>
            </w:r>
            <w:r w:rsidRPr="009F1B2B">
              <w:t xml:space="preserve">). As part of this, specifically examine </w:t>
            </w:r>
            <w:r>
              <w:t xml:space="preserve">the impact of </w:t>
            </w:r>
            <w:r w:rsidRPr="009F1B2B">
              <w:t>different cost recovery levy and fee structures and how volatility can be managed through different structures</w:t>
            </w:r>
          </w:p>
          <w:p w14:paraId="20D94B93" w14:textId="77777777" w:rsidR="00C224DC" w:rsidRPr="009F1B2B" w:rsidRDefault="00C224DC" w:rsidP="00C224DC">
            <w:pPr>
              <w:pStyle w:val="BodyBullet1"/>
              <w:ind w:left="375"/>
            </w:pPr>
            <w:r w:rsidRPr="009F1B2B">
              <w:t xml:space="preserve">Avoid duplication of existing capabilities across people, processes and systems, wherever possible when preparing </w:t>
            </w:r>
            <w:r>
              <w:t>to</w:t>
            </w:r>
            <w:r w:rsidRPr="009F1B2B">
              <w:t xml:space="preserve"> inherit </w:t>
            </w:r>
            <w:r>
              <w:t>a new</w:t>
            </w:r>
            <w:r w:rsidRPr="009F1B2B">
              <w:t xml:space="preserve"> remit. However, in doing so care must be taken to evaluate whether the existing capabilities meet the needs of emerging industries as opposed to the well-established, mature petroleum industry they have been designed for</w:t>
            </w:r>
          </w:p>
          <w:p w14:paraId="57F31BD4" w14:textId="0D3E5DFB" w:rsidR="00C224DC" w:rsidRPr="00A36467" w:rsidRDefault="00C224DC" w:rsidP="00C224DC">
            <w:pPr>
              <w:pStyle w:val="BodyBullet1"/>
              <w:ind w:left="375"/>
              <w:rPr>
                <w:rFonts w:cs="Times New Roman"/>
              </w:rPr>
            </w:pPr>
            <w:r w:rsidRPr="00297ED4">
              <w:t xml:space="preserve">Undertake a capability gap assessment, looking to regulators in </w:t>
            </w:r>
            <w:r>
              <w:t>select</w:t>
            </w:r>
            <w:r w:rsidRPr="00297ED4">
              <w:t xml:space="preserve"> advanced offshore renewables markets to identify what capabilities (</w:t>
            </w:r>
            <w:r>
              <w:t xml:space="preserve">e.g. </w:t>
            </w:r>
            <w:r w:rsidRPr="00297ED4">
              <w:t>people, process, supply chain</w:t>
            </w:r>
            <w:r>
              <w:t>, technology</w:t>
            </w:r>
            <w:r w:rsidRPr="00297ED4">
              <w:t xml:space="preserve">) might be required </w:t>
            </w:r>
            <w:r>
              <w:t>vis-à-vis</w:t>
            </w:r>
            <w:r w:rsidRPr="00297ED4">
              <w:t xml:space="preserve"> NOPSEMA’s current capability maturity </w:t>
            </w:r>
            <w:r>
              <w:t>in these areas</w:t>
            </w:r>
            <w:r w:rsidRPr="00297ED4">
              <w:t xml:space="preserve">. NOPSEMA should leverage its </w:t>
            </w:r>
            <w:r>
              <w:t xml:space="preserve">existing </w:t>
            </w:r>
            <w:r w:rsidRPr="00297ED4">
              <w:t xml:space="preserve">international relationships to inform these capability assessments. </w:t>
            </w:r>
          </w:p>
        </w:tc>
      </w:tr>
    </w:tbl>
    <w:p w14:paraId="6871B968" w14:textId="77777777" w:rsidR="00E00C99" w:rsidRDefault="00E00C99" w:rsidP="00E00C99"/>
    <w:p w14:paraId="6F2D47BA" w14:textId="6E6DC646" w:rsidR="00C27E3D" w:rsidRDefault="00C27E3D" w:rsidP="00A067D9">
      <w:pPr>
        <w:pStyle w:val="Caption"/>
        <w:sectPr w:rsidR="00C27E3D" w:rsidSect="00E4608F">
          <w:pgSz w:w="16838" w:h="11906" w:orient="landscape" w:code="9"/>
          <w:pgMar w:top="1985" w:right="1021" w:bottom="1134" w:left="1021" w:header="680" w:footer="425" w:gutter="0"/>
          <w:cols w:space="284"/>
          <w:docGrid w:linePitch="360"/>
        </w:sectPr>
      </w:pPr>
    </w:p>
    <w:p w14:paraId="47EA61D5" w14:textId="77777777" w:rsidR="00FF2D12" w:rsidRPr="007F6712" w:rsidRDefault="00FF2D12" w:rsidP="0027287B">
      <w:pPr>
        <w:pStyle w:val="Heading1"/>
      </w:pPr>
      <w:bookmarkStart w:id="14" w:name="_Ref55930463"/>
      <w:bookmarkStart w:id="15" w:name="_Toc63970839"/>
      <w:r>
        <w:lastRenderedPageBreak/>
        <w:t>Review approach and method</w:t>
      </w:r>
      <w:bookmarkEnd w:id="14"/>
      <w:bookmarkEnd w:id="15"/>
    </w:p>
    <w:p w14:paraId="05B81421" w14:textId="60679DBE" w:rsidR="00FF2D12" w:rsidRPr="00C9238E" w:rsidRDefault="002A7DED" w:rsidP="00AE2D6E">
      <w:pPr>
        <w:pStyle w:val="Heading2"/>
        <w:numPr>
          <w:ilvl w:val="1"/>
          <w:numId w:val="1"/>
        </w:numPr>
      </w:pPr>
      <w:r>
        <w:t>R</w:t>
      </w:r>
      <w:r w:rsidR="009E5962">
        <w:t>eview</w:t>
      </w:r>
      <w:r w:rsidR="009E5962" w:rsidRPr="00C9238E">
        <w:t xml:space="preserve"> </w:t>
      </w:r>
      <w:r w:rsidR="00FF2D12" w:rsidRPr="00C9238E">
        <w:t>approach</w:t>
      </w:r>
    </w:p>
    <w:p w14:paraId="01E8F11C" w14:textId="150FB142" w:rsidR="00FF2D12" w:rsidRPr="00392AAF" w:rsidRDefault="00FF2D12" w:rsidP="00AE2D6E">
      <w:pPr>
        <w:pStyle w:val="BodyCopyNEW"/>
        <w:rPr>
          <w:szCs w:val="18"/>
        </w:rPr>
      </w:pPr>
      <w:r w:rsidRPr="00096BC3">
        <w:rPr>
          <w:szCs w:val="18"/>
        </w:rPr>
        <w:t xml:space="preserve">To guide our </w:t>
      </w:r>
      <w:r w:rsidR="009E5962" w:rsidRPr="00611BAA">
        <w:rPr>
          <w:szCs w:val="18"/>
        </w:rPr>
        <w:t>review</w:t>
      </w:r>
      <w:r w:rsidRPr="00946300">
        <w:rPr>
          <w:szCs w:val="18"/>
        </w:rPr>
        <w:t>, we have utilised Deloitte’s Regulatory Assessment Model. Our model has been informed by:</w:t>
      </w:r>
    </w:p>
    <w:p w14:paraId="60767EB6" w14:textId="4612EF68" w:rsidR="00FF2D12" w:rsidRPr="00260747" w:rsidRDefault="00FF2D12" w:rsidP="000C1F53">
      <w:pPr>
        <w:pStyle w:val="BodycopyNEW0"/>
        <w:numPr>
          <w:ilvl w:val="0"/>
          <w:numId w:val="23"/>
        </w:numPr>
        <w:ind w:left="426"/>
        <w:rPr>
          <w:szCs w:val="18"/>
        </w:rPr>
      </w:pPr>
      <w:r w:rsidRPr="00EA28C6">
        <w:rPr>
          <w:szCs w:val="18"/>
        </w:rPr>
        <w:t xml:space="preserve">Our </w:t>
      </w:r>
      <w:r w:rsidR="00EC4BFC">
        <w:rPr>
          <w:szCs w:val="18"/>
        </w:rPr>
        <w:t>experience</w:t>
      </w:r>
      <w:r w:rsidR="00EC4BFC" w:rsidRPr="00260747">
        <w:rPr>
          <w:szCs w:val="18"/>
        </w:rPr>
        <w:t xml:space="preserve"> </w:t>
      </w:r>
      <w:r w:rsidRPr="00260747">
        <w:rPr>
          <w:szCs w:val="18"/>
        </w:rPr>
        <w:t>in regulation across a wide-ranging number of industries – from objective and risk-based regulation models to compliance, enforcement -based regulation</w:t>
      </w:r>
    </w:p>
    <w:p w14:paraId="3CE7E728" w14:textId="3B562977" w:rsidR="00FF2D12" w:rsidRPr="00260747" w:rsidRDefault="00FF2D12" w:rsidP="000C1F53">
      <w:pPr>
        <w:pStyle w:val="BodycopyNEW0"/>
        <w:numPr>
          <w:ilvl w:val="0"/>
          <w:numId w:val="23"/>
        </w:numPr>
        <w:ind w:left="426"/>
        <w:rPr>
          <w:szCs w:val="18"/>
        </w:rPr>
      </w:pPr>
      <w:r w:rsidRPr="00260747">
        <w:rPr>
          <w:szCs w:val="18"/>
        </w:rPr>
        <w:t xml:space="preserve">Better practice guides (e.g. </w:t>
      </w:r>
      <w:r w:rsidR="00873472" w:rsidRPr="00260747">
        <w:rPr>
          <w:szCs w:val="18"/>
        </w:rPr>
        <w:t>ANAO</w:t>
      </w:r>
      <w:r w:rsidRPr="00260747">
        <w:rPr>
          <w:szCs w:val="18"/>
        </w:rPr>
        <w:t xml:space="preserve"> Better Practice Guide for Managing Regulatory Performance)</w:t>
      </w:r>
    </w:p>
    <w:p w14:paraId="279BCE9D" w14:textId="6EE4436B" w:rsidR="00FF2D12" w:rsidRDefault="00FF2D12" w:rsidP="000C1F53">
      <w:pPr>
        <w:pStyle w:val="BodycopyNEW0"/>
        <w:numPr>
          <w:ilvl w:val="0"/>
          <w:numId w:val="23"/>
        </w:numPr>
        <w:ind w:left="426"/>
        <w:rPr>
          <w:szCs w:val="18"/>
        </w:rPr>
      </w:pPr>
      <w:r w:rsidRPr="00260747">
        <w:rPr>
          <w:szCs w:val="18"/>
        </w:rPr>
        <w:t>Learnings from the Banking Royal Commission, including how the Australian Prudential Regulation Authority (</w:t>
      </w:r>
      <w:r w:rsidRPr="007B16E0">
        <w:rPr>
          <w:rFonts w:cs="Calibri Light"/>
        </w:rPr>
        <w:t>APRA</w:t>
      </w:r>
      <w:r w:rsidRPr="00260747">
        <w:rPr>
          <w:szCs w:val="18"/>
        </w:rPr>
        <w:t>) has altered its approach to regulatory oversight and involvement – resulting in the Governance, Culture, Remuneration, and Accountability framework.</w:t>
      </w:r>
    </w:p>
    <w:p w14:paraId="45FB4A32" w14:textId="7F8D846C" w:rsidR="00A72B47" w:rsidRPr="00260747" w:rsidRDefault="00A72B47" w:rsidP="004B089B">
      <w:pPr>
        <w:pStyle w:val="Caption"/>
        <w:keepNext/>
      </w:pPr>
      <w:bookmarkStart w:id="16" w:name="_Ref58963398"/>
      <w:r>
        <w:t xml:space="preserve">Figure </w:t>
      </w:r>
      <w:r w:rsidR="00AD41F8">
        <w:fldChar w:fldCharType="begin"/>
      </w:r>
      <w:r w:rsidR="00AD41F8">
        <w:instrText xml:space="preserve"> STYLEREF 1 \s </w:instrText>
      </w:r>
      <w:r w:rsidR="00AD41F8">
        <w:fldChar w:fldCharType="separate"/>
      </w:r>
      <w:r w:rsidR="00E816B8">
        <w:rPr>
          <w:noProof/>
        </w:rPr>
        <w:t>3</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1</w:t>
      </w:r>
      <w:r w:rsidR="00AD41F8">
        <w:fldChar w:fldCharType="end"/>
      </w:r>
      <w:bookmarkEnd w:id="16"/>
      <w:r>
        <w:t>: Deloitte’s Regulatory Assessment Model</w:t>
      </w:r>
    </w:p>
    <w:p w14:paraId="2A812111" w14:textId="77777777" w:rsidR="00FF2D12" w:rsidRDefault="25C23B2C" w:rsidP="00FF2D12">
      <w:pPr>
        <w:spacing w:after="120"/>
        <w:contextualSpacing/>
        <w:jc w:val="center"/>
        <w:rPr>
          <w:rFonts w:asciiTheme="majorHAnsi" w:hAnsiTheme="majorHAnsi" w:cs="Calibri"/>
        </w:rPr>
      </w:pPr>
      <w:r>
        <w:rPr>
          <w:noProof/>
          <w:lang w:eastAsia="en-AU"/>
        </w:rPr>
        <w:drawing>
          <wp:inline distT="0" distB="0" distL="0" distR="0" wp14:anchorId="1761680B" wp14:editId="7894115B">
            <wp:extent cx="5313944" cy="5039999"/>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5">
                      <a:extLst>
                        <a:ext uri="{28A0092B-C50C-407E-A947-70E740481C1C}">
                          <a14:useLocalDpi xmlns:a14="http://schemas.microsoft.com/office/drawing/2010/main"/>
                        </a:ext>
                      </a:extLst>
                    </a:blip>
                    <a:stretch>
                      <a:fillRect/>
                    </a:stretch>
                  </pic:blipFill>
                  <pic:spPr>
                    <a:xfrm>
                      <a:off x="0" y="0"/>
                      <a:ext cx="5313944" cy="5039999"/>
                    </a:xfrm>
                    <a:prstGeom prst="rect">
                      <a:avLst/>
                    </a:prstGeom>
                  </pic:spPr>
                </pic:pic>
              </a:graphicData>
            </a:graphic>
          </wp:inline>
        </w:drawing>
      </w:r>
    </w:p>
    <w:p w14:paraId="36DE42DF" w14:textId="507A538C" w:rsidR="00FF2D12" w:rsidRDefault="00641432" w:rsidP="00AE2D6E">
      <w:pPr>
        <w:pStyle w:val="BodyCopyNEW"/>
      </w:pPr>
      <w:r>
        <w:t xml:space="preserve">Our </w:t>
      </w:r>
      <w:r w:rsidR="009E5962">
        <w:t xml:space="preserve">review </w:t>
      </w:r>
      <w:r w:rsidR="00FF2D12">
        <w:t>approach centred on the following key activities:</w:t>
      </w:r>
    </w:p>
    <w:p w14:paraId="07B8399C" w14:textId="4F0E251C" w:rsidR="00FF2D12" w:rsidRPr="00AF201E" w:rsidRDefault="00FF2D12" w:rsidP="000C1F53">
      <w:pPr>
        <w:pStyle w:val="BodycopyNEW0"/>
        <w:numPr>
          <w:ilvl w:val="0"/>
          <w:numId w:val="23"/>
        </w:numPr>
        <w:ind w:left="426"/>
      </w:pPr>
      <w:r w:rsidRPr="00D247E6">
        <w:t xml:space="preserve">Interviews with key NOPSEMA personnel, including the </w:t>
      </w:r>
      <w:r w:rsidR="00873472">
        <w:t>CEO</w:t>
      </w:r>
      <w:r w:rsidRPr="00D247E6">
        <w:t xml:space="preserve">, Head of Division - Safety &amp; Integrity, Head of Division – Environment, Head of Division – Regulatory Support, and General Counsel. </w:t>
      </w:r>
      <w:r w:rsidRPr="00AF201E">
        <w:t xml:space="preserve">Refer to </w:t>
      </w:r>
      <w:r w:rsidR="00764CE6">
        <w:rPr>
          <w:rFonts w:cs="Calibri Light"/>
          <w:b/>
          <w:bCs/>
        </w:rPr>
        <w:t xml:space="preserve">Appendix B </w:t>
      </w:r>
      <w:r w:rsidRPr="00AF201E">
        <w:t xml:space="preserve">for NOPSEMA personnel interviewed during this </w:t>
      </w:r>
      <w:r w:rsidR="009E5962" w:rsidRPr="00AF201E">
        <w:t>review</w:t>
      </w:r>
    </w:p>
    <w:p w14:paraId="1A6209B0" w14:textId="52C50421" w:rsidR="00D915FA" w:rsidRPr="00AF201E" w:rsidRDefault="00D915FA" w:rsidP="000C1F53">
      <w:pPr>
        <w:pStyle w:val="BodycopyNEW0"/>
        <w:numPr>
          <w:ilvl w:val="0"/>
          <w:numId w:val="23"/>
        </w:numPr>
        <w:ind w:left="426"/>
      </w:pPr>
      <w:r w:rsidRPr="00AF201E">
        <w:lastRenderedPageBreak/>
        <w:t xml:space="preserve">Consultation with a broad cross-section of industry stakeholders, including international regulators, titleholders, unions, community, environment, and conservation groups. Our approach to consultation included a detailed industry survey, an industry workshop with participants invited to discuss the current risks and trends facing the industry, and structured interviews. Please refer to </w:t>
      </w:r>
      <w:r w:rsidR="007F72AE">
        <w:rPr>
          <w:rFonts w:cs="Calibri Light"/>
          <w:b/>
          <w:bCs/>
        </w:rPr>
        <w:t xml:space="preserve">Appendix C </w:t>
      </w:r>
      <w:r w:rsidRPr="00AF201E">
        <w:t>for a listing of industry stakeholders engaged through our consultation process and the consultation methods applied</w:t>
      </w:r>
    </w:p>
    <w:p w14:paraId="4186CBEC" w14:textId="462EF167" w:rsidR="00FF2D12" w:rsidRPr="00AF201E" w:rsidRDefault="00FF2D12" w:rsidP="000C1F53">
      <w:pPr>
        <w:pStyle w:val="BodycopyNEW0"/>
        <w:numPr>
          <w:ilvl w:val="0"/>
          <w:numId w:val="23"/>
        </w:numPr>
        <w:ind w:left="426"/>
      </w:pPr>
      <w:r w:rsidRPr="00AF201E">
        <w:t>Examination of NOPSEMA-provided documentation, including policies, procedures, corporate plans, performance reports, financial modelling workbooks, and other materials. Refer to</w:t>
      </w:r>
      <w:r w:rsidRPr="00AF201E">
        <w:rPr>
          <w:rFonts w:cs="Calibri Light"/>
        </w:rPr>
        <w:t xml:space="preserve"> </w:t>
      </w:r>
      <w:r w:rsidR="007F72AE">
        <w:rPr>
          <w:rFonts w:cs="Calibri Light"/>
          <w:b/>
          <w:bCs/>
        </w:rPr>
        <w:t>Appendix D</w:t>
      </w:r>
      <w:r w:rsidR="001C0C6C" w:rsidRPr="00AF201E">
        <w:t xml:space="preserve"> </w:t>
      </w:r>
      <w:r w:rsidRPr="00AF201E">
        <w:t xml:space="preserve">for a list of </w:t>
      </w:r>
      <w:r w:rsidR="00095992" w:rsidRPr="00AF201E">
        <w:t xml:space="preserve">key </w:t>
      </w:r>
      <w:r w:rsidRPr="00AF201E">
        <w:t>materials examined</w:t>
      </w:r>
    </w:p>
    <w:p w14:paraId="6B49E3B0" w14:textId="77777777" w:rsidR="00FF2D12" w:rsidRDefault="00FF2D12" w:rsidP="000C1F53">
      <w:pPr>
        <w:pStyle w:val="BodycopyNEW0"/>
        <w:numPr>
          <w:ilvl w:val="0"/>
          <w:numId w:val="23"/>
        </w:numPr>
        <w:ind w:left="426"/>
      </w:pPr>
      <w:r w:rsidRPr="00AF201E">
        <w:t>Detailed walkthrough sessions with NOPSEMA personnel to understand current processes</w:t>
      </w:r>
      <w:r>
        <w:t xml:space="preserve"> and systems used to discharge its regulatory functions</w:t>
      </w:r>
    </w:p>
    <w:p w14:paraId="0CB0D7AB" w14:textId="13079E02" w:rsidR="00FF2D12" w:rsidRDefault="00FF2D12" w:rsidP="000C1F53">
      <w:pPr>
        <w:pStyle w:val="BodycopyNEW0"/>
        <w:numPr>
          <w:ilvl w:val="0"/>
          <w:numId w:val="23"/>
        </w:numPr>
        <w:ind w:left="426"/>
      </w:pPr>
      <w:r>
        <w:t>Attendance at key meetings or sessions to understand how meetings and decisions are made in the context of its regulatory activities, including attendance at the NOPSEMA Leadership Team meeting and the Compliance Committee meeting held in September 2020</w:t>
      </w:r>
    </w:p>
    <w:p w14:paraId="774E70FE" w14:textId="7B9D1271" w:rsidR="00FF2D12" w:rsidRDefault="00FF2D12" w:rsidP="000C1F53">
      <w:pPr>
        <w:pStyle w:val="BodycopyNEW0"/>
        <w:numPr>
          <w:ilvl w:val="0"/>
          <w:numId w:val="23"/>
        </w:numPr>
        <w:ind w:left="426"/>
      </w:pPr>
      <w:r>
        <w:t>An interview with the NOPSEMA Advisory Board, including all current members</w:t>
      </w:r>
      <w:r w:rsidR="00641432">
        <w:t>,</w:t>
      </w:r>
      <w:r>
        <w:t xml:space="preserve"> to discuss the activities of the Board and their current perceptions o</w:t>
      </w:r>
      <w:r w:rsidR="00641432">
        <w:t>f</w:t>
      </w:r>
      <w:r>
        <w:t xml:space="preserve"> NOPSEMA</w:t>
      </w:r>
      <w:r w:rsidR="00641432">
        <w:t>’s</w:t>
      </w:r>
      <w:r>
        <w:t xml:space="preserve"> </w:t>
      </w:r>
      <w:r w:rsidR="00641432">
        <w:t xml:space="preserve">challenges, its </w:t>
      </w:r>
      <w:r>
        <w:t xml:space="preserve">performance and </w:t>
      </w:r>
      <w:r w:rsidR="00641432">
        <w:t xml:space="preserve">the impact of </w:t>
      </w:r>
      <w:r>
        <w:t>industry trends</w:t>
      </w:r>
    </w:p>
    <w:p w14:paraId="340494A8" w14:textId="77777777" w:rsidR="00FF2D12" w:rsidRDefault="00FF2D12" w:rsidP="000C1F53">
      <w:pPr>
        <w:pStyle w:val="BodycopyNEW0"/>
        <w:numPr>
          <w:ilvl w:val="0"/>
          <w:numId w:val="23"/>
        </w:numPr>
        <w:ind w:left="426"/>
      </w:pPr>
      <w:r w:rsidRPr="00D333F2">
        <w:t>Independent research and analysis of other jurisdictional approaches to regulation of offshore health and safety, well integrity, or environmental matters.</w:t>
      </w:r>
    </w:p>
    <w:p w14:paraId="53050690" w14:textId="666E531B" w:rsidR="005734CA" w:rsidRPr="00D333F2" w:rsidRDefault="00A10258" w:rsidP="00465219">
      <w:pPr>
        <w:pStyle w:val="BodycopyNEW0"/>
      </w:pPr>
      <w:r>
        <w:t>We provide additional detail on the specific assessment activities</w:t>
      </w:r>
      <w:r w:rsidR="00F673FE">
        <w:t xml:space="preserve"> undertaken</w:t>
      </w:r>
      <w:r>
        <w:t>, assessment framework</w:t>
      </w:r>
      <w:r w:rsidR="00F673FE">
        <w:t xml:space="preserve"> applied</w:t>
      </w:r>
      <w:r>
        <w:t xml:space="preserve">, and case studies examined </w:t>
      </w:r>
      <w:r w:rsidR="00F673FE">
        <w:t xml:space="preserve">in order to undertake the 2020 Endorsed Program </w:t>
      </w:r>
      <w:r w:rsidR="00F673FE" w:rsidRPr="00AF201E">
        <w:t xml:space="preserve">Assessment in </w:t>
      </w:r>
      <w:r w:rsidR="00F673FE" w:rsidRPr="00465219">
        <w:rPr>
          <w:b/>
          <w:bCs/>
        </w:rPr>
        <w:t xml:space="preserve">Section </w:t>
      </w:r>
      <w:r w:rsidR="00147CF0">
        <w:rPr>
          <w:b/>
          <w:bCs/>
        </w:rPr>
        <w:fldChar w:fldCharType="begin"/>
      </w:r>
      <w:r w:rsidR="00147CF0">
        <w:rPr>
          <w:b/>
          <w:bCs/>
        </w:rPr>
        <w:instrText xml:space="preserve"> REF _Ref63974757 \r \h </w:instrText>
      </w:r>
      <w:r w:rsidR="00147CF0">
        <w:rPr>
          <w:b/>
          <w:bCs/>
        </w:rPr>
      </w:r>
      <w:r w:rsidR="00147CF0">
        <w:rPr>
          <w:b/>
          <w:bCs/>
        </w:rPr>
        <w:fldChar w:fldCharType="separate"/>
      </w:r>
      <w:r w:rsidR="00E816B8">
        <w:rPr>
          <w:b/>
          <w:bCs/>
        </w:rPr>
        <w:t>11</w:t>
      </w:r>
      <w:r w:rsidR="00147CF0">
        <w:rPr>
          <w:b/>
          <w:bCs/>
        </w:rPr>
        <w:fldChar w:fldCharType="end"/>
      </w:r>
      <w:r w:rsidR="00F673FE" w:rsidRPr="00AF201E">
        <w:t>.</w:t>
      </w:r>
    </w:p>
    <w:p w14:paraId="2EC7B2D2" w14:textId="77777777" w:rsidR="00FF2D12" w:rsidRPr="00770D31" w:rsidRDefault="00FF2D12" w:rsidP="00AE2D6E">
      <w:pPr>
        <w:pStyle w:val="Heading2"/>
        <w:numPr>
          <w:ilvl w:val="1"/>
          <w:numId w:val="1"/>
        </w:numPr>
      </w:pPr>
      <w:r>
        <w:t>Reflecting on</w:t>
      </w:r>
      <w:r w:rsidRPr="00770D31">
        <w:t xml:space="preserve"> past reviews</w:t>
      </w:r>
    </w:p>
    <w:p w14:paraId="3E23E833" w14:textId="5E198807" w:rsidR="00FF2D12" w:rsidRPr="00F53817" w:rsidRDefault="00FF2D12" w:rsidP="00AE2D6E">
      <w:pPr>
        <w:pStyle w:val="BodyCopyNEW"/>
        <w:rPr>
          <w:szCs w:val="18"/>
        </w:rPr>
      </w:pPr>
      <w:r w:rsidRPr="00096BC3">
        <w:rPr>
          <w:szCs w:val="18"/>
        </w:rPr>
        <w:t xml:space="preserve">NOPSEMA, as a regulator, is subject to a wide range of reviews from numerous bodies given its strategic importance in safety, well integrity, and </w:t>
      </w:r>
      <w:r w:rsidR="001723A8" w:rsidRPr="00611BAA">
        <w:rPr>
          <w:szCs w:val="18"/>
        </w:rPr>
        <w:t>environmental management</w:t>
      </w:r>
      <w:r w:rsidRPr="00946300">
        <w:rPr>
          <w:szCs w:val="18"/>
        </w:rPr>
        <w:t xml:space="preserve">. To this end, we recognise there are a number of completed reviews or reviews that are currently in progress that have had or will have an impact on the way NOPSEMA operates or regulates. </w:t>
      </w:r>
      <w:r w:rsidR="00896D6E" w:rsidRPr="00946300">
        <w:rPr>
          <w:rFonts w:cs="Calibri"/>
          <w:szCs w:val="18"/>
        </w:rPr>
        <w:t xml:space="preserve">Of note are the 2015 Operational Review, the </w:t>
      </w:r>
      <w:r w:rsidR="00896D6E" w:rsidRPr="00392AAF">
        <w:rPr>
          <w:rFonts w:cs="Calibri"/>
          <w:i/>
          <w:szCs w:val="18"/>
        </w:rPr>
        <w:t>Independent review int</w:t>
      </w:r>
      <w:r w:rsidR="00896D6E" w:rsidRPr="00AA1E32">
        <w:rPr>
          <w:rFonts w:cs="Calibri"/>
          <w:i/>
          <w:szCs w:val="18"/>
        </w:rPr>
        <w:t>o the circumstances leading to the administration and liquidation of Northern Oil and Gas Australia (NOGA)</w:t>
      </w:r>
      <w:r w:rsidR="00896D6E" w:rsidRPr="00911F0E">
        <w:rPr>
          <w:rFonts w:cs="Calibri"/>
          <w:szCs w:val="18"/>
        </w:rPr>
        <w:t xml:space="preserve"> (the </w:t>
      </w:r>
      <w:r w:rsidR="00896D6E" w:rsidRPr="004602AD">
        <w:rPr>
          <w:rFonts w:cs="Calibri"/>
          <w:b/>
          <w:szCs w:val="18"/>
        </w:rPr>
        <w:t>Walker Review</w:t>
      </w:r>
      <w:r w:rsidR="00896D6E" w:rsidRPr="00C81CBA">
        <w:rPr>
          <w:rFonts w:cs="Calibri"/>
          <w:szCs w:val="18"/>
        </w:rPr>
        <w:t xml:space="preserve">) undertaken by Mr Steve Walker, and the review underway on Parts 7 – 10 and Schedules 1 – 5 of the </w:t>
      </w:r>
      <w:r w:rsidR="00896D6E" w:rsidRPr="008E701F">
        <w:rPr>
          <w:rFonts w:cs="Calibri"/>
          <w:i/>
          <w:iCs/>
          <w:szCs w:val="18"/>
        </w:rPr>
        <w:t>OPGGS Resource Management and Administration Regulations</w:t>
      </w:r>
      <w:r w:rsidR="008E701F" w:rsidRPr="008E701F">
        <w:rPr>
          <w:rFonts w:cs="Calibri"/>
          <w:i/>
          <w:iCs/>
          <w:szCs w:val="18"/>
        </w:rPr>
        <w:t xml:space="preserve"> 2011</w:t>
      </w:r>
      <w:r w:rsidR="00896D6E" w:rsidRPr="00953CA5">
        <w:rPr>
          <w:rFonts w:cs="Calibri"/>
          <w:szCs w:val="18"/>
        </w:rPr>
        <w:t xml:space="preserve"> (</w:t>
      </w:r>
      <w:r w:rsidR="00896D6E" w:rsidRPr="00953CA5">
        <w:rPr>
          <w:rFonts w:cs="Calibri"/>
          <w:b/>
          <w:szCs w:val="18"/>
        </w:rPr>
        <w:t>RMA Regulations</w:t>
      </w:r>
      <w:r w:rsidR="00896D6E" w:rsidRPr="00171DEA">
        <w:rPr>
          <w:rFonts w:cs="Calibri"/>
          <w:szCs w:val="18"/>
        </w:rPr>
        <w:t>). We also acknowledge the draft</w:t>
      </w:r>
      <w:r w:rsidR="003A3FAF" w:rsidRPr="00777C5D">
        <w:rPr>
          <w:rFonts w:cs="Calibri"/>
          <w:szCs w:val="18"/>
        </w:rPr>
        <w:t>ing of a</w:t>
      </w:r>
      <w:r w:rsidR="00896D6E" w:rsidRPr="006C6606">
        <w:rPr>
          <w:rFonts w:cs="Calibri"/>
          <w:szCs w:val="18"/>
        </w:rPr>
        <w:t xml:space="preserve"> policy framework for decommissioning </w:t>
      </w:r>
      <w:r w:rsidR="00896D6E" w:rsidRPr="007F74D3">
        <w:rPr>
          <w:rFonts w:cs="Calibri"/>
          <w:szCs w:val="18"/>
        </w:rPr>
        <w:t>by DISER which, as of writing this report, has not been released for consultation.</w:t>
      </w:r>
    </w:p>
    <w:p w14:paraId="028FB211" w14:textId="57C8B30C" w:rsidR="00FF2D12" w:rsidRPr="00711FC9" w:rsidRDefault="00FF2D12" w:rsidP="00AE2D6E">
      <w:pPr>
        <w:pStyle w:val="BodyCopyNEW"/>
        <w:rPr>
          <w:szCs w:val="18"/>
        </w:rPr>
      </w:pPr>
      <w:r w:rsidRPr="00A32AAE">
        <w:rPr>
          <w:szCs w:val="18"/>
        </w:rPr>
        <w:t xml:space="preserve">Our </w:t>
      </w:r>
      <w:r w:rsidR="004134C8" w:rsidRPr="00B575BF">
        <w:rPr>
          <w:szCs w:val="18"/>
        </w:rPr>
        <w:t xml:space="preserve">review </w:t>
      </w:r>
      <w:r w:rsidRPr="00D11371">
        <w:rPr>
          <w:szCs w:val="18"/>
        </w:rPr>
        <w:t xml:space="preserve">does not look to duplicate recommendations from </w:t>
      </w:r>
      <w:r w:rsidR="00702AFA" w:rsidRPr="003E4CD6">
        <w:rPr>
          <w:szCs w:val="18"/>
        </w:rPr>
        <w:t>other</w:t>
      </w:r>
      <w:r w:rsidRPr="00777710">
        <w:rPr>
          <w:szCs w:val="18"/>
        </w:rPr>
        <w:t xml:space="preserve"> reviews. Where relevant, we have referenced previous review</w:t>
      </w:r>
      <w:r w:rsidR="00702AFA" w:rsidRPr="00777710">
        <w:rPr>
          <w:szCs w:val="18"/>
        </w:rPr>
        <w:t>s</w:t>
      </w:r>
      <w:r w:rsidRPr="006F091B">
        <w:rPr>
          <w:szCs w:val="18"/>
        </w:rPr>
        <w:t xml:space="preserve"> and </w:t>
      </w:r>
      <w:r w:rsidR="00572819">
        <w:rPr>
          <w:szCs w:val="18"/>
        </w:rPr>
        <w:t>the</w:t>
      </w:r>
      <w:r w:rsidR="00572819" w:rsidRPr="006F091B">
        <w:rPr>
          <w:szCs w:val="18"/>
        </w:rPr>
        <w:t xml:space="preserve"> </w:t>
      </w:r>
      <w:r w:rsidRPr="006F091B">
        <w:rPr>
          <w:szCs w:val="18"/>
        </w:rPr>
        <w:t>applicable finding</w:t>
      </w:r>
      <w:r w:rsidR="00572819">
        <w:rPr>
          <w:szCs w:val="18"/>
        </w:rPr>
        <w:t>s</w:t>
      </w:r>
      <w:r w:rsidRPr="006F091B">
        <w:rPr>
          <w:szCs w:val="18"/>
        </w:rPr>
        <w:t xml:space="preserve"> we agree with, providing</w:t>
      </w:r>
      <w:r w:rsidRPr="006610D9">
        <w:rPr>
          <w:szCs w:val="18"/>
        </w:rPr>
        <w:t xml:space="preserve"> endorsement for the direction of the recommendation proposed.</w:t>
      </w:r>
    </w:p>
    <w:p w14:paraId="5DAED8DE" w14:textId="77777777" w:rsidR="00FF2D12" w:rsidRPr="00C9238E" w:rsidRDefault="00FF2D12" w:rsidP="00AE2D6E">
      <w:pPr>
        <w:pStyle w:val="Heading2"/>
        <w:numPr>
          <w:ilvl w:val="1"/>
          <w:numId w:val="1"/>
        </w:numPr>
      </w:pPr>
      <w:r w:rsidRPr="00C9238E">
        <w:t>How to read this report</w:t>
      </w:r>
      <w:r>
        <w:t>?</w:t>
      </w:r>
    </w:p>
    <w:p w14:paraId="17C29A50" w14:textId="5175B040" w:rsidR="00FF2D12" w:rsidRPr="004602AD" w:rsidRDefault="00FF2D12" w:rsidP="00AE2D6E">
      <w:pPr>
        <w:pStyle w:val="BodyCopyNEW"/>
        <w:rPr>
          <w:szCs w:val="18"/>
        </w:rPr>
      </w:pPr>
      <w:r>
        <w:t xml:space="preserve">Our </w:t>
      </w:r>
      <w:r w:rsidRPr="00096BC3">
        <w:rPr>
          <w:szCs w:val="18"/>
        </w:rPr>
        <w:t xml:space="preserve">report has been structured into various sections, which are interrelated – with specific details, findings, and suggestions for </w:t>
      </w:r>
      <w:r w:rsidR="00510E32" w:rsidRPr="00946300">
        <w:rPr>
          <w:szCs w:val="18"/>
        </w:rPr>
        <w:t xml:space="preserve">government </w:t>
      </w:r>
      <w:r w:rsidRPr="00392AAF">
        <w:rPr>
          <w:szCs w:val="18"/>
        </w:rPr>
        <w:t xml:space="preserve">consideration throughout. To achieve the </w:t>
      </w:r>
      <w:r w:rsidR="004134C8" w:rsidRPr="00AA1E32">
        <w:rPr>
          <w:szCs w:val="18"/>
        </w:rPr>
        <w:t xml:space="preserve">review </w:t>
      </w:r>
      <w:r w:rsidRPr="00911F0E">
        <w:rPr>
          <w:szCs w:val="18"/>
        </w:rPr>
        <w:t>objectives, the detailed findings section of our report has been structured to align to the following format:</w:t>
      </w:r>
    </w:p>
    <w:tbl>
      <w:tblPr>
        <w:tblStyle w:val="ListTable3-Accent3"/>
        <w:tblW w:w="9634" w:type="dxa"/>
        <w:tblBorders>
          <w:top w:val="single" w:sz="4" w:space="0" w:color="005587"/>
          <w:left w:val="single" w:sz="4" w:space="0" w:color="005587"/>
          <w:bottom w:val="single" w:sz="4" w:space="0" w:color="005587"/>
          <w:right w:val="single" w:sz="4" w:space="0" w:color="005587"/>
          <w:insideH w:val="single" w:sz="4" w:space="0" w:color="005587"/>
        </w:tblBorders>
        <w:tblLayout w:type="fixed"/>
        <w:tblCellMar>
          <w:top w:w="57" w:type="dxa"/>
          <w:left w:w="57" w:type="dxa"/>
          <w:bottom w:w="57" w:type="dxa"/>
          <w:right w:w="57" w:type="dxa"/>
        </w:tblCellMar>
        <w:tblLook w:val="04A0" w:firstRow="1" w:lastRow="0" w:firstColumn="1" w:lastColumn="0" w:noHBand="0" w:noVBand="1"/>
      </w:tblPr>
      <w:tblGrid>
        <w:gridCol w:w="1276"/>
        <w:gridCol w:w="3544"/>
        <w:gridCol w:w="4814"/>
      </w:tblGrid>
      <w:tr w:rsidR="00901C7B" w:rsidRPr="00AA1E32" w14:paraId="5D6C8BD1" w14:textId="77777777" w:rsidTr="0064256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276" w:type="dxa"/>
            <w:tcBorders>
              <w:top w:val="single" w:sz="8" w:space="0" w:color="007680"/>
              <w:left w:val="nil"/>
              <w:bottom w:val="single" w:sz="8" w:space="0" w:color="007680"/>
            </w:tcBorders>
            <w:shd w:val="clear" w:color="auto" w:fill="auto"/>
          </w:tcPr>
          <w:p w14:paraId="1FA6BB7E" w14:textId="4CB67ED4" w:rsidR="00FF2D12" w:rsidRPr="002726A9" w:rsidRDefault="00FF2D12" w:rsidP="00C44305">
            <w:pPr>
              <w:pStyle w:val="Tableheader"/>
              <w:rPr>
                <w:b/>
                <w:bCs/>
                <w:sz w:val="18"/>
                <w:szCs w:val="18"/>
              </w:rPr>
            </w:pPr>
            <w:r w:rsidRPr="002726A9">
              <w:rPr>
                <w:b/>
                <w:bCs/>
                <w:sz w:val="18"/>
                <w:szCs w:val="18"/>
              </w:rPr>
              <w:t>Section</w:t>
            </w:r>
          </w:p>
        </w:tc>
        <w:tc>
          <w:tcPr>
            <w:tcW w:w="3544" w:type="dxa"/>
            <w:tcBorders>
              <w:top w:val="single" w:sz="8" w:space="0" w:color="007680"/>
              <w:bottom w:val="single" w:sz="8" w:space="0" w:color="007680"/>
            </w:tcBorders>
            <w:shd w:val="clear" w:color="auto" w:fill="auto"/>
          </w:tcPr>
          <w:p w14:paraId="5A738EBD" w14:textId="77777777" w:rsidR="00FF2D12" w:rsidRPr="002726A9" w:rsidRDefault="00FF2D12" w:rsidP="00C44305">
            <w:pPr>
              <w:pStyle w:val="Tableheader"/>
              <w:cnfStyle w:val="100000000000" w:firstRow="1" w:lastRow="0" w:firstColumn="0" w:lastColumn="0" w:oddVBand="0" w:evenVBand="0" w:oddHBand="0" w:evenHBand="0" w:firstRowFirstColumn="0" w:firstRowLastColumn="0" w:lastRowFirstColumn="0" w:lastRowLastColumn="0"/>
              <w:rPr>
                <w:b/>
                <w:bCs/>
                <w:sz w:val="18"/>
                <w:szCs w:val="18"/>
              </w:rPr>
            </w:pPr>
            <w:r w:rsidRPr="002726A9">
              <w:rPr>
                <w:b/>
                <w:bCs/>
                <w:sz w:val="18"/>
                <w:szCs w:val="18"/>
              </w:rPr>
              <w:t>Heading</w:t>
            </w:r>
          </w:p>
        </w:tc>
        <w:tc>
          <w:tcPr>
            <w:tcW w:w="4814" w:type="dxa"/>
            <w:tcBorders>
              <w:top w:val="single" w:sz="8" w:space="0" w:color="007680"/>
              <w:bottom w:val="single" w:sz="8" w:space="0" w:color="007680"/>
              <w:right w:val="nil"/>
            </w:tcBorders>
            <w:shd w:val="clear" w:color="auto" w:fill="auto"/>
          </w:tcPr>
          <w:p w14:paraId="1E37CAD2" w14:textId="0D220003" w:rsidR="00FF2D12" w:rsidRPr="002726A9" w:rsidRDefault="00FF2D12" w:rsidP="00C44305">
            <w:pPr>
              <w:pStyle w:val="Tableheader"/>
              <w:cnfStyle w:val="100000000000" w:firstRow="1" w:lastRow="0" w:firstColumn="0" w:lastColumn="0" w:oddVBand="0" w:evenVBand="0" w:oddHBand="0" w:evenHBand="0" w:firstRowFirstColumn="0" w:firstRowLastColumn="0" w:lastRowFirstColumn="0" w:lastRowLastColumn="0"/>
              <w:rPr>
                <w:b/>
                <w:bCs/>
                <w:sz w:val="18"/>
                <w:szCs w:val="18"/>
              </w:rPr>
            </w:pPr>
            <w:r w:rsidRPr="002726A9">
              <w:rPr>
                <w:b/>
                <w:bCs/>
                <w:sz w:val="18"/>
                <w:szCs w:val="18"/>
              </w:rPr>
              <w:t>Description</w:t>
            </w:r>
            <w:r w:rsidR="00CD09F6" w:rsidRPr="002726A9">
              <w:rPr>
                <w:b/>
                <w:bCs/>
                <w:sz w:val="18"/>
                <w:szCs w:val="18"/>
              </w:rPr>
              <w:t xml:space="preserve"> and relevant TOR items</w:t>
            </w:r>
          </w:p>
        </w:tc>
      </w:tr>
      <w:tr w:rsidR="00901C7B" w:rsidRPr="00AA1E32" w14:paraId="371BD91E" w14:textId="77777777" w:rsidTr="0064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8" w:space="0" w:color="007680"/>
              <w:left w:val="nil"/>
              <w:bottom w:val="single" w:sz="4" w:space="0" w:color="BFBFBF" w:themeColor="background1" w:themeShade="BF"/>
            </w:tcBorders>
          </w:tcPr>
          <w:p w14:paraId="7DD203B4" w14:textId="682617FA" w:rsidR="006D7932" w:rsidRPr="00611BAA" w:rsidRDefault="00E4252E" w:rsidP="00AE2D6E">
            <w:pPr>
              <w:pStyle w:val="BodyCopyNEW"/>
              <w:rPr>
                <w:szCs w:val="18"/>
              </w:rPr>
            </w:pPr>
            <w:r w:rsidRPr="00096BC3">
              <w:rPr>
                <w:szCs w:val="18"/>
              </w:rPr>
              <w:t>2</w:t>
            </w:r>
          </w:p>
        </w:tc>
        <w:tc>
          <w:tcPr>
            <w:tcW w:w="3544" w:type="dxa"/>
            <w:tcBorders>
              <w:top w:val="single" w:sz="8" w:space="0" w:color="007680"/>
              <w:bottom w:val="single" w:sz="4" w:space="0" w:color="BFBFBF" w:themeColor="background1" w:themeShade="BF"/>
            </w:tcBorders>
          </w:tcPr>
          <w:p w14:paraId="7CE5092C" w14:textId="1872C9B5" w:rsidR="006D7932" w:rsidRPr="00946300" w:rsidRDefault="00E4252E"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sidRPr="00946300">
              <w:rPr>
                <w:szCs w:val="18"/>
              </w:rPr>
              <w:t>Our recommendations and identified opportunities</w:t>
            </w:r>
          </w:p>
        </w:tc>
        <w:tc>
          <w:tcPr>
            <w:tcW w:w="4814" w:type="dxa"/>
            <w:tcBorders>
              <w:top w:val="single" w:sz="8" w:space="0" w:color="007680"/>
              <w:bottom w:val="single" w:sz="4" w:space="0" w:color="BFBFBF" w:themeColor="background1" w:themeShade="BF"/>
              <w:right w:val="nil"/>
            </w:tcBorders>
          </w:tcPr>
          <w:p w14:paraId="799DD5B1" w14:textId="2AF7795E" w:rsidR="006D7932" w:rsidRPr="004602AD" w:rsidRDefault="00BA4E1B"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sidRPr="00392AAF">
              <w:rPr>
                <w:rFonts w:cs="Calibri"/>
                <w:szCs w:val="18"/>
              </w:rPr>
              <w:t xml:space="preserve">A </w:t>
            </w:r>
            <w:r w:rsidRPr="00AA1E32">
              <w:rPr>
                <w:rFonts w:cs="Calibri"/>
                <w:szCs w:val="18"/>
              </w:rPr>
              <w:t>consolidated list of our recommendations and identified opportunities</w:t>
            </w:r>
          </w:p>
        </w:tc>
      </w:tr>
      <w:tr w:rsidR="00E4252E" w:rsidRPr="00AA1E32" w14:paraId="6AA97C3F" w14:textId="77777777" w:rsidTr="0064256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nil"/>
              <w:bottom w:val="single" w:sz="4" w:space="0" w:color="BFBFBF" w:themeColor="background1" w:themeShade="BF"/>
            </w:tcBorders>
          </w:tcPr>
          <w:p w14:paraId="13D97BFA" w14:textId="0728CBD1" w:rsidR="00E4252E" w:rsidRPr="00611BAA" w:rsidRDefault="0016716D" w:rsidP="00AE2D6E">
            <w:pPr>
              <w:pStyle w:val="BodyCopyNEW"/>
              <w:rPr>
                <w:szCs w:val="18"/>
              </w:rPr>
            </w:pPr>
            <w:r w:rsidRPr="00096BC3">
              <w:rPr>
                <w:szCs w:val="18"/>
              </w:rPr>
              <w:t>3</w:t>
            </w:r>
          </w:p>
        </w:tc>
        <w:tc>
          <w:tcPr>
            <w:tcW w:w="3544" w:type="dxa"/>
            <w:tcBorders>
              <w:top w:val="single" w:sz="4" w:space="0" w:color="BFBFBF" w:themeColor="background1" w:themeShade="BF"/>
              <w:bottom w:val="single" w:sz="4" w:space="0" w:color="BFBFBF" w:themeColor="background1" w:themeShade="BF"/>
            </w:tcBorders>
          </w:tcPr>
          <w:p w14:paraId="1975D614" w14:textId="431FCD35" w:rsidR="00E4252E" w:rsidRPr="00946300" w:rsidRDefault="0016716D" w:rsidP="00AE2D6E">
            <w:pPr>
              <w:pStyle w:val="BodyCopyNEW"/>
              <w:cnfStyle w:val="000000000000" w:firstRow="0" w:lastRow="0" w:firstColumn="0" w:lastColumn="0" w:oddVBand="0" w:evenVBand="0" w:oddHBand="0" w:evenHBand="0" w:firstRowFirstColumn="0" w:firstRowLastColumn="0" w:lastRowFirstColumn="0" w:lastRowLastColumn="0"/>
              <w:rPr>
                <w:szCs w:val="18"/>
              </w:rPr>
            </w:pPr>
            <w:r w:rsidRPr="00946300">
              <w:rPr>
                <w:szCs w:val="18"/>
              </w:rPr>
              <w:t>Review approach and method</w:t>
            </w:r>
          </w:p>
        </w:tc>
        <w:tc>
          <w:tcPr>
            <w:tcW w:w="4814" w:type="dxa"/>
            <w:tcBorders>
              <w:top w:val="single" w:sz="4" w:space="0" w:color="BFBFBF" w:themeColor="background1" w:themeShade="BF"/>
              <w:bottom w:val="single" w:sz="4" w:space="0" w:color="BFBFBF" w:themeColor="background1" w:themeShade="BF"/>
              <w:right w:val="nil"/>
            </w:tcBorders>
          </w:tcPr>
          <w:p w14:paraId="58A26FD7" w14:textId="361035E5" w:rsidR="00E4252E" w:rsidRPr="00911F0E" w:rsidRDefault="0016716D" w:rsidP="00AE2D6E">
            <w:pPr>
              <w:pStyle w:val="BodyCopyNEW"/>
              <w:cnfStyle w:val="000000000000" w:firstRow="0" w:lastRow="0" w:firstColumn="0" w:lastColumn="0" w:oddVBand="0" w:evenVBand="0" w:oddHBand="0" w:evenHBand="0" w:firstRowFirstColumn="0" w:firstRowLastColumn="0" w:lastRowFirstColumn="0" w:lastRowLastColumn="0"/>
              <w:rPr>
                <w:szCs w:val="18"/>
              </w:rPr>
            </w:pPr>
            <w:r w:rsidRPr="00392AAF">
              <w:rPr>
                <w:szCs w:val="18"/>
              </w:rPr>
              <w:t xml:space="preserve">An overview of the </w:t>
            </w:r>
            <w:r w:rsidRPr="00AA1E32">
              <w:rPr>
                <w:szCs w:val="18"/>
              </w:rPr>
              <w:t>review process we undertook to develop the report</w:t>
            </w:r>
          </w:p>
        </w:tc>
      </w:tr>
      <w:tr w:rsidR="00935F36" w:rsidRPr="00AA1E32" w14:paraId="3B6E81FB" w14:textId="77777777" w:rsidTr="0064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nil"/>
              <w:bottom w:val="single" w:sz="4" w:space="0" w:color="BFBFBF" w:themeColor="background1" w:themeShade="BF"/>
            </w:tcBorders>
          </w:tcPr>
          <w:p w14:paraId="3419CD04" w14:textId="53AB3754" w:rsidR="00935F36" w:rsidRPr="00611BAA" w:rsidRDefault="00641B41" w:rsidP="00AE2D6E">
            <w:pPr>
              <w:pStyle w:val="BodyCopyNEW"/>
              <w:rPr>
                <w:szCs w:val="18"/>
              </w:rPr>
            </w:pPr>
            <w:r w:rsidRPr="00096BC3">
              <w:rPr>
                <w:szCs w:val="18"/>
              </w:rPr>
              <w:t>4</w:t>
            </w:r>
          </w:p>
        </w:tc>
        <w:tc>
          <w:tcPr>
            <w:tcW w:w="3544" w:type="dxa"/>
            <w:tcBorders>
              <w:top w:val="single" w:sz="4" w:space="0" w:color="BFBFBF" w:themeColor="background1" w:themeShade="BF"/>
              <w:bottom w:val="single" w:sz="4" w:space="0" w:color="BFBFBF" w:themeColor="background1" w:themeShade="BF"/>
            </w:tcBorders>
          </w:tcPr>
          <w:p w14:paraId="5CDAD00B" w14:textId="24863A4F" w:rsidR="00935F36" w:rsidRPr="00392AAF" w:rsidRDefault="00935F36"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sidRPr="00946300">
              <w:rPr>
                <w:szCs w:val="18"/>
              </w:rPr>
              <w:t xml:space="preserve">Understanding the </w:t>
            </w:r>
            <w:r w:rsidR="00C128D4" w:rsidRPr="00946300">
              <w:rPr>
                <w:szCs w:val="18"/>
              </w:rPr>
              <w:t>current industry landscape</w:t>
            </w:r>
          </w:p>
        </w:tc>
        <w:tc>
          <w:tcPr>
            <w:tcW w:w="4814" w:type="dxa"/>
            <w:tcBorders>
              <w:top w:val="single" w:sz="4" w:space="0" w:color="BFBFBF" w:themeColor="background1" w:themeShade="BF"/>
              <w:bottom w:val="single" w:sz="4" w:space="0" w:color="BFBFBF" w:themeColor="background1" w:themeShade="BF"/>
              <w:right w:val="nil"/>
            </w:tcBorders>
          </w:tcPr>
          <w:p w14:paraId="516C1BAC" w14:textId="37669AD2" w:rsidR="00935F36" w:rsidRPr="00953CA5" w:rsidRDefault="00B07035"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sidRPr="00AA1E32">
              <w:rPr>
                <w:rFonts w:cs="Calibri"/>
                <w:szCs w:val="18"/>
              </w:rPr>
              <w:t>Identifying the future direction of the offshore industry in Australia, including key implications for NOPSEMA</w:t>
            </w:r>
          </w:p>
        </w:tc>
      </w:tr>
      <w:tr w:rsidR="00FF2D12" w:rsidRPr="00AA1E32" w14:paraId="2A652905" w14:textId="77777777" w:rsidTr="0064256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nil"/>
              <w:bottom w:val="single" w:sz="4" w:space="0" w:color="BFBFBF" w:themeColor="background1" w:themeShade="BF"/>
            </w:tcBorders>
          </w:tcPr>
          <w:p w14:paraId="57CC57E4" w14:textId="5BC7D651" w:rsidR="00FF2D12" w:rsidRPr="00611BAA" w:rsidRDefault="00641B41" w:rsidP="00AE2D6E">
            <w:pPr>
              <w:pStyle w:val="BodyCopyNEW"/>
              <w:rPr>
                <w:szCs w:val="18"/>
              </w:rPr>
            </w:pPr>
            <w:r w:rsidRPr="00096BC3">
              <w:rPr>
                <w:szCs w:val="18"/>
              </w:rPr>
              <w:t>5</w:t>
            </w:r>
          </w:p>
        </w:tc>
        <w:tc>
          <w:tcPr>
            <w:tcW w:w="3544" w:type="dxa"/>
            <w:tcBorders>
              <w:top w:val="single" w:sz="4" w:space="0" w:color="BFBFBF" w:themeColor="background1" w:themeShade="BF"/>
              <w:bottom w:val="single" w:sz="4" w:space="0" w:color="BFBFBF" w:themeColor="background1" w:themeShade="BF"/>
            </w:tcBorders>
          </w:tcPr>
          <w:p w14:paraId="55549C5F" w14:textId="630F40FF" w:rsidR="00FF2D12" w:rsidRPr="00946300" w:rsidRDefault="00240F23" w:rsidP="00AE2D6E">
            <w:pPr>
              <w:pStyle w:val="BodyCopyNEW"/>
              <w:cnfStyle w:val="000000000000" w:firstRow="0" w:lastRow="0" w:firstColumn="0" w:lastColumn="0" w:oddVBand="0" w:evenVBand="0" w:oddHBand="0" w:evenHBand="0" w:firstRowFirstColumn="0" w:firstRowLastColumn="0" w:lastRowFirstColumn="0" w:lastRowLastColumn="0"/>
              <w:rPr>
                <w:szCs w:val="18"/>
              </w:rPr>
            </w:pPr>
            <w:r w:rsidRPr="00946300">
              <w:rPr>
                <w:szCs w:val="18"/>
              </w:rPr>
              <w:t xml:space="preserve">How </w:t>
            </w:r>
            <w:r w:rsidR="006B535B">
              <w:rPr>
                <w:szCs w:val="18"/>
              </w:rPr>
              <w:t xml:space="preserve">does </w:t>
            </w:r>
            <w:r w:rsidRPr="00946300">
              <w:rPr>
                <w:szCs w:val="18"/>
              </w:rPr>
              <w:t>NOPSEMA enable improvements in industry</w:t>
            </w:r>
            <w:r w:rsidR="006B535B">
              <w:rPr>
                <w:szCs w:val="18"/>
              </w:rPr>
              <w:t>?</w:t>
            </w:r>
          </w:p>
        </w:tc>
        <w:tc>
          <w:tcPr>
            <w:tcW w:w="4814" w:type="dxa"/>
            <w:tcBorders>
              <w:top w:val="single" w:sz="4" w:space="0" w:color="BFBFBF" w:themeColor="background1" w:themeShade="BF"/>
              <w:bottom w:val="single" w:sz="4" w:space="0" w:color="BFBFBF" w:themeColor="background1" w:themeShade="BF"/>
              <w:right w:val="nil"/>
            </w:tcBorders>
          </w:tcPr>
          <w:p w14:paraId="52A1F5F2" w14:textId="77777777" w:rsidR="00FF2D12" w:rsidRPr="00392AAF" w:rsidRDefault="00FF2D12" w:rsidP="00AE2D6E">
            <w:pPr>
              <w:pStyle w:val="BodyCopyNEW"/>
              <w:cnfStyle w:val="000000000000" w:firstRow="0" w:lastRow="0" w:firstColumn="0" w:lastColumn="0" w:oddVBand="0" w:evenVBand="0" w:oddHBand="0" w:evenHBand="0" w:firstRowFirstColumn="0" w:firstRowLastColumn="0" w:lastRowFirstColumn="0" w:lastRowLastColumn="0"/>
              <w:rPr>
                <w:szCs w:val="18"/>
              </w:rPr>
            </w:pPr>
            <w:r w:rsidRPr="00392AAF">
              <w:rPr>
                <w:szCs w:val="18"/>
              </w:rPr>
              <w:t>TOR 1</w:t>
            </w:r>
          </w:p>
        </w:tc>
      </w:tr>
      <w:tr w:rsidR="00FF2D12" w:rsidRPr="00AA1E32" w14:paraId="06770355" w14:textId="77777777" w:rsidTr="0064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nil"/>
              <w:bottom w:val="single" w:sz="4" w:space="0" w:color="BFBFBF" w:themeColor="background1" w:themeShade="BF"/>
            </w:tcBorders>
          </w:tcPr>
          <w:p w14:paraId="05E37212" w14:textId="6C672852" w:rsidR="00FF2D12" w:rsidRPr="00611BAA" w:rsidRDefault="00641B41" w:rsidP="00AE2D6E">
            <w:pPr>
              <w:pStyle w:val="BodyCopyNEW"/>
              <w:rPr>
                <w:szCs w:val="18"/>
              </w:rPr>
            </w:pPr>
            <w:r w:rsidRPr="00096BC3">
              <w:rPr>
                <w:szCs w:val="18"/>
              </w:rPr>
              <w:t>6</w:t>
            </w:r>
          </w:p>
        </w:tc>
        <w:tc>
          <w:tcPr>
            <w:tcW w:w="3544" w:type="dxa"/>
            <w:tcBorders>
              <w:top w:val="single" w:sz="4" w:space="0" w:color="BFBFBF" w:themeColor="background1" w:themeShade="BF"/>
              <w:bottom w:val="single" w:sz="4" w:space="0" w:color="BFBFBF" w:themeColor="background1" w:themeShade="BF"/>
            </w:tcBorders>
          </w:tcPr>
          <w:p w14:paraId="019BDA6F" w14:textId="17D75B76" w:rsidR="00FF2D12" w:rsidRPr="00946300" w:rsidRDefault="00FF2D12"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sidRPr="00946300">
              <w:rPr>
                <w:szCs w:val="18"/>
              </w:rPr>
              <w:t xml:space="preserve">How </w:t>
            </w:r>
            <w:r w:rsidR="006B535B">
              <w:rPr>
                <w:szCs w:val="18"/>
              </w:rPr>
              <w:t xml:space="preserve">does </w:t>
            </w:r>
            <w:r w:rsidRPr="00946300">
              <w:rPr>
                <w:szCs w:val="18"/>
              </w:rPr>
              <w:t>NOPSEMA effectively regulate and use</w:t>
            </w:r>
            <w:r w:rsidR="00D2718C">
              <w:rPr>
                <w:szCs w:val="18"/>
              </w:rPr>
              <w:t>s</w:t>
            </w:r>
            <w:r w:rsidRPr="00946300">
              <w:rPr>
                <w:szCs w:val="18"/>
              </w:rPr>
              <w:t xml:space="preserve"> its power</w:t>
            </w:r>
            <w:r w:rsidR="006B535B">
              <w:rPr>
                <w:szCs w:val="18"/>
              </w:rPr>
              <w:t>s?</w:t>
            </w:r>
          </w:p>
        </w:tc>
        <w:tc>
          <w:tcPr>
            <w:tcW w:w="4814" w:type="dxa"/>
            <w:tcBorders>
              <w:top w:val="single" w:sz="4" w:space="0" w:color="BFBFBF" w:themeColor="background1" w:themeShade="BF"/>
              <w:bottom w:val="single" w:sz="4" w:space="0" w:color="BFBFBF" w:themeColor="background1" w:themeShade="BF"/>
              <w:right w:val="nil"/>
            </w:tcBorders>
          </w:tcPr>
          <w:p w14:paraId="48F552D1" w14:textId="77777777" w:rsidR="00FF2D12" w:rsidRPr="00096BC3" w:rsidRDefault="00FF2D12"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sidRPr="00392AAF">
              <w:rPr>
                <w:szCs w:val="18"/>
              </w:rPr>
              <w:t>TOR 4</w:t>
            </w:r>
          </w:p>
        </w:tc>
      </w:tr>
      <w:tr w:rsidR="00FF2D12" w:rsidRPr="00AA1E32" w14:paraId="357EB986" w14:textId="77777777" w:rsidTr="0064256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nil"/>
              <w:bottom w:val="single" w:sz="4" w:space="0" w:color="BFBFBF" w:themeColor="background1" w:themeShade="BF"/>
            </w:tcBorders>
          </w:tcPr>
          <w:p w14:paraId="1EC77A78" w14:textId="4EB0F232" w:rsidR="00FF2D12" w:rsidRPr="00611BAA" w:rsidRDefault="00641B41" w:rsidP="00AE2D6E">
            <w:pPr>
              <w:pStyle w:val="BodyCopyNEW"/>
              <w:rPr>
                <w:szCs w:val="18"/>
              </w:rPr>
            </w:pPr>
            <w:r w:rsidRPr="00096BC3">
              <w:rPr>
                <w:szCs w:val="18"/>
              </w:rPr>
              <w:lastRenderedPageBreak/>
              <w:t>7</w:t>
            </w:r>
          </w:p>
        </w:tc>
        <w:tc>
          <w:tcPr>
            <w:tcW w:w="3544" w:type="dxa"/>
            <w:tcBorders>
              <w:top w:val="single" w:sz="4" w:space="0" w:color="BFBFBF" w:themeColor="background1" w:themeShade="BF"/>
              <w:bottom w:val="single" w:sz="4" w:space="0" w:color="BFBFBF" w:themeColor="background1" w:themeShade="BF"/>
            </w:tcBorders>
          </w:tcPr>
          <w:p w14:paraId="65B215F9" w14:textId="14B69AF5" w:rsidR="00FF2D12" w:rsidRPr="00AA1E32" w:rsidRDefault="005538C4" w:rsidP="00AE2D6E">
            <w:pPr>
              <w:pStyle w:val="BodyCopyNEW"/>
              <w:cnfStyle w:val="000000000000" w:firstRow="0" w:lastRow="0" w:firstColumn="0" w:lastColumn="0" w:oddVBand="0" w:evenVBand="0" w:oddHBand="0" w:evenHBand="0" w:firstRowFirstColumn="0" w:firstRowLastColumn="0" w:lastRowFirstColumn="0" w:lastRowLastColumn="0"/>
              <w:rPr>
                <w:szCs w:val="18"/>
              </w:rPr>
            </w:pPr>
            <w:r>
              <w:rPr>
                <w:szCs w:val="18"/>
              </w:rPr>
              <w:t xml:space="preserve">How does </w:t>
            </w:r>
            <w:r w:rsidR="00327ACB" w:rsidRPr="00946300">
              <w:rPr>
                <w:szCs w:val="18"/>
              </w:rPr>
              <w:t>NOPSEMA</w:t>
            </w:r>
            <w:r w:rsidR="001900AC">
              <w:rPr>
                <w:szCs w:val="18"/>
              </w:rPr>
              <w:t xml:space="preserve"> regulate and respond to industry through its</w:t>
            </w:r>
            <w:r w:rsidR="00327ACB" w:rsidRPr="00946300">
              <w:rPr>
                <w:szCs w:val="18"/>
              </w:rPr>
              <w:t xml:space="preserve"> </w:t>
            </w:r>
            <w:r w:rsidR="00FF2D12" w:rsidRPr="00392AAF">
              <w:rPr>
                <w:szCs w:val="18"/>
              </w:rPr>
              <w:t>capability and capacity</w:t>
            </w:r>
            <w:r w:rsidR="001900AC">
              <w:rPr>
                <w:szCs w:val="18"/>
              </w:rPr>
              <w:t>?</w:t>
            </w:r>
          </w:p>
        </w:tc>
        <w:tc>
          <w:tcPr>
            <w:tcW w:w="4814" w:type="dxa"/>
            <w:tcBorders>
              <w:top w:val="single" w:sz="4" w:space="0" w:color="BFBFBF" w:themeColor="background1" w:themeShade="BF"/>
              <w:bottom w:val="single" w:sz="4" w:space="0" w:color="BFBFBF" w:themeColor="background1" w:themeShade="BF"/>
              <w:right w:val="nil"/>
            </w:tcBorders>
          </w:tcPr>
          <w:p w14:paraId="6E8D1580" w14:textId="77777777" w:rsidR="00FF2D12" w:rsidRPr="00911F0E" w:rsidRDefault="00FF2D12" w:rsidP="00AE2D6E">
            <w:pPr>
              <w:pStyle w:val="BodyCopyNEW"/>
              <w:cnfStyle w:val="000000000000" w:firstRow="0" w:lastRow="0" w:firstColumn="0" w:lastColumn="0" w:oddVBand="0" w:evenVBand="0" w:oddHBand="0" w:evenHBand="0" w:firstRowFirstColumn="0" w:firstRowLastColumn="0" w:lastRowFirstColumn="0" w:lastRowLastColumn="0"/>
              <w:rPr>
                <w:szCs w:val="18"/>
              </w:rPr>
            </w:pPr>
            <w:r w:rsidRPr="00911F0E">
              <w:rPr>
                <w:szCs w:val="18"/>
              </w:rPr>
              <w:t>TOR 11</w:t>
            </w:r>
          </w:p>
        </w:tc>
      </w:tr>
      <w:tr w:rsidR="00FF2D12" w:rsidRPr="00AA1E32" w14:paraId="3508C994" w14:textId="77777777" w:rsidTr="0064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nil"/>
              <w:bottom w:val="single" w:sz="4" w:space="0" w:color="BFBFBF" w:themeColor="background1" w:themeShade="BF"/>
            </w:tcBorders>
          </w:tcPr>
          <w:p w14:paraId="59A0246B" w14:textId="7254F84C" w:rsidR="00FF2D12" w:rsidRPr="00611BAA" w:rsidRDefault="00641B41" w:rsidP="00AE2D6E">
            <w:pPr>
              <w:pStyle w:val="BodyCopyNEW"/>
              <w:rPr>
                <w:szCs w:val="18"/>
              </w:rPr>
            </w:pPr>
            <w:r w:rsidRPr="00096BC3">
              <w:rPr>
                <w:szCs w:val="18"/>
              </w:rPr>
              <w:t>8</w:t>
            </w:r>
          </w:p>
        </w:tc>
        <w:tc>
          <w:tcPr>
            <w:tcW w:w="3544" w:type="dxa"/>
            <w:tcBorders>
              <w:top w:val="single" w:sz="4" w:space="0" w:color="BFBFBF" w:themeColor="background1" w:themeShade="BF"/>
              <w:bottom w:val="single" w:sz="4" w:space="0" w:color="BFBFBF" w:themeColor="background1" w:themeShade="BF"/>
            </w:tcBorders>
          </w:tcPr>
          <w:p w14:paraId="6FA1F56F" w14:textId="5DA306D3" w:rsidR="00FF2D12" w:rsidRPr="00946300" w:rsidRDefault="00FF2D12"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sidRPr="00946300">
              <w:rPr>
                <w:szCs w:val="18"/>
              </w:rPr>
              <w:t xml:space="preserve">How </w:t>
            </w:r>
            <w:r w:rsidR="00B96FDB">
              <w:rPr>
                <w:szCs w:val="18"/>
              </w:rPr>
              <w:t xml:space="preserve">does </w:t>
            </w:r>
            <w:r w:rsidR="00D2718C">
              <w:rPr>
                <w:szCs w:val="18"/>
              </w:rPr>
              <w:t>the</w:t>
            </w:r>
            <w:r w:rsidR="00D2718C" w:rsidRPr="00946300">
              <w:rPr>
                <w:szCs w:val="18"/>
              </w:rPr>
              <w:t xml:space="preserve"> </w:t>
            </w:r>
            <w:r w:rsidRPr="00946300">
              <w:rPr>
                <w:szCs w:val="18"/>
              </w:rPr>
              <w:t>NOPSEMA</w:t>
            </w:r>
            <w:r w:rsidR="00D2718C">
              <w:rPr>
                <w:szCs w:val="18"/>
              </w:rPr>
              <w:t xml:space="preserve"> Advisory</w:t>
            </w:r>
            <w:r w:rsidRPr="00946300">
              <w:rPr>
                <w:szCs w:val="18"/>
              </w:rPr>
              <w:t xml:space="preserve"> </w:t>
            </w:r>
            <w:r w:rsidR="00D2718C">
              <w:rPr>
                <w:szCs w:val="18"/>
              </w:rPr>
              <w:t>B</w:t>
            </w:r>
            <w:r w:rsidRPr="00946300">
              <w:rPr>
                <w:szCs w:val="18"/>
              </w:rPr>
              <w:t xml:space="preserve">oard enable </w:t>
            </w:r>
            <w:r w:rsidR="00D2718C">
              <w:rPr>
                <w:szCs w:val="18"/>
              </w:rPr>
              <w:t>NOPSEMA</w:t>
            </w:r>
            <w:r w:rsidRPr="00946300">
              <w:rPr>
                <w:szCs w:val="18"/>
              </w:rPr>
              <w:t xml:space="preserve"> to carry out its functions</w:t>
            </w:r>
            <w:r w:rsidR="00B96FDB">
              <w:rPr>
                <w:szCs w:val="18"/>
              </w:rPr>
              <w:t>?</w:t>
            </w:r>
          </w:p>
        </w:tc>
        <w:tc>
          <w:tcPr>
            <w:tcW w:w="4814" w:type="dxa"/>
            <w:tcBorders>
              <w:top w:val="single" w:sz="4" w:space="0" w:color="BFBFBF" w:themeColor="background1" w:themeShade="BF"/>
              <w:bottom w:val="single" w:sz="4" w:space="0" w:color="BFBFBF" w:themeColor="background1" w:themeShade="BF"/>
              <w:right w:val="nil"/>
            </w:tcBorders>
          </w:tcPr>
          <w:p w14:paraId="5C4097B4" w14:textId="77777777" w:rsidR="00FF2D12" w:rsidRPr="00392AAF" w:rsidRDefault="00FF2D12"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sidRPr="00392AAF">
              <w:rPr>
                <w:szCs w:val="18"/>
              </w:rPr>
              <w:t>TOR 7</w:t>
            </w:r>
          </w:p>
        </w:tc>
      </w:tr>
      <w:tr w:rsidR="00FF2D12" w:rsidRPr="00AA1E32" w14:paraId="4AB75B8D" w14:textId="77777777" w:rsidTr="0064256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nil"/>
              <w:bottom w:val="single" w:sz="4" w:space="0" w:color="BFBFBF" w:themeColor="background1" w:themeShade="BF"/>
            </w:tcBorders>
          </w:tcPr>
          <w:p w14:paraId="2D2A0FE7" w14:textId="174F85EB" w:rsidR="00FF2D12" w:rsidRPr="00611BAA" w:rsidRDefault="00641B41" w:rsidP="00AE2D6E">
            <w:pPr>
              <w:pStyle w:val="BodyCopyNEW"/>
              <w:rPr>
                <w:szCs w:val="18"/>
              </w:rPr>
            </w:pPr>
            <w:r w:rsidRPr="00096BC3">
              <w:rPr>
                <w:szCs w:val="18"/>
              </w:rPr>
              <w:t>9</w:t>
            </w:r>
          </w:p>
        </w:tc>
        <w:tc>
          <w:tcPr>
            <w:tcW w:w="3544" w:type="dxa"/>
            <w:tcBorders>
              <w:top w:val="single" w:sz="4" w:space="0" w:color="BFBFBF" w:themeColor="background1" w:themeShade="BF"/>
              <w:bottom w:val="single" w:sz="4" w:space="0" w:color="BFBFBF" w:themeColor="background1" w:themeShade="BF"/>
            </w:tcBorders>
          </w:tcPr>
          <w:p w14:paraId="41B0E24A" w14:textId="218375F8" w:rsidR="00FF2D12" w:rsidRPr="00392AAF" w:rsidRDefault="00AD628B" w:rsidP="00AE2D6E">
            <w:pPr>
              <w:pStyle w:val="BodyCopyNEW"/>
              <w:cnfStyle w:val="000000000000" w:firstRow="0" w:lastRow="0" w:firstColumn="0" w:lastColumn="0" w:oddVBand="0" w:evenVBand="0" w:oddHBand="0" w:evenHBand="0" w:firstRowFirstColumn="0" w:firstRowLastColumn="0" w:lastRowFirstColumn="0" w:lastRowLastColumn="0"/>
              <w:rPr>
                <w:szCs w:val="18"/>
              </w:rPr>
            </w:pPr>
            <w:r w:rsidRPr="00946300">
              <w:rPr>
                <w:szCs w:val="18"/>
              </w:rPr>
              <w:t xml:space="preserve">How </w:t>
            </w:r>
            <w:r w:rsidR="005E48E9">
              <w:rPr>
                <w:szCs w:val="18"/>
              </w:rPr>
              <w:t xml:space="preserve">does </w:t>
            </w:r>
            <w:r w:rsidRPr="00946300">
              <w:rPr>
                <w:szCs w:val="18"/>
              </w:rPr>
              <w:t>NOPSEMA effectively engage with external parties to improve regulatory outcomes and build community confidence</w:t>
            </w:r>
            <w:r w:rsidR="005E48E9">
              <w:rPr>
                <w:szCs w:val="18"/>
              </w:rPr>
              <w:t>?</w:t>
            </w:r>
          </w:p>
        </w:tc>
        <w:tc>
          <w:tcPr>
            <w:tcW w:w="4814" w:type="dxa"/>
            <w:tcBorders>
              <w:top w:val="single" w:sz="4" w:space="0" w:color="BFBFBF" w:themeColor="background1" w:themeShade="BF"/>
              <w:bottom w:val="single" w:sz="4" w:space="0" w:color="BFBFBF" w:themeColor="background1" w:themeShade="BF"/>
              <w:right w:val="nil"/>
            </w:tcBorders>
          </w:tcPr>
          <w:p w14:paraId="39E614C3" w14:textId="6DBF7476" w:rsidR="00FF2D12" w:rsidRPr="004602AD" w:rsidRDefault="00FF2D12" w:rsidP="00AE2D6E">
            <w:pPr>
              <w:pStyle w:val="BodyCopyNEW"/>
              <w:cnfStyle w:val="000000000000" w:firstRow="0" w:lastRow="0" w:firstColumn="0" w:lastColumn="0" w:oddVBand="0" w:evenVBand="0" w:oddHBand="0" w:evenHBand="0" w:firstRowFirstColumn="0" w:firstRowLastColumn="0" w:lastRowFirstColumn="0" w:lastRowLastColumn="0"/>
              <w:rPr>
                <w:szCs w:val="18"/>
              </w:rPr>
            </w:pPr>
            <w:r w:rsidRPr="00AA1E32">
              <w:rPr>
                <w:szCs w:val="18"/>
              </w:rPr>
              <w:t>TOR 5</w:t>
            </w:r>
            <w:r w:rsidR="00D07A33" w:rsidRPr="00911F0E">
              <w:rPr>
                <w:szCs w:val="18"/>
              </w:rPr>
              <w:t>, TOR 8</w:t>
            </w:r>
            <w:r w:rsidR="003236B1" w:rsidRPr="00911F0E">
              <w:rPr>
                <w:szCs w:val="18"/>
              </w:rPr>
              <w:t>,</w:t>
            </w:r>
            <w:r w:rsidR="00D07A33" w:rsidRPr="004602AD">
              <w:rPr>
                <w:szCs w:val="18"/>
              </w:rPr>
              <w:t xml:space="preserve"> and TOR 9</w:t>
            </w:r>
          </w:p>
        </w:tc>
      </w:tr>
      <w:tr w:rsidR="00FF2D12" w:rsidRPr="00AA1E32" w14:paraId="1B491E1A" w14:textId="77777777" w:rsidTr="0064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nil"/>
              <w:bottom w:val="single" w:sz="4" w:space="0" w:color="BFBFBF" w:themeColor="background1" w:themeShade="BF"/>
            </w:tcBorders>
          </w:tcPr>
          <w:p w14:paraId="0389ACBD" w14:textId="2315D0A7" w:rsidR="00FF2D12" w:rsidRPr="00611BAA" w:rsidRDefault="00641B41" w:rsidP="00AE2D6E">
            <w:pPr>
              <w:pStyle w:val="BodyCopyNEW"/>
              <w:rPr>
                <w:szCs w:val="18"/>
              </w:rPr>
            </w:pPr>
            <w:r w:rsidRPr="00096BC3">
              <w:rPr>
                <w:szCs w:val="18"/>
              </w:rPr>
              <w:t>10</w:t>
            </w:r>
          </w:p>
        </w:tc>
        <w:tc>
          <w:tcPr>
            <w:tcW w:w="3544" w:type="dxa"/>
            <w:tcBorders>
              <w:top w:val="single" w:sz="4" w:space="0" w:color="BFBFBF" w:themeColor="background1" w:themeShade="BF"/>
              <w:bottom w:val="single" w:sz="4" w:space="0" w:color="BFBFBF" w:themeColor="background1" w:themeShade="BF"/>
            </w:tcBorders>
          </w:tcPr>
          <w:p w14:paraId="53B49372" w14:textId="75B892E6" w:rsidR="00520CBB" w:rsidRPr="00946300" w:rsidRDefault="00520CBB"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Pr>
                <w:szCs w:val="18"/>
              </w:rPr>
              <w:t xml:space="preserve">How </w:t>
            </w:r>
            <w:r w:rsidR="003C37F4">
              <w:rPr>
                <w:szCs w:val="18"/>
              </w:rPr>
              <w:t>efficient is</w:t>
            </w:r>
            <w:r>
              <w:rPr>
                <w:szCs w:val="18"/>
              </w:rPr>
              <w:t xml:space="preserve"> NOPSEMA</w:t>
            </w:r>
            <w:r w:rsidR="003C37F4">
              <w:rPr>
                <w:szCs w:val="18"/>
              </w:rPr>
              <w:t>, and how does it</w:t>
            </w:r>
            <w:r>
              <w:rPr>
                <w:szCs w:val="18"/>
              </w:rPr>
              <w:t xml:space="preserve"> </w:t>
            </w:r>
            <w:r w:rsidR="00B16A1E">
              <w:rPr>
                <w:szCs w:val="18"/>
              </w:rPr>
              <w:t xml:space="preserve">reduce burden for industry </w:t>
            </w:r>
            <w:r w:rsidR="004C6384">
              <w:rPr>
                <w:szCs w:val="18"/>
              </w:rPr>
              <w:t>and recover costs?</w:t>
            </w:r>
          </w:p>
        </w:tc>
        <w:tc>
          <w:tcPr>
            <w:tcW w:w="4814" w:type="dxa"/>
            <w:tcBorders>
              <w:top w:val="single" w:sz="4" w:space="0" w:color="BFBFBF" w:themeColor="background1" w:themeShade="BF"/>
              <w:bottom w:val="single" w:sz="4" w:space="0" w:color="BFBFBF" w:themeColor="background1" w:themeShade="BF"/>
              <w:right w:val="nil"/>
            </w:tcBorders>
          </w:tcPr>
          <w:p w14:paraId="51894C83" w14:textId="683D39D2" w:rsidR="00FF2D12" w:rsidRPr="00911F0E" w:rsidRDefault="00FF2D12"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sidRPr="00392AAF">
              <w:rPr>
                <w:szCs w:val="18"/>
              </w:rPr>
              <w:t>TOR 10</w:t>
            </w:r>
            <w:r w:rsidR="003236B1" w:rsidRPr="00392AAF">
              <w:rPr>
                <w:szCs w:val="18"/>
              </w:rPr>
              <w:t xml:space="preserve"> and</w:t>
            </w:r>
            <w:r w:rsidRPr="00AA1E32">
              <w:rPr>
                <w:szCs w:val="18"/>
              </w:rPr>
              <w:t xml:space="preserve"> TOR 12</w:t>
            </w:r>
          </w:p>
        </w:tc>
      </w:tr>
      <w:tr w:rsidR="007312F2" w:rsidRPr="00AA1E32" w14:paraId="2B495E06" w14:textId="77777777" w:rsidTr="0064256D">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nil"/>
              <w:bottom w:val="single" w:sz="4" w:space="0" w:color="BFBFBF" w:themeColor="background1" w:themeShade="BF"/>
            </w:tcBorders>
          </w:tcPr>
          <w:p w14:paraId="71F746C3" w14:textId="3E1AD2B4" w:rsidR="007312F2" w:rsidRPr="00C07858" w:rsidRDefault="007312F2" w:rsidP="00AE2D6E">
            <w:pPr>
              <w:pStyle w:val="BodyCopyNEW"/>
              <w:rPr>
                <w:szCs w:val="18"/>
              </w:rPr>
            </w:pPr>
            <w:r>
              <w:rPr>
                <w:szCs w:val="18"/>
              </w:rPr>
              <w:t>11</w:t>
            </w:r>
          </w:p>
        </w:tc>
        <w:tc>
          <w:tcPr>
            <w:tcW w:w="3544" w:type="dxa"/>
            <w:tcBorders>
              <w:top w:val="single" w:sz="4" w:space="0" w:color="BFBFBF" w:themeColor="background1" w:themeShade="BF"/>
              <w:bottom w:val="single" w:sz="4" w:space="0" w:color="BFBFBF" w:themeColor="background1" w:themeShade="BF"/>
            </w:tcBorders>
          </w:tcPr>
          <w:p w14:paraId="36629BBB" w14:textId="17873898" w:rsidR="007312F2" w:rsidRPr="00C07858" w:rsidRDefault="007312F2" w:rsidP="00AE2D6E">
            <w:pPr>
              <w:pStyle w:val="BodyCopyNEW"/>
              <w:cnfStyle w:val="000000000000" w:firstRow="0" w:lastRow="0" w:firstColumn="0" w:lastColumn="0" w:oddVBand="0" w:evenVBand="0" w:oddHBand="0" w:evenHBand="0" w:firstRowFirstColumn="0" w:firstRowLastColumn="0" w:lastRowFirstColumn="0" w:lastRowLastColumn="0"/>
              <w:rPr>
                <w:szCs w:val="18"/>
              </w:rPr>
            </w:pPr>
            <w:r>
              <w:rPr>
                <w:szCs w:val="18"/>
              </w:rPr>
              <w:t>2020 Endorsed Program Assessment</w:t>
            </w:r>
          </w:p>
        </w:tc>
        <w:tc>
          <w:tcPr>
            <w:tcW w:w="4814" w:type="dxa"/>
            <w:tcBorders>
              <w:top w:val="single" w:sz="4" w:space="0" w:color="BFBFBF" w:themeColor="background1" w:themeShade="BF"/>
              <w:bottom w:val="single" w:sz="4" w:space="0" w:color="BFBFBF" w:themeColor="background1" w:themeShade="BF"/>
              <w:right w:val="nil"/>
            </w:tcBorders>
          </w:tcPr>
          <w:p w14:paraId="7FFD1631" w14:textId="0936D49D" w:rsidR="007312F2" w:rsidRPr="007C15D8" w:rsidRDefault="007312F2" w:rsidP="00AE2D6E">
            <w:pPr>
              <w:pStyle w:val="BodyCopyNEW"/>
              <w:cnfStyle w:val="000000000000" w:firstRow="0" w:lastRow="0" w:firstColumn="0" w:lastColumn="0" w:oddVBand="0" w:evenVBand="0" w:oddHBand="0" w:evenHBand="0" w:firstRowFirstColumn="0" w:firstRowLastColumn="0" w:lastRowFirstColumn="0" w:lastRowLastColumn="0"/>
              <w:rPr>
                <w:szCs w:val="18"/>
              </w:rPr>
            </w:pPr>
            <w:r w:rsidRPr="00946300">
              <w:rPr>
                <w:szCs w:val="18"/>
              </w:rPr>
              <w:t>TOR 2 and TOR 3</w:t>
            </w:r>
          </w:p>
        </w:tc>
      </w:tr>
      <w:tr w:rsidR="00FF2D12" w:rsidRPr="00AA1E32" w14:paraId="12189159" w14:textId="77777777" w:rsidTr="006425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single" w:sz="4" w:space="0" w:color="BFBFBF" w:themeColor="background1" w:themeShade="BF"/>
              <w:left w:val="nil"/>
              <w:bottom w:val="single" w:sz="4" w:space="0" w:color="BFBFBF" w:themeColor="background1" w:themeShade="BF"/>
            </w:tcBorders>
          </w:tcPr>
          <w:p w14:paraId="5F147D1F" w14:textId="32D02B8C" w:rsidR="00FF2D12" w:rsidRPr="00C07858" w:rsidRDefault="0016716D" w:rsidP="00AE2D6E">
            <w:pPr>
              <w:pStyle w:val="BodyCopyNEW"/>
              <w:rPr>
                <w:szCs w:val="18"/>
              </w:rPr>
            </w:pPr>
            <w:r w:rsidRPr="00C07858">
              <w:rPr>
                <w:szCs w:val="18"/>
              </w:rPr>
              <w:t>1</w:t>
            </w:r>
            <w:r w:rsidR="007312F2">
              <w:rPr>
                <w:szCs w:val="18"/>
              </w:rPr>
              <w:t>2</w:t>
            </w:r>
          </w:p>
        </w:tc>
        <w:tc>
          <w:tcPr>
            <w:tcW w:w="3544" w:type="dxa"/>
            <w:tcBorders>
              <w:top w:val="single" w:sz="4" w:space="0" w:color="BFBFBF" w:themeColor="background1" w:themeShade="BF"/>
              <w:bottom w:val="single" w:sz="4" w:space="0" w:color="BFBFBF" w:themeColor="background1" w:themeShade="BF"/>
            </w:tcBorders>
          </w:tcPr>
          <w:p w14:paraId="3010F883" w14:textId="006BFD2B" w:rsidR="00FF2D12" w:rsidRPr="00C07858" w:rsidRDefault="00A06337"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sidRPr="00C07858">
              <w:rPr>
                <w:szCs w:val="18"/>
              </w:rPr>
              <w:t>Strategic matters: Looking to the future industry</w:t>
            </w:r>
          </w:p>
        </w:tc>
        <w:tc>
          <w:tcPr>
            <w:tcW w:w="4814" w:type="dxa"/>
            <w:tcBorders>
              <w:top w:val="single" w:sz="4" w:space="0" w:color="BFBFBF" w:themeColor="background1" w:themeShade="BF"/>
              <w:bottom w:val="single" w:sz="4" w:space="0" w:color="BFBFBF" w:themeColor="background1" w:themeShade="BF"/>
              <w:right w:val="nil"/>
            </w:tcBorders>
          </w:tcPr>
          <w:p w14:paraId="161A82CC" w14:textId="177A6483" w:rsidR="00FF2D12" w:rsidRPr="00953CA5" w:rsidRDefault="00CC1E48" w:rsidP="00AE2D6E">
            <w:pPr>
              <w:pStyle w:val="BodyCopyNEW"/>
              <w:cnfStyle w:val="000000100000" w:firstRow="0" w:lastRow="0" w:firstColumn="0" w:lastColumn="0" w:oddVBand="0" w:evenVBand="0" w:oddHBand="1" w:evenHBand="0" w:firstRowFirstColumn="0" w:firstRowLastColumn="0" w:lastRowFirstColumn="0" w:lastRowLastColumn="0"/>
              <w:rPr>
                <w:szCs w:val="18"/>
              </w:rPr>
            </w:pPr>
            <w:r w:rsidRPr="00911F0E">
              <w:rPr>
                <w:rFonts w:cs="Calibri"/>
                <w:szCs w:val="18"/>
              </w:rPr>
              <w:t>A look ahead to addressing key industry trends and shifts and the potential impacts of the offshore legislative framework</w:t>
            </w:r>
          </w:p>
        </w:tc>
      </w:tr>
    </w:tbl>
    <w:p w14:paraId="42777FF8" w14:textId="398A368F" w:rsidR="004B089B" w:rsidRDefault="00097339" w:rsidP="004B089B">
      <w:pPr>
        <w:pStyle w:val="BodyCopyNEW"/>
        <w:spacing w:before="120"/>
      </w:pPr>
      <w:r w:rsidRPr="00611BAA">
        <w:rPr>
          <w:szCs w:val="18"/>
        </w:rPr>
        <w:t xml:space="preserve">TOR 6 has been </w:t>
      </w:r>
      <w:r w:rsidR="00713A09" w:rsidRPr="00946300">
        <w:rPr>
          <w:szCs w:val="18"/>
        </w:rPr>
        <w:t>examined as part of all relevant sections</w:t>
      </w:r>
      <w:r w:rsidR="00DF2AD0" w:rsidRPr="00946300">
        <w:rPr>
          <w:szCs w:val="18"/>
        </w:rPr>
        <w:t>. We</w:t>
      </w:r>
      <w:r w:rsidR="00713A09" w:rsidRPr="00392AAF">
        <w:rPr>
          <w:szCs w:val="18"/>
        </w:rPr>
        <w:t xml:space="preserve"> have collated the status of </w:t>
      </w:r>
      <w:r w:rsidR="00DF2AD0" w:rsidRPr="00392AAF">
        <w:rPr>
          <w:szCs w:val="18"/>
        </w:rPr>
        <w:t xml:space="preserve">progress against recommendations made in the 2015 </w:t>
      </w:r>
      <w:r w:rsidR="000B2AD3">
        <w:rPr>
          <w:szCs w:val="18"/>
        </w:rPr>
        <w:t>Statutory Review of NOPSEMA</w:t>
      </w:r>
      <w:r w:rsidR="00713A09" w:rsidRPr="00AA1E32">
        <w:rPr>
          <w:szCs w:val="18"/>
        </w:rPr>
        <w:t xml:space="preserve"> </w:t>
      </w:r>
      <w:r w:rsidR="00E91778" w:rsidRPr="00AF201E">
        <w:rPr>
          <w:szCs w:val="18"/>
        </w:rPr>
        <w:t xml:space="preserve">in </w:t>
      </w:r>
      <w:r w:rsidR="005C759E">
        <w:rPr>
          <w:b/>
          <w:szCs w:val="18"/>
        </w:rPr>
        <w:t>Appendix E</w:t>
      </w:r>
      <w:r w:rsidR="004B089B" w:rsidRPr="00FB310C">
        <w:rPr>
          <w:szCs w:val="18"/>
        </w:rPr>
        <w:t>.</w:t>
      </w:r>
    </w:p>
    <w:p w14:paraId="2A34692C" w14:textId="1AF84B8F" w:rsidR="001E3F70" w:rsidRDefault="00015057" w:rsidP="004B089B">
      <w:pPr>
        <w:pStyle w:val="BodyCopyNEW"/>
        <w:spacing w:before="120"/>
      </w:pPr>
      <w:r w:rsidRPr="00371A23">
        <w:t>All charts</w:t>
      </w:r>
      <w:r w:rsidR="0042182A" w:rsidRPr="00371A23">
        <w:t xml:space="preserve">, tables and figures with </w:t>
      </w:r>
      <w:r w:rsidR="00371A23" w:rsidRPr="00371A23">
        <w:t>the</w:t>
      </w:r>
      <w:r w:rsidR="0042182A" w:rsidRPr="00371A23">
        <w:t xml:space="preserve"> source </w:t>
      </w:r>
      <w:r w:rsidR="00371A23" w:rsidRPr="00371A23">
        <w:t xml:space="preserve">listed </w:t>
      </w:r>
      <w:r w:rsidR="0042182A" w:rsidRPr="00371A23">
        <w:t xml:space="preserve">as </w:t>
      </w:r>
      <w:r w:rsidR="0042182A" w:rsidRPr="00804C2F">
        <w:rPr>
          <w:i/>
          <w:iCs/>
        </w:rPr>
        <w:t>“</w:t>
      </w:r>
      <w:r w:rsidR="00804C2F" w:rsidRPr="00981F43">
        <w:rPr>
          <w:i/>
        </w:rPr>
        <w:t>Deloitte analysis adapted from NOPSEMA data</w:t>
      </w:r>
      <w:r w:rsidR="0042182A" w:rsidRPr="00804C2F">
        <w:rPr>
          <w:i/>
          <w:iCs/>
        </w:rPr>
        <w:t>”</w:t>
      </w:r>
      <w:r w:rsidR="0042182A" w:rsidRPr="00371A23">
        <w:t xml:space="preserve"> </w:t>
      </w:r>
      <w:r w:rsidR="00BA0A18">
        <w:t>are a reproduction of information</w:t>
      </w:r>
      <w:r w:rsidR="0042182A" w:rsidRPr="00371A23">
        <w:t xml:space="preserve"> </w:t>
      </w:r>
      <w:r w:rsidR="00D869B9" w:rsidRPr="00371A23">
        <w:t>using data from NOPSEMA</w:t>
      </w:r>
      <w:r w:rsidR="0042182A" w:rsidRPr="00371A23">
        <w:t xml:space="preserve"> provided to Deloitte </w:t>
      </w:r>
      <w:r w:rsidR="00371A23" w:rsidRPr="00371A23">
        <w:t>as part of</w:t>
      </w:r>
      <w:r w:rsidR="0042182A" w:rsidRPr="00371A23">
        <w:t xml:space="preserve"> this review</w:t>
      </w:r>
      <w:r w:rsidR="00445BEE" w:rsidRPr="00371A23">
        <w:t xml:space="preserve">. </w:t>
      </w:r>
    </w:p>
    <w:p w14:paraId="50A89088" w14:textId="0EEE7EDC" w:rsidR="00407A4D" w:rsidRDefault="00407A4D" w:rsidP="00AE2D6E">
      <w:pPr>
        <w:pStyle w:val="BodyCopyNEW"/>
      </w:pPr>
      <w:r>
        <w:t xml:space="preserve">All </w:t>
      </w:r>
      <w:r w:rsidR="00EB54E2">
        <w:t xml:space="preserve">monetary figures </w:t>
      </w:r>
      <w:r w:rsidR="00A85ECB">
        <w:t>contained within this report are</w:t>
      </w:r>
      <w:r w:rsidR="00EB54E2">
        <w:t xml:space="preserve"> in Australian Dollars unless otherwise specified. </w:t>
      </w:r>
    </w:p>
    <w:p w14:paraId="129D2997" w14:textId="366C7B97" w:rsidR="00FF2D12" w:rsidRDefault="00FF2D12" w:rsidP="00B75ABA">
      <w:pPr>
        <w:pStyle w:val="Heading1"/>
        <w:ind w:right="3485"/>
      </w:pPr>
      <w:bookmarkStart w:id="17" w:name="_Toc63970840"/>
      <w:r w:rsidRPr="00490F25">
        <w:lastRenderedPageBreak/>
        <w:t>Understanding the current industry landscape</w:t>
      </w:r>
      <w:bookmarkEnd w:id="17"/>
    </w:p>
    <w:p w14:paraId="369D616E" w14:textId="434CC6DA" w:rsidR="00A706C4" w:rsidRDefault="00A706C4" w:rsidP="00A706C4">
      <w:pPr>
        <w:pStyle w:val="Keypoints"/>
      </w:pPr>
    </w:p>
    <w:p w14:paraId="3F64331E" w14:textId="77777777" w:rsidR="000371EC" w:rsidRDefault="000371EC" w:rsidP="00A706C4">
      <w:pPr>
        <w:pStyle w:val="Keypoints"/>
      </w:pPr>
    </w:p>
    <w:p w14:paraId="1C06F5A1" w14:textId="363C9BA7" w:rsidR="000371EC" w:rsidRDefault="000371EC" w:rsidP="00A706C4">
      <w:pPr>
        <w:pStyle w:val="Keypoints"/>
      </w:pPr>
    </w:p>
    <w:p w14:paraId="79D5AB1B" w14:textId="77777777" w:rsidR="001E3F70" w:rsidRDefault="001E3F70" w:rsidP="00A706C4">
      <w:pPr>
        <w:pStyle w:val="Keypoints"/>
      </w:pPr>
    </w:p>
    <w:p w14:paraId="5B7AC255" w14:textId="15E96A3D" w:rsidR="008744A3" w:rsidRPr="00A706C4" w:rsidRDefault="00A706C4" w:rsidP="00A706C4">
      <w:pPr>
        <w:pStyle w:val="Keypoints"/>
      </w:pPr>
      <w:r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5529"/>
        <w:gridCol w:w="4335"/>
      </w:tblGrid>
      <w:tr w:rsidR="00377A91" w:rsidRPr="00377A91" w14:paraId="00A39479" w14:textId="77777777" w:rsidTr="00377A91">
        <w:trPr>
          <w:cnfStyle w:val="100000000000" w:firstRow="1" w:lastRow="0" w:firstColumn="0" w:lastColumn="0" w:oddVBand="0" w:evenVBand="0" w:oddHBand="0" w:evenHBand="0" w:firstRowFirstColumn="0" w:firstRowLastColumn="0" w:lastRowFirstColumn="0" w:lastRowLastColumn="0"/>
        </w:trPr>
        <w:tc>
          <w:tcPr>
            <w:tcW w:w="5529" w:type="dxa"/>
            <w:shd w:val="clear" w:color="auto" w:fill="auto"/>
          </w:tcPr>
          <w:p w14:paraId="2BD0891A" w14:textId="5C002692" w:rsidR="00A706C4" w:rsidRPr="00377A91" w:rsidRDefault="00D01D5C" w:rsidP="00A706C4">
            <w:pPr>
              <w:spacing w:after="120"/>
              <w:rPr>
                <w:rFonts w:ascii="Calibri" w:hAnsi="Calibri"/>
                <w:b/>
                <w:bCs/>
                <w:sz w:val="20"/>
                <w:szCs w:val="20"/>
              </w:rPr>
            </w:pPr>
            <w:r w:rsidRPr="00377A91">
              <w:rPr>
                <w:rFonts w:ascii="Calibri" w:hAnsi="Calibri"/>
                <w:b/>
                <w:bCs/>
                <w:sz w:val="20"/>
                <w:szCs w:val="20"/>
              </w:rPr>
              <w:t>The Australian offshore industry is maturing and will become increasingly complex</w:t>
            </w:r>
          </w:p>
          <w:p w14:paraId="1B46892C" w14:textId="10E9B52C" w:rsidR="008951B3" w:rsidRPr="006E36F2" w:rsidRDefault="008951B3" w:rsidP="008951B3">
            <w:pPr>
              <w:spacing w:after="120"/>
              <w:rPr>
                <w:rFonts w:ascii="Calibri Light" w:hAnsi="Calibri Light"/>
              </w:rPr>
            </w:pPr>
            <w:r w:rsidRPr="006E36F2">
              <w:rPr>
                <w:rFonts w:ascii="Calibri Light" w:hAnsi="Calibri Light"/>
              </w:rPr>
              <w:t xml:space="preserve">The report </w:t>
            </w:r>
            <w:r w:rsidR="00AC7FC2" w:rsidRPr="006E36F2">
              <w:rPr>
                <w:rFonts w:ascii="Calibri Light" w:hAnsi="Calibri Light"/>
              </w:rPr>
              <w:t>should be considered in light of</w:t>
            </w:r>
            <w:r w:rsidRPr="006E36F2">
              <w:rPr>
                <w:rFonts w:ascii="Calibri Light" w:hAnsi="Calibri Light"/>
              </w:rPr>
              <w:t xml:space="preserve"> future </w:t>
            </w:r>
            <w:r w:rsidR="00AC7FC2" w:rsidRPr="006E36F2">
              <w:rPr>
                <w:rFonts w:ascii="Calibri Light" w:hAnsi="Calibri Light"/>
              </w:rPr>
              <w:t xml:space="preserve">industry </w:t>
            </w:r>
            <w:r w:rsidRPr="006E36F2">
              <w:rPr>
                <w:rFonts w:ascii="Calibri Light" w:hAnsi="Calibri Light"/>
              </w:rPr>
              <w:t>direction</w:t>
            </w:r>
            <w:r w:rsidR="00AC7FC2" w:rsidRPr="006E36F2">
              <w:rPr>
                <w:rFonts w:ascii="Calibri Light" w:hAnsi="Calibri Light"/>
              </w:rPr>
              <w:t>s</w:t>
            </w:r>
            <w:r w:rsidRPr="006E36F2">
              <w:rPr>
                <w:rFonts w:ascii="Calibri Light" w:hAnsi="Calibri Light"/>
              </w:rPr>
              <w:t>. Whilst the review is necessarily ‘backwards looking,’ the recommendations we make and our observations have been informed by where we think the industry, and therefore NOP</w:t>
            </w:r>
            <w:r w:rsidR="00A973DA" w:rsidRPr="006E36F2">
              <w:rPr>
                <w:rFonts w:ascii="Calibri Light" w:hAnsi="Calibri Light"/>
              </w:rPr>
              <w:t>SEM</w:t>
            </w:r>
            <w:r w:rsidRPr="006E36F2">
              <w:rPr>
                <w:rFonts w:ascii="Calibri Light" w:hAnsi="Calibri Light"/>
              </w:rPr>
              <w:t xml:space="preserve">A, will shift to in future. </w:t>
            </w:r>
          </w:p>
          <w:p w14:paraId="7C091374" w14:textId="77777777" w:rsidR="008951B3" w:rsidRPr="006E36F2" w:rsidRDefault="008951B3" w:rsidP="008951B3">
            <w:pPr>
              <w:spacing w:after="120"/>
              <w:rPr>
                <w:rFonts w:ascii="Calibri Light" w:hAnsi="Calibri Light"/>
              </w:rPr>
            </w:pPr>
            <w:r w:rsidRPr="006E36F2">
              <w:rPr>
                <w:rFonts w:ascii="Calibri Light" w:hAnsi="Calibri Light"/>
              </w:rPr>
              <w:t>Within the industry, cost pressures, economic uncertainty, and a decommissioning ‘wave’ all serve to create a challenging environment for operators and the government bodies with responsibility for overseeing the industry. These challenges occur against the backdrop of pressures to decarbonise and the energy transition.</w:t>
            </w:r>
          </w:p>
          <w:p w14:paraId="033C4B5F" w14:textId="22EA0D3C" w:rsidR="008951B3" w:rsidRPr="006E36F2" w:rsidRDefault="008951B3" w:rsidP="008951B3">
            <w:pPr>
              <w:spacing w:after="120"/>
              <w:rPr>
                <w:rFonts w:ascii="Calibri Light" w:hAnsi="Calibri Light"/>
              </w:rPr>
            </w:pPr>
            <w:r w:rsidRPr="006E36F2">
              <w:rPr>
                <w:rFonts w:ascii="Calibri Light" w:hAnsi="Calibri Light"/>
              </w:rPr>
              <w:t>As the industry matures, we expect to see divestments from Australia by larger operators and the subsequent entry of smaller operators looking to manage increasingly marginal fields. There will be an increase in transaction and decommissioning activity. As a consequence, there will also be new risks for industry and the Government to oversee. The expertise</w:t>
            </w:r>
            <w:r w:rsidR="00CF6686" w:rsidRPr="006E36F2">
              <w:rPr>
                <w:rFonts w:ascii="Calibri Light" w:hAnsi="Calibri Light"/>
              </w:rPr>
              <w:t xml:space="preserve">, </w:t>
            </w:r>
            <w:r w:rsidRPr="006E36F2">
              <w:rPr>
                <w:rFonts w:ascii="Calibri Light" w:hAnsi="Calibri Light"/>
              </w:rPr>
              <w:t xml:space="preserve">knowledge </w:t>
            </w:r>
            <w:r w:rsidR="00CF6686" w:rsidRPr="006E36F2">
              <w:rPr>
                <w:rFonts w:ascii="Calibri Light" w:hAnsi="Calibri Light"/>
              </w:rPr>
              <w:t xml:space="preserve">and skillset </w:t>
            </w:r>
            <w:r w:rsidRPr="006E36F2">
              <w:rPr>
                <w:rFonts w:ascii="Calibri Light" w:hAnsi="Calibri Light"/>
              </w:rPr>
              <w:t xml:space="preserve">required to </w:t>
            </w:r>
            <w:r w:rsidR="00B00B5D" w:rsidRPr="006E36F2">
              <w:rPr>
                <w:rFonts w:ascii="Calibri Light" w:hAnsi="Calibri Light"/>
              </w:rPr>
              <w:t xml:space="preserve">effectively navigate </w:t>
            </w:r>
            <w:r w:rsidRPr="006E36F2">
              <w:rPr>
                <w:rFonts w:ascii="Calibri Light" w:hAnsi="Calibri Light"/>
              </w:rPr>
              <w:t xml:space="preserve">many of these risks may </w:t>
            </w:r>
            <w:r w:rsidR="00CF6686" w:rsidRPr="006E36F2">
              <w:rPr>
                <w:rFonts w:ascii="Calibri Light" w:hAnsi="Calibri Light"/>
              </w:rPr>
              <w:t>need to be globally sourced</w:t>
            </w:r>
            <w:r w:rsidRPr="006E36F2">
              <w:rPr>
                <w:rFonts w:ascii="Calibri Light" w:hAnsi="Calibri Light"/>
              </w:rPr>
              <w:t>.</w:t>
            </w:r>
          </w:p>
          <w:p w14:paraId="7983DCEC" w14:textId="7A9EEF38" w:rsidR="00EF3DB3" w:rsidRPr="006E36F2" w:rsidRDefault="008951B3" w:rsidP="00901C7B">
            <w:pPr>
              <w:rPr>
                <w:rFonts w:ascii="Calibri Light" w:hAnsi="Calibri Light"/>
                <w:sz w:val="20"/>
                <w:szCs w:val="20"/>
              </w:rPr>
            </w:pPr>
            <w:r w:rsidRPr="006E36F2">
              <w:rPr>
                <w:rFonts w:ascii="Calibri Light" w:hAnsi="Calibri Light"/>
              </w:rPr>
              <w:t xml:space="preserve">As the result of a myriad of factors, each interconnected, we expect the industry activities and </w:t>
            </w:r>
            <w:r w:rsidR="00336B6F" w:rsidRPr="006E36F2">
              <w:rPr>
                <w:rFonts w:ascii="Calibri Light" w:hAnsi="Calibri Light"/>
              </w:rPr>
              <w:t>regulatory</w:t>
            </w:r>
            <w:r w:rsidRPr="006E36F2">
              <w:rPr>
                <w:rFonts w:ascii="Calibri Light" w:hAnsi="Calibri Light"/>
              </w:rPr>
              <w:t xml:space="preserve"> activities to increase in complexity. </w:t>
            </w:r>
          </w:p>
          <w:p w14:paraId="71E8BF3A" w14:textId="3EE17F6E" w:rsidR="0091660C" w:rsidRPr="00377A91" w:rsidRDefault="0091660C" w:rsidP="00901C7B">
            <w:pPr>
              <w:spacing w:after="120"/>
              <w:rPr>
                <w:rFonts w:ascii="Calibri" w:hAnsi="Calibri"/>
                <w:b/>
                <w:bCs/>
                <w:sz w:val="20"/>
                <w:szCs w:val="20"/>
              </w:rPr>
            </w:pPr>
            <w:r w:rsidRPr="00377A91">
              <w:rPr>
                <w:rFonts w:ascii="Calibri" w:hAnsi="Calibri"/>
                <w:b/>
                <w:bCs/>
                <w:sz w:val="20"/>
                <w:szCs w:val="20"/>
              </w:rPr>
              <w:t>Offshore GHG functions overseen by NOP</w:t>
            </w:r>
            <w:r w:rsidR="00336B6F" w:rsidRPr="00377A91">
              <w:rPr>
                <w:rFonts w:ascii="Calibri" w:hAnsi="Calibri"/>
                <w:b/>
                <w:bCs/>
                <w:sz w:val="20"/>
                <w:szCs w:val="20"/>
              </w:rPr>
              <w:t>SEM</w:t>
            </w:r>
            <w:r w:rsidRPr="00377A91">
              <w:rPr>
                <w:rFonts w:ascii="Calibri" w:hAnsi="Calibri"/>
                <w:b/>
                <w:bCs/>
                <w:sz w:val="20"/>
                <w:szCs w:val="20"/>
              </w:rPr>
              <w:t xml:space="preserve">A are an emergent industry </w:t>
            </w:r>
          </w:p>
          <w:p w14:paraId="34E73712" w14:textId="07F5E5F2" w:rsidR="00A706C4" w:rsidRPr="006E36F2" w:rsidRDefault="0091660C" w:rsidP="00901C7B">
            <w:r w:rsidRPr="006E36F2">
              <w:rPr>
                <w:rFonts w:ascii="Calibri Light" w:hAnsi="Calibri Light"/>
              </w:rPr>
              <w:t>NOP</w:t>
            </w:r>
            <w:r w:rsidR="00336B6F" w:rsidRPr="006E36F2">
              <w:rPr>
                <w:rFonts w:ascii="Calibri Light" w:hAnsi="Calibri Light"/>
              </w:rPr>
              <w:t>SEM</w:t>
            </w:r>
            <w:r w:rsidRPr="006E36F2">
              <w:rPr>
                <w:rFonts w:ascii="Calibri Light" w:hAnsi="Calibri Light"/>
              </w:rPr>
              <w:t xml:space="preserve">A also oversee an emergent industry in offshore GHG storage. At this stage, only </w:t>
            </w:r>
            <w:r w:rsidR="002A1037" w:rsidRPr="006E36F2">
              <w:rPr>
                <w:rFonts w:ascii="Calibri Light" w:hAnsi="Calibri Light"/>
              </w:rPr>
              <w:t>four</w:t>
            </w:r>
            <w:r w:rsidRPr="006E36F2">
              <w:rPr>
                <w:rFonts w:ascii="Calibri Light" w:hAnsi="Calibri Light"/>
              </w:rPr>
              <w:t xml:space="preserve"> GHG storage titles have been awarded, all in the state of Victoria. Demand from industry and therefore NOP</w:t>
            </w:r>
            <w:r w:rsidR="00336B6F" w:rsidRPr="006E36F2">
              <w:rPr>
                <w:rFonts w:ascii="Calibri Light" w:hAnsi="Calibri Light"/>
              </w:rPr>
              <w:t>SEM</w:t>
            </w:r>
            <w:r w:rsidRPr="006E36F2">
              <w:rPr>
                <w:rFonts w:ascii="Calibri Light" w:hAnsi="Calibri Light"/>
              </w:rPr>
              <w:t>A’s capability and capacity requirements in this space are not fully known. The aforementioned drive to decarbonise and shift to cleaner forms of energy production may stimulate future demand for GHG storage activities.</w:t>
            </w:r>
          </w:p>
        </w:tc>
        <w:tc>
          <w:tcPr>
            <w:tcW w:w="4335" w:type="dxa"/>
            <w:shd w:val="clear" w:color="auto" w:fill="auto"/>
          </w:tcPr>
          <w:p w14:paraId="7A481CEC" w14:textId="1F7784D9" w:rsidR="008F73C6" w:rsidRPr="00377A91" w:rsidRDefault="008F73C6" w:rsidP="00901C7B">
            <w:pPr>
              <w:rPr>
                <w:rFonts w:ascii="Calibri Light" w:hAnsi="Calibri Light"/>
                <w:b/>
                <w:bCs/>
                <w:sz w:val="20"/>
                <w:szCs w:val="20"/>
              </w:rPr>
            </w:pPr>
            <w:r w:rsidRPr="00377A91">
              <w:rPr>
                <w:rFonts w:ascii="Calibri" w:hAnsi="Calibri"/>
                <w:b/>
                <w:bCs/>
                <w:sz w:val="20"/>
                <w:szCs w:val="20"/>
              </w:rPr>
              <w:t>There are clear implications of the future industry for NOPSEMA to consider now</w:t>
            </w:r>
          </w:p>
          <w:p w14:paraId="703B4A70" w14:textId="4866BB56" w:rsidR="001B190E" w:rsidRPr="006E36F2" w:rsidRDefault="001B190E" w:rsidP="00A706C4">
            <w:pPr>
              <w:spacing w:after="120"/>
              <w:rPr>
                <w:rFonts w:ascii="Calibri Light" w:hAnsi="Calibri Light"/>
                <w:sz w:val="20"/>
                <w:szCs w:val="20"/>
              </w:rPr>
            </w:pPr>
            <w:r w:rsidRPr="006E36F2">
              <w:rPr>
                <w:rFonts w:ascii="Calibri Light" w:hAnsi="Calibri Light"/>
              </w:rPr>
              <w:t>Implications we have identified include:</w:t>
            </w:r>
          </w:p>
          <w:p w14:paraId="015F2A45" w14:textId="77777777" w:rsidR="001B190E" w:rsidRPr="006E36F2" w:rsidRDefault="001B190E" w:rsidP="000C1F53">
            <w:pPr>
              <w:pStyle w:val="BodycopyNEW0"/>
              <w:numPr>
                <w:ilvl w:val="0"/>
                <w:numId w:val="23"/>
              </w:numPr>
              <w:ind w:left="426"/>
            </w:pPr>
            <w:r w:rsidRPr="006E36F2">
              <w:t>Importance of reducing regulatory burden and streamlining regulatory processes, where appropriate, to support an industry facing cost pressures from economic headwinds whilst ensuring adherence to safety and environmental regulations</w:t>
            </w:r>
          </w:p>
          <w:p w14:paraId="3AE5499F" w14:textId="282DB719" w:rsidR="001B190E" w:rsidRPr="006E36F2" w:rsidRDefault="001B190E" w:rsidP="000C1F53">
            <w:pPr>
              <w:pStyle w:val="BodycopyNEW0"/>
              <w:numPr>
                <w:ilvl w:val="0"/>
                <w:numId w:val="23"/>
              </w:numPr>
              <w:ind w:left="426"/>
            </w:pPr>
            <w:r w:rsidRPr="006E36F2">
              <w:t>Ability to be agile and adaptable to changing industry characteristics, policy, and legislation</w:t>
            </w:r>
          </w:p>
          <w:p w14:paraId="09462737" w14:textId="77777777" w:rsidR="001B190E" w:rsidRPr="006E36F2" w:rsidRDefault="001B190E" w:rsidP="000C1F53">
            <w:pPr>
              <w:pStyle w:val="BodycopyNEW0"/>
              <w:numPr>
                <w:ilvl w:val="0"/>
                <w:numId w:val="23"/>
              </w:numPr>
              <w:ind w:left="426"/>
            </w:pPr>
            <w:r w:rsidRPr="006E36F2">
              <w:t>Ability to raise safety and environment performance of an industry that will become more diverse, fragmented and cost-focused over time</w:t>
            </w:r>
          </w:p>
          <w:p w14:paraId="635B2EBD" w14:textId="77777777" w:rsidR="001B190E" w:rsidRPr="006E36F2" w:rsidRDefault="001B190E" w:rsidP="000C1F53">
            <w:pPr>
              <w:pStyle w:val="BodycopyNEW0"/>
              <w:numPr>
                <w:ilvl w:val="0"/>
                <w:numId w:val="23"/>
              </w:numPr>
              <w:ind w:left="426"/>
            </w:pPr>
            <w:r w:rsidRPr="006E36F2">
              <w:t>Need for greater collaboration and integration across Government to address strategic industry challenges in relation to supporting the prudent and efficient management of decommissioning</w:t>
            </w:r>
          </w:p>
          <w:p w14:paraId="3C1CE69F" w14:textId="77777777" w:rsidR="001B190E" w:rsidRPr="006E36F2" w:rsidRDefault="001B190E" w:rsidP="000C1F53">
            <w:pPr>
              <w:pStyle w:val="BodycopyNEW0"/>
              <w:numPr>
                <w:ilvl w:val="0"/>
                <w:numId w:val="23"/>
              </w:numPr>
              <w:ind w:left="426"/>
            </w:pPr>
            <w:r w:rsidRPr="006E36F2">
              <w:t>Ability to rapidly develop new or enhance existing capabilities, people, systems and processes to support changes noted above</w:t>
            </w:r>
          </w:p>
          <w:p w14:paraId="3BC8330F" w14:textId="77777777" w:rsidR="001B190E" w:rsidRPr="006E36F2" w:rsidRDefault="001B190E" w:rsidP="000C1F53">
            <w:pPr>
              <w:pStyle w:val="BodycopyNEW0"/>
              <w:numPr>
                <w:ilvl w:val="0"/>
                <w:numId w:val="23"/>
              </w:numPr>
              <w:ind w:left="426"/>
            </w:pPr>
            <w:r w:rsidRPr="006E36F2">
              <w:t>A sustainable way to manage regulation of a maturing industry (petroleum) and emerging industry (GHG storage), particularly where cost recovered revenue may come under pressure</w:t>
            </w:r>
          </w:p>
          <w:p w14:paraId="0A5BA35D" w14:textId="77777777" w:rsidR="001B190E" w:rsidRPr="006E36F2" w:rsidRDefault="001B190E" w:rsidP="000C1F53">
            <w:pPr>
              <w:pStyle w:val="BodycopyNEW0"/>
              <w:numPr>
                <w:ilvl w:val="0"/>
                <w:numId w:val="23"/>
              </w:numPr>
              <w:ind w:left="426"/>
            </w:pPr>
            <w:r w:rsidRPr="006E36F2">
              <w:t>A sustainable and transparent approach to engaging with a diverse and increasingly complex stakeholder ecosystem.</w:t>
            </w:r>
          </w:p>
          <w:p w14:paraId="25386C68" w14:textId="6134957D" w:rsidR="00A706C4" w:rsidRPr="00377A91" w:rsidRDefault="00A706C4" w:rsidP="00901C7B">
            <w:pPr>
              <w:rPr>
                <w:rFonts w:ascii="Calibri Light" w:hAnsi="Calibri Light"/>
              </w:rPr>
            </w:pPr>
          </w:p>
        </w:tc>
      </w:tr>
    </w:tbl>
    <w:p w14:paraId="0BD2110B" w14:textId="77777777" w:rsidR="001E3F70" w:rsidRDefault="001E3F70" w:rsidP="00AE2D6E">
      <w:pPr>
        <w:pStyle w:val="BodyCopyNEW"/>
        <w:sectPr w:rsidR="001E3F70" w:rsidSect="002B0B05">
          <w:headerReference w:type="default" r:id="rId26"/>
          <w:type w:val="continuous"/>
          <w:pgSz w:w="11906" w:h="16838" w:code="9"/>
          <w:pgMar w:top="1985" w:right="1021" w:bottom="1134" w:left="1021" w:header="680" w:footer="425" w:gutter="0"/>
          <w:cols w:space="284"/>
          <w:docGrid w:linePitch="360"/>
        </w:sectPr>
      </w:pPr>
    </w:p>
    <w:p w14:paraId="1EDCB368" w14:textId="13DB57AE" w:rsidR="003F15DA" w:rsidRDefault="002B0B05">
      <w:pPr>
        <w:spacing w:after="0"/>
        <w:rPr>
          <w:rFonts w:ascii="Calibri Light" w:hAnsi="Calibri Light" w:cs="Calibri Light"/>
          <w:szCs w:val="20"/>
        </w:rPr>
      </w:pPr>
      <w:r>
        <w:rPr>
          <w:noProof/>
          <w:lang w:eastAsia="en-AU"/>
        </w:rPr>
        <w:drawing>
          <wp:anchor distT="0" distB="0" distL="114300" distR="114300" simplePos="0" relativeHeight="251658244" behindDoc="1" locked="0" layoutInCell="1" allowOverlap="1" wp14:anchorId="755C9C00" wp14:editId="5C83A9C5">
            <wp:simplePos x="0" y="0"/>
            <wp:positionH relativeFrom="page">
              <wp:posOffset>0</wp:posOffset>
            </wp:positionH>
            <wp:positionV relativeFrom="paragraph">
              <wp:posOffset>-9761855</wp:posOffset>
            </wp:positionV>
            <wp:extent cx="7559675" cy="10693400"/>
            <wp:effectExtent l="0" t="0" r="317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r w:rsidR="003F15DA">
        <w:br w:type="page"/>
      </w:r>
    </w:p>
    <w:p w14:paraId="60BF58D8" w14:textId="7FC9B52B" w:rsidR="003F15DA" w:rsidRDefault="0044005D" w:rsidP="00901C7B">
      <w:pPr>
        <w:pStyle w:val="BodyCopyNEW"/>
      </w:pPr>
      <w:r>
        <w:lastRenderedPageBreak/>
        <w:t xml:space="preserve">This section </w:t>
      </w:r>
      <w:r w:rsidR="00EE40DD">
        <w:t xml:space="preserve">seeks to lay the foundation for what the future of the industry NOPSEMA regulates might look like </w:t>
      </w:r>
      <w:r w:rsidR="00FB461D">
        <w:t xml:space="preserve">and </w:t>
      </w:r>
      <w:r w:rsidR="00826BD6">
        <w:t>what we must consider in making our recommendations. We begin</w:t>
      </w:r>
      <w:r w:rsidR="005067E3">
        <w:t xml:space="preserve"> </w:t>
      </w:r>
      <w:r w:rsidR="00DB4274">
        <w:t xml:space="preserve">in </w:t>
      </w:r>
      <w:r w:rsidR="00DB4274" w:rsidRPr="00901C7B">
        <w:rPr>
          <w:b/>
          <w:bCs/>
        </w:rPr>
        <w:t xml:space="preserve">subsection </w:t>
      </w:r>
      <w:r w:rsidR="00DB4274" w:rsidRPr="00901C7B">
        <w:rPr>
          <w:b/>
          <w:bCs/>
        </w:rPr>
        <w:fldChar w:fldCharType="begin"/>
      </w:r>
      <w:r w:rsidR="00DB4274" w:rsidRPr="00901C7B">
        <w:rPr>
          <w:b/>
          <w:bCs/>
        </w:rPr>
        <w:instrText xml:space="preserve"> REF _Ref58592326 \r \h </w:instrText>
      </w:r>
      <w:r w:rsidR="00DB4274">
        <w:rPr>
          <w:b/>
          <w:bCs/>
        </w:rPr>
        <w:instrText xml:space="preserve"> \* MERGEFORMAT </w:instrText>
      </w:r>
      <w:r w:rsidR="00DB4274" w:rsidRPr="00901C7B">
        <w:rPr>
          <w:b/>
          <w:bCs/>
        </w:rPr>
      </w:r>
      <w:r w:rsidR="00DB4274" w:rsidRPr="00901C7B">
        <w:rPr>
          <w:b/>
          <w:bCs/>
        </w:rPr>
        <w:fldChar w:fldCharType="separate"/>
      </w:r>
      <w:r w:rsidR="00E816B8">
        <w:rPr>
          <w:b/>
          <w:bCs/>
        </w:rPr>
        <w:t>4.1</w:t>
      </w:r>
      <w:r w:rsidR="00DB4274" w:rsidRPr="00901C7B">
        <w:rPr>
          <w:b/>
          <w:bCs/>
        </w:rPr>
        <w:fldChar w:fldCharType="end"/>
      </w:r>
      <w:r w:rsidR="00DB4274">
        <w:t xml:space="preserve"> </w:t>
      </w:r>
      <w:r w:rsidR="005067E3">
        <w:t xml:space="preserve">with a discussion of the industry landscape as we see it evolving </w:t>
      </w:r>
      <w:r w:rsidR="006618B4">
        <w:t>including</w:t>
      </w:r>
      <w:r w:rsidR="005067E3">
        <w:t xml:space="preserve"> the likely trends and risks </w:t>
      </w:r>
      <w:r w:rsidR="006618B4">
        <w:t xml:space="preserve">of </w:t>
      </w:r>
      <w:r w:rsidR="005067E3">
        <w:t>a maturing petroleum industry.</w:t>
      </w:r>
      <w:r w:rsidR="00DB4274">
        <w:t xml:space="preserve"> In </w:t>
      </w:r>
      <w:r w:rsidR="00DB4274" w:rsidRPr="00901C7B">
        <w:rPr>
          <w:b/>
          <w:bCs/>
        </w:rPr>
        <w:t xml:space="preserve">subsection </w:t>
      </w:r>
      <w:r w:rsidR="00DB4274" w:rsidRPr="00901C7B">
        <w:rPr>
          <w:b/>
          <w:bCs/>
        </w:rPr>
        <w:fldChar w:fldCharType="begin"/>
      </w:r>
      <w:r w:rsidR="00DB4274" w:rsidRPr="00901C7B">
        <w:rPr>
          <w:b/>
          <w:bCs/>
        </w:rPr>
        <w:instrText xml:space="preserve"> REF _Ref58592369 \r \h </w:instrText>
      </w:r>
      <w:r w:rsidR="00A12BE3">
        <w:rPr>
          <w:b/>
          <w:bCs/>
        </w:rPr>
        <w:instrText xml:space="preserve"> \* MERGEFORMAT </w:instrText>
      </w:r>
      <w:r w:rsidR="00DB4274" w:rsidRPr="00901C7B">
        <w:rPr>
          <w:b/>
          <w:bCs/>
        </w:rPr>
      </w:r>
      <w:r w:rsidR="00DB4274" w:rsidRPr="00901C7B">
        <w:rPr>
          <w:b/>
          <w:bCs/>
        </w:rPr>
        <w:fldChar w:fldCharType="separate"/>
      </w:r>
      <w:r w:rsidR="00E816B8">
        <w:rPr>
          <w:b/>
          <w:bCs/>
        </w:rPr>
        <w:t>4.2</w:t>
      </w:r>
      <w:r w:rsidR="00DB4274" w:rsidRPr="00901C7B">
        <w:rPr>
          <w:b/>
          <w:bCs/>
        </w:rPr>
        <w:fldChar w:fldCharType="end"/>
      </w:r>
      <w:r w:rsidR="00DB4274">
        <w:t xml:space="preserve"> we identify the </w:t>
      </w:r>
      <w:r w:rsidR="00A12BE3">
        <w:t xml:space="preserve">implications of these shifts for NOPSEMA and therefore what factors NOPSEMA and the broader offshore legislative framework might be required to address. We conclude this section with a discussion in </w:t>
      </w:r>
      <w:r w:rsidR="00A12BE3" w:rsidRPr="00901C7B">
        <w:rPr>
          <w:b/>
          <w:bCs/>
        </w:rPr>
        <w:t xml:space="preserve">subsection </w:t>
      </w:r>
      <w:r w:rsidR="00A12BE3" w:rsidRPr="00901C7B">
        <w:rPr>
          <w:b/>
          <w:bCs/>
        </w:rPr>
        <w:fldChar w:fldCharType="begin"/>
      </w:r>
      <w:r w:rsidR="00A12BE3" w:rsidRPr="00901C7B">
        <w:rPr>
          <w:b/>
          <w:bCs/>
        </w:rPr>
        <w:instrText xml:space="preserve"> REF _Ref58592434 \r \h </w:instrText>
      </w:r>
      <w:r w:rsidR="00A12BE3">
        <w:rPr>
          <w:b/>
          <w:bCs/>
        </w:rPr>
        <w:instrText xml:space="preserve"> \* MERGEFORMAT </w:instrText>
      </w:r>
      <w:r w:rsidR="00A12BE3" w:rsidRPr="00901C7B">
        <w:rPr>
          <w:b/>
          <w:bCs/>
        </w:rPr>
      </w:r>
      <w:r w:rsidR="00A12BE3" w:rsidRPr="00901C7B">
        <w:rPr>
          <w:b/>
          <w:bCs/>
        </w:rPr>
        <w:fldChar w:fldCharType="separate"/>
      </w:r>
      <w:r w:rsidR="00E816B8">
        <w:rPr>
          <w:b/>
          <w:bCs/>
        </w:rPr>
        <w:t>4.3</w:t>
      </w:r>
      <w:r w:rsidR="00A12BE3" w:rsidRPr="00901C7B">
        <w:rPr>
          <w:b/>
          <w:bCs/>
        </w:rPr>
        <w:fldChar w:fldCharType="end"/>
      </w:r>
      <w:r w:rsidR="00A12BE3">
        <w:t xml:space="preserve"> on GHG storage – an emergent industry NOPSEMA oversees.</w:t>
      </w:r>
    </w:p>
    <w:p w14:paraId="49878662" w14:textId="0E6048FC" w:rsidR="00336577" w:rsidRPr="00901C7B" w:rsidRDefault="00336577" w:rsidP="00336577">
      <w:pPr>
        <w:pStyle w:val="Heading2"/>
        <w:numPr>
          <w:ilvl w:val="1"/>
          <w:numId w:val="1"/>
        </w:numPr>
        <w:contextualSpacing w:val="0"/>
        <w:rPr>
          <w:rFonts w:ascii="Calibri Light" w:hAnsi="Calibri Light"/>
          <w:szCs w:val="18"/>
        </w:rPr>
      </w:pPr>
      <w:bookmarkStart w:id="18" w:name="_Ref58592326"/>
      <w:r w:rsidRPr="00901C7B">
        <w:rPr>
          <w:rFonts w:ascii="Calibri Light" w:hAnsi="Calibri Light"/>
          <w:szCs w:val="18"/>
        </w:rPr>
        <w:t>The industry landscape moving forward</w:t>
      </w:r>
      <w:bookmarkEnd w:id="18"/>
    </w:p>
    <w:p w14:paraId="6F3B45D3" w14:textId="77777777" w:rsidR="00336577" w:rsidRPr="00901C7B" w:rsidRDefault="00336577" w:rsidP="00901C7B">
      <w:pPr>
        <w:pStyle w:val="Heading3NoNumber"/>
        <w:rPr>
          <w:b w:val="0"/>
          <w:lang w:eastAsia="en-AU"/>
        </w:rPr>
      </w:pPr>
      <w:r w:rsidRPr="00901C7B">
        <w:rPr>
          <w:lang w:eastAsia="en-AU"/>
        </w:rPr>
        <w:t>Our report is anchored on key implications from broader industry strategic shifts</w:t>
      </w:r>
    </w:p>
    <w:p w14:paraId="4FF2A2E4" w14:textId="2D0AB739" w:rsidR="00336577" w:rsidRPr="00901C7B" w:rsidRDefault="00336577" w:rsidP="00336577">
      <w:pPr>
        <w:spacing w:before="120" w:after="120"/>
        <w:rPr>
          <w:rFonts w:ascii="Calibri Light" w:hAnsi="Calibri Light"/>
        </w:rPr>
      </w:pPr>
      <w:r w:rsidRPr="00901C7B">
        <w:rPr>
          <w:rFonts w:ascii="Calibri Light" w:hAnsi="Calibri Light"/>
        </w:rPr>
        <w:t xml:space="preserve">We open this </w:t>
      </w:r>
      <w:r w:rsidR="009936FC">
        <w:rPr>
          <w:rFonts w:ascii="Calibri Light" w:hAnsi="Calibri Light"/>
        </w:rPr>
        <w:t>section of the report</w:t>
      </w:r>
      <w:r w:rsidR="009936FC" w:rsidRPr="00901C7B">
        <w:rPr>
          <w:rFonts w:ascii="Calibri Light" w:hAnsi="Calibri Light"/>
        </w:rPr>
        <w:t xml:space="preserve"> </w:t>
      </w:r>
      <w:r w:rsidRPr="00901C7B">
        <w:rPr>
          <w:rFonts w:ascii="Calibri Light" w:hAnsi="Calibri Light"/>
        </w:rPr>
        <w:t xml:space="preserve">with a discussion of the offshore industry’s landscape and an identification of the key challenges it faces as it matures. This reflects our view that Australia’s offshore petroleum industry is at a critical juncture, and therefore, so too is </w:t>
      </w:r>
      <w:r w:rsidR="00B650C7" w:rsidRPr="00901C7B">
        <w:rPr>
          <w:rFonts w:ascii="Calibri Light" w:hAnsi="Calibri Light"/>
        </w:rPr>
        <w:t>NOPSEMA as its regulator</w:t>
      </w:r>
      <w:r w:rsidRPr="00901C7B">
        <w:rPr>
          <w:rFonts w:ascii="Calibri Light" w:hAnsi="Calibri Light"/>
        </w:rPr>
        <w:t xml:space="preserve">. It is our fundamental belief that this </w:t>
      </w:r>
      <w:r w:rsidR="006B1708" w:rsidRPr="00901C7B">
        <w:rPr>
          <w:rFonts w:ascii="Calibri Light" w:hAnsi="Calibri Light"/>
        </w:rPr>
        <w:t>report</w:t>
      </w:r>
      <w:r w:rsidR="006B1708">
        <w:rPr>
          <w:rFonts w:ascii="Calibri Light" w:hAnsi="Calibri Light"/>
        </w:rPr>
        <w:t>’s</w:t>
      </w:r>
      <w:r w:rsidR="006B1708" w:rsidRPr="00901C7B">
        <w:rPr>
          <w:rFonts w:ascii="Calibri Light" w:hAnsi="Calibri Light"/>
        </w:rPr>
        <w:t xml:space="preserve"> findings</w:t>
      </w:r>
      <w:r w:rsidRPr="00901C7B">
        <w:rPr>
          <w:rFonts w:ascii="Calibri Light" w:hAnsi="Calibri Light"/>
        </w:rPr>
        <w:t xml:space="preserve"> must reflect and be cognisant of the industry, as well as advancements in practices more broadly as, increasingly, the industry’s future is intertwined with adjacent developments. </w:t>
      </w:r>
    </w:p>
    <w:p w14:paraId="247E193D" w14:textId="01C11379" w:rsidR="00B650C7" w:rsidRDefault="00336577" w:rsidP="00B650C7">
      <w:pPr>
        <w:pStyle w:val="BodyCopyNEW"/>
        <w:rPr>
          <w:szCs w:val="18"/>
        </w:rPr>
      </w:pPr>
      <w:r w:rsidRPr="00096BC3">
        <w:rPr>
          <w:szCs w:val="18"/>
        </w:rPr>
        <w:t xml:space="preserve">Australia has a significant geographic spread of assets. For example, the marine area under title that </w:t>
      </w:r>
      <w:r w:rsidR="00B650C7" w:rsidRPr="00611BAA">
        <w:rPr>
          <w:szCs w:val="18"/>
        </w:rPr>
        <w:t>NOPSEMA oversees</w:t>
      </w:r>
      <w:r w:rsidRPr="00946300">
        <w:rPr>
          <w:szCs w:val="18"/>
        </w:rPr>
        <w:t xml:space="preserve"> is approximately 552,383km</w:t>
      </w:r>
      <w:r w:rsidRPr="00392AAF">
        <w:rPr>
          <w:szCs w:val="18"/>
          <w:vertAlign w:val="superscript"/>
        </w:rPr>
        <w:t xml:space="preserve">2 </w:t>
      </w:r>
      <w:r w:rsidRPr="00096BC3">
        <w:rPr>
          <w:szCs w:val="18"/>
          <w:vertAlign w:val="superscript"/>
        </w:rPr>
        <w:footnoteReference w:id="9"/>
      </w:r>
      <w:r w:rsidR="004C7AC9">
        <w:rPr>
          <w:szCs w:val="18"/>
        </w:rPr>
        <w:t>.</w:t>
      </w:r>
      <w:r w:rsidRPr="00096BC3">
        <w:rPr>
          <w:szCs w:val="18"/>
        </w:rPr>
        <w:t xml:space="preserve"> Referring to</w:t>
      </w:r>
      <w:r w:rsidR="00B650C7" w:rsidRPr="00611BAA">
        <w:rPr>
          <w:b/>
          <w:szCs w:val="18"/>
        </w:rPr>
        <w:t xml:space="preserve"> </w:t>
      </w:r>
      <w:r w:rsidR="00611BAA" w:rsidRPr="00611BAA">
        <w:rPr>
          <w:b/>
          <w:szCs w:val="18"/>
        </w:rPr>
        <w:fldChar w:fldCharType="begin"/>
      </w:r>
      <w:r w:rsidR="00611BAA" w:rsidRPr="00611BAA">
        <w:rPr>
          <w:b/>
          <w:szCs w:val="18"/>
        </w:rPr>
        <w:instrText xml:space="preserve"> REF _Ref58443951 \h  \* MERGEFORMAT </w:instrText>
      </w:r>
      <w:r w:rsidR="00611BAA" w:rsidRPr="00611BAA">
        <w:rPr>
          <w:b/>
          <w:szCs w:val="18"/>
        </w:rPr>
      </w:r>
      <w:r w:rsidR="00611BAA" w:rsidRPr="00611BAA">
        <w:rPr>
          <w:b/>
          <w:szCs w:val="18"/>
        </w:rPr>
        <w:fldChar w:fldCharType="separate"/>
      </w:r>
      <w:r w:rsidR="00E816B8" w:rsidRPr="00E816B8">
        <w:rPr>
          <w:b/>
        </w:rPr>
        <w:t xml:space="preserve">Figure </w:t>
      </w:r>
      <w:r w:rsidR="00E816B8" w:rsidRPr="00E816B8">
        <w:rPr>
          <w:b/>
          <w:noProof/>
        </w:rPr>
        <w:t>4.1</w:t>
      </w:r>
      <w:r w:rsidR="00611BAA" w:rsidRPr="00611BAA">
        <w:rPr>
          <w:b/>
          <w:szCs w:val="18"/>
        </w:rPr>
        <w:fldChar w:fldCharType="end"/>
      </w:r>
      <w:r w:rsidRPr="00096BC3">
        <w:rPr>
          <w:szCs w:val="18"/>
        </w:rPr>
        <w:t xml:space="preserve">, the majority of </w:t>
      </w:r>
      <w:r w:rsidR="00B650C7" w:rsidRPr="00611BAA">
        <w:rPr>
          <w:szCs w:val="18"/>
        </w:rPr>
        <w:t>offshore activity is</w:t>
      </w:r>
      <w:r w:rsidRPr="00946300">
        <w:rPr>
          <w:szCs w:val="18"/>
        </w:rPr>
        <w:t xml:space="preserve"> concentrated in Western Australia and </w:t>
      </w:r>
      <w:r w:rsidR="00B650C7" w:rsidRPr="00392AAF">
        <w:rPr>
          <w:szCs w:val="18"/>
        </w:rPr>
        <w:t>the South East of Australia</w:t>
      </w:r>
      <w:r w:rsidRPr="00AA1E32">
        <w:rPr>
          <w:szCs w:val="18"/>
        </w:rPr>
        <w:t xml:space="preserve">. </w:t>
      </w:r>
      <w:r w:rsidR="00B13BD7" w:rsidRPr="00B13BD7">
        <w:rPr>
          <w:b/>
          <w:bCs/>
          <w:szCs w:val="18"/>
        </w:rPr>
        <w:fldChar w:fldCharType="begin"/>
      </w:r>
      <w:r w:rsidR="00B13BD7" w:rsidRPr="00B13BD7">
        <w:rPr>
          <w:b/>
          <w:bCs/>
          <w:szCs w:val="18"/>
        </w:rPr>
        <w:instrText xml:space="preserve"> REF _Ref58444058 \h </w:instrText>
      </w:r>
      <w:r w:rsidR="00B13BD7">
        <w:rPr>
          <w:b/>
          <w:bCs/>
          <w:szCs w:val="18"/>
        </w:rPr>
        <w:instrText xml:space="preserve"> \* MERGEFORMAT </w:instrText>
      </w:r>
      <w:r w:rsidR="00B13BD7" w:rsidRPr="00B13BD7">
        <w:rPr>
          <w:b/>
          <w:bCs/>
          <w:szCs w:val="18"/>
        </w:rPr>
      </w:r>
      <w:r w:rsidR="00B13BD7" w:rsidRPr="00B13BD7">
        <w:rPr>
          <w:b/>
          <w:bCs/>
          <w:szCs w:val="18"/>
        </w:rPr>
        <w:fldChar w:fldCharType="separate"/>
      </w:r>
      <w:r w:rsidR="00E816B8" w:rsidRPr="00E816B8">
        <w:rPr>
          <w:b/>
          <w:bCs/>
        </w:rPr>
        <w:t xml:space="preserve">Figure </w:t>
      </w:r>
      <w:r w:rsidR="00E816B8" w:rsidRPr="00E816B8">
        <w:rPr>
          <w:b/>
          <w:bCs/>
          <w:noProof/>
        </w:rPr>
        <w:t>4.2</w:t>
      </w:r>
      <w:r w:rsidR="00B13BD7" w:rsidRPr="00B13BD7">
        <w:rPr>
          <w:b/>
          <w:bCs/>
          <w:szCs w:val="18"/>
        </w:rPr>
        <w:fldChar w:fldCharType="end"/>
      </w:r>
      <w:r w:rsidR="00B650C7" w:rsidRPr="00096BC3">
        <w:rPr>
          <w:szCs w:val="18"/>
        </w:rPr>
        <w:t xml:space="preserve"> illustrates the offshore industry’s performance from a safety and environmental outcomes perspective. While zero harm is the ultimate objective, </w:t>
      </w:r>
      <w:r w:rsidR="00B650C7" w:rsidRPr="00611BAA" w:rsidDel="00C96724">
        <w:rPr>
          <w:szCs w:val="18"/>
        </w:rPr>
        <w:t>overall</w:t>
      </w:r>
      <w:r w:rsidR="00B650C7" w:rsidRPr="00946300">
        <w:rPr>
          <w:szCs w:val="18"/>
        </w:rPr>
        <w:t>, there is no discernible worsening trend of incidents of injuries</w:t>
      </w:r>
      <w:r w:rsidR="002A7009">
        <w:rPr>
          <w:szCs w:val="18"/>
        </w:rPr>
        <w:t xml:space="preserve"> based on the data presented to us</w:t>
      </w:r>
      <w:r w:rsidR="00A44D18">
        <w:rPr>
          <w:szCs w:val="18"/>
        </w:rPr>
        <w:t xml:space="preserve"> across the review period</w:t>
      </w:r>
      <w:r w:rsidR="00B650C7" w:rsidRPr="00946300">
        <w:rPr>
          <w:szCs w:val="18"/>
        </w:rPr>
        <w:t xml:space="preserve">. </w:t>
      </w:r>
    </w:p>
    <w:p w14:paraId="60CD3F67" w14:textId="389B1016" w:rsidR="00611BAA" w:rsidRPr="00AA1E32" w:rsidRDefault="00611BAA" w:rsidP="004B089B">
      <w:pPr>
        <w:pStyle w:val="Caption"/>
        <w:keepNext/>
      </w:pPr>
      <w:bookmarkStart w:id="19" w:name="_Ref58443951"/>
      <w:r>
        <w:t xml:space="preserve">Figure </w:t>
      </w:r>
      <w:r w:rsidR="00AD41F8">
        <w:fldChar w:fldCharType="begin"/>
      </w:r>
      <w:r w:rsidR="00AD41F8">
        <w:instrText xml:space="preserve"> STYLEREF 1 \s </w:instrText>
      </w:r>
      <w:r w:rsidR="00AD41F8">
        <w:fldChar w:fldCharType="separate"/>
      </w:r>
      <w:r w:rsidR="00E816B8">
        <w:rPr>
          <w:noProof/>
        </w:rPr>
        <w:t>4</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1</w:t>
      </w:r>
      <w:r w:rsidR="00AD41F8">
        <w:fldChar w:fldCharType="end"/>
      </w:r>
      <w:bookmarkEnd w:id="19"/>
      <w:r>
        <w:t>: Offshore industry activity map as at 30 June 2020</w:t>
      </w:r>
    </w:p>
    <w:p w14:paraId="708A8BEA" w14:textId="77777777" w:rsidR="00B650C7" w:rsidRDefault="2DA67406" w:rsidP="00901C7B">
      <w:pPr>
        <w:pStyle w:val="BodyCopyNEW"/>
        <w:jc w:val="center"/>
      </w:pPr>
      <w:bookmarkStart w:id="20" w:name="_Ref58254114"/>
      <w:r>
        <w:rPr>
          <w:noProof/>
          <w:lang w:eastAsia="en-AU"/>
        </w:rPr>
        <w:drawing>
          <wp:inline distT="0" distB="0" distL="0" distR="0" wp14:anchorId="76F04AF3" wp14:editId="7ACAECDC">
            <wp:extent cx="5039999" cy="4064818"/>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28">
                      <a:extLst>
                        <a:ext uri="{28A0092B-C50C-407E-A947-70E740481C1C}">
                          <a14:useLocalDpi xmlns:a14="http://schemas.microsoft.com/office/drawing/2010/main"/>
                        </a:ext>
                      </a:extLst>
                    </a:blip>
                    <a:stretch>
                      <a:fillRect/>
                    </a:stretch>
                  </pic:blipFill>
                  <pic:spPr>
                    <a:xfrm>
                      <a:off x="0" y="0"/>
                      <a:ext cx="5039999" cy="4064818"/>
                    </a:xfrm>
                    <a:prstGeom prst="rect">
                      <a:avLst/>
                    </a:prstGeom>
                  </pic:spPr>
                </pic:pic>
              </a:graphicData>
            </a:graphic>
          </wp:inline>
        </w:drawing>
      </w:r>
    </w:p>
    <w:p w14:paraId="0E268606" w14:textId="77777777" w:rsidR="00B650C7" w:rsidRPr="00901C7B" w:rsidRDefault="00B650C7" w:rsidP="00B650C7">
      <w:pPr>
        <w:pStyle w:val="Caption"/>
        <w:rPr>
          <w:b w:val="0"/>
          <w:bCs/>
          <w:i/>
          <w:iCs w:val="0"/>
          <w:color w:val="75787B" w:themeColor="accent6"/>
        </w:rPr>
      </w:pPr>
      <w:r w:rsidRPr="00901C7B">
        <w:rPr>
          <w:b w:val="0"/>
          <w:bCs/>
          <w:i/>
          <w:iCs w:val="0"/>
          <w:color w:val="75787B" w:themeColor="accent6"/>
        </w:rPr>
        <w:t>Source: NOPSEMA annual report 2019-20</w:t>
      </w:r>
    </w:p>
    <w:p w14:paraId="2B41C1DE" w14:textId="4598C8C2" w:rsidR="00611BAA" w:rsidRPr="00CB259F" w:rsidRDefault="00611BAA" w:rsidP="004B089B">
      <w:pPr>
        <w:pStyle w:val="Caption"/>
        <w:keepNext/>
      </w:pPr>
      <w:bookmarkStart w:id="21" w:name="_Ref58444058"/>
      <w:bookmarkEnd w:id="20"/>
      <w:r w:rsidRPr="00CB259F">
        <w:lastRenderedPageBreak/>
        <w:t xml:space="preserve">Figure </w:t>
      </w:r>
      <w:r w:rsidR="00AD41F8">
        <w:fldChar w:fldCharType="begin"/>
      </w:r>
      <w:r w:rsidR="00AD41F8">
        <w:instrText xml:space="preserve"> STYLEREF 1 \s </w:instrText>
      </w:r>
      <w:r w:rsidR="00AD41F8">
        <w:fldChar w:fldCharType="separate"/>
      </w:r>
      <w:r w:rsidR="00E816B8">
        <w:rPr>
          <w:noProof/>
        </w:rPr>
        <w:t>4</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2</w:t>
      </w:r>
      <w:r w:rsidR="00AD41F8">
        <w:fldChar w:fldCharType="end"/>
      </w:r>
      <w:bookmarkEnd w:id="21"/>
      <w:r w:rsidRPr="00CB259F">
        <w:t xml:space="preserve">: </w:t>
      </w:r>
      <w:r w:rsidRPr="00946300">
        <w:t>Offshore industry health, safety, and environmental incidents and injuries and hours worked offshore</w:t>
      </w:r>
    </w:p>
    <w:p w14:paraId="07C92418" w14:textId="77777777" w:rsidR="00B650C7" w:rsidRDefault="00B650C7" w:rsidP="00B650C7">
      <w:pPr>
        <w:spacing w:after="0"/>
        <w:rPr>
          <w:b/>
          <w:bCs/>
          <w:i/>
          <w:iCs/>
        </w:rPr>
      </w:pPr>
      <w:r>
        <w:rPr>
          <w:noProof/>
          <w:lang w:eastAsia="en-AU"/>
        </w:rPr>
        <w:drawing>
          <wp:inline distT="0" distB="0" distL="0" distR="0" wp14:anchorId="5430AB2E" wp14:editId="77C02E11">
            <wp:extent cx="6263640" cy="3240000"/>
            <wp:effectExtent l="0" t="0" r="3810" b="17780"/>
            <wp:docPr id="48" name="Chart 4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EEF248E-B7B8-4B26-A2DD-980BDD57DA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7F977BB" w14:textId="209F4AFE" w:rsidR="00226C07" w:rsidRPr="00226C07" w:rsidRDefault="00226C07" w:rsidP="006E0BFA">
      <w:pPr>
        <w:pStyle w:val="Caption"/>
        <w:spacing w:before="0"/>
        <w:rPr>
          <w:rFonts w:ascii="Calibri Light" w:hAnsi="Calibri Light"/>
          <w:b w:val="0"/>
          <w:bCs/>
          <w:sz w:val="14"/>
          <w:szCs w:val="14"/>
        </w:rPr>
      </w:pPr>
      <w:r w:rsidRPr="00BB5634">
        <w:rPr>
          <w:rFonts w:ascii="Calibri Light" w:hAnsi="Calibri Light"/>
          <w:b w:val="0"/>
          <w:sz w:val="14"/>
          <w:szCs w:val="14"/>
        </w:rPr>
        <w:t>*</w:t>
      </w:r>
      <w:r w:rsidRPr="00226C07">
        <w:rPr>
          <w:rFonts w:ascii="Calibri Light" w:hAnsi="Calibri Light"/>
          <w:b w:val="0"/>
          <w:bCs/>
          <w:sz w:val="14"/>
          <w:szCs w:val="14"/>
        </w:rPr>
        <w:t>Total of: collision marine vessel and facility; could have caused death or serious injury; could have caused incapacitation &gt;= 3 days LTI; damage to safety-critical equipment; fire or explosion; other kind needing immediate investigation; pipeline - kind needing immediate investigation; pipeline - significant damage; uncontrolled HC release &gt;1 - 300 kg; uncontrolled HC release &gt;300 kg; uncontrolled PL release &gt;80 - 12 500 L; unplanned event - implement emergency response plan; well kick &gt;50 barrels</w:t>
      </w:r>
    </w:p>
    <w:p w14:paraId="754D653E" w14:textId="6C875431" w:rsidR="00226C07" w:rsidRPr="00F5718F" w:rsidRDefault="00226C07" w:rsidP="006E0BFA">
      <w:pPr>
        <w:spacing w:after="120"/>
        <w:rPr>
          <w:rFonts w:ascii="Calibri Light" w:hAnsi="Calibri Light" w:cs="Calibri Light"/>
          <w:bCs/>
          <w:sz w:val="14"/>
          <w:szCs w:val="14"/>
        </w:rPr>
      </w:pPr>
      <w:r w:rsidRPr="00226C07">
        <w:rPr>
          <w:rFonts w:ascii="Calibri Light" w:hAnsi="Calibri Light" w:cs="Calibri Light"/>
          <w:bCs/>
          <w:sz w:val="14"/>
          <w:szCs w:val="14"/>
        </w:rPr>
        <w:t xml:space="preserve">**Total of: WI - loss of integrity - &gt;1 kg gas released; WI - loss of integrity - &gt;80 L liquid released; WI - failure of hydrostatic pressure - BOP closure and positive well pressure; WI - loss of integrity - well-related equipment damage or failure; WI - potential loss of integrity - well-related equipment damage/failure; WI - any other unplanned occurrence to regain control of the well. Notification, </w:t>
      </w:r>
      <w:r w:rsidRPr="00F5718F">
        <w:rPr>
          <w:rFonts w:ascii="Calibri Light" w:hAnsi="Calibri Light" w:cs="Calibri Light"/>
          <w:bCs/>
          <w:sz w:val="14"/>
          <w:szCs w:val="14"/>
        </w:rPr>
        <w:t>reporting and recording requirements for titleholders in relation to WI incidents came into effect on 1 January 2016 through amendments to Part 5 of the Offshore Petroleum and Greenhouse Gas Storage (Resource Management and Administration) Regulations 2011. Consequently, as of Q1 2016, NOPSEMA has commenced publishing WI incident data as a category in its own right</w:t>
      </w:r>
    </w:p>
    <w:p w14:paraId="4B0B889C" w14:textId="3092A6A2" w:rsidR="001F2ADB" w:rsidRPr="00F5718F" w:rsidRDefault="001F2ADB" w:rsidP="006E0BFA">
      <w:pPr>
        <w:pStyle w:val="FootnoteText"/>
        <w:spacing w:after="120" w:line="240" w:lineRule="atLeast"/>
        <w:rPr>
          <w:sz w:val="14"/>
          <w:szCs w:val="14"/>
        </w:rPr>
      </w:pPr>
      <w:r w:rsidRPr="00F5718F">
        <w:rPr>
          <w:bCs/>
          <w:sz w:val="14"/>
          <w:szCs w:val="14"/>
        </w:rPr>
        <w:t>***</w:t>
      </w:r>
      <w:r w:rsidRPr="00F5718F">
        <w:rPr>
          <w:sz w:val="14"/>
          <w:szCs w:val="14"/>
        </w:rPr>
        <w:t xml:space="preserve"> EM - hydrocarbon vapour/petroleum liquid release; EM - chemical release; EM - drilling fluid/mud release; EM - fauna incident; EM – other</w:t>
      </w:r>
    </w:p>
    <w:p w14:paraId="6757B960" w14:textId="003CF68A" w:rsidR="00024A20" w:rsidRPr="00F5718F" w:rsidRDefault="001F2ADB" w:rsidP="006E0BFA">
      <w:pPr>
        <w:spacing w:after="120"/>
        <w:rPr>
          <w:rFonts w:ascii="Calibri Light" w:hAnsi="Calibri Light" w:cs="Calibri Light"/>
          <w:bCs/>
          <w:sz w:val="14"/>
          <w:szCs w:val="14"/>
        </w:rPr>
      </w:pPr>
      <w:r w:rsidRPr="00F5718F">
        <w:rPr>
          <w:rFonts w:ascii="Calibri Light" w:hAnsi="Calibri Light" w:cs="Calibri Light"/>
          <w:bCs/>
          <w:sz w:val="14"/>
          <w:szCs w:val="14"/>
        </w:rPr>
        <w:t>****</w:t>
      </w:r>
      <w:r w:rsidR="00F5718F" w:rsidRPr="00F5718F">
        <w:rPr>
          <w:rFonts w:ascii="Calibri Light" w:hAnsi="Calibri Light" w:cs="Calibri Light"/>
          <w:sz w:val="14"/>
          <w:szCs w:val="14"/>
        </w:rPr>
        <w:t xml:space="preserve"> Total recordable cases is the sum of fatalities, major injuries, LTIs, ADIs and MTIs.</w:t>
      </w:r>
    </w:p>
    <w:p w14:paraId="4A7A62E4" w14:textId="2CBE6353" w:rsidR="00B650C7" w:rsidRPr="00901C7B" w:rsidRDefault="00B650C7" w:rsidP="00C521A1">
      <w:pPr>
        <w:pStyle w:val="Caption"/>
        <w:rPr>
          <w:b w:val="0"/>
          <w:bCs/>
          <w:i/>
          <w:iCs w:val="0"/>
          <w:color w:val="75787B" w:themeColor="accent6"/>
        </w:rPr>
      </w:pPr>
      <w:r w:rsidRPr="00901C7B">
        <w:rPr>
          <w:b w:val="0"/>
          <w:bCs/>
          <w:i/>
          <w:iCs w:val="0"/>
          <w:color w:val="75787B" w:themeColor="accent6"/>
        </w:rPr>
        <w:t xml:space="preserve">Source: </w:t>
      </w:r>
      <w:r w:rsidR="00300717" w:rsidRPr="00300717">
        <w:rPr>
          <w:b w:val="0"/>
          <w:bCs/>
          <w:i/>
          <w:iCs w:val="0"/>
          <w:color w:val="75787B" w:themeColor="accent6"/>
        </w:rPr>
        <w:t>Deloitte analysis adapted from NOPSEMA data</w:t>
      </w:r>
    </w:p>
    <w:p w14:paraId="4187340D" w14:textId="58E1D172" w:rsidR="00336577" w:rsidRPr="00901C7B" w:rsidRDefault="00336577" w:rsidP="00336577">
      <w:pPr>
        <w:rPr>
          <w:rFonts w:ascii="Calibri Light" w:hAnsi="Calibri Light"/>
        </w:rPr>
      </w:pPr>
      <w:r w:rsidRPr="00901C7B">
        <w:rPr>
          <w:rFonts w:ascii="Calibri Light" w:hAnsi="Calibri Light"/>
          <w:lang w:eastAsia="en-AU"/>
        </w:rPr>
        <w:t>In the short term, the industry will need to manage significant</w:t>
      </w:r>
      <w:r w:rsidRPr="00901C7B">
        <w:rPr>
          <w:rFonts w:ascii="Calibri Light" w:hAnsi="Calibri Light"/>
        </w:rPr>
        <w:t xml:space="preserve"> cost pressures and economic uncertainty, which are in part the result of COVID-19, recent and repeated oil price shocks, and existing pressures to reduce emissions. Over the medium term, a maturing industry and an aging asset base create</w:t>
      </w:r>
      <w:r w:rsidR="002F34FC">
        <w:rPr>
          <w:rFonts w:ascii="Calibri Light" w:hAnsi="Calibri Light"/>
        </w:rPr>
        <w:t>s</w:t>
      </w:r>
      <w:r w:rsidRPr="00901C7B">
        <w:rPr>
          <w:rFonts w:ascii="Calibri Light" w:hAnsi="Calibri Light"/>
        </w:rPr>
        <w:t xml:space="preserve"> challenges for administrators, policymakers, regulators, and industry alike through a need to prudently and efficiently manage </w:t>
      </w:r>
      <w:r w:rsidR="00102C14">
        <w:rPr>
          <w:rFonts w:ascii="Calibri Light" w:hAnsi="Calibri Light"/>
        </w:rPr>
        <w:t xml:space="preserve">increased transactional and </w:t>
      </w:r>
      <w:r w:rsidRPr="00901C7B">
        <w:rPr>
          <w:rFonts w:ascii="Calibri Light" w:hAnsi="Calibri Light"/>
        </w:rPr>
        <w:t>decommissioning</w:t>
      </w:r>
      <w:r w:rsidR="00102C14">
        <w:rPr>
          <w:rFonts w:ascii="Calibri Light" w:hAnsi="Calibri Light"/>
        </w:rPr>
        <w:t xml:space="preserve"> activities</w:t>
      </w:r>
      <w:r w:rsidRPr="00901C7B">
        <w:rPr>
          <w:rFonts w:ascii="Calibri Light" w:hAnsi="Calibri Light"/>
        </w:rPr>
        <w:t xml:space="preserve">. Maintaining community confidence in the offshore legislative framework to manage </w:t>
      </w:r>
      <w:r w:rsidR="009A0EA4">
        <w:rPr>
          <w:rFonts w:ascii="Calibri Light" w:hAnsi="Calibri Light"/>
        </w:rPr>
        <w:t>these changes</w:t>
      </w:r>
      <w:r w:rsidR="009A0EA4" w:rsidRPr="00901C7B">
        <w:rPr>
          <w:rFonts w:ascii="Calibri Light" w:hAnsi="Calibri Light"/>
        </w:rPr>
        <w:t xml:space="preserve"> </w:t>
      </w:r>
      <w:r w:rsidRPr="00901C7B">
        <w:rPr>
          <w:rFonts w:ascii="Calibri Light" w:hAnsi="Calibri Light"/>
        </w:rPr>
        <w:t xml:space="preserve">will be essential. Furthermore, the transition to a lower carbon </w:t>
      </w:r>
      <w:r w:rsidR="009A0EA4" w:rsidRPr="00901C7B">
        <w:rPr>
          <w:rFonts w:ascii="Calibri Light" w:hAnsi="Calibri Light"/>
        </w:rPr>
        <w:t xml:space="preserve">energy </w:t>
      </w:r>
      <w:r w:rsidRPr="00901C7B">
        <w:rPr>
          <w:rFonts w:ascii="Calibri Light" w:hAnsi="Calibri Light"/>
        </w:rPr>
        <w:t>future is a key</w:t>
      </w:r>
      <w:r w:rsidRPr="00901C7B" w:rsidDel="0064182B">
        <w:rPr>
          <w:rFonts w:ascii="Calibri Light" w:hAnsi="Calibri Light"/>
        </w:rPr>
        <w:t xml:space="preserve"> </w:t>
      </w:r>
      <w:r w:rsidRPr="00901C7B">
        <w:rPr>
          <w:rFonts w:ascii="Calibri Light" w:hAnsi="Calibri Light"/>
        </w:rPr>
        <w:t>issue for the industry and the Government to manage. Underpinning each of these, there are heightened demands from stakeholders for transparency, engagement, and accountability by the industry and government bodies who oversee it.</w:t>
      </w:r>
    </w:p>
    <w:p w14:paraId="7AE4B7D4" w14:textId="6E419835" w:rsidR="00336577" w:rsidRPr="00901C7B" w:rsidRDefault="00336577" w:rsidP="00336577">
      <w:pPr>
        <w:spacing w:after="120"/>
        <w:rPr>
          <w:rFonts w:ascii="Calibri Light" w:hAnsi="Calibri Light"/>
          <w:b/>
        </w:rPr>
      </w:pPr>
      <w:r w:rsidRPr="00901C7B">
        <w:rPr>
          <w:rFonts w:ascii="Calibri Light" w:hAnsi="Calibri Light" w:cs="Calibri"/>
        </w:rPr>
        <w:t>As part of our review process we undertook a horizon-scanning workshop with industry stakeholders to identify key risks and trends. A summary of these risks and trends, as well as several we have identified, are outlined in</w:t>
      </w:r>
      <w:r w:rsidRPr="00901C7B">
        <w:rPr>
          <w:rFonts w:ascii="Calibri Light" w:hAnsi="Calibri Light" w:cs="Calibri"/>
          <w:b/>
        </w:rPr>
        <w:t xml:space="preserve"> </w:t>
      </w:r>
      <w:r w:rsidR="00241647" w:rsidRPr="00241647">
        <w:rPr>
          <w:rFonts w:ascii="Calibri Light" w:hAnsi="Calibri Light" w:cs="Calibri Light"/>
          <w:b/>
        </w:rPr>
        <w:fldChar w:fldCharType="begin"/>
      </w:r>
      <w:r w:rsidR="00241647" w:rsidRPr="00241647">
        <w:rPr>
          <w:rFonts w:ascii="Calibri Light" w:hAnsi="Calibri Light" w:cs="Calibri Light"/>
          <w:b/>
        </w:rPr>
        <w:instrText xml:space="preserve"> REF _Ref58444108 \h  \* MERGEFORMAT </w:instrText>
      </w:r>
      <w:r w:rsidR="00241647" w:rsidRPr="00241647">
        <w:rPr>
          <w:rFonts w:ascii="Calibri Light" w:hAnsi="Calibri Light" w:cs="Calibri Light"/>
          <w:b/>
        </w:rPr>
      </w:r>
      <w:r w:rsidR="00241647" w:rsidRPr="00241647">
        <w:rPr>
          <w:rFonts w:ascii="Calibri Light" w:hAnsi="Calibri Light" w:cs="Calibri Light"/>
          <w:b/>
        </w:rPr>
        <w:fldChar w:fldCharType="separate"/>
      </w:r>
      <w:r w:rsidR="00E816B8" w:rsidRPr="00E816B8">
        <w:rPr>
          <w:rFonts w:ascii="Calibri Light" w:hAnsi="Calibri Light" w:cs="Calibri Light"/>
          <w:b/>
          <w:szCs w:val="22"/>
        </w:rPr>
        <w:t xml:space="preserve">Figure </w:t>
      </w:r>
      <w:r w:rsidR="00E816B8" w:rsidRPr="00E816B8">
        <w:rPr>
          <w:rFonts w:ascii="Calibri Light" w:hAnsi="Calibri Light" w:cs="Calibri Light"/>
          <w:b/>
          <w:iCs/>
          <w:noProof/>
          <w:szCs w:val="22"/>
        </w:rPr>
        <w:t>4.3</w:t>
      </w:r>
      <w:r w:rsidR="00241647" w:rsidRPr="00241647">
        <w:rPr>
          <w:rFonts w:ascii="Calibri Light" w:hAnsi="Calibri Light" w:cs="Calibri Light"/>
          <w:b/>
        </w:rPr>
        <w:fldChar w:fldCharType="end"/>
      </w:r>
      <w:r w:rsidRPr="00F705D7">
        <w:rPr>
          <w:rFonts w:ascii="Calibri Light" w:hAnsi="Calibri Light" w:cs="Calibri"/>
        </w:rPr>
        <w:t>.</w:t>
      </w:r>
      <w:r w:rsidRPr="00901C7B">
        <w:rPr>
          <w:rFonts w:ascii="Calibri Light" w:hAnsi="Calibri Light" w:cs="Calibri"/>
        </w:rPr>
        <w:t xml:space="preserve"> This is not an exhaustive list but does serve to underscore the array of risks and trends facing the industry.</w:t>
      </w:r>
    </w:p>
    <w:p w14:paraId="336D2971" w14:textId="44D0A8ED" w:rsidR="00336577" w:rsidRPr="00CB259F" w:rsidRDefault="00336577" w:rsidP="004B089B">
      <w:pPr>
        <w:pStyle w:val="Caption"/>
        <w:keepNext/>
        <w:rPr>
          <w:rFonts w:cs="Calibri"/>
          <w:bCs/>
          <w:iCs w:val="0"/>
        </w:rPr>
      </w:pPr>
      <w:bookmarkStart w:id="22" w:name="_Ref58186260"/>
      <w:bookmarkStart w:id="23" w:name="_Ref58444108"/>
      <w:r w:rsidRPr="00AB4CA3">
        <w:lastRenderedPageBreak/>
        <w:t>Figure</w:t>
      </w:r>
      <w:r w:rsidRPr="00CB259F">
        <w:rPr>
          <w:rFonts w:cs="Calibri"/>
          <w:iCs w:val="0"/>
        </w:rPr>
        <w:t xml:space="preserve"> </w:t>
      </w:r>
      <w:r w:rsidR="00AD41F8">
        <w:rPr>
          <w:rFonts w:cs="Calibri"/>
          <w:iCs w:val="0"/>
        </w:rPr>
        <w:fldChar w:fldCharType="begin"/>
      </w:r>
      <w:r w:rsidR="00AD41F8">
        <w:rPr>
          <w:rFonts w:cs="Calibri"/>
          <w:iCs w:val="0"/>
        </w:rPr>
        <w:instrText xml:space="preserve"> STYLEREF 1 \s </w:instrText>
      </w:r>
      <w:r w:rsidR="00AD41F8">
        <w:rPr>
          <w:rFonts w:cs="Calibri"/>
          <w:iCs w:val="0"/>
        </w:rPr>
        <w:fldChar w:fldCharType="separate"/>
      </w:r>
      <w:r w:rsidR="00E816B8">
        <w:rPr>
          <w:rFonts w:cs="Calibri"/>
          <w:iCs w:val="0"/>
          <w:noProof/>
        </w:rPr>
        <w:t>4</w:t>
      </w:r>
      <w:r w:rsidR="00AD41F8">
        <w:rPr>
          <w:rFonts w:cs="Calibri"/>
          <w:iCs w:val="0"/>
        </w:rPr>
        <w:fldChar w:fldCharType="end"/>
      </w:r>
      <w:r w:rsidR="00AD41F8">
        <w:rPr>
          <w:rFonts w:cs="Calibri"/>
          <w:iCs w:val="0"/>
        </w:rPr>
        <w:t>.</w:t>
      </w:r>
      <w:r w:rsidR="00AD41F8">
        <w:rPr>
          <w:rFonts w:cs="Calibri"/>
          <w:iCs w:val="0"/>
        </w:rPr>
        <w:fldChar w:fldCharType="begin"/>
      </w:r>
      <w:r w:rsidR="00AD41F8">
        <w:rPr>
          <w:rFonts w:cs="Calibri"/>
          <w:iCs w:val="0"/>
        </w:rPr>
        <w:instrText xml:space="preserve"> SEQ Figure \* ARABIC \s 1 </w:instrText>
      </w:r>
      <w:r w:rsidR="00AD41F8">
        <w:rPr>
          <w:rFonts w:cs="Calibri"/>
          <w:iCs w:val="0"/>
        </w:rPr>
        <w:fldChar w:fldCharType="separate"/>
      </w:r>
      <w:r w:rsidR="00E816B8">
        <w:rPr>
          <w:rFonts w:cs="Calibri"/>
          <w:iCs w:val="0"/>
          <w:noProof/>
        </w:rPr>
        <w:t>3</w:t>
      </w:r>
      <w:r w:rsidR="00AD41F8">
        <w:rPr>
          <w:rFonts w:cs="Calibri"/>
          <w:iCs w:val="0"/>
        </w:rPr>
        <w:fldChar w:fldCharType="end"/>
      </w:r>
      <w:bookmarkEnd w:id="22"/>
      <w:bookmarkEnd w:id="23"/>
      <w:r w:rsidRPr="00CB259F">
        <w:rPr>
          <w:rFonts w:cs="Calibri"/>
          <w:iCs w:val="0"/>
        </w:rPr>
        <w:t>:</w:t>
      </w:r>
      <w:r w:rsidRPr="00946300">
        <w:rPr>
          <w:rFonts w:cs="Calibri"/>
          <w:bCs/>
          <w:iCs w:val="0"/>
        </w:rPr>
        <w:t xml:space="preserve"> Summary of key risks and trends impacting NOP</w:t>
      </w:r>
      <w:r w:rsidR="00A949E7" w:rsidRPr="00392AAF">
        <w:rPr>
          <w:rFonts w:cs="Calibri"/>
        </w:rPr>
        <w:t>SEM</w:t>
      </w:r>
      <w:r w:rsidRPr="00911F0E">
        <w:rPr>
          <w:rFonts w:cs="Calibri"/>
        </w:rPr>
        <w:t>A</w:t>
      </w:r>
    </w:p>
    <w:p w14:paraId="7DDB9D67" w14:textId="2FA68C5C" w:rsidR="00336577" w:rsidRPr="00901C7B" w:rsidRDefault="546DB46E" w:rsidP="00336577">
      <w:pPr>
        <w:spacing w:after="120"/>
        <w:contextualSpacing/>
        <w:jc w:val="center"/>
        <w:rPr>
          <w:rFonts w:ascii="Calibri Light" w:hAnsi="Calibri Light" w:cs="Calibri"/>
        </w:rPr>
      </w:pPr>
      <w:r>
        <w:rPr>
          <w:noProof/>
          <w:lang w:eastAsia="en-AU"/>
        </w:rPr>
        <w:drawing>
          <wp:inline distT="0" distB="0" distL="0" distR="0" wp14:anchorId="50961226" wp14:editId="51D9425A">
            <wp:extent cx="5615998" cy="6139926"/>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ic:nvPicPr>
                  <pic:blipFill>
                    <a:blip r:embed="rId30">
                      <a:extLst>
                        <a:ext uri="{28A0092B-C50C-407E-A947-70E740481C1C}">
                          <a14:useLocalDpi xmlns:a14="http://schemas.microsoft.com/office/drawing/2010/main"/>
                        </a:ext>
                      </a:extLst>
                    </a:blip>
                    <a:stretch>
                      <a:fillRect/>
                    </a:stretch>
                  </pic:blipFill>
                  <pic:spPr>
                    <a:xfrm>
                      <a:off x="0" y="0"/>
                      <a:ext cx="5615998" cy="6139926"/>
                    </a:xfrm>
                    <a:prstGeom prst="rect">
                      <a:avLst/>
                    </a:prstGeom>
                  </pic:spPr>
                </pic:pic>
              </a:graphicData>
            </a:graphic>
          </wp:inline>
        </w:drawing>
      </w:r>
    </w:p>
    <w:p w14:paraId="6D3271F3" w14:textId="79864804" w:rsidR="00336577" w:rsidRPr="00901C7B" w:rsidRDefault="00336577" w:rsidP="00C521A1">
      <w:pPr>
        <w:pStyle w:val="Caption"/>
        <w:rPr>
          <w:b w:val="0"/>
          <w:bCs/>
          <w:i/>
          <w:iCs w:val="0"/>
          <w:color w:val="75787B" w:themeColor="accent6"/>
        </w:rPr>
      </w:pPr>
      <w:r w:rsidRPr="00901C7B">
        <w:rPr>
          <w:b w:val="0"/>
          <w:bCs/>
          <w:i/>
          <w:iCs w:val="0"/>
          <w:color w:val="75787B" w:themeColor="accent6"/>
        </w:rPr>
        <w:t>Source: Industry Workshop, Deloitte analysis</w:t>
      </w:r>
    </w:p>
    <w:p w14:paraId="434A6918" w14:textId="77777777" w:rsidR="00336577" w:rsidRPr="00901C7B" w:rsidRDefault="00336577" w:rsidP="00901C7B">
      <w:pPr>
        <w:pStyle w:val="Heading3NoNumber"/>
        <w:rPr>
          <w:b w:val="0"/>
        </w:rPr>
      </w:pPr>
      <w:r w:rsidRPr="00901C7B">
        <w:t>The Australian offshore industry is maturing and will become increasingly complex</w:t>
      </w:r>
    </w:p>
    <w:p w14:paraId="18AE9443" w14:textId="77777777" w:rsidR="00336577" w:rsidRPr="00901C7B" w:rsidRDefault="00336577" w:rsidP="00336577">
      <w:pPr>
        <w:rPr>
          <w:rFonts w:ascii="Calibri Light" w:hAnsi="Calibri Light"/>
        </w:rPr>
      </w:pPr>
      <w:r w:rsidRPr="00901C7B">
        <w:rPr>
          <w:rFonts w:ascii="Calibri Light" w:hAnsi="Calibri Light"/>
        </w:rPr>
        <w:t xml:space="preserve">Australia’s petroleum industry is now well established. Moving forward, it is unlikely there will be the same scale of greenfield investment in offshore petroleum activities seen over the past two decades. What does a maturing industry practically mean for Australia’s offshore petroleum industry and the Government? To help answer this, we have looked to markets that are at more advanced stages of the industry lifecycle, specifically the United Kingdom and Norway. </w:t>
      </w:r>
    </w:p>
    <w:p w14:paraId="7C7AA04F" w14:textId="3B4D9922" w:rsidR="00336577" w:rsidRPr="00901C7B" w:rsidRDefault="00336577" w:rsidP="00336577">
      <w:pPr>
        <w:rPr>
          <w:rFonts w:ascii="Calibri Light" w:hAnsi="Calibri Light"/>
        </w:rPr>
      </w:pPr>
      <w:r w:rsidRPr="00901C7B">
        <w:rPr>
          <w:rFonts w:ascii="Calibri Light" w:hAnsi="Calibri Light"/>
        </w:rPr>
        <w:t>Through our discussions with NOP</w:t>
      </w:r>
      <w:r w:rsidR="00276B4F">
        <w:rPr>
          <w:rFonts w:ascii="Calibri Light" w:hAnsi="Calibri Light"/>
        </w:rPr>
        <w:t>SEM</w:t>
      </w:r>
      <w:r w:rsidRPr="00901C7B">
        <w:rPr>
          <w:rFonts w:ascii="Calibri Light" w:hAnsi="Calibri Light"/>
        </w:rPr>
        <w:t>A’s</w:t>
      </w:r>
      <w:r w:rsidR="00B77A9E">
        <w:rPr>
          <w:rFonts w:ascii="Calibri Light" w:hAnsi="Calibri Light"/>
        </w:rPr>
        <w:t xml:space="preserve"> and NOPTA’s</w:t>
      </w:r>
      <w:r w:rsidRPr="00901C7B">
        <w:rPr>
          <w:rFonts w:ascii="Calibri Light" w:hAnsi="Calibri Light"/>
        </w:rPr>
        <w:t xml:space="preserve"> international peers, it was identified that in a more mature industry:</w:t>
      </w:r>
    </w:p>
    <w:p w14:paraId="0764EBF7" w14:textId="77777777" w:rsidR="00336577" w:rsidRPr="00901C7B" w:rsidRDefault="00336577" w:rsidP="000C1F53">
      <w:pPr>
        <w:pStyle w:val="ListParagraph"/>
        <w:numPr>
          <w:ilvl w:val="0"/>
          <w:numId w:val="23"/>
        </w:numPr>
        <w:spacing w:after="120" w:line="240" w:lineRule="auto"/>
        <w:ind w:left="357" w:hanging="357"/>
        <w:contextualSpacing w:val="0"/>
        <w:rPr>
          <w:rFonts w:ascii="Calibri Light" w:hAnsi="Calibri Light"/>
        </w:rPr>
      </w:pPr>
      <w:r w:rsidRPr="00901C7B">
        <w:rPr>
          <w:rFonts w:ascii="Calibri Light" w:hAnsi="Calibri Light"/>
        </w:rPr>
        <w:t>Large offshore operators tend to divest aged assets as their cost structures best align to long-lived, highly productive assets that can be operated to take advantage of significant economies of scale</w:t>
      </w:r>
    </w:p>
    <w:p w14:paraId="45BD208C" w14:textId="77777777" w:rsidR="00336577" w:rsidRPr="00901C7B" w:rsidRDefault="00336577" w:rsidP="000C1F53">
      <w:pPr>
        <w:pStyle w:val="ListParagraph"/>
        <w:numPr>
          <w:ilvl w:val="0"/>
          <w:numId w:val="23"/>
        </w:numPr>
        <w:spacing w:after="120" w:line="240" w:lineRule="auto"/>
        <w:ind w:left="357" w:hanging="357"/>
        <w:contextualSpacing w:val="0"/>
        <w:rPr>
          <w:rFonts w:ascii="Calibri Light" w:hAnsi="Calibri Light"/>
        </w:rPr>
      </w:pPr>
      <w:r w:rsidRPr="00901C7B">
        <w:rPr>
          <w:rFonts w:ascii="Calibri Light" w:hAnsi="Calibri Light"/>
        </w:rPr>
        <w:t>Larger operators will attract the entry of smaller operators looking to manage late-life marginal production assets. These smaller operators will typically have lower overheads, but also smaller balance sheets, and so will likely have less financial capacity to fund investment associated with ongoing asset maintenance and decommissioning</w:t>
      </w:r>
    </w:p>
    <w:p w14:paraId="03966F15" w14:textId="77777777" w:rsidR="00336577" w:rsidRPr="00901C7B" w:rsidRDefault="00336577" w:rsidP="000C1F53">
      <w:pPr>
        <w:pStyle w:val="ListParagraph"/>
        <w:numPr>
          <w:ilvl w:val="0"/>
          <w:numId w:val="23"/>
        </w:numPr>
        <w:spacing w:after="120" w:line="240" w:lineRule="auto"/>
        <w:ind w:left="357" w:hanging="357"/>
        <w:contextualSpacing w:val="0"/>
        <w:rPr>
          <w:rFonts w:ascii="Calibri Light" w:hAnsi="Calibri Light"/>
        </w:rPr>
      </w:pPr>
      <w:r w:rsidRPr="00901C7B">
        <w:rPr>
          <w:rFonts w:ascii="Calibri Light" w:hAnsi="Calibri Light"/>
        </w:rPr>
        <w:lastRenderedPageBreak/>
        <w:t>The entry of smaller operators into the industry and the stimulation of an active mergers and acquisitions (</w:t>
      </w:r>
      <w:r w:rsidRPr="00901C7B">
        <w:rPr>
          <w:rFonts w:ascii="Calibri Light" w:hAnsi="Calibri Light"/>
          <w:b/>
        </w:rPr>
        <w:t>M&amp;A</w:t>
      </w:r>
      <w:r w:rsidRPr="00901C7B">
        <w:rPr>
          <w:rFonts w:ascii="Calibri Light" w:hAnsi="Calibri Light"/>
        </w:rPr>
        <w:t xml:space="preserve">) environment is necessary to foster the ongoing optimal recovery of assets. The clarity, consistency and timing of approval processes underpinning M&amp;A activities also become increasingly important </w:t>
      </w:r>
    </w:p>
    <w:p w14:paraId="3D303266" w14:textId="77777777" w:rsidR="00336577" w:rsidRPr="00901C7B" w:rsidRDefault="00336577" w:rsidP="000C1F53">
      <w:pPr>
        <w:pStyle w:val="ListParagraph"/>
        <w:numPr>
          <w:ilvl w:val="0"/>
          <w:numId w:val="23"/>
        </w:numPr>
        <w:spacing w:after="120" w:line="240" w:lineRule="auto"/>
        <w:ind w:left="357" w:hanging="357"/>
        <w:contextualSpacing w:val="0"/>
        <w:rPr>
          <w:rFonts w:ascii="Calibri Light" w:hAnsi="Calibri Light"/>
        </w:rPr>
      </w:pPr>
      <w:r w:rsidRPr="00901C7B">
        <w:rPr>
          <w:rFonts w:ascii="Calibri Light" w:hAnsi="Calibri Light"/>
        </w:rPr>
        <w:t>As the assets age, there is a need for greater government-led industry coordination in order to optimally recover resources in accordance with good oil field practice. The offshore legislative framework needs to place greater emphasis (and therefore resourcing) on activities that proactively influence industry to meet this aim. There may be significant lost economic value for Australia should resources not be optimally recovered through the industry’s full lifecycle</w:t>
      </w:r>
    </w:p>
    <w:p w14:paraId="7D0A4E9D" w14:textId="0934CEE9" w:rsidR="00336577" w:rsidRPr="00901C7B" w:rsidRDefault="00336577" w:rsidP="000C1F53">
      <w:pPr>
        <w:pStyle w:val="ListParagraph"/>
        <w:numPr>
          <w:ilvl w:val="0"/>
          <w:numId w:val="23"/>
        </w:numPr>
        <w:spacing w:after="120" w:line="240" w:lineRule="auto"/>
        <w:ind w:left="357" w:hanging="357"/>
        <w:contextualSpacing w:val="0"/>
        <w:rPr>
          <w:rFonts w:ascii="Calibri Light" w:hAnsi="Calibri Light"/>
        </w:rPr>
      </w:pPr>
      <w:r w:rsidRPr="00901C7B">
        <w:rPr>
          <w:rFonts w:ascii="Calibri Light" w:hAnsi="Calibri Light"/>
        </w:rPr>
        <w:t xml:space="preserve">With more offshore assets reaching the end of their economic life, there will be a sharp increase in both transaction and decommissioning activity. For example, </w:t>
      </w:r>
      <w:r w:rsidR="00241647" w:rsidRPr="00241647">
        <w:rPr>
          <w:rFonts w:ascii="Calibri Light" w:hAnsi="Calibri Light" w:cs="Calibri Light"/>
          <w:b/>
          <w:bCs/>
        </w:rPr>
        <w:fldChar w:fldCharType="begin"/>
      </w:r>
      <w:r w:rsidR="00241647" w:rsidRPr="00241647">
        <w:rPr>
          <w:rFonts w:ascii="Calibri Light" w:hAnsi="Calibri Light" w:cs="Calibri Light"/>
          <w:b/>
          <w:bCs/>
        </w:rPr>
        <w:instrText xml:space="preserve"> REF _Ref58444251 \h  \* MERGEFORMAT </w:instrText>
      </w:r>
      <w:r w:rsidR="00241647" w:rsidRPr="00241647">
        <w:rPr>
          <w:rFonts w:ascii="Calibri Light" w:hAnsi="Calibri Light" w:cs="Calibri Light"/>
          <w:b/>
          <w:bCs/>
        </w:rPr>
      </w:r>
      <w:r w:rsidR="00241647" w:rsidRPr="00241647">
        <w:rPr>
          <w:rFonts w:ascii="Calibri Light" w:hAnsi="Calibri Light" w:cs="Calibri Light"/>
          <w:b/>
          <w:bCs/>
        </w:rPr>
        <w:fldChar w:fldCharType="separate"/>
      </w:r>
      <w:r w:rsidR="00E816B8" w:rsidRPr="00E816B8">
        <w:rPr>
          <w:rFonts w:ascii="Calibri Light" w:hAnsi="Calibri Light" w:cs="Calibri Light"/>
          <w:b/>
          <w:bCs/>
        </w:rPr>
        <w:t xml:space="preserve">Figure </w:t>
      </w:r>
      <w:r w:rsidR="00E816B8" w:rsidRPr="00E816B8">
        <w:rPr>
          <w:rFonts w:ascii="Calibri Light" w:hAnsi="Calibri Light" w:cs="Calibri Light"/>
          <w:b/>
          <w:bCs/>
          <w:noProof/>
        </w:rPr>
        <w:t>4.4</w:t>
      </w:r>
      <w:r w:rsidR="00241647" w:rsidRPr="00241647">
        <w:rPr>
          <w:rFonts w:ascii="Calibri Light" w:hAnsi="Calibri Light" w:cs="Calibri Light"/>
          <w:b/>
          <w:bCs/>
        </w:rPr>
        <w:fldChar w:fldCharType="end"/>
      </w:r>
      <w:r w:rsidRPr="00901C7B">
        <w:rPr>
          <w:rFonts w:ascii="Calibri Light" w:hAnsi="Calibri Light" w:cs="Calibri"/>
        </w:rPr>
        <w:t xml:space="preserve"> illustrates one estimate that the total forecast decommissioning liability for all offshore facilities is expected to exceed $11 billion by 2050. We consider this to be a highly conservative estimate</w:t>
      </w:r>
      <w:r w:rsidRPr="00901C7B">
        <w:rPr>
          <w:rFonts w:ascii="Calibri Light" w:hAnsi="Calibri Light"/>
        </w:rPr>
        <w:t xml:space="preserve">. </w:t>
      </w:r>
      <w:r w:rsidR="001467A8" w:rsidRPr="00901C7B">
        <w:rPr>
          <w:rFonts w:ascii="Calibri Light" w:hAnsi="Calibri Light"/>
        </w:rPr>
        <w:t>The industry will need to build the capability and capacity to manage this end</w:t>
      </w:r>
      <w:r w:rsidR="00582E16">
        <w:rPr>
          <w:rFonts w:ascii="Calibri Light" w:hAnsi="Calibri Light"/>
        </w:rPr>
        <w:t>-</w:t>
      </w:r>
      <w:r w:rsidR="001467A8" w:rsidRPr="00901C7B">
        <w:rPr>
          <w:rFonts w:ascii="Calibri Light" w:hAnsi="Calibri Light"/>
        </w:rPr>
        <w:t>of</w:t>
      </w:r>
      <w:r w:rsidR="00582E16">
        <w:rPr>
          <w:rFonts w:ascii="Calibri Light" w:hAnsi="Calibri Light"/>
        </w:rPr>
        <w:t>-</w:t>
      </w:r>
      <w:r w:rsidR="001467A8" w:rsidRPr="00901C7B">
        <w:rPr>
          <w:rFonts w:ascii="Calibri Light" w:hAnsi="Calibri Light"/>
        </w:rPr>
        <w:t>life phase and regulators will need to ensure this is undertaken in a prudent and efficient manner that manages safety and environment risks</w:t>
      </w:r>
    </w:p>
    <w:p w14:paraId="0F76DBE4" w14:textId="77777777" w:rsidR="00336577" w:rsidRPr="00901C7B" w:rsidRDefault="00336577" w:rsidP="000C1F53">
      <w:pPr>
        <w:pStyle w:val="ListParagraph"/>
        <w:numPr>
          <w:ilvl w:val="0"/>
          <w:numId w:val="23"/>
        </w:numPr>
        <w:spacing w:after="120" w:line="240" w:lineRule="auto"/>
        <w:ind w:left="357" w:hanging="357"/>
        <w:contextualSpacing w:val="0"/>
        <w:rPr>
          <w:rFonts w:ascii="Calibri Light" w:hAnsi="Calibri Light"/>
        </w:rPr>
      </w:pPr>
      <w:r w:rsidRPr="00901C7B">
        <w:rPr>
          <w:rFonts w:ascii="Calibri Light" w:hAnsi="Calibri Light"/>
        </w:rPr>
        <w:t>Asset ownership is likely to fragment and with increasing fragmentation comes a more complex stakeholder ecosystem to manage</w:t>
      </w:r>
    </w:p>
    <w:p w14:paraId="5DDE813C" w14:textId="0670AD92" w:rsidR="00336577" w:rsidRPr="00901C7B" w:rsidRDefault="00336577" w:rsidP="000C1F53">
      <w:pPr>
        <w:pStyle w:val="ListParagraph"/>
        <w:numPr>
          <w:ilvl w:val="0"/>
          <w:numId w:val="23"/>
        </w:numPr>
        <w:spacing w:after="120" w:line="240" w:lineRule="auto"/>
        <w:ind w:left="357" w:hanging="357"/>
        <w:contextualSpacing w:val="0"/>
        <w:rPr>
          <w:rFonts w:ascii="Calibri Light" w:hAnsi="Calibri Light"/>
        </w:rPr>
      </w:pPr>
      <w:r w:rsidRPr="00901C7B">
        <w:rPr>
          <w:rFonts w:ascii="Calibri Light" w:hAnsi="Calibri Light"/>
        </w:rPr>
        <w:t xml:space="preserve">As </w:t>
      </w:r>
      <w:r w:rsidR="00E13C66">
        <w:rPr>
          <w:rFonts w:ascii="Calibri Light" w:hAnsi="Calibri Light"/>
        </w:rPr>
        <w:t>the operating</w:t>
      </w:r>
      <w:r w:rsidR="00E13C66" w:rsidRPr="00901C7B">
        <w:rPr>
          <w:rFonts w:ascii="Calibri Light" w:hAnsi="Calibri Light"/>
        </w:rPr>
        <w:t xml:space="preserve"> </w:t>
      </w:r>
      <w:r w:rsidRPr="00901C7B">
        <w:rPr>
          <w:rFonts w:ascii="Calibri Light" w:hAnsi="Calibri Light"/>
        </w:rPr>
        <w:t xml:space="preserve">margins </w:t>
      </w:r>
      <w:r w:rsidR="00E13C66">
        <w:rPr>
          <w:rFonts w:ascii="Calibri Light" w:hAnsi="Calibri Light"/>
        </w:rPr>
        <w:t>of late life assets decline</w:t>
      </w:r>
      <w:r w:rsidRPr="00901C7B">
        <w:rPr>
          <w:rFonts w:ascii="Calibri Light" w:hAnsi="Calibri Light"/>
        </w:rPr>
        <w:t xml:space="preserve">, the industry’s focus will become increasingly ‘commercial’ in an effort to profitably recover resources from declining and marginal operations. Operators run increasingly lean maintenance schedules and may look to defer maintenance, which can have associated health and safety risks. In addition, price volatility and cyclicality </w:t>
      </w:r>
      <w:r w:rsidR="00910553">
        <w:rPr>
          <w:rFonts w:ascii="Calibri Light" w:hAnsi="Calibri Light"/>
        </w:rPr>
        <w:t>could influence</w:t>
      </w:r>
      <w:r w:rsidR="00910553" w:rsidRPr="00901C7B">
        <w:rPr>
          <w:rFonts w:ascii="Calibri Light" w:hAnsi="Calibri Light"/>
        </w:rPr>
        <w:t xml:space="preserve"> </w:t>
      </w:r>
      <w:r w:rsidR="007D068D">
        <w:rPr>
          <w:rFonts w:ascii="Calibri Light" w:hAnsi="Calibri Light"/>
        </w:rPr>
        <w:t xml:space="preserve">operators’ </w:t>
      </w:r>
      <w:r w:rsidRPr="00901C7B">
        <w:rPr>
          <w:rFonts w:ascii="Calibri Light" w:hAnsi="Calibri Light"/>
        </w:rPr>
        <w:t>decommissioning timetables significantly</w:t>
      </w:r>
    </w:p>
    <w:p w14:paraId="3C10B89C" w14:textId="2BBF6580" w:rsidR="00336577" w:rsidRPr="00901C7B" w:rsidRDefault="00336577" w:rsidP="000C1F53">
      <w:pPr>
        <w:pStyle w:val="ListParagraph"/>
        <w:numPr>
          <w:ilvl w:val="0"/>
          <w:numId w:val="23"/>
        </w:numPr>
        <w:spacing w:after="120" w:line="240" w:lineRule="auto"/>
        <w:ind w:left="357" w:hanging="357"/>
        <w:contextualSpacing w:val="0"/>
        <w:rPr>
          <w:rFonts w:ascii="Calibri Light" w:hAnsi="Calibri Light"/>
        </w:rPr>
      </w:pPr>
      <w:r w:rsidRPr="00901C7B">
        <w:rPr>
          <w:rFonts w:ascii="Calibri Light" w:hAnsi="Calibri Light"/>
        </w:rPr>
        <w:t xml:space="preserve">Reducing regulatory burden has a proportionately larger financial impact on </w:t>
      </w:r>
      <w:r w:rsidR="000B373F">
        <w:rPr>
          <w:rFonts w:ascii="Calibri Light" w:hAnsi="Calibri Light"/>
        </w:rPr>
        <w:t>the</w:t>
      </w:r>
      <w:r w:rsidR="000B373F" w:rsidRPr="00901C7B">
        <w:rPr>
          <w:rFonts w:ascii="Calibri Light" w:hAnsi="Calibri Light"/>
        </w:rPr>
        <w:t xml:space="preserve"> </w:t>
      </w:r>
      <w:r w:rsidRPr="00901C7B">
        <w:rPr>
          <w:rFonts w:ascii="Calibri Light" w:hAnsi="Calibri Light"/>
        </w:rPr>
        <w:t xml:space="preserve">profitability </w:t>
      </w:r>
      <w:r w:rsidR="000B373F">
        <w:rPr>
          <w:rFonts w:ascii="Calibri Light" w:hAnsi="Calibri Light"/>
        </w:rPr>
        <w:t xml:space="preserve">of mature assets </w:t>
      </w:r>
      <w:r w:rsidRPr="00901C7B">
        <w:rPr>
          <w:rFonts w:ascii="Calibri Light" w:hAnsi="Calibri Light"/>
        </w:rPr>
        <w:t>and, therefore, has a greater relative importance for these operators</w:t>
      </w:r>
    </w:p>
    <w:p w14:paraId="50DAFE1D" w14:textId="77777777" w:rsidR="001467A8" w:rsidRPr="00901C7B" w:rsidRDefault="001467A8" w:rsidP="000C1F53">
      <w:pPr>
        <w:pStyle w:val="ListParagraph"/>
        <w:numPr>
          <w:ilvl w:val="0"/>
          <w:numId w:val="23"/>
        </w:numPr>
        <w:rPr>
          <w:rFonts w:ascii="Calibri Light" w:hAnsi="Calibri Light"/>
        </w:rPr>
      </w:pPr>
      <w:r w:rsidRPr="00901C7B">
        <w:rPr>
          <w:rFonts w:ascii="Calibri Light" w:hAnsi="Calibri Light"/>
        </w:rPr>
        <w:t>As a result of the above factors, there is a general increase in the complexity of safety and environmental regulatory activities and arguably greater oversight required. As a consequence, while industry production levels decline, there may not be a corresponding immediate reduction in the required regulatory activities in inspections. Permissioning document assessment volumes may decrease somewhat, but variations to permissioning documents and the large number of expected transactions may offset decreases in ‘new’ permissioning documents.</w:t>
      </w:r>
    </w:p>
    <w:p w14:paraId="44C5B588" w14:textId="41E1B918" w:rsidR="00336577" w:rsidRDefault="00336577" w:rsidP="00336577">
      <w:pPr>
        <w:spacing w:line="240" w:lineRule="auto"/>
        <w:rPr>
          <w:rFonts w:ascii="Calibri Light" w:hAnsi="Calibri Light"/>
        </w:rPr>
      </w:pPr>
      <w:r w:rsidRPr="00901C7B">
        <w:rPr>
          <w:rFonts w:ascii="Calibri Light" w:hAnsi="Calibri Light"/>
        </w:rPr>
        <w:t>Australia’s offshore industry, while maturing, still has a number of early-to-midlife assets. Therefore, NOPTA and NOPSEMA oversee an industry which could be described as a ‘two-stage’ industry.</w:t>
      </w:r>
    </w:p>
    <w:p w14:paraId="1D6A2BC0" w14:textId="2EF1E8BB" w:rsidR="00241647" w:rsidRPr="00901C7B" w:rsidRDefault="00241647" w:rsidP="004B089B">
      <w:pPr>
        <w:pStyle w:val="Caption"/>
        <w:keepNext/>
        <w:rPr>
          <w:rFonts w:ascii="Calibri Light" w:hAnsi="Calibri Light"/>
        </w:rPr>
      </w:pPr>
      <w:bookmarkStart w:id="24" w:name="_Ref58444251"/>
      <w:r>
        <w:t xml:space="preserve">Figure </w:t>
      </w:r>
      <w:r w:rsidR="00AD41F8">
        <w:fldChar w:fldCharType="begin"/>
      </w:r>
      <w:r w:rsidR="00AD41F8">
        <w:instrText xml:space="preserve"> STYLEREF 1 \s </w:instrText>
      </w:r>
      <w:r w:rsidR="00AD41F8">
        <w:fldChar w:fldCharType="separate"/>
      </w:r>
      <w:r w:rsidR="00E816B8">
        <w:rPr>
          <w:noProof/>
        </w:rPr>
        <w:t>4</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4</w:t>
      </w:r>
      <w:r w:rsidR="00AD41F8">
        <w:fldChar w:fldCharType="end"/>
      </w:r>
      <w:bookmarkEnd w:id="24"/>
      <w:r>
        <w:t>: Forecast decommissioning liability for offshore facilities in Australia between 2020 and 2025</w:t>
      </w:r>
    </w:p>
    <w:p w14:paraId="4BF254CC" w14:textId="77777777" w:rsidR="003C48BF" w:rsidRDefault="004A0332" w:rsidP="003C48BF">
      <w:pPr>
        <w:spacing w:before="120" w:after="120" w:line="240" w:lineRule="auto"/>
        <w:rPr>
          <w:rFonts w:asciiTheme="majorHAnsi" w:hAnsiTheme="majorHAnsi" w:cs="Calibri"/>
        </w:rPr>
      </w:pPr>
      <w:r>
        <w:rPr>
          <w:noProof/>
          <w:lang w:eastAsia="en-AU"/>
        </w:rPr>
        <w:drawing>
          <wp:inline distT="0" distB="0" distL="0" distR="0" wp14:anchorId="0439D128" wp14:editId="13FC5A7C">
            <wp:extent cx="6263640" cy="3024000"/>
            <wp:effectExtent l="0" t="0" r="3810" b="5080"/>
            <wp:docPr id="39" name="Chart 3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84900BF-44E0-4AD1-8C2E-3F5CC2AEE6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606427F" w14:textId="31DB7A5F" w:rsidR="004A0332" w:rsidRPr="007218D4" w:rsidRDefault="004A0332" w:rsidP="003C48BF">
      <w:pPr>
        <w:spacing w:before="120" w:after="120" w:line="240" w:lineRule="auto"/>
        <w:rPr>
          <w:rFonts w:ascii="Calibri Light" w:hAnsi="Calibri Light" w:cs="Calibri Light"/>
          <w:sz w:val="14"/>
          <w:szCs w:val="14"/>
        </w:rPr>
      </w:pPr>
      <w:r w:rsidRPr="007218D4">
        <w:rPr>
          <w:rFonts w:ascii="Calibri Light" w:hAnsi="Calibri Light" w:cs="Calibri Light"/>
          <w:sz w:val="14"/>
          <w:szCs w:val="14"/>
        </w:rPr>
        <w:t>Includes all facilities ‘offshore’ (i.e. inclusive of facilities within three nautical miles of the Australian coastline) and includes all includes subsea tieback, floater and fixed facilities; based on an exchange rate of AUD to USD of 1.416:1</w:t>
      </w:r>
    </w:p>
    <w:p w14:paraId="33F25CD5" w14:textId="5202BEAA" w:rsidR="00B650C7" w:rsidRPr="004A0332" w:rsidRDefault="00B650C7" w:rsidP="004A0332">
      <w:pPr>
        <w:spacing w:after="120" w:line="240" w:lineRule="auto"/>
        <w:rPr>
          <w:rFonts w:ascii="Calibri Light" w:hAnsi="Calibri Light" w:cs="Calibri Light"/>
          <w:b/>
          <w:bCs/>
          <w:i/>
          <w:iCs/>
          <w:color w:val="75787B" w:themeColor="accent6"/>
        </w:rPr>
      </w:pPr>
      <w:r w:rsidRPr="004A0332">
        <w:rPr>
          <w:rFonts w:ascii="Calibri Light" w:hAnsi="Calibri Light" w:cs="Calibri Light"/>
          <w:bCs/>
          <w:i/>
          <w:color w:val="75787B" w:themeColor="accent6"/>
        </w:rPr>
        <w:t>Source: Rystad Energy, Deloitte analysis</w:t>
      </w:r>
    </w:p>
    <w:p w14:paraId="6595F5AA" w14:textId="6325272D" w:rsidR="00336577" w:rsidRPr="00901C7B" w:rsidRDefault="00336577" w:rsidP="00336577">
      <w:pPr>
        <w:spacing w:line="240" w:lineRule="auto"/>
        <w:rPr>
          <w:rFonts w:ascii="Calibri Light" w:hAnsi="Calibri Light"/>
          <w:i/>
          <w:color w:val="808080" w:themeColor="background1" w:themeShade="80"/>
        </w:rPr>
      </w:pPr>
      <w:r w:rsidRPr="00901C7B">
        <w:rPr>
          <w:rFonts w:ascii="Calibri Light" w:hAnsi="Calibri Light"/>
        </w:rPr>
        <w:t xml:space="preserve">The factors outlined above present challenges for industry and the Government alike. We are already seeing a number of large operators seeking to exit mature areas (e.g. ExxonMobil and BHP in the Bass Strait and ENI looking to divest its Northern Australia </w:t>
      </w:r>
      <w:r w:rsidRPr="00901C7B">
        <w:rPr>
          <w:rFonts w:ascii="Calibri Light" w:hAnsi="Calibri Light"/>
        </w:rPr>
        <w:lastRenderedPageBreak/>
        <w:t>assets</w:t>
      </w:r>
      <w:r w:rsidRPr="00901C7B">
        <w:rPr>
          <w:rStyle w:val="FootnoteReference"/>
          <w:sz w:val="18"/>
        </w:rPr>
        <w:footnoteReference w:id="10"/>
      </w:r>
      <w:r w:rsidRPr="00901C7B">
        <w:rPr>
          <w:rFonts w:ascii="Calibri Light" w:hAnsi="Calibri Light"/>
        </w:rPr>
        <w:t>). Moreover, the events surrounding the Northern Endeavour Floating Production and Storage Offtake facility and the broader Laminaria-Corallina fields are an early indicator of the challenges ahead. The Government has begun developing a draft decommissioning framework for consultation with industry. At the time of writing this report, the draft framework ha</w:t>
      </w:r>
      <w:r w:rsidR="00010004">
        <w:rPr>
          <w:rFonts w:ascii="Calibri Light" w:hAnsi="Calibri Light"/>
        </w:rPr>
        <w:t>d</w:t>
      </w:r>
      <w:r w:rsidRPr="00901C7B">
        <w:rPr>
          <w:rFonts w:ascii="Calibri Light" w:hAnsi="Calibri Light"/>
        </w:rPr>
        <w:t xml:space="preserve"> been released</w:t>
      </w:r>
      <w:r w:rsidR="00D934AA">
        <w:rPr>
          <w:rFonts w:ascii="Calibri Light" w:hAnsi="Calibri Light"/>
        </w:rPr>
        <w:t xml:space="preserve"> for public consultation </w:t>
      </w:r>
      <w:r w:rsidR="00370004">
        <w:rPr>
          <w:rFonts w:ascii="Calibri Light" w:hAnsi="Calibri Light"/>
        </w:rPr>
        <w:t xml:space="preserve">but the government </w:t>
      </w:r>
      <w:r w:rsidR="00A17CB6">
        <w:rPr>
          <w:rFonts w:ascii="Calibri Light" w:hAnsi="Calibri Light"/>
        </w:rPr>
        <w:t xml:space="preserve">had not </w:t>
      </w:r>
      <w:r w:rsidR="00675973">
        <w:rPr>
          <w:rFonts w:ascii="Calibri Light" w:hAnsi="Calibri Light"/>
        </w:rPr>
        <w:t xml:space="preserve">made </w:t>
      </w:r>
      <w:r w:rsidR="00AE2AFB">
        <w:rPr>
          <w:rFonts w:ascii="Calibri Light" w:hAnsi="Calibri Light"/>
        </w:rPr>
        <w:t>any final decision</w:t>
      </w:r>
      <w:r w:rsidRPr="00901C7B">
        <w:rPr>
          <w:rFonts w:ascii="Calibri Light" w:hAnsi="Calibri Light"/>
        </w:rPr>
        <w:t xml:space="preserve">. The need for a cohesive administrative, policy, decision-making, and regulatory approach is an imperative. </w:t>
      </w:r>
    </w:p>
    <w:p w14:paraId="44FE5F63" w14:textId="19F42D96" w:rsidR="00336577" w:rsidRPr="00901C7B" w:rsidRDefault="00336577" w:rsidP="00336577">
      <w:pPr>
        <w:pStyle w:val="Heading2"/>
        <w:numPr>
          <w:ilvl w:val="1"/>
          <w:numId w:val="1"/>
        </w:numPr>
        <w:contextualSpacing w:val="0"/>
        <w:rPr>
          <w:rFonts w:ascii="Calibri Light" w:hAnsi="Calibri Light"/>
          <w:szCs w:val="18"/>
        </w:rPr>
      </w:pPr>
      <w:bookmarkStart w:id="25" w:name="_Ref58592369"/>
      <w:r w:rsidRPr="00901C7B">
        <w:rPr>
          <w:rFonts w:ascii="Calibri Light" w:hAnsi="Calibri Light"/>
          <w:szCs w:val="18"/>
        </w:rPr>
        <w:t>Implications for NOP</w:t>
      </w:r>
      <w:r w:rsidR="00B22FB9">
        <w:rPr>
          <w:rFonts w:ascii="Calibri Light" w:hAnsi="Calibri Light"/>
          <w:szCs w:val="18"/>
        </w:rPr>
        <w:t>SEM</w:t>
      </w:r>
      <w:r w:rsidRPr="00901C7B">
        <w:rPr>
          <w:rFonts w:ascii="Calibri Light" w:hAnsi="Calibri Light"/>
          <w:szCs w:val="18"/>
        </w:rPr>
        <w:t>A</w:t>
      </w:r>
      <w:bookmarkEnd w:id="25"/>
    </w:p>
    <w:p w14:paraId="6D9E30A1" w14:textId="1EC5CC50" w:rsidR="00336577" w:rsidRPr="00C521A1" w:rsidRDefault="00336577" w:rsidP="00901C7B">
      <w:pPr>
        <w:pStyle w:val="Heading3NoNumber"/>
      </w:pPr>
      <w:r w:rsidRPr="00901C7B">
        <w:t>There are clear implications of the future industry for NOP</w:t>
      </w:r>
      <w:r w:rsidR="00B22FB9">
        <w:t>SEM</w:t>
      </w:r>
      <w:r w:rsidRPr="00901C7B">
        <w:t>A to consider now</w:t>
      </w:r>
    </w:p>
    <w:p w14:paraId="68BC7E42" w14:textId="598E2C70" w:rsidR="00336577" w:rsidRPr="00901C7B" w:rsidRDefault="00336577" w:rsidP="00336577">
      <w:pPr>
        <w:spacing w:before="120"/>
        <w:rPr>
          <w:rFonts w:ascii="Calibri Light" w:hAnsi="Calibri Light"/>
        </w:rPr>
      </w:pPr>
      <w:r w:rsidRPr="00901C7B">
        <w:rPr>
          <w:rFonts w:ascii="Calibri Light" w:hAnsi="Calibri Light"/>
        </w:rPr>
        <w:t>At some level, each factor mentioned above has ramifications for the future of NOP</w:t>
      </w:r>
      <w:r w:rsidR="00B22FB9" w:rsidRPr="00901C7B">
        <w:rPr>
          <w:rFonts w:ascii="Calibri Light" w:hAnsi="Calibri Light"/>
        </w:rPr>
        <w:t>SEM</w:t>
      </w:r>
      <w:r w:rsidRPr="00901C7B">
        <w:rPr>
          <w:rFonts w:ascii="Calibri Light" w:hAnsi="Calibri Light"/>
        </w:rPr>
        <w:t>A. We briefly outline key implications below. Our report must be read with these factors and their implications in mind – they underpin many of our observations and recommendations.</w:t>
      </w:r>
      <w:r w:rsidRPr="00901C7B">
        <w:rPr>
          <w:rFonts w:ascii="Calibri Light" w:hAnsi="Calibri Light"/>
          <w:lang w:eastAsia="en-AU"/>
        </w:rPr>
        <w:t xml:space="preserve"> We dedicate the final section of our report to examining strategic issues in greater detail.</w:t>
      </w:r>
    </w:p>
    <w:p w14:paraId="224487DD" w14:textId="288AC1C0" w:rsidR="00336577" w:rsidRPr="00901C7B" w:rsidRDefault="00336577" w:rsidP="00336577">
      <w:pPr>
        <w:spacing w:after="120"/>
        <w:contextualSpacing/>
        <w:rPr>
          <w:rFonts w:ascii="Calibri Light" w:hAnsi="Calibri Light"/>
        </w:rPr>
      </w:pPr>
      <w:r w:rsidRPr="00901C7B">
        <w:rPr>
          <w:rFonts w:ascii="Calibri Light" w:hAnsi="Calibri Light"/>
        </w:rPr>
        <w:t>Key implications for NOP</w:t>
      </w:r>
      <w:r w:rsidR="00B22FB9" w:rsidRPr="00901C7B">
        <w:rPr>
          <w:rFonts w:ascii="Calibri Light" w:hAnsi="Calibri Light"/>
        </w:rPr>
        <w:t>SEM</w:t>
      </w:r>
      <w:r w:rsidRPr="00901C7B">
        <w:rPr>
          <w:rFonts w:ascii="Calibri Light" w:hAnsi="Calibri Light"/>
        </w:rPr>
        <w:t>A include:</w:t>
      </w:r>
    </w:p>
    <w:p w14:paraId="3A1CF39D" w14:textId="1D3DBA54" w:rsidR="00336577" w:rsidRPr="00901C7B" w:rsidRDefault="00336577" w:rsidP="000C1F53">
      <w:pPr>
        <w:pStyle w:val="BodycopyNEW0"/>
        <w:numPr>
          <w:ilvl w:val="0"/>
          <w:numId w:val="23"/>
        </w:numPr>
        <w:ind w:left="378"/>
      </w:pPr>
      <w:r w:rsidRPr="007B16E0">
        <w:rPr>
          <w:rFonts w:cs="Calibri Light"/>
        </w:rPr>
        <w:t>Importance of reduc</w:t>
      </w:r>
      <w:r w:rsidRPr="00901C7B">
        <w:t>ing regulatory burden and streamlining regulatory processes</w:t>
      </w:r>
      <w:r w:rsidR="00B22FB9" w:rsidRPr="00901C7B">
        <w:t xml:space="preserve">, where </w:t>
      </w:r>
      <w:r w:rsidR="00015333" w:rsidRPr="00901C7B">
        <w:t>appropriate,</w:t>
      </w:r>
      <w:r w:rsidRPr="00901C7B">
        <w:t xml:space="preserve"> to support an industry facing cost pressures from economic headwinds </w:t>
      </w:r>
      <w:r w:rsidR="00015333" w:rsidRPr="00901C7B">
        <w:t>whilst ensuring adherence to safety and environmental regulations</w:t>
      </w:r>
    </w:p>
    <w:p w14:paraId="03BAAF12" w14:textId="29EC184E" w:rsidR="00336577" w:rsidRPr="00901C7B" w:rsidRDefault="00336577" w:rsidP="000C1F53">
      <w:pPr>
        <w:pStyle w:val="BodycopyNEW0"/>
        <w:numPr>
          <w:ilvl w:val="0"/>
          <w:numId w:val="23"/>
        </w:numPr>
        <w:ind w:left="378"/>
        <w:rPr>
          <w:b/>
        </w:rPr>
      </w:pPr>
      <w:r w:rsidRPr="007B16E0">
        <w:rPr>
          <w:rFonts w:cs="Calibri Light"/>
        </w:rPr>
        <w:t>Ability to be</w:t>
      </w:r>
      <w:r w:rsidRPr="00901C7B">
        <w:t xml:space="preserve"> agile and adaptable to changing industry characteristics, policy, and legislation</w:t>
      </w:r>
    </w:p>
    <w:p w14:paraId="01846DCC" w14:textId="77777777" w:rsidR="00015333" w:rsidRPr="007B16E0" w:rsidRDefault="00015333" w:rsidP="000C1F53">
      <w:pPr>
        <w:pStyle w:val="BodycopyNEW0"/>
        <w:numPr>
          <w:ilvl w:val="0"/>
          <w:numId w:val="23"/>
        </w:numPr>
        <w:ind w:left="378"/>
        <w:rPr>
          <w:rFonts w:cs="Calibri Light"/>
        </w:rPr>
      </w:pPr>
      <w:r w:rsidRPr="007B16E0">
        <w:rPr>
          <w:rFonts w:cs="Calibri Light"/>
        </w:rPr>
        <w:t>Ability to raise safety and environment performance of an industry that will become more diverse, fragmented and cost-focused over time</w:t>
      </w:r>
    </w:p>
    <w:p w14:paraId="56379671" w14:textId="77777777" w:rsidR="00336577" w:rsidRPr="00901C7B" w:rsidRDefault="00336577" w:rsidP="000C1F53">
      <w:pPr>
        <w:pStyle w:val="BodycopyNEW0"/>
        <w:numPr>
          <w:ilvl w:val="0"/>
          <w:numId w:val="23"/>
        </w:numPr>
        <w:ind w:left="378"/>
        <w:rPr>
          <w:b/>
        </w:rPr>
      </w:pPr>
      <w:r w:rsidRPr="007B16E0">
        <w:rPr>
          <w:rFonts w:cs="Calibri Light"/>
        </w:rPr>
        <w:t>Need for greater collaboration and in</w:t>
      </w:r>
      <w:r w:rsidRPr="00901C7B">
        <w:t>tegration across Government to address strategic industry challenges in relation to supporting the prudent and efficient management of decommissioning</w:t>
      </w:r>
    </w:p>
    <w:p w14:paraId="2D933FFF" w14:textId="77777777" w:rsidR="00336577" w:rsidRPr="00901C7B" w:rsidRDefault="00336577" w:rsidP="000C1F53">
      <w:pPr>
        <w:pStyle w:val="BodycopyNEW0"/>
        <w:numPr>
          <w:ilvl w:val="0"/>
          <w:numId w:val="23"/>
        </w:numPr>
        <w:ind w:left="378"/>
        <w:rPr>
          <w:b/>
        </w:rPr>
      </w:pPr>
      <w:r w:rsidRPr="007B16E0">
        <w:rPr>
          <w:rFonts w:cs="Calibri Light"/>
        </w:rPr>
        <w:t>Ability to rapidly develop new or enhance existing capabilities, people, systems and processes to support</w:t>
      </w:r>
      <w:r w:rsidRPr="00901C7B">
        <w:t xml:space="preserve"> changes noted above</w:t>
      </w:r>
    </w:p>
    <w:p w14:paraId="050AF667" w14:textId="77777777" w:rsidR="00336577" w:rsidRPr="00901C7B" w:rsidRDefault="00336577" w:rsidP="000C1F53">
      <w:pPr>
        <w:pStyle w:val="BodycopyNEW0"/>
        <w:numPr>
          <w:ilvl w:val="0"/>
          <w:numId w:val="23"/>
        </w:numPr>
        <w:ind w:left="378"/>
        <w:rPr>
          <w:b/>
        </w:rPr>
      </w:pPr>
      <w:r w:rsidRPr="007B16E0">
        <w:rPr>
          <w:rFonts w:cs="Calibri Light"/>
        </w:rPr>
        <w:t>A susta</w:t>
      </w:r>
      <w:r w:rsidRPr="00901C7B">
        <w:t>inable way to manage regulation of a maturing industry (petroleum) and emerging industry (GHG storage), particularly where cost recovered revenue may come under pressure</w:t>
      </w:r>
    </w:p>
    <w:p w14:paraId="109B7BF4" w14:textId="77777777" w:rsidR="00336577" w:rsidRPr="00901C7B" w:rsidRDefault="00336577" w:rsidP="000C1F53">
      <w:pPr>
        <w:pStyle w:val="BodycopyNEW0"/>
        <w:numPr>
          <w:ilvl w:val="0"/>
          <w:numId w:val="23"/>
        </w:numPr>
        <w:ind w:left="378"/>
        <w:rPr>
          <w:b/>
        </w:rPr>
      </w:pPr>
      <w:r w:rsidRPr="007B16E0">
        <w:rPr>
          <w:rFonts w:cs="Calibri Light"/>
        </w:rPr>
        <w:t xml:space="preserve">A sustainable and transparent approach to engaging with a </w:t>
      </w:r>
      <w:r w:rsidRPr="00901C7B">
        <w:t>diverse and increasingly complex stakeholder ecosystem.</w:t>
      </w:r>
    </w:p>
    <w:p w14:paraId="37EEEB66" w14:textId="77777777" w:rsidR="00336577" w:rsidRPr="00901C7B" w:rsidRDefault="00336577" w:rsidP="00336577">
      <w:pPr>
        <w:pStyle w:val="Heading2"/>
        <w:numPr>
          <w:ilvl w:val="1"/>
          <w:numId w:val="1"/>
        </w:numPr>
        <w:contextualSpacing w:val="0"/>
        <w:rPr>
          <w:rFonts w:ascii="Calibri Light" w:hAnsi="Calibri Light"/>
          <w:szCs w:val="18"/>
        </w:rPr>
      </w:pPr>
      <w:bookmarkStart w:id="26" w:name="_Ref58592434"/>
      <w:r w:rsidRPr="00901C7B">
        <w:rPr>
          <w:rFonts w:ascii="Calibri Light" w:hAnsi="Calibri Light"/>
          <w:szCs w:val="18"/>
        </w:rPr>
        <w:t>Offshore GHG storage</w:t>
      </w:r>
      <w:bookmarkEnd w:id="26"/>
    </w:p>
    <w:p w14:paraId="63C984E4" w14:textId="59E52E88" w:rsidR="00336577" w:rsidRPr="00901C7B" w:rsidRDefault="00336577" w:rsidP="00901C7B">
      <w:pPr>
        <w:pStyle w:val="Heading3NoNumber"/>
        <w:rPr>
          <w:b w:val="0"/>
        </w:rPr>
      </w:pPr>
      <w:r w:rsidRPr="00901C7B">
        <w:t>Offshore GHG functions overseen by NOP</w:t>
      </w:r>
      <w:r w:rsidR="00BD7A17">
        <w:t>SEM</w:t>
      </w:r>
      <w:r w:rsidRPr="00901C7B">
        <w:t>A are an emergent industry</w:t>
      </w:r>
    </w:p>
    <w:p w14:paraId="11CD264E" w14:textId="0B86B174" w:rsidR="00336577" w:rsidRPr="00901C7B" w:rsidRDefault="00336577" w:rsidP="00901C7B">
      <w:pPr>
        <w:rPr>
          <w:rFonts w:ascii="Calibri Light" w:hAnsi="Calibri Light"/>
          <w:b/>
        </w:rPr>
      </w:pPr>
      <w:r w:rsidRPr="00901C7B">
        <w:rPr>
          <w:rFonts w:ascii="Calibri Light" w:hAnsi="Calibri Light"/>
        </w:rPr>
        <w:t>NOP</w:t>
      </w:r>
      <w:r w:rsidR="00BD7A17" w:rsidRPr="00AA1E32">
        <w:rPr>
          <w:rFonts w:ascii="Calibri Light" w:hAnsi="Calibri Light"/>
        </w:rPr>
        <w:t>SEM</w:t>
      </w:r>
      <w:r w:rsidRPr="00901C7B">
        <w:rPr>
          <w:rFonts w:ascii="Calibri Light" w:hAnsi="Calibri Light"/>
        </w:rPr>
        <w:t>A oversees what might be described as a second or adjacent industry:</w:t>
      </w:r>
      <w:r w:rsidRPr="00901C7B" w:rsidDel="009D02F0">
        <w:rPr>
          <w:rFonts w:ascii="Calibri Light" w:hAnsi="Calibri Light"/>
        </w:rPr>
        <w:t xml:space="preserve"> </w:t>
      </w:r>
      <w:r w:rsidRPr="00901C7B">
        <w:rPr>
          <w:rFonts w:ascii="Calibri Light" w:hAnsi="Calibri Light"/>
        </w:rPr>
        <w:t>the GHG/Carbon Capture and Storage (</w:t>
      </w:r>
      <w:r w:rsidRPr="00901C7B">
        <w:rPr>
          <w:rFonts w:ascii="Calibri Light" w:hAnsi="Calibri Light"/>
          <w:b/>
        </w:rPr>
        <w:t>CCS</w:t>
      </w:r>
      <w:r w:rsidRPr="00901C7B">
        <w:rPr>
          <w:rFonts w:ascii="Calibri Light" w:hAnsi="Calibri Light"/>
        </w:rPr>
        <w:t>) emergent industry</w:t>
      </w:r>
      <w:r w:rsidR="00BD7A17" w:rsidRPr="00AA1E32">
        <w:rPr>
          <w:rFonts w:ascii="Calibri Light" w:hAnsi="Calibri Light"/>
        </w:rPr>
        <w:t>. The Joint Authorities have granted</w:t>
      </w:r>
      <w:r w:rsidRPr="00901C7B">
        <w:rPr>
          <w:rFonts w:ascii="Calibri Light" w:hAnsi="Calibri Light"/>
        </w:rPr>
        <w:t xml:space="preserve"> </w:t>
      </w:r>
      <w:r w:rsidR="00322EBD">
        <w:rPr>
          <w:rFonts w:ascii="Calibri Light" w:hAnsi="Calibri Light"/>
        </w:rPr>
        <w:t>four</w:t>
      </w:r>
      <w:r w:rsidRPr="00901C7B">
        <w:rPr>
          <w:rFonts w:ascii="Calibri Light" w:hAnsi="Calibri Light"/>
        </w:rPr>
        <w:t xml:space="preserve"> GHG storage titles. At this stage, Australia’s offshore CCS/GHG storage industry is in the early stages of progressing commercial scale applications as a key climate change mitigation strategy. The CarbonNet Project, which aims to establish a commercial-scale CCS network in Victoria, Australia, has an approved environment plan in place with NOPSEMA (approved in April 2019). Overall, it is unclear of the extent or timing of future demand for CCS/GHG storage and therefore the volume of administrative or regulatory oversight required. Demand will be dictated by a number of factors including the ability to commercialise technologies and government policy. </w:t>
      </w:r>
    </w:p>
    <w:p w14:paraId="0300406A" w14:textId="77777777" w:rsidR="00336577" w:rsidRDefault="00336577" w:rsidP="00AE2D6E">
      <w:pPr>
        <w:pStyle w:val="BodyCopyNEW"/>
      </w:pPr>
    </w:p>
    <w:p w14:paraId="7E921CCA" w14:textId="77777777" w:rsidR="00336577" w:rsidRDefault="00336577" w:rsidP="00AE2D6E">
      <w:pPr>
        <w:pStyle w:val="BodyCopyNEW"/>
      </w:pPr>
    </w:p>
    <w:p w14:paraId="32ADB7C6" w14:textId="77777777" w:rsidR="00F5245B" w:rsidRDefault="00F5245B" w:rsidP="00A2764C">
      <w:pPr>
        <w:spacing w:after="120"/>
        <w:rPr>
          <w:b/>
          <w:bCs/>
          <w:i/>
          <w:iCs/>
        </w:rPr>
      </w:pPr>
    </w:p>
    <w:p w14:paraId="0582A2F6" w14:textId="77777777" w:rsidR="00216DE7" w:rsidRDefault="00216DE7" w:rsidP="00205593">
      <w:pPr>
        <w:spacing w:after="120" w:line="240" w:lineRule="auto"/>
        <w:rPr>
          <w:rFonts w:asciiTheme="majorHAnsi" w:hAnsiTheme="majorHAnsi" w:cs="Calibri"/>
        </w:rPr>
      </w:pPr>
    </w:p>
    <w:p w14:paraId="6F2E4D43" w14:textId="77777777" w:rsidR="00143B9D" w:rsidRPr="00BD2E58" w:rsidRDefault="00143B9D" w:rsidP="00205593">
      <w:pPr>
        <w:spacing w:after="120" w:line="240" w:lineRule="auto"/>
        <w:rPr>
          <w:rFonts w:asciiTheme="majorHAnsi" w:hAnsiTheme="majorHAnsi" w:cs="Calibri"/>
        </w:rPr>
      </w:pPr>
    </w:p>
    <w:p w14:paraId="143F7B7C" w14:textId="77777777" w:rsidR="001E3F70" w:rsidRDefault="001E3F70" w:rsidP="00733441">
      <w:pPr>
        <w:spacing w:after="120"/>
        <w:contextualSpacing/>
        <w:rPr>
          <w:rFonts w:asciiTheme="majorHAnsi" w:hAnsiTheme="majorHAnsi" w:cs="Calibri"/>
        </w:rPr>
        <w:sectPr w:rsidR="001E3F70" w:rsidSect="002B0B05">
          <w:headerReference w:type="default" r:id="rId32"/>
          <w:type w:val="continuous"/>
          <w:pgSz w:w="11906" w:h="16838" w:code="9"/>
          <w:pgMar w:top="1985" w:right="1021" w:bottom="1134" w:left="1021" w:header="680" w:footer="425" w:gutter="0"/>
          <w:cols w:space="284"/>
          <w:docGrid w:linePitch="360"/>
        </w:sectPr>
      </w:pPr>
    </w:p>
    <w:p w14:paraId="6744E38E" w14:textId="1FDD9F93" w:rsidR="00E635F5" w:rsidRPr="00BD2E58" w:rsidRDefault="00E635F5" w:rsidP="00733441">
      <w:pPr>
        <w:spacing w:after="120"/>
        <w:contextualSpacing/>
        <w:rPr>
          <w:rFonts w:asciiTheme="majorHAnsi" w:hAnsiTheme="majorHAnsi" w:cs="Calibri"/>
        </w:rPr>
      </w:pPr>
      <w:r w:rsidRPr="00BD2E58">
        <w:rPr>
          <w:rFonts w:asciiTheme="majorHAnsi" w:hAnsiTheme="majorHAnsi" w:cs="Calibri"/>
        </w:rPr>
        <w:br w:type="page"/>
      </w:r>
    </w:p>
    <w:p w14:paraId="13CC1E2B" w14:textId="4DD7E714" w:rsidR="00B81C4C" w:rsidRDefault="00B81C4C" w:rsidP="00CD6172">
      <w:pPr>
        <w:pStyle w:val="BodycopyNEW0"/>
      </w:pPr>
    </w:p>
    <w:p w14:paraId="6B1413DD" w14:textId="3130C7DE" w:rsidR="001E2AF9" w:rsidRPr="00BD2E58" w:rsidRDefault="002B0B05" w:rsidP="00B81C4C">
      <w:pPr>
        <w:pStyle w:val="Divider"/>
        <w:rPr>
          <w:sz w:val="60"/>
        </w:rPr>
      </w:pPr>
      <w:bookmarkStart w:id="27" w:name="_Toc58570895"/>
      <w:bookmarkStart w:id="28" w:name="_Toc63970841"/>
      <w:r>
        <w:drawing>
          <wp:anchor distT="0" distB="0" distL="114300" distR="114300" simplePos="0" relativeHeight="251658252" behindDoc="1" locked="0" layoutInCell="1" allowOverlap="1" wp14:anchorId="016BD8B8" wp14:editId="56DE390F">
            <wp:simplePos x="0" y="0"/>
            <wp:positionH relativeFrom="page">
              <wp:posOffset>0</wp:posOffset>
            </wp:positionH>
            <wp:positionV relativeFrom="paragraph">
              <wp:posOffset>-1490345</wp:posOffset>
            </wp:positionV>
            <wp:extent cx="7559675" cy="1069340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bookmarkEnd w:id="27"/>
      <w:r w:rsidR="00005386">
        <w:t>Detailed f</w:t>
      </w:r>
      <w:r w:rsidR="001E2AF9" w:rsidRPr="00BD2E58">
        <w:t>indings</w:t>
      </w:r>
      <w:bookmarkEnd w:id="28"/>
      <w:r w:rsidR="001E2AF9" w:rsidRPr="00BD2E58">
        <w:br w:type="page"/>
      </w:r>
    </w:p>
    <w:p w14:paraId="58DAA623" w14:textId="20E0DCC6" w:rsidR="00AD2B0F" w:rsidRDefault="00F56521" w:rsidP="001E3F70">
      <w:pPr>
        <w:pStyle w:val="Heading1"/>
        <w:ind w:right="4222"/>
      </w:pPr>
      <w:bookmarkStart w:id="29" w:name="_Ref55988234"/>
      <w:bookmarkStart w:id="30" w:name="_Toc63970842"/>
      <w:bookmarkStart w:id="31" w:name="_Toc447626781"/>
      <w:r w:rsidRPr="000F6630">
        <w:lastRenderedPageBreak/>
        <w:t xml:space="preserve">How </w:t>
      </w:r>
      <w:r w:rsidR="001D32BA">
        <w:t xml:space="preserve">does </w:t>
      </w:r>
      <w:r w:rsidRPr="000F6630">
        <w:t xml:space="preserve">NOPSEMA </w:t>
      </w:r>
      <w:r w:rsidR="00720E7F" w:rsidRPr="000F6630">
        <w:t>enable improvements in industry</w:t>
      </w:r>
      <w:bookmarkEnd w:id="29"/>
      <w:r w:rsidR="001D32BA">
        <w:t>?</w:t>
      </w:r>
      <w:bookmarkEnd w:id="30"/>
    </w:p>
    <w:p w14:paraId="12B8BE77" w14:textId="77777777" w:rsidR="006517F1" w:rsidRDefault="006517F1" w:rsidP="006517F1">
      <w:pPr>
        <w:pStyle w:val="Keypoints"/>
      </w:pPr>
    </w:p>
    <w:p w14:paraId="546F9599" w14:textId="77777777" w:rsidR="006517F1" w:rsidRDefault="006517F1" w:rsidP="006517F1">
      <w:pPr>
        <w:pStyle w:val="Keypoints"/>
      </w:pPr>
    </w:p>
    <w:p w14:paraId="25D6DB74" w14:textId="77777777" w:rsidR="001E3F70" w:rsidRDefault="001E3F70" w:rsidP="006517F1">
      <w:pPr>
        <w:pStyle w:val="Keypoints"/>
      </w:pPr>
    </w:p>
    <w:p w14:paraId="3D5C3805" w14:textId="77777777" w:rsidR="0009767E" w:rsidRDefault="0009767E" w:rsidP="006517F1">
      <w:pPr>
        <w:pStyle w:val="Keypoints"/>
      </w:pPr>
    </w:p>
    <w:p w14:paraId="212047EE" w14:textId="742EAAD2" w:rsidR="006517F1" w:rsidRPr="00A706C4" w:rsidRDefault="006517F1" w:rsidP="006517F1">
      <w:pPr>
        <w:pStyle w:val="Keypoints"/>
      </w:pPr>
      <w:r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5809"/>
        <w:gridCol w:w="4055"/>
      </w:tblGrid>
      <w:tr w:rsidR="006517F1" w14:paraId="5FE82B63" w14:textId="77777777" w:rsidTr="00E81E5C">
        <w:trPr>
          <w:cnfStyle w:val="100000000000" w:firstRow="1" w:lastRow="0" w:firstColumn="0" w:lastColumn="0" w:oddVBand="0" w:evenVBand="0" w:oddHBand="0" w:evenHBand="0" w:firstRowFirstColumn="0" w:firstRowLastColumn="0" w:lastRowFirstColumn="0" w:lastRowLastColumn="0"/>
        </w:trPr>
        <w:tc>
          <w:tcPr>
            <w:tcW w:w="5809" w:type="dxa"/>
            <w:shd w:val="clear" w:color="auto" w:fill="auto"/>
          </w:tcPr>
          <w:p w14:paraId="3D4F4CD2" w14:textId="07A789D3" w:rsidR="007E7EE5" w:rsidRPr="00276A29" w:rsidRDefault="007E7EE5" w:rsidP="007E7EE5">
            <w:pPr>
              <w:spacing w:after="120"/>
              <w:rPr>
                <w:rFonts w:ascii="Calibri" w:hAnsi="Calibri"/>
                <w:b/>
                <w:bCs/>
                <w:sz w:val="20"/>
                <w:szCs w:val="20"/>
              </w:rPr>
            </w:pPr>
            <w:r w:rsidRPr="00276A29">
              <w:rPr>
                <w:rFonts w:ascii="Calibri" w:hAnsi="Calibri"/>
                <w:b/>
                <w:bCs/>
                <w:sz w:val="20"/>
                <w:szCs w:val="20"/>
              </w:rPr>
              <w:t>NOP</w:t>
            </w:r>
            <w:r w:rsidR="00B65823" w:rsidRPr="00276A29">
              <w:rPr>
                <w:rFonts w:ascii="Calibri" w:hAnsi="Calibri"/>
                <w:b/>
                <w:bCs/>
                <w:sz w:val="20"/>
                <w:szCs w:val="20"/>
              </w:rPr>
              <w:t>SEM</w:t>
            </w:r>
            <w:r w:rsidRPr="00276A29">
              <w:rPr>
                <w:rFonts w:ascii="Calibri" w:hAnsi="Calibri"/>
                <w:b/>
                <w:bCs/>
                <w:sz w:val="20"/>
                <w:szCs w:val="20"/>
              </w:rPr>
              <w:t>A’s role is not well understood by stakeholders</w:t>
            </w:r>
          </w:p>
          <w:p w14:paraId="2642D9D3" w14:textId="2A23348F" w:rsidR="007E7EE5" w:rsidRPr="00777E58" w:rsidRDefault="007E7EE5" w:rsidP="007E7EE5">
            <w:pPr>
              <w:spacing w:after="120"/>
              <w:rPr>
                <w:rFonts w:ascii="Calibri Light" w:hAnsi="Calibri Light"/>
              </w:rPr>
            </w:pPr>
            <w:r w:rsidRPr="00777E58">
              <w:rPr>
                <w:rFonts w:ascii="Calibri Light" w:hAnsi="Calibri Light"/>
              </w:rPr>
              <w:t>Through our stakeholder consultation, we identified a lack of understanding of the roles, responsibilities, and functions of the various arms of the offshore legislative framework by stakeholders. This is a common finding in regulatory frameworks. A misunderstanding of NOP</w:t>
            </w:r>
            <w:r w:rsidR="00B65823" w:rsidRPr="00777E58">
              <w:rPr>
                <w:rFonts w:ascii="Calibri Light" w:hAnsi="Calibri Light"/>
              </w:rPr>
              <w:t>SEM</w:t>
            </w:r>
            <w:r w:rsidRPr="00777E58">
              <w:rPr>
                <w:rFonts w:ascii="Calibri Light" w:hAnsi="Calibri Light"/>
              </w:rPr>
              <w:t>A’s role may serve to create expectations of its functions that it simply cannot meet. More active communication of all parties’ roles, responsibilities, and functions are required.</w:t>
            </w:r>
          </w:p>
          <w:p w14:paraId="4096ED5F" w14:textId="63E98620" w:rsidR="006517F1" w:rsidRPr="00276A29" w:rsidRDefault="006517F1" w:rsidP="006517F1">
            <w:pPr>
              <w:spacing w:after="120"/>
              <w:rPr>
                <w:rFonts w:ascii="Calibri" w:hAnsi="Calibri"/>
                <w:b/>
                <w:bCs/>
                <w:sz w:val="20"/>
                <w:szCs w:val="20"/>
              </w:rPr>
            </w:pPr>
            <w:r w:rsidRPr="00276A29">
              <w:rPr>
                <w:rFonts w:ascii="Calibri" w:hAnsi="Calibri"/>
                <w:b/>
                <w:bCs/>
                <w:sz w:val="20"/>
                <w:szCs w:val="20"/>
              </w:rPr>
              <w:t>NOPSEMA contribute</w:t>
            </w:r>
            <w:r w:rsidR="00B06776" w:rsidRPr="00276A29">
              <w:rPr>
                <w:rFonts w:ascii="Calibri" w:hAnsi="Calibri"/>
                <w:b/>
                <w:bCs/>
                <w:sz w:val="20"/>
                <w:szCs w:val="20"/>
              </w:rPr>
              <w:t>s to</w:t>
            </w:r>
            <w:r w:rsidRPr="00276A29">
              <w:rPr>
                <w:rFonts w:ascii="Calibri" w:hAnsi="Calibri"/>
                <w:b/>
                <w:bCs/>
                <w:sz w:val="20"/>
                <w:szCs w:val="20"/>
              </w:rPr>
              <w:t xml:space="preserve"> desired regulatory outcomes</w:t>
            </w:r>
          </w:p>
          <w:p w14:paraId="791D266F" w14:textId="109D4425" w:rsidR="006517F1" w:rsidRPr="00777E58" w:rsidRDefault="00061559" w:rsidP="006517F1">
            <w:pPr>
              <w:spacing w:after="120"/>
              <w:rPr>
                <w:rFonts w:ascii="Calibri Light" w:hAnsi="Calibri Light"/>
              </w:rPr>
            </w:pPr>
            <w:r>
              <w:rPr>
                <w:rFonts w:ascii="Calibri Light" w:hAnsi="Calibri Light"/>
              </w:rPr>
              <w:t xml:space="preserve">Our analysis shows </w:t>
            </w:r>
            <w:r w:rsidR="006B1708">
              <w:rPr>
                <w:rFonts w:ascii="Calibri Light" w:hAnsi="Calibri Light"/>
              </w:rPr>
              <w:t xml:space="preserve">that </w:t>
            </w:r>
            <w:r w:rsidR="006B1708" w:rsidRPr="00777E58">
              <w:rPr>
                <w:rFonts w:ascii="Calibri Light" w:hAnsi="Calibri Light"/>
              </w:rPr>
              <w:t>NOPSEMA</w:t>
            </w:r>
            <w:r w:rsidR="006517F1" w:rsidRPr="00777E58">
              <w:rPr>
                <w:rFonts w:ascii="Calibri Light" w:hAnsi="Calibri Light"/>
              </w:rPr>
              <w:t xml:space="preserve"> </w:t>
            </w:r>
            <w:r>
              <w:rPr>
                <w:rFonts w:ascii="Calibri Light" w:hAnsi="Calibri Light"/>
              </w:rPr>
              <w:t>is</w:t>
            </w:r>
            <w:r w:rsidR="006517F1" w:rsidRPr="00777E58">
              <w:rPr>
                <w:rFonts w:ascii="Calibri Light" w:hAnsi="Calibri Light"/>
              </w:rPr>
              <w:t xml:space="preserve"> making a positive contribution to enabling safety, well integrity, and environment outcomes in the industry. We temper this view with the caveat that it is challenging to measure the precise contribution of a regulator in this context.</w:t>
            </w:r>
          </w:p>
          <w:p w14:paraId="777647AF" w14:textId="77777777" w:rsidR="003C0F0F" w:rsidRPr="00777E58" w:rsidRDefault="006517F1" w:rsidP="006517F1">
            <w:pPr>
              <w:spacing w:after="120"/>
              <w:rPr>
                <w:rFonts w:ascii="Calibri Light" w:hAnsi="Calibri Light"/>
              </w:rPr>
            </w:pPr>
            <w:r w:rsidRPr="00777E58">
              <w:rPr>
                <w:rFonts w:ascii="Calibri Light" w:hAnsi="Calibri Light"/>
              </w:rPr>
              <w:t xml:space="preserve">Stakeholder perception is that NOPSEMA has generally made a strong contribution to fostering a positive safety culture in the industry, facilitating proactive and preventative approaches to environmental management, and enabling continual improvement in safety and environmental management of the industry. </w:t>
            </w:r>
          </w:p>
          <w:p w14:paraId="1817CFE4" w14:textId="0D0F0801" w:rsidR="006517F1" w:rsidRPr="00A706C4" w:rsidRDefault="006517F1" w:rsidP="006517F1">
            <w:pPr>
              <w:spacing w:after="120"/>
              <w:rPr>
                <w:rFonts w:ascii="Calibri" w:hAnsi="Calibri"/>
                <w:b/>
                <w:bCs/>
                <w:sz w:val="20"/>
                <w:szCs w:val="20"/>
              </w:rPr>
            </w:pPr>
            <w:r w:rsidRPr="00777E58">
              <w:rPr>
                <w:rFonts w:ascii="Calibri Light" w:hAnsi="Calibri Light"/>
              </w:rPr>
              <w:t xml:space="preserve">There were competing views, </w:t>
            </w:r>
            <w:r w:rsidR="003C0F0F" w:rsidRPr="00777E58">
              <w:rPr>
                <w:rFonts w:ascii="Calibri Light" w:hAnsi="Calibri Light"/>
              </w:rPr>
              <w:t>however</w:t>
            </w:r>
            <w:r w:rsidRPr="00777E58">
              <w:rPr>
                <w:rFonts w:ascii="Calibri Light" w:hAnsi="Calibri Light"/>
              </w:rPr>
              <w:t xml:space="preserve">, with some stakeholders </w:t>
            </w:r>
            <w:r w:rsidR="003C0F0F" w:rsidRPr="00777E58">
              <w:rPr>
                <w:rFonts w:ascii="Calibri Light" w:hAnsi="Calibri Light"/>
              </w:rPr>
              <w:t xml:space="preserve">claiming </w:t>
            </w:r>
            <w:r w:rsidRPr="00777E58">
              <w:rPr>
                <w:rFonts w:ascii="Calibri Light" w:hAnsi="Calibri Light"/>
              </w:rPr>
              <w:t xml:space="preserve">that a perceived </w:t>
            </w:r>
            <w:r w:rsidR="003C0F0F" w:rsidRPr="00777E58">
              <w:rPr>
                <w:rFonts w:ascii="Calibri Light" w:hAnsi="Calibri Light"/>
              </w:rPr>
              <w:t>‘</w:t>
            </w:r>
            <w:r w:rsidRPr="00777E58">
              <w:rPr>
                <w:rFonts w:ascii="Calibri Light" w:hAnsi="Calibri Light"/>
              </w:rPr>
              <w:t>overly prescriptive approach</w:t>
            </w:r>
            <w:r w:rsidR="003C0F0F" w:rsidRPr="00777E58">
              <w:rPr>
                <w:rFonts w:ascii="Calibri Light" w:hAnsi="Calibri Light"/>
              </w:rPr>
              <w:t>’</w:t>
            </w:r>
            <w:r w:rsidRPr="00777E58">
              <w:rPr>
                <w:rFonts w:ascii="Calibri Light" w:hAnsi="Calibri Light"/>
              </w:rPr>
              <w:t xml:space="preserve"> </w:t>
            </w:r>
            <w:r w:rsidR="002017B3" w:rsidRPr="00777E58">
              <w:rPr>
                <w:rFonts w:ascii="Calibri Light" w:hAnsi="Calibri Light"/>
              </w:rPr>
              <w:t xml:space="preserve">by NOPSEMA </w:t>
            </w:r>
            <w:r w:rsidRPr="00777E58">
              <w:rPr>
                <w:rFonts w:ascii="Calibri Light" w:hAnsi="Calibri Light"/>
              </w:rPr>
              <w:t xml:space="preserve">to regulation has detracted focus from managing the risks that matter most. We discuss the challenges with permissioning documents in </w:t>
            </w:r>
            <w:r w:rsidRPr="00276A29">
              <w:rPr>
                <w:rFonts w:ascii="Calibri Light" w:hAnsi="Calibri Light"/>
                <w:b/>
              </w:rPr>
              <w:t xml:space="preserve">Section </w:t>
            </w:r>
            <w:r w:rsidRPr="00276A29">
              <w:rPr>
                <w:rFonts w:ascii="Calibri Light" w:hAnsi="Calibri Light"/>
                <w:b/>
              </w:rPr>
              <w:fldChar w:fldCharType="begin"/>
            </w:r>
            <w:r w:rsidRPr="00276A29">
              <w:rPr>
                <w:rFonts w:ascii="Calibri Light" w:hAnsi="Calibri Light"/>
                <w:b/>
              </w:rPr>
              <w:instrText xml:space="preserve"> REF _Ref55978299 \r \h  \* MERGEFORMAT </w:instrText>
            </w:r>
            <w:r w:rsidRPr="00276A29">
              <w:rPr>
                <w:rFonts w:ascii="Calibri Light" w:hAnsi="Calibri Light"/>
                <w:b/>
              </w:rPr>
            </w:r>
            <w:r w:rsidRPr="00276A29">
              <w:rPr>
                <w:rFonts w:ascii="Calibri Light" w:hAnsi="Calibri Light"/>
                <w:b/>
              </w:rPr>
              <w:fldChar w:fldCharType="separate"/>
            </w:r>
            <w:r w:rsidR="00E816B8">
              <w:rPr>
                <w:rFonts w:ascii="Calibri Light" w:hAnsi="Calibri Light"/>
                <w:b/>
              </w:rPr>
              <w:t>6</w:t>
            </w:r>
            <w:r w:rsidRPr="00276A29">
              <w:rPr>
                <w:rFonts w:ascii="Calibri Light" w:hAnsi="Calibri Light"/>
                <w:b/>
              </w:rPr>
              <w:fldChar w:fldCharType="end"/>
            </w:r>
            <w:r w:rsidRPr="00276A29">
              <w:rPr>
                <w:rFonts w:ascii="Calibri Light" w:hAnsi="Calibri Light"/>
                <w:b/>
              </w:rPr>
              <w:t>.</w:t>
            </w:r>
          </w:p>
        </w:tc>
        <w:tc>
          <w:tcPr>
            <w:tcW w:w="4055" w:type="dxa"/>
            <w:shd w:val="clear" w:color="auto" w:fill="auto"/>
          </w:tcPr>
          <w:p w14:paraId="0B696D1A" w14:textId="77777777" w:rsidR="006517F1" w:rsidRPr="006517F1" w:rsidRDefault="006517F1" w:rsidP="006517F1">
            <w:pPr>
              <w:spacing w:after="120"/>
              <w:rPr>
                <w:rFonts w:ascii="Calibri" w:hAnsi="Calibri"/>
                <w:b/>
                <w:bCs/>
                <w:sz w:val="20"/>
                <w:szCs w:val="20"/>
              </w:rPr>
            </w:pPr>
            <w:r w:rsidRPr="006517F1">
              <w:rPr>
                <w:rFonts w:ascii="Calibri" w:hAnsi="Calibri"/>
                <w:b/>
                <w:bCs/>
                <w:sz w:val="20"/>
                <w:szCs w:val="20"/>
              </w:rPr>
              <w:t>NOPSEMA’s regulatory strategy is unclear</w:t>
            </w:r>
          </w:p>
          <w:p w14:paraId="668B33B8" w14:textId="0EB20D6C" w:rsidR="006517F1" w:rsidRPr="00777E58" w:rsidRDefault="006517F1" w:rsidP="006517F1">
            <w:pPr>
              <w:spacing w:after="120"/>
              <w:rPr>
                <w:rFonts w:ascii="Calibri Light" w:hAnsi="Calibri Light"/>
              </w:rPr>
            </w:pPr>
            <w:r w:rsidRPr="00B21D1C">
              <w:rPr>
                <w:rFonts w:ascii="Calibri Light" w:hAnsi="Calibri Light"/>
              </w:rPr>
              <w:t xml:space="preserve">NOPSEMA does not have a published </w:t>
            </w:r>
            <w:r w:rsidR="009E70B2" w:rsidRPr="00B21D1C">
              <w:rPr>
                <w:rFonts w:ascii="Calibri Light" w:hAnsi="Calibri Light"/>
              </w:rPr>
              <w:t>‘</w:t>
            </w:r>
            <w:r w:rsidRPr="00B21D1C">
              <w:rPr>
                <w:rFonts w:ascii="Calibri Light" w:hAnsi="Calibri Light"/>
              </w:rPr>
              <w:t>regulatory</w:t>
            </w:r>
            <w:r w:rsidRPr="00276A29">
              <w:rPr>
                <w:rFonts w:ascii="Calibri Light" w:hAnsi="Calibri Light"/>
                <w:b/>
                <w:bCs/>
              </w:rPr>
              <w:t xml:space="preserve"> </w:t>
            </w:r>
            <w:r w:rsidRPr="00777E58">
              <w:rPr>
                <w:rFonts w:ascii="Calibri Light" w:hAnsi="Calibri Light"/>
              </w:rPr>
              <w:t>strategy</w:t>
            </w:r>
            <w:r w:rsidR="009E70B2" w:rsidRPr="00777E58">
              <w:rPr>
                <w:rFonts w:ascii="Calibri Light" w:hAnsi="Calibri Light"/>
              </w:rPr>
              <w:t>’</w:t>
            </w:r>
            <w:r w:rsidR="003C0F0F" w:rsidRPr="00777E58">
              <w:rPr>
                <w:rFonts w:ascii="Calibri Light" w:hAnsi="Calibri Light"/>
              </w:rPr>
              <w:t xml:space="preserve">, instead publishing a </w:t>
            </w:r>
            <w:r w:rsidR="009E70B2" w:rsidRPr="00777E58">
              <w:rPr>
                <w:rFonts w:ascii="Calibri Light" w:hAnsi="Calibri Light"/>
              </w:rPr>
              <w:t>‘corporate plan’</w:t>
            </w:r>
            <w:r w:rsidRPr="00777E58">
              <w:rPr>
                <w:rFonts w:ascii="Calibri Light" w:hAnsi="Calibri Light"/>
              </w:rPr>
              <w:t xml:space="preserve">. Such a strategy should articulate how its activities are tied to the overarching requirements of the OPGGS Act; demonstrating its goals, focus areas and measures of success. Therefore, </w:t>
            </w:r>
            <w:r w:rsidR="009E70B2" w:rsidRPr="00777E58">
              <w:rPr>
                <w:rFonts w:ascii="Calibri Light" w:hAnsi="Calibri Light"/>
              </w:rPr>
              <w:t>currently</w:t>
            </w:r>
            <w:r w:rsidRPr="00777E58">
              <w:rPr>
                <w:rFonts w:ascii="Calibri Light" w:hAnsi="Calibri Light"/>
              </w:rPr>
              <w:t xml:space="preserve"> there is no established or clear definition of </w:t>
            </w:r>
            <w:r w:rsidR="009E70B2" w:rsidRPr="00777E58">
              <w:rPr>
                <w:rFonts w:ascii="Calibri Light" w:hAnsi="Calibri Light"/>
              </w:rPr>
              <w:t>success for NOPSEMA as the regulator</w:t>
            </w:r>
            <w:r w:rsidRPr="00777E58">
              <w:rPr>
                <w:rFonts w:ascii="Calibri Light" w:hAnsi="Calibri Light"/>
              </w:rPr>
              <w:t xml:space="preserve">. An improved clarity of intent to industry and other stakeholders </w:t>
            </w:r>
            <w:r w:rsidR="00E5459E" w:rsidRPr="00777E58">
              <w:rPr>
                <w:rFonts w:ascii="Calibri Light" w:hAnsi="Calibri Light"/>
              </w:rPr>
              <w:t>may</w:t>
            </w:r>
            <w:r w:rsidRPr="00777E58">
              <w:rPr>
                <w:rFonts w:ascii="Calibri Light" w:hAnsi="Calibri Light"/>
              </w:rPr>
              <w:t xml:space="preserve"> remove some of the negative perceptions about NOPSEMA.</w:t>
            </w:r>
          </w:p>
          <w:p w14:paraId="054BF94E" w14:textId="7C4BF22A" w:rsidR="006517F1" w:rsidRPr="00777E58" w:rsidRDefault="006517F1" w:rsidP="006517F1">
            <w:pPr>
              <w:spacing w:after="120"/>
              <w:rPr>
                <w:rFonts w:ascii="Calibri Light" w:hAnsi="Calibri Light"/>
              </w:rPr>
            </w:pPr>
            <w:r w:rsidRPr="00777E58">
              <w:rPr>
                <w:rFonts w:ascii="Calibri Light" w:hAnsi="Calibri Light"/>
              </w:rPr>
              <w:t>Through our conversations with NOPSEMA’s leadership and stakeholder feedback received from industry, there is more work that can be done to promote a risk-based intent and focus by NOPSEMA. A next step of NOPSEMA’s transparency journey is to encourage greater industry collaboration for the identification of industry risks and trends (both opportunities and threats) to inform strategic direction but also drive a common ground across the industry. As the industry matures, a more prospective view of shared risks and trends will become increasingly important.</w:t>
            </w:r>
          </w:p>
          <w:p w14:paraId="4EA7E88C" w14:textId="77777777" w:rsidR="006517F1" w:rsidRPr="00FE490D" w:rsidRDefault="006517F1" w:rsidP="006517F1">
            <w:pPr>
              <w:spacing w:after="120"/>
              <w:rPr>
                <w:rFonts w:ascii="Calibri" w:hAnsi="Calibri" w:cs="Calibri"/>
                <w:b/>
                <w:bCs/>
                <w:sz w:val="20"/>
                <w:szCs w:val="20"/>
              </w:rPr>
            </w:pPr>
          </w:p>
          <w:p w14:paraId="1A911A14" w14:textId="77777777" w:rsidR="006517F1" w:rsidRPr="00D31D3C" w:rsidRDefault="006517F1" w:rsidP="006517F1">
            <w:pPr>
              <w:spacing w:after="120"/>
              <w:rPr>
                <w:rFonts w:ascii="Calibri" w:hAnsi="Calibri"/>
                <w:b/>
                <w:color w:val="00ABAB"/>
                <w:sz w:val="20"/>
                <w:szCs w:val="20"/>
              </w:rPr>
            </w:pPr>
            <w:r w:rsidRPr="00D31D3C">
              <w:rPr>
                <w:rFonts w:ascii="Calibri" w:hAnsi="Calibri"/>
                <w:b/>
                <w:sz w:val="20"/>
                <w:szCs w:val="20"/>
              </w:rPr>
              <w:t xml:space="preserve">Recommendations: </w:t>
            </w:r>
            <w:r w:rsidRPr="00D31D3C">
              <w:rPr>
                <w:rFonts w:ascii="Calibri" w:hAnsi="Calibri"/>
                <w:b/>
                <w:color w:val="00ABAB"/>
                <w:sz w:val="20"/>
                <w:szCs w:val="20"/>
              </w:rPr>
              <w:t>1, 2</w:t>
            </w:r>
          </w:p>
          <w:p w14:paraId="648F1366" w14:textId="4BA2353A" w:rsidR="006517F1" w:rsidRPr="00A706C4" w:rsidRDefault="006517F1" w:rsidP="006517F1">
            <w:pPr>
              <w:spacing w:after="120"/>
              <w:rPr>
                <w:rFonts w:ascii="Calibri" w:hAnsi="Calibri"/>
                <w:b/>
                <w:bCs/>
                <w:sz w:val="20"/>
                <w:szCs w:val="20"/>
              </w:rPr>
            </w:pPr>
            <w:r w:rsidRPr="00D31D3C">
              <w:rPr>
                <w:rFonts w:ascii="Calibri" w:hAnsi="Calibri"/>
                <w:b/>
                <w:sz w:val="20"/>
                <w:szCs w:val="20"/>
              </w:rPr>
              <w:t xml:space="preserve">Opportunities: </w:t>
            </w:r>
            <w:r w:rsidRPr="00D31D3C">
              <w:rPr>
                <w:rFonts w:ascii="Calibri" w:hAnsi="Calibri"/>
                <w:b/>
                <w:color w:val="00ABAB"/>
                <w:sz w:val="20"/>
                <w:szCs w:val="20"/>
              </w:rPr>
              <w:t>No opportunities were identified in this section</w:t>
            </w:r>
          </w:p>
        </w:tc>
      </w:tr>
    </w:tbl>
    <w:p w14:paraId="49EFD4EC" w14:textId="77777777" w:rsidR="006517F1" w:rsidRDefault="006517F1" w:rsidP="006517F1"/>
    <w:bookmarkEnd w:id="31"/>
    <w:p w14:paraId="22AF4309" w14:textId="77777777" w:rsidR="001E3F70" w:rsidRDefault="001E3F70" w:rsidP="00C44305">
      <w:pPr>
        <w:pStyle w:val="Quotelarge"/>
        <w:sectPr w:rsidR="001E3F70" w:rsidSect="002B0B05">
          <w:headerReference w:type="default" r:id="rId34"/>
          <w:type w:val="continuous"/>
          <w:pgSz w:w="11906" w:h="16838" w:code="9"/>
          <w:pgMar w:top="1985" w:right="1021" w:bottom="1134" w:left="1021" w:header="680" w:footer="425" w:gutter="0"/>
          <w:cols w:space="284"/>
          <w:docGrid w:linePitch="360"/>
        </w:sectPr>
      </w:pPr>
    </w:p>
    <w:p w14:paraId="5E64C070" w14:textId="12C57096" w:rsidR="001732DD" w:rsidRDefault="002B0B05">
      <w:pPr>
        <w:spacing w:after="0"/>
      </w:pPr>
      <w:r w:rsidRPr="00CD5AFE">
        <w:rPr>
          <w:rFonts w:asciiTheme="majorHAnsi" w:hAnsiTheme="majorHAnsi" w:cs="Calibri"/>
          <w:i/>
          <w:iCs/>
          <w:noProof/>
          <w:lang w:eastAsia="en-AU"/>
        </w:rPr>
        <w:drawing>
          <wp:anchor distT="0" distB="0" distL="114300" distR="114300" simplePos="0" relativeHeight="251658245" behindDoc="1" locked="0" layoutInCell="1" allowOverlap="1" wp14:anchorId="396DBAC9" wp14:editId="432E0D5E">
            <wp:simplePos x="0" y="0"/>
            <wp:positionH relativeFrom="page">
              <wp:posOffset>0</wp:posOffset>
            </wp:positionH>
            <wp:positionV relativeFrom="paragraph">
              <wp:posOffset>-9613265</wp:posOffset>
            </wp:positionV>
            <wp:extent cx="7559675" cy="10693400"/>
            <wp:effectExtent l="0" t="0" r="317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r w:rsidR="001732DD">
        <w:br w:type="page"/>
      </w:r>
    </w:p>
    <w:p w14:paraId="1371B7B4" w14:textId="369927F8" w:rsidR="00A93F9E" w:rsidRDefault="005943BF" w:rsidP="00A93F9E">
      <w:pPr>
        <w:pStyle w:val="BodyCopyNEW"/>
      </w:pPr>
      <w:r>
        <w:lastRenderedPageBreak/>
        <w:t xml:space="preserve">This section examines whether NOPSEMA </w:t>
      </w:r>
      <w:r w:rsidR="00C17461">
        <w:t xml:space="preserve">is effective in bringing </w:t>
      </w:r>
      <w:r w:rsidR="0044005D">
        <w:t xml:space="preserve">about improvements in OHS, well integrity, and environmental outcomes. </w:t>
      </w:r>
      <w:r w:rsidR="003C3320">
        <w:t>We begin</w:t>
      </w:r>
      <w:r w:rsidR="00A93F9E">
        <w:t xml:space="preserve"> in </w:t>
      </w:r>
      <w:r w:rsidR="00A93F9E" w:rsidRPr="002027C8">
        <w:rPr>
          <w:b/>
          <w:bCs/>
        </w:rPr>
        <w:t xml:space="preserve">subsection </w:t>
      </w:r>
      <w:r w:rsidR="00DE0678">
        <w:rPr>
          <w:b/>
          <w:bCs/>
        </w:rPr>
        <w:fldChar w:fldCharType="begin"/>
      </w:r>
      <w:r w:rsidR="00DE0678">
        <w:rPr>
          <w:b/>
          <w:bCs/>
        </w:rPr>
        <w:instrText xml:space="preserve"> REF _Ref58592569 \r \h </w:instrText>
      </w:r>
      <w:r w:rsidR="00DE0678">
        <w:rPr>
          <w:b/>
          <w:bCs/>
        </w:rPr>
      </w:r>
      <w:r w:rsidR="00DE0678">
        <w:rPr>
          <w:b/>
          <w:bCs/>
        </w:rPr>
        <w:fldChar w:fldCharType="separate"/>
      </w:r>
      <w:r w:rsidR="00E816B8">
        <w:rPr>
          <w:b/>
          <w:bCs/>
        </w:rPr>
        <w:t>5.1</w:t>
      </w:r>
      <w:r w:rsidR="00DE0678">
        <w:rPr>
          <w:b/>
          <w:bCs/>
        </w:rPr>
        <w:fldChar w:fldCharType="end"/>
      </w:r>
      <w:r w:rsidR="00A93F9E">
        <w:t xml:space="preserve"> with a discussion of NOPSEMA’s functions </w:t>
      </w:r>
      <w:r w:rsidR="007C3CBA">
        <w:t xml:space="preserve">under the OPGGS Act </w:t>
      </w:r>
      <w:r w:rsidR="00A93F9E">
        <w:t xml:space="preserve">and </w:t>
      </w:r>
      <w:r w:rsidR="007C3CBA">
        <w:t>stakeholders’ understanding of these function</w:t>
      </w:r>
      <w:r w:rsidR="00EE61D8">
        <w:t>s</w:t>
      </w:r>
      <w:r w:rsidR="00A93F9E">
        <w:t xml:space="preserve">. </w:t>
      </w:r>
      <w:r w:rsidR="00DE0678" w:rsidRPr="00901C7B">
        <w:rPr>
          <w:b/>
          <w:bCs/>
        </w:rPr>
        <w:t>S</w:t>
      </w:r>
      <w:r w:rsidR="00A93F9E" w:rsidRPr="002027C8">
        <w:rPr>
          <w:b/>
          <w:bCs/>
        </w:rPr>
        <w:t xml:space="preserve">ubsection </w:t>
      </w:r>
      <w:r w:rsidR="002C334B">
        <w:rPr>
          <w:b/>
          <w:bCs/>
        </w:rPr>
        <w:fldChar w:fldCharType="begin"/>
      </w:r>
      <w:r w:rsidR="002C334B">
        <w:rPr>
          <w:b/>
          <w:bCs/>
        </w:rPr>
        <w:instrText xml:space="preserve"> REF _Ref58592683 \r \h </w:instrText>
      </w:r>
      <w:r w:rsidR="002C334B">
        <w:rPr>
          <w:b/>
          <w:bCs/>
        </w:rPr>
      </w:r>
      <w:r w:rsidR="002C334B">
        <w:rPr>
          <w:b/>
          <w:bCs/>
        </w:rPr>
        <w:fldChar w:fldCharType="separate"/>
      </w:r>
      <w:r w:rsidR="00E816B8">
        <w:rPr>
          <w:b/>
          <w:bCs/>
        </w:rPr>
        <w:t>5.2</w:t>
      </w:r>
      <w:r w:rsidR="002C334B">
        <w:rPr>
          <w:b/>
          <w:bCs/>
        </w:rPr>
        <w:fldChar w:fldCharType="end"/>
      </w:r>
      <w:r w:rsidR="00A93F9E">
        <w:t xml:space="preserve"> </w:t>
      </w:r>
      <w:r w:rsidR="00DE0678">
        <w:t xml:space="preserve">seeks to answer </w:t>
      </w:r>
      <w:r w:rsidR="00331D98">
        <w:t>the questions of ‘what is performance in NOPSEMA’s context’ and ‘how is NOPSEMA performing under this definition’</w:t>
      </w:r>
      <w:r w:rsidR="00A93F9E">
        <w:t xml:space="preserve">. </w:t>
      </w:r>
      <w:r w:rsidR="00331D98">
        <w:t>T</w:t>
      </w:r>
      <w:r w:rsidR="00A93F9E">
        <w:t xml:space="preserve">his section </w:t>
      </w:r>
      <w:r w:rsidR="008C2C57">
        <w:t xml:space="preserve">concludes </w:t>
      </w:r>
      <w:r w:rsidR="00A93F9E">
        <w:t xml:space="preserve">with a discussion in </w:t>
      </w:r>
      <w:r w:rsidR="00A93F9E" w:rsidRPr="002027C8">
        <w:rPr>
          <w:b/>
          <w:bCs/>
        </w:rPr>
        <w:t xml:space="preserve">subsection </w:t>
      </w:r>
      <w:r w:rsidR="002C334B">
        <w:rPr>
          <w:b/>
          <w:bCs/>
        </w:rPr>
        <w:fldChar w:fldCharType="begin"/>
      </w:r>
      <w:r w:rsidR="002C334B">
        <w:rPr>
          <w:b/>
          <w:bCs/>
        </w:rPr>
        <w:instrText xml:space="preserve"> REF _Ref58592690 \r \h </w:instrText>
      </w:r>
      <w:r w:rsidR="002C334B">
        <w:rPr>
          <w:b/>
          <w:bCs/>
        </w:rPr>
      </w:r>
      <w:r w:rsidR="002C334B">
        <w:rPr>
          <w:b/>
          <w:bCs/>
        </w:rPr>
        <w:fldChar w:fldCharType="separate"/>
      </w:r>
      <w:r w:rsidR="00E816B8">
        <w:rPr>
          <w:b/>
          <w:bCs/>
        </w:rPr>
        <w:t>5.3</w:t>
      </w:r>
      <w:r w:rsidR="002C334B">
        <w:rPr>
          <w:b/>
          <w:bCs/>
        </w:rPr>
        <w:fldChar w:fldCharType="end"/>
      </w:r>
      <w:r w:rsidR="00A93F9E">
        <w:t xml:space="preserve"> on </w:t>
      </w:r>
      <w:r w:rsidR="008C2C57">
        <w:t xml:space="preserve">NOPSEMA’s strategic approach </w:t>
      </w:r>
      <w:r w:rsidR="002C334B">
        <w:t>and improvements that could be made</w:t>
      </w:r>
      <w:r w:rsidR="00A93F9E">
        <w:t>.</w:t>
      </w:r>
    </w:p>
    <w:p w14:paraId="24F4CE26" w14:textId="2B7C5151" w:rsidR="004627C9" w:rsidRPr="005A538C" w:rsidRDefault="004627C9" w:rsidP="00AE2D6E">
      <w:pPr>
        <w:pStyle w:val="Heading2"/>
        <w:numPr>
          <w:ilvl w:val="1"/>
          <w:numId w:val="1"/>
        </w:numPr>
      </w:pPr>
      <w:bookmarkStart w:id="32" w:name="_Ref58592569"/>
      <w:r w:rsidRPr="005A538C">
        <w:t>NOPSEMA’</w:t>
      </w:r>
      <w:r>
        <w:t>s functions</w:t>
      </w:r>
      <w:bookmarkEnd w:id="32"/>
    </w:p>
    <w:p w14:paraId="1970FD22" w14:textId="7763A648" w:rsidR="007474BA" w:rsidRDefault="006C592E" w:rsidP="007474BA">
      <w:pPr>
        <w:pStyle w:val="BodyCopyNEW"/>
        <w:rPr>
          <w:szCs w:val="18"/>
        </w:rPr>
      </w:pPr>
      <w:r w:rsidRPr="00096BC3">
        <w:rPr>
          <w:szCs w:val="18"/>
        </w:rPr>
        <w:t xml:space="preserve">Part 6.9 of the OPGGS Act </w:t>
      </w:r>
      <w:r w:rsidR="0081623A" w:rsidRPr="00073514">
        <w:rPr>
          <w:szCs w:val="18"/>
        </w:rPr>
        <w:t xml:space="preserve">establishes </w:t>
      </w:r>
      <w:r w:rsidR="00C74770">
        <w:rPr>
          <w:szCs w:val="18"/>
        </w:rPr>
        <w:t>NOPSEMA</w:t>
      </w:r>
      <w:r w:rsidR="0081623A" w:rsidRPr="00946300">
        <w:rPr>
          <w:szCs w:val="18"/>
        </w:rPr>
        <w:t xml:space="preserve">. NOPSEMA </w:t>
      </w:r>
      <w:r w:rsidR="00C400A1" w:rsidRPr="00946300">
        <w:rPr>
          <w:szCs w:val="18"/>
        </w:rPr>
        <w:t>has</w:t>
      </w:r>
      <w:r w:rsidR="0081623A" w:rsidRPr="00392AAF">
        <w:rPr>
          <w:szCs w:val="18"/>
        </w:rPr>
        <w:t xml:space="preserve"> function</w:t>
      </w:r>
      <w:r w:rsidR="00C400A1" w:rsidRPr="00F57169">
        <w:rPr>
          <w:szCs w:val="18"/>
        </w:rPr>
        <w:t>s</w:t>
      </w:r>
      <w:r w:rsidR="0081623A" w:rsidRPr="001C1F93">
        <w:rPr>
          <w:szCs w:val="18"/>
        </w:rPr>
        <w:t xml:space="preserve"> in relation to the occupational health and safety of persons engaged </w:t>
      </w:r>
      <w:r w:rsidR="00A81649" w:rsidRPr="00911F0E">
        <w:rPr>
          <w:szCs w:val="18"/>
        </w:rPr>
        <w:t>in offshore petroleum operations, offshore GHG storage operations, the structural integrity of facilities, wells, and well</w:t>
      </w:r>
      <w:r w:rsidR="005D7C33" w:rsidRPr="004602AD">
        <w:rPr>
          <w:szCs w:val="18"/>
        </w:rPr>
        <w:t>-r</w:t>
      </w:r>
      <w:r w:rsidR="005D7C33" w:rsidRPr="009013BE">
        <w:rPr>
          <w:szCs w:val="18"/>
        </w:rPr>
        <w:t>elated equipment, and environment</w:t>
      </w:r>
      <w:r w:rsidR="005D7C33" w:rsidRPr="00C81CBA">
        <w:rPr>
          <w:szCs w:val="18"/>
        </w:rPr>
        <w:t>al management.</w:t>
      </w:r>
      <w:r w:rsidR="00C400A1" w:rsidRPr="00953CA5">
        <w:rPr>
          <w:szCs w:val="18"/>
        </w:rPr>
        <w:t xml:space="preserve"> </w:t>
      </w:r>
      <w:r w:rsidR="008E6440" w:rsidRPr="00953CA5">
        <w:rPr>
          <w:szCs w:val="18"/>
        </w:rPr>
        <w:t xml:space="preserve">Importantly, </w:t>
      </w:r>
      <w:r w:rsidR="00C400A1" w:rsidRPr="00171DEA">
        <w:rPr>
          <w:szCs w:val="18"/>
        </w:rPr>
        <w:t>NOPSEMA</w:t>
      </w:r>
      <w:r w:rsidR="008E6440" w:rsidRPr="00777C5D">
        <w:rPr>
          <w:szCs w:val="18"/>
        </w:rPr>
        <w:t xml:space="preserve"> a</w:t>
      </w:r>
      <w:r w:rsidR="008E6440" w:rsidRPr="006C6606">
        <w:rPr>
          <w:szCs w:val="18"/>
        </w:rPr>
        <w:t>s the offshore legislative framework’s sole regulator</w:t>
      </w:r>
      <w:r w:rsidR="00C400A1" w:rsidRPr="007F74D3">
        <w:rPr>
          <w:szCs w:val="18"/>
        </w:rPr>
        <w:t xml:space="preserve"> i</w:t>
      </w:r>
      <w:r w:rsidR="008E6440" w:rsidRPr="0047319A">
        <w:rPr>
          <w:szCs w:val="18"/>
        </w:rPr>
        <w:t xml:space="preserve">s independent of the </w:t>
      </w:r>
      <w:r w:rsidR="008E6440" w:rsidRPr="00C9422D">
        <w:rPr>
          <w:szCs w:val="18"/>
        </w:rPr>
        <w:t xml:space="preserve">administrative, policy, and decision-making arms of the </w:t>
      </w:r>
      <w:r w:rsidR="0027753A">
        <w:rPr>
          <w:szCs w:val="18"/>
        </w:rPr>
        <w:t>framework</w:t>
      </w:r>
      <w:r w:rsidR="008E6440" w:rsidRPr="00C9422D">
        <w:rPr>
          <w:szCs w:val="18"/>
        </w:rPr>
        <w:t>.</w:t>
      </w:r>
      <w:r w:rsidR="008E6440" w:rsidRPr="00F53817">
        <w:rPr>
          <w:szCs w:val="18"/>
        </w:rPr>
        <w:t xml:space="preserve"> </w:t>
      </w:r>
    </w:p>
    <w:p w14:paraId="5925AAD6" w14:textId="6A552872" w:rsidR="00CD14CF" w:rsidRPr="00901C7B" w:rsidRDefault="00CD14CF" w:rsidP="00CD14CF">
      <w:pPr>
        <w:pStyle w:val="BodyCopyNEW"/>
        <w:rPr>
          <w:i/>
          <w:szCs w:val="18"/>
        </w:rPr>
      </w:pPr>
      <w:r w:rsidRPr="00901C7B">
        <w:rPr>
          <w:i/>
          <w:szCs w:val="18"/>
        </w:rPr>
        <w:t xml:space="preserve">“NOPSEMA regulates all offshore areas in Commonwealth waters, which comprise those areas beyond the first three nautical miles of the territorial sea. This includes the Ashmore and Cartier offshore territories and offshore areas adjacent to all states and the Northern Territory. </w:t>
      </w:r>
    </w:p>
    <w:p w14:paraId="2FBE34B8" w14:textId="6CB62B29" w:rsidR="00D0469B" w:rsidRPr="00901C7B" w:rsidRDefault="00CD14CF" w:rsidP="00CD14CF">
      <w:pPr>
        <w:pStyle w:val="BodyCopyNEW"/>
        <w:rPr>
          <w:i/>
          <w:szCs w:val="18"/>
        </w:rPr>
      </w:pPr>
      <w:r w:rsidRPr="00901C7B">
        <w:rPr>
          <w:i/>
          <w:szCs w:val="18"/>
        </w:rPr>
        <w:t>NOPSEMA also regulates all offshore areas in coastal waters where a state or territory has conferred regulatory powers and functions. In jurisdictions where powers to regulate are not conferred, regulatory responsibilities remain with the relevant state or territory. In 2013, Victoria conferred its functions for the regulation of health and safety and structural integrity on NOPSEMA</w:t>
      </w:r>
      <w:r w:rsidR="00AB5DDD" w:rsidRPr="00901C7B">
        <w:rPr>
          <w:rStyle w:val="FootnoteReference"/>
          <w:i/>
          <w:sz w:val="18"/>
          <w:szCs w:val="18"/>
        </w:rPr>
        <w:footnoteReference w:id="11"/>
      </w:r>
      <w:r w:rsidRPr="00901C7B">
        <w:rPr>
          <w:i/>
          <w:szCs w:val="18"/>
        </w:rPr>
        <w:t>.”</w:t>
      </w:r>
    </w:p>
    <w:p w14:paraId="7DF20E3C" w14:textId="049D1ED1" w:rsidR="007474BA" w:rsidRPr="00946300" w:rsidRDefault="007474BA" w:rsidP="007474BA">
      <w:pPr>
        <w:pStyle w:val="BodyCopyNEW"/>
        <w:rPr>
          <w:szCs w:val="18"/>
        </w:rPr>
      </w:pPr>
      <w:r w:rsidRPr="00096BC3">
        <w:rPr>
          <w:szCs w:val="18"/>
        </w:rPr>
        <w:t>NOPSEMA operate</w:t>
      </w:r>
      <w:r w:rsidR="00F9190B">
        <w:rPr>
          <w:szCs w:val="18"/>
        </w:rPr>
        <w:t>s</w:t>
      </w:r>
      <w:r w:rsidRPr="00096BC3">
        <w:rPr>
          <w:szCs w:val="18"/>
        </w:rPr>
        <w:t xml:space="preserve"> from two sites, Perth and Melbourne, to be co</w:t>
      </w:r>
      <w:r w:rsidR="00F9190B">
        <w:rPr>
          <w:szCs w:val="18"/>
        </w:rPr>
        <w:t>-l</w:t>
      </w:r>
      <w:r w:rsidRPr="00096BC3">
        <w:rPr>
          <w:szCs w:val="18"/>
        </w:rPr>
        <w:t>ocated</w:t>
      </w:r>
      <w:r w:rsidR="00F9190B">
        <w:rPr>
          <w:szCs w:val="18"/>
        </w:rPr>
        <w:t>,</w:t>
      </w:r>
      <w:r w:rsidRPr="00096BC3">
        <w:rPr>
          <w:szCs w:val="18"/>
        </w:rPr>
        <w:t xml:space="preserve"> where possible</w:t>
      </w:r>
      <w:r w:rsidR="00F9190B">
        <w:rPr>
          <w:szCs w:val="18"/>
        </w:rPr>
        <w:t>,</w:t>
      </w:r>
      <w:r w:rsidRPr="00096BC3">
        <w:rPr>
          <w:szCs w:val="18"/>
        </w:rPr>
        <w:t xml:space="preserve"> with the industry. The majority of NOPSEMA personnel are based in Perth. NOPSE</w:t>
      </w:r>
      <w:r w:rsidRPr="00611BAA">
        <w:rPr>
          <w:szCs w:val="18"/>
        </w:rPr>
        <w:t>MA has</w:t>
      </w:r>
      <w:r w:rsidRPr="00946300">
        <w:rPr>
          <w:szCs w:val="18"/>
        </w:rPr>
        <w:t xml:space="preserve"> no regional offices, with inspectors traveling to remote operations as required. </w:t>
      </w:r>
    </w:p>
    <w:p w14:paraId="5F2568F1" w14:textId="30B89915" w:rsidR="007474BA" w:rsidRPr="005A7122" w:rsidRDefault="007474BA" w:rsidP="007474BA">
      <w:pPr>
        <w:pStyle w:val="Heading3NoNumber"/>
      </w:pPr>
      <w:r>
        <w:t>NOPSEMA’s role is not well understood by stakeholders</w:t>
      </w:r>
    </w:p>
    <w:p w14:paraId="5E953EE0" w14:textId="7E0CEF86" w:rsidR="004627C9" w:rsidRPr="006C6606" w:rsidRDefault="004627C9" w:rsidP="00C44305">
      <w:pPr>
        <w:pStyle w:val="BodyCopyNEW"/>
        <w:rPr>
          <w:szCs w:val="18"/>
        </w:rPr>
      </w:pPr>
      <w:r w:rsidRPr="00096BC3">
        <w:rPr>
          <w:szCs w:val="18"/>
        </w:rPr>
        <w:t xml:space="preserve">An important premise is that NOPSEMA’s activities in the offshore industry is driven by its functions as </w:t>
      </w:r>
      <w:r w:rsidR="00F9190B">
        <w:rPr>
          <w:szCs w:val="18"/>
        </w:rPr>
        <w:t>specified</w:t>
      </w:r>
      <w:r w:rsidR="00F9190B" w:rsidRPr="00096BC3">
        <w:rPr>
          <w:szCs w:val="18"/>
        </w:rPr>
        <w:t xml:space="preserve"> </w:t>
      </w:r>
      <w:r w:rsidRPr="00096BC3">
        <w:rPr>
          <w:szCs w:val="18"/>
        </w:rPr>
        <w:t xml:space="preserve">by </w:t>
      </w:r>
      <w:r w:rsidR="00BB5AE9" w:rsidRPr="00073514">
        <w:rPr>
          <w:szCs w:val="18"/>
        </w:rPr>
        <w:t>s</w:t>
      </w:r>
      <w:r w:rsidR="003E58B6" w:rsidRPr="00611BAA">
        <w:rPr>
          <w:szCs w:val="18"/>
        </w:rPr>
        <w:t xml:space="preserve">ection </w:t>
      </w:r>
      <w:r w:rsidRPr="00946300">
        <w:rPr>
          <w:szCs w:val="18"/>
        </w:rPr>
        <w:t xml:space="preserve">646 of the OPGGS Act. </w:t>
      </w:r>
      <w:r w:rsidR="00BE6837" w:rsidRPr="00392AAF">
        <w:rPr>
          <w:szCs w:val="18"/>
        </w:rPr>
        <w:t xml:space="preserve">The Statement of Expectations </w:t>
      </w:r>
      <w:r w:rsidR="00400E87" w:rsidRPr="00F57169">
        <w:rPr>
          <w:szCs w:val="18"/>
        </w:rPr>
        <w:t>issued by the Commonwea</w:t>
      </w:r>
      <w:r w:rsidR="00400E87" w:rsidRPr="001C1F93">
        <w:rPr>
          <w:szCs w:val="18"/>
        </w:rPr>
        <w:t xml:space="preserve">lth Minister </w:t>
      </w:r>
      <w:r w:rsidR="00B166BB" w:rsidRPr="001C1F93">
        <w:rPr>
          <w:szCs w:val="18"/>
        </w:rPr>
        <w:t xml:space="preserve">in October 2019 </w:t>
      </w:r>
      <w:r w:rsidR="00965D84" w:rsidRPr="00911F0E">
        <w:rPr>
          <w:szCs w:val="18"/>
        </w:rPr>
        <w:t xml:space="preserve">(the </w:t>
      </w:r>
      <w:r w:rsidR="00965D84" w:rsidRPr="00372FB6">
        <w:rPr>
          <w:b/>
          <w:szCs w:val="18"/>
        </w:rPr>
        <w:t>Minister’s Statement of Expectations</w:t>
      </w:r>
      <w:r w:rsidR="00965D84" w:rsidRPr="004602AD">
        <w:rPr>
          <w:szCs w:val="18"/>
        </w:rPr>
        <w:t xml:space="preserve">) </w:t>
      </w:r>
      <w:r w:rsidR="00B166BB" w:rsidRPr="009013BE">
        <w:rPr>
          <w:szCs w:val="18"/>
        </w:rPr>
        <w:t xml:space="preserve">summarises </w:t>
      </w:r>
      <w:r w:rsidR="002E478C" w:rsidRPr="00C81CBA">
        <w:rPr>
          <w:szCs w:val="18"/>
        </w:rPr>
        <w:t xml:space="preserve">some of </w:t>
      </w:r>
      <w:r w:rsidR="00295A0A">
        <w:rPr>
          <w:szCs w:val="18"/>
        </w:rPr>
        <w:t>NOPSEMA’s</w:t>
      </w:r>
      <w:r w:rsidR="00295A0A" w:rsidRPr="005E6D5F">
        <w:rPr>
          <w:szCs w:val="18"/>
        </w:rPr>
        <w:t xml:space="preserve"> </w:t>
      </w:r>
      <w:r w:rsidR="001E1FDC" w:rsidRPr="005E6D5F">
        <w:rPr>
          <w:szCs w:val="18"/>
        </w:rPr>
        <w:t>legislated</w:t>
      </w:r>
      <w:r w:rsidRPr="005E6D5F">
        <w:rPr>
          <w:szCs w:val="18"/>
        </w:rPr>
        <w:t xml:space="preserve"> functions</w:t>
      </w:r>
      <w:r w:rsidR="001E1FDC" w:rsidRPr="00953CA5">
        <w:rPr>
          <w:szCs w:val="18"/>
        </w:rPr>
        <w:t>, as outlined by</w:t>
      </w:r>
      <w:r w:rsidRPr="00953CA5">
        <w:rPr>
          <w:szCs w:val="18"/>
        </w:rPr>
        <w:t xml:space="preserve"> the </w:t>
      </w:r>
      <w:r w:rsidR="001E1FDC" w:rsidRPr="00171DEA">
        <w:rPr>
          <w:szCs w:val="18"/>
        </w:rPr>
        <w:t>OPGGS Act, to</w:t>
      </w:r>
      <w:r w:rsidRPr="00777C5D">
        <w:rPr>
          <w:szCs w:val="18"/>
        </w:rPr>
        <w:t>:</w:t>
      </w:r>
    </w:p>
    <w:p w14:paraId="1E9A049F" w14:textId="04B28B85" w:rsidR="004627C9" w:rsidRPr="00276B4F" w:rsidRDefault="004627C9" w:rsidP="000C1F53">
      <w:pPr>
        <w:pStyle w:val="BodycopyNEW0"/>
        <w:numPr>
          <w:ilvl w:val="0"/>
          <w:numId w:val="23"/>
        </w:numPr>
        <w:ind w:left="378"/>
      </w:pPr>
      <w:r w:rsidRPr="00276B4F">
        <w:t xml:space="preserve">Develop and implement effective monitoring </w:t>
      </w:r>
      <w:r w:rsidR="0064668B" w:rsidRPr="00276B4F">
        <w:t>and enforcement strategies to secure compliance by persons with their obligations under the OPGGS Act and Regulations, and other applicable laws</w:t>
      </w:r>
    </w:p>
    <w:p w14:paraId="0263CCD0" w14:textId="36B69D51" w:rsidR="0064668B" w:rsidRPr="00276B4F" w:rsidRDefault="00501EE4" w:rsidP="000C1F53">
      <w:pPr>
        <w:pStyle w:val="BodycopyNEW0"/>
        <w:numPr>
          <w:ilvl w:val="0"/>
          <w:numId w:val="23"/>
        </w:numPr>
        <w:ind w:left="378"/>
      </w:pPr>
      <w:r w:rsidRPr="00276B4F">
        <w:t>Investigate accidents, occurrences and circumstances relating to OHS, well integrity, and environmental management</w:t>
      </w:r>
    </w:p>
    <w:p w14:paraId="246B5391" w14:textId="4A7905B2" w:rsidR="00501EE4" w:rsidRPr="00276B4F" w:rsidRDefault="00501EE4" w:rsidP="000C1F53">
      <w:pPr>
        <w:pStyle w:val="BodycopyNEW0"/>
        <w:numPr>
          <w:ilvl w:val="0"/>
          <w:numId w:val="23"/>
        </w:numPr>
        <w:ind w:left="378"/>
      </w:pPr>
      <w:r w:rsidRPr="00276B4F">
        <w:t>Promote the OHS of persons involved in offshore petroleum operations and offshore greenhouse gas storage operations</w:t>
      </w:r>
    </w:p>
    <w:p w14:paraId="63691DC8" w14:textId="47BDCB1F" w:rsidR="002D6B24" w:rsidRPr="00276B4F" w:rsidRDefault="00501EE4" w:rsidP="000C1F53">
      <w:pPr>
        <w:pStyle w:val="BodycopyNEW0"/>
        <w:numPr>
          <w:ilvl w:val="0"/>
          <w:numId w:val="23"/>
        </w:numPr>
        <w:ind w:left="378"/>
      </w:pPr>
      <w:r w:rsidRPr="00276B4F">
        <w:t>Advise on matters relating to OHS, well integrity, and environment</w:t>
      </w:r>
    </w:p>
    <w:p w14:paraId="735509E5" w14:textId="02469F87" w:rsidR="006B295F" w:rsidRPr="00276B4F" w:rsidRDefault="006B295F" w:rsidP="000C1F53">
      <w:pPr>
        <w:pStyle w:val="BodycopyNEW0"/>
        <w:numPr>
          <w:ilvl w:val="0"/>
          <w:numId w:val="23"/>
        </w:numPr>
        <w:ind w:left="378"/>
      </w:pPr>
      <w:r w:rsidRPr="00276B4F">
        <w:t xml:space="preserve">Make </w:t>
      </w:r>
      <w:r w:rsidR="006E747B" w:rsidRPr="00276B4F">
        <w:t>reports</w:t>
      </w:r>
      <w:r w:rsidRPr="00276B4F">
        <w:t>, including recommendations, to the Commonwealth Minister and each responsible State/Northern Territory Minister</w:t>
      </w:r>
    </w:p>
    <w:p w14:paraId="7575076C" w14:textId="48A72489" w:rsidR="006E747B" w:rsidRPr="00276B4F" w:rsidRDefault="008F339A" w:rsidP="000C1F53">
      <w:pPr>
        <w:pStyle w:val="BodycopyNEW0"/>
        <w:numPr>
          <w:ilvl w:val="0"/>
          <w:numId w:val="23"/>
        </w:numPr>
        <w:ind w:left="378"/>
      </w:pPr>
      <w:r w:rsidRPr="00276B4F">
        <w:t>Cooperate with the NOPTA in matters relating to the administration and enforcement of the OPGGS Act and regulations</w:t>
      </w:r>
    </w:p>
    <w:p w14:paraId="72D57D11" w14:textId="209D3C28" w:rsidR="008F339A" w:rsidRPr="00276B4F" w:rsidRDefault="008F339A" w:rsidP="000C1F53">
      <w:pPr>
        <w:pStyle w:val="BodycopyNEW0"/>
        <w:numPr>
          <w:ilvl w:val="0"/>
          <w:numId w:val="23"/>
        </w:numPr>
        <w:ind w:left="378"/>
      </w:pPr>
      <w:r w:rsidRPr="00276B4F">
        <w:t>Cooperate with other Commonwealth, state, and Northern Territory agencies or authorities having functions relating to regulated operations.</w:t>
      </w:r>
    </w:p>
    <w:p w14:paraId="5C16EDB4" w14:textId="4DCCD59B" w:rsidR="00AD7D6C" w:rsidRPr="00953CA5" w:rsidRDefault="004627C9" w:rsidP="00C44305">
      <w:pPr>
        <w:pStyle w:val="BodyCopyNEW"/>
        <w:rPr>
          <w:szCs w:val="18"/>
        </w:rPr>
      </w:pPr>
      <w:r w:rsidRPr="00096BC3">
        <w:rPr>
          <w:szCs w:val="18"/>
        </w:rPr>
        <w:t xml:space="preserve">As part of our stakeholder consultation with industry, we identified a lack of understanding </w:t>
      </w:r>
      <w:r w:rsidR="001046D5" w:rsidRPr="00073514">
        <w:rPr>
          <w:szCs w:val="18"/>
        </w:rPr>
        <w:t>of</w:t>
      </w:r>
      <w:r w:rsidRPr="00611BAA">
        <w:rPr>
          <w:szCs w:val="18"/>
        </w:rPr>
        <w:t xml:space="preserve"> NOPSEMA’s role in the broader </w:t>
      </w:r>
      <w:r w:rsidR="00BB5AE9" w:rsidRPr="00946300">
        <w:rPr>
          <w:szCs w:val="18"/>
        </w:rPr>
        <w:t>context</w:t>
      </w:r>
      <w:r w:rsidRPr="00946300">
        <w:rPr>
          <w:szCs w:val="18"/>
        </w:rPr>
        <w:t xml:space="preserve"> of the offshore industry. </w:t>
      </w:r>
      <w:r w:rsidR="0037687C" w:rsidRPr="00392AAF">
        <w:rPr>
          <w:szCs w:val="18"/>
        </w:rPr>
        <w:t>For exam</w:t>
      </w:r>
      <w:r w:rsidR="0037687C" w:rsidRPr="00F57169">
        <w:rPr>
          <w:szCs w:val="18"/>
        </w:rPr>
        <w:t>ple, t</w:t>
      </w:r>
      <w:r w:rsidRPr="001C1F93">
        <w:rPr>
          <w:szCs w:val="18"/>
        </w:rPr>
        <w:t xml:space="preserve">here </w:t>
      </w:r>
      <w:r w:rsidR="0014576C" w:rsidRPr="001C1F93">
        <w:rPr>
          <w:szCs w:val="18"/>
        </w:rPr>
        <w:t xml:space="preserve">is a </w:t>
      </w:r>
      <w:r w:rsidRPr="00911F0E">
        <w:rPr>
          <w:szCs w:val="18"/>
        </w:rPr>
        <w:t xml:space="preserve">misconception </w:t>
      </w:r>
      <w:r w:rsidR="0014576C" w:rsidRPr="00372FB6">
        <w:rPr>
          <w:szCs w:val="18"/>
        </w:rPr>
        <w:t>that</w:t>
      </w:r>
      <w:r w:rsidRPr="004602AD">
        <w:rPr>
          <w:szCs w:val="18"/>
        </w:rPr>
        <w:t xml:space="preserve"> NOPSEMA’s role </w:t>
      </w:r>
      <w:r w:rsidR="0014576C" w:rsidRPr="009013BE">
        <w:rPr>
          <w:szCs w:val="18"/>
        </w:rPr>
        <w:t xml:space="preserve">is </w:t>
      </w:r>
      <w:r w:rsidRPr="00C81CBA">
        <w:rPr>
          <w:szCs w:val="18"/>
        </w:rPr>
        <w:t>a policy maker (</w:t>
      </w:r>
      <w:r w:rsidR="0014576C" w:rsidRPr="005E6D5F">
        <w:rPr>
          <w:szCs w:val="18"/>
        </w:rPr>
        <w:t xml:space="preserve">which is </w:t>
      </w:r>
      <w:r w:rsidRPr="005E6D5F">
        <w:rPr>
          <w:szCs w:val="18"/>
        </w:rPr>
        <w:t xml:space="preserve">the role of </w:t>
      </w:r>
      <w:r w:rsidR="004765A4" w:rsidRPr="00953CA5">
        <w:rPr>
          <w:szCs w:val="18"/>
        </w:rPr>
        <w:t>DISER</w:t>
      </w:r>
      <w:r w:rsidR="00C23ED4" w:rsidRPr="00953CA5">
        <w:rPr>
          <w:szCs w:val="18"/>
        </w:rPr>
        <w:t>’s Offshore Resources Branch</w:t>
      </w:r>
      <w:r w:rsidRPr="00171DEA">
        <w:rPr>
          <w:szCs w:val="18"/>
        </w:rPr>
        <w:t>)</w:t>
      </w:r>
      <w:r w:rsidR="00315E5C" w:rsidRPr="00777C5D">
        <w:rPr>
          <w:szCs w:val="18"/>
        </w:rPr>
        <w:t>,</w:t>
      </w:r>
      <w:r w:rsidRPr="006C6606">
        <w:rPr>
          <w:szCs w:val="18"/>
        </w:rPr>
        <w:t xml:space="preserve"> with approximately 40% of respondents </w:t>
      </w:r>
      <w:r w:rsidR="00315E5C" w:rsidRPr="007F74D3">
        <w:rPr>
          <w:szCs w:val="18"/>
        </w:rPr>
        <w:t>to our survey erroneously</w:t>
      </w:r>
      <w:r w:rsidRPr="0047319A">
        <w:rPr>
          <w:szCs w:val="18"/>
        </w:rPr>
        <w:t xml:space="preserve"> identifying NOPSEMA </w:t>
      </w:r>
      <w:r w:rsidR="009D71FA" w:rsidRPr="00C9422D">
        <w:rPr>
          <w:szCs w:val="18"/>
        </w:rPr>
        <w:t>as responsible for developing</w:t>
      </w:r>
      <w:r w:rsidRPr="00F53817">
        <w:rPr>
          <w:szCs w:val="18"/>
        </w:rPr>
        <w:t xml:space="preserve"> and </w:t>
      </w:r>
      <w:r w:rsidR="009D71FA" w:rsidRPr="00A32AAE">
        <w:rPr>
          <w:szCs w:val="18"/>
        </w:rPr>
        <w:t>maintaining</w:t>
      </w:r>
      <w:r w:rsidRPr="00B575BF">
        <w:rPr>
          <w:szCs w:val="18"/>
        </w:rPr>
        <w:t xml:space="preserve"> policy</w:t>
      </w:r>
      <w:r w:rsidR="00E44030" w:rsidRPr="00D11371">
        <w:rPr>
          <w:szCs w:val="18"/>
        </w:rPr>
        <w:t xml:space="preserve"> (see</w:t>
      </w:r>
      <w:r w:rsidR="00CB259F">
        <w:rPr>
          <w:b/>
          <w:szCs w:val="18"/>
        </w:rPr>
        <w:t xml:space="preserve"> </w:t>
      </w:r>
      <w:r w:rsidR="00CB259F" w:rsidRPr="00CB259F">
        <w:rPr>
          <w:b/>
          <w:szCs w:val="18"/>
        </w:rPr>
        <w:fldChar w:fldCharType="begin"/>
      </w:r>
      <w:r w:rsidR="00CB259F" w:rsidRPr="00CB259F">
        <w:rPr>
          <w:b/>
          <w:szCs w:val="18"/>
        </w:rPr>
        <w:instrText xml:space="preserve"> REF _Ref58444979 \h  \* MERGEFORMAT </w:instrText>
      </w:r>
      <w:r w:rsidR="00CB259F" w:rsidRPr="00CB259F">
        <w:rPr>
          <w:b/>
          <w:szCs w:val="18"/>
        </w:rPr>
      </w:r>
      <w:r w:rsidR="00CB259F" w:rsidRPr="00CB259F">
        <w:rPr>
          <w:b/>
          <w:szCs w:val="18"/>
        </w:rPr>
        <w:fldChar w:fldCharType="separate"/>
      </w:r>
      <w:r w:rsidR="00E816B8" w:rsidRPr="00E816B8">
        <w:rPr>
          <w:b/>
        </w:rPr>
        <w:t xml:space="preserve">Table </w:t>
      </w:r>
      <w:r w:rsidR="00E816B8" w:rsidRPr="00E816B8">
        <w:rPr>
          <w:b/>
          <w:noProof/>
        </w:rPr>
        <w:t>5.1</w:t>
      </w:r>
      <w:r w:rsidR="00CB259F" w:rsidRPr="00CB259F">
        <w:rPr>
          <w:b/>
          <w:szCs w:val="18"/>
        </w:rPr>
        <w:fldChar w:fldCharType="end"/>
      </w:r>
      <w:r w:rsidR="00E44030" w:rsidRPr="00096BC3">
        <w:rPr>
          <w:szCs w:val="18"/>
        </w:rPr>
        <w:t>)</w:t>
      </w:r>
      <w:r w:rsidRPr="00073514">
        <w:rPr>
          <w:szCs w:val="18"/>
        </w:rPr>
        <w:t xml:space="preserve">. </w:t>
      </w:r>
      <w:r w:rsidR="00AD7D6C" w:rsidRPr="00611BAA">
        <w:rPr>
          <w:szCs w:val="18"/>
        </w:rPr>
        <w:t>A potential factor exacerbating misunderstanding is that</w:t>
      </w:r>
      <w:r w:rsidR="00AD7D6C" w:rsidRPr="00946300">
        <w:rPr>
          <w:szCs w:val="18"/>
        </w:rPr>
        <w:t xml:space="preserve"> NOPSEMA publish their own ‘policies’ on their website – the</w:t>
      </w:r>
      <w:r w:rsidR="00AD7D6C" w:rsidRPr="00392AAF">
        <w:rPr>
          <w:szCs w:val="18"/>
        </w:rPr>
        <w:t xml:space="preserve"> hallmark of </w:t>
      </w:r>
      <w:r w:rsidR="00295A0A">
        <w:rPr>
          <w:szCs w:val="18"/>
        </w:rPr>
        <w:t xml:space="preserve">regulatory </w:t>
      </w:r>
      <w:r w:rsidR="00AD7D6C" w:rsidRPr="00392AAF">
        <w:rPr>
          <w:szCs w:val="18"/>
        </w:rPr>
        <w:t>transparency – but potentially confusing to stakeholders in their terminology</w:t>
      </w:r>
      <w:r w:rsidR="00E51FAF" w:rsidRPr="00F57169">
        <w:rPr>
          <w:szCs w:val="18"/>
        </w:rPr>
        <w:t xml:space="preserve"> (</w:t>
      </w:r>
      <w:r w:rsidR="005D4E43" w:rsidRPr="001C1F93">
        <w:rPr>
          <w:szCs w:val="18"/>
        </w:rPr>
        <w:t xml:space="preserve">i.e. </w:t>
      </w:r>
      <w:r w:rsidR="00CE7373">
        <w:rPr>
          <w:szCs w:val="18"/>
        </w:rPr>
        <w:t xml:space="preserve">confusion </w:t>
      </w:r>
      <w:r w:rsidR="00E51FAF" w:rsidRPr="001C1F93">
        <w:rPr>
          <w:szCs w:val="18"/>
        </w:rPr>
        <w:t xml:space="preserve">between </w:t>
      </w:r>
      <w:r w:rsidR="005D4E43" w:rsidRPr="00911F0E">
        <w:rPr>
          <w:szCs w:val="18"/>
        </w:rPr>
        <w:t>‘</w:t>
      </w:r>
      <w:r w:rsidR="00E51FAF" w:rsidRPr="00372FB6">
        <w:rPr>
          <w:szCs w:val="18"/>
        </w:rPr>
        <w:t>NOPSEMA policy</w:t>
      </w:r>
      <w:r w:rsidR="005D4E43" w:rsidRPr="004602AD">
        <w:rPr>
          <w:szCs w:val="18"/>
        </w:rPr>
        <w:t>’</w:t>
      </w:r>
      <w:r w:rsidR="00CE7373">
        <w:rPr>
          <w:szCs w:val="18"/>
        </w:rPr>
        <w:t xml:space="preserve"> (operational policy)</w:t>
      </w:r>
      <w:r w:rsidR="00E51FAF" w:rsidRPr="009013BE">
        <w:rPr>
          <w:szCs w:val="18"/>
        </w:rPr>
        <w:t xml:space="preserve"> and </w:t>
      </w:r>
      <w:r w:rsidR="005D4E43" w:rsidRPr="00C81CBA">
        <w:rPr>
          <w:szCs w:val="18"/>
        </w:rPr>
        <w:t xml:space="preserve">‘Australian </w:t>
      </w:r>
      <w:r w:rsidR="00E51FAF" w:rsidRPr="005E6D5F">
        <w:rPr>
          <w:szCs w:val="18"/>
        </w:rPr>
        <w:t>Government policy</w:t>
      </w:r>
      <w:r w:rsidR="005D4E43" w:rsidRPr="005E6D5F">
        <w:rPr>
          <w:szCs w:val="18"/>
        </w:rPr>
        <w:t>’</w:t>
      </w:r>
      <w:r w:rsidR="00CE7373">
        <w:rPr>
          <w:szCs w:val="18"/>
        </w:rPr>
        <w:t xml:space="preserve"> (</w:t>
      </w:r>
      <w:r w:rsidR="00C26692">
        <w:rPr>
          <w:szCs w:val="18"/>
        </w:rPr>
        <w:t>strategic policy)</w:t>
      </w:r>
      <w:r w:rsidR="005D4E43" w:rsidRPr="005E6D5F">
        <w:rPr>
          <w:szCs w:val="18"/>
        </w:rPr>
        <w:t>)</w:t>
      </w:r>
      <w:r w:rsidR="00AD7D6C" w:rsidRPr="00953CA5">
        <w:rPr>
          <w:szCs w:val="18"/>
        </w:rPr>
        <w:t>.</w:t>
      </w:r>
    </w:p>
    <w:p w14:paraId="11F5B34C" w14:textId="2900BBEB" w:rsidR="00CB259F" w:rsidRPr="004B089B" w:rsidRDefault="00AD7D6C" w:rsidP="004B089B">
      <w:pPr>
        <w:pStyle w:val="BodyCopyNEW"/>
        <w:rPr>
          <w:szCs w:val="18"/>
        </w:rPr>
      </w:pPr>
      <w:r w:rsidRPr="00171DEA">
        <w:rPr>
          <w:szCs w:val="18"/>
        </w:rPr>
        <w:t>Our</w:t>
      </w:r>
      <w:r w:rsidR="001D41F7" w:rsidRPr="00777C5D">
        <w:rPr>
          <w:szCs w:val="18"/>
        </w:rPr>
        <w:t xml:space="preserve"> </w:t>
      </w:r>
      <w:r w:rsidR="001D41F7" w:rsidRPr="006C6606">
        <w:rPr>
          <w:szCs w:val="18"/>
        </w:rPr>
        <w:t xml:space="preserve">survey findings were </w:t>
      </w:r>
      <w:r w:rsidR="009A6F79" w:rsidRPr="007F74D3">
        <w:rPr>
          <w:szCs w:val="18"/>
        </w:rPr>
        <w:t xml:space="preserve">reinforced through a number of </w:t>
      </w:r>
      <w:r w:rsidRPr="00C9422D">
        <w:rPr>
          <w:szCs w:val="18"/>
        </w:rPr>
        <w:t>interviews</w:t>
      </w:r>
      <w:r w:rsidR="00C26692">
        <w:rPr>
          <w:szCs w:val="18"/>
        </w:rPr>
        <w:t xml:space="preserve"> we held</w:t>
      </w:r>
      <w:r w:rsidRPr="00C9422D">
        <w:rPr>
          <w:szCs w:val="18"/>
        </w:rPr>
        <w:t xml:space="preserve"> </w:t>
      </w:r>
      <w:r w:rsidR="009A6F79" w:rsidRPr="00F53817">
        <w:rPr>
          <w:szCs w:val="18"/>
        </w:rPr>
        <w:t xml:space="preserve">with </w:t>
      </w:r>
      <w:r w:rsidR="009A6F79" w:rsidRPr="00A32AAE">
        <w:rPr>
          <w:szCs w:val="18"/>
        </w:rPr>
        <w:t>stakeholders</w:t>
      </w:r>
      <w:r w:rsidR="00E00A61" w:rsidRPr="00B575BF">
        <w:rPr>
          <w:szCs w:val="18"/>
        </w:rPr>
        <w:t xml:space="preserve"> </w:t>
      </w:r>
      <w:r w:rsidR="00DF7247" w:rsidRPr="00D11371">
        <w:rPr>
          <w:szCs w:val="18"/>
        </w:rPr>
        <w:t xml:space="preserve">– where </w:t>
      </w:r>
      <w:r w:rsidR="00E00A61" w:rsidRPr="003E4CD6">
        <w:rPr>
          <w:szCs w:val="18"/>
        </w:rPr>
        <w:t xml:space="preserve">criticisms were made of NOPSEMA </w:t>
      </w:r>
      <w:r w:rsidR="00710C05" w:rsidRPr="00777710">
        <w:rPr>
          <w:szCs w:val="18"/>
        </w:rPr>
        <w:t xml:space="preserve">on matters that were outside </w:t>
      </w:r>
      <w:r w:rsidR="00C23ED4" w:rsidRPr="00777710">
        <w:rPr>
          <w:szCs w:val="18"/>
        </w:rPr>
        <w:t xml:space="preserve">the scope </w:t>
      </w:r>
      <w:r w:rsidR="00710C05" w:rsidRPr="006F091B">
        <w:rPr>
          <w:szCs w:val="18"/>
        </w:rPr>
        <w:t xml:space="preserve">of their functions under the OPGGS Act. </w:t>
      </w:r>
      <w:r w:rsidR="009D63EB" w:rsidRPr="006610D9">
        <w:rPr>
          <w:szCs w:val="18"/>
        </w:rPr>
        <w:t xml:space="preserve">NOPSEMA confirmed challenges </w:t>
      </w:r>
      <w:r w:rsidR="003644B5" w:rsidRPr="00711FC9">
        <w:rPr>
          <w:szCs w:val="18"/>
        </w:rPr>
        <w:t>with stakeholder education of their role and function</w:t>
      </w:r>
      <w:r w:rsidR="00554B37" w:rsidRPr="00834F3C">
        <w:rPr>
          <w:szCs w:val="18"/>
        </w:rPr>
        <w:t xml:space="preserve"> and our overall </w:t>
      </w:r>
      <w:r w:rsidR="00013B02" w:rsidRPr="00FF42CF">
        <w:rPr>
          <w:szCs w:val="18"/>
        </w:rPr>
        <w:t xml:space="preserve">view is that </w:t>
      </w:r>
      <w:r w:rsidR="00013B02" w:rsidRPr="001D4317">
        <w:rPr>
          <w:szCs w:val="18"/>
        </w:rPr>
        <w:t>NOPSEMA</w:t>
      </w:r>
      <w:r w:rsidR="00013B02" w:rsidRPr="00A25353">
        <w:rPr>
          <w:szCs w:val="18"/>
        </w:rPr>
        <w:t xml:space="preserve">’s </w:t>
      </w:r>
      <w:r w:rsidR="00554B37" w:rsidRPr="00C066D9">
        <w:rPr>
          <w:szCs w:val="18"/>
        </w:rPr>
        <w:t xml:space="preserve">role </w:t>
      </w:r>
      <w:r w:rsidR="00603D68" w:rsidRPr="00CD5AFE">
        <w:rPr>
          <w:szCs w:val="18"/>
        </w:rPr>
        <w:t>i</w:t>
      </w:r>
      <w:r w:rsidR="00554B37" w:rsidRPr="00E75BFD">
        <w:rPr>
          <w:szCs w:val="18"/>
        </w:rPr>
        <w:t>s not well understood</w:t>
      </w:r>
      <w:r w:rsidR="003644B5" w:rsidRPr="00E75BFD">
        <w:rPr>
          <w:szCs w:val="18"/>
        </w:rPr>
        <w:t>.</w:t>
      </w:r>
      <w:r w:rsidR="0037687C" w:rsidRPr="00E75BFD">
        <w:rPr>
          <w:szCs w:val="18"/>
        </w:rPr>
        <w:t xml:space="preserve"> </w:t>
      </w:r>
      <w:r w:rsidR="00131664" w:rsidRPr="00E75BFD">
        <w:rPr>
          <w:szCs w:val="18"/>
        </w:rPr>
        <w:t xml:space="preserve">A key focus of </w:t>
      </w:r>
      <w:r w:rsidR="00554B37" w:rsidRPr="00E75BFD">
        <w:rPr>
          <w:szCs w:val="18"/>
        </w:rPr>
        <w:t>NOPSEMA</w:t>
      </w:r>
      <w:r w:rsidR="00131664" w:rsidRPr="00E75BFD">
        <w:rPr>
          <w:szCs w:val="18"/>
        </w:rPr>
        <w:t>’s</w:t>
      </w:r>
      <w:r w:rsidR="00554B37" w:rsidRPr="00E75BFD">
        <w:rPr>
          <w:szCs w:val="18"/>
        </w:rPr>
        <w:t xml:space="preserve"> </w:t>
      </w:r>
      <w:r w:rsidR="00554B37" w:rsidRPr="00E75BFD">
        <w:rPr>
          <w:i/>
          <w:szCs w:val="18"/>
        </w:rPr>
        <w:t>Communications Strategy</w:t>
      </w:r>
      <w:r w:rsidR="003A01D2" w:rsidRPr="00E75BFD">
        <w:rPr>
          <w:szCs w:val="18"/>
        </w:rPr>
        <w:t xml:space="preserve"> </w:t>
      </w:r>
      <w:r w:rsidR="009A243E" w:rsidRPr="00E75BFD">
        <w:rPr>
          <w:szCs w:val="18"/>
        </w:rPr>
        <w:t>is building stakeholder understanding of the boundaries of NOPSEMA’s remit.</w:t>
      </w:r>
    </w:p>
    <w:p w14:paraId="4671A291" w14:textId="1589259A" w:rsidR="00CB259F" w:rsidRPr="00CB259F" w:rsidRDefault="00CB259F" w:rsidP="004B089B">
      <w:pPr>
        <w:pStyle w:val="Caption"/>
        <w:keepNext/>
      </w:pPr>
      <w:bookmarkStart w:id="33" w:name="_Ref58444979"/>
      <w:r>
        <w:lastRenderedPageBreak/>
        <w:t xml:space="preserve">Table </w:t>
      </w:r>
      <w:r w:rsidR="00F8476B">
        <w:fldChar w:fldCharType="begin"/>
      </w:r>
      <w:r w:rsidR="00F8476B">
        <w:instrText xml:space="preserve"> STYLEREF 1 \s </w:instrText>
      </w:r>
      <w:r w:rsidR="00F8476B">
        <w:fldChar w:fldCharType="separate"/>
      </w:r>
      <w:r w:rsidR="00E816B8">
        <w:rPr>
          <w:noProof/>
        </w:rPr>
        <w:t>5</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1</w:t>
      </w:r>
      <w:r w:rsidR="00F8476B">
        <w:fldChar w:fldCharType="end"/>
      </w:r>
      <w:bookmarkEnd w:id="33"/>
      <w:r>
        <w:t>: Survey responses to NOPSEMA’s functions under the OPGGS Act</w:t>
      </w:r>
    </w:p>
    <w:tbl>
      <w:tblPr>
        <w:tblW w:w="5000" w:type="pct"/>
        <w:tblCellMar>
          <w:top w:w="57" w:type="dxa"/>
          <w:left w:w="57" w:type="dxa"/>
          <w:bottom w:w="57" w:type="dxa"/>
          <w:right w:w="57" w:type="dxa"/>
        </w:tblCellMar>
        <w:tblLook w:val="0600" w:firstRow="0" w:lastRow="0" w:firstColumn="0" w:lastColumn="0" w:noHBand="1" w:noVBand="1"/>
      </w:tblPr>
      <w:tblGrid>
        <w:gridCol w:w="6096"/>
        <w:gridCol w:w="2101"/>
        <w:gridCol w:w="1667"/>
      </w:tblGrid>
      <w:tr w:rsidR="00E175D6" w:rsidRPr="00AF0AF7" w14:paraId="59C89369" w14:textId="77777777" w:rsidTr="00052FC6">
        <w:trPr>
          <w:trHeight w:val="208"/>
          <w:tblHeader/>
        </w:trPr>
        <w:tc>
          <w:tcPr>
            <w:tcW w:w="3090" w:type="pct"/>
            <w:tcBorders>
              <w:top w:val="single" w:sz="8" w:space="0" w:color="007680"/>
              <w:bottom w:val="single" w:sz="8" w:space="0" w:color="007680"/>
            </w:tcBorders>
            <w:shd w:val="clear" w:color="auto" w:fill="auto"/>
            <w:tcMar>
              <w:top w:w="72" w:type="dxa"/>
              <w:left w:w="144" w:type="dxa"/>
              <w:bottom w:w="72" w:type="dxa"/>
              <w:right w:w="144" w:type="dxa"/>
            </w:tcMar>
            <w:hideMark/>
          </w:tcPr>
          <w:p w14:paraId="48000475" w14:textId="2044BEC0" w:rsidR="00E175D6" w:rsidRPr="00361EB7" w:rsidRDefault="00E175D6" w:rsidP="00C44305">
            <w:pPr>
              <w:pStyle w:val="Tableheader"/>
              <w:ind w:left="-8"/>
              <w:rPr>
                <w:sz w:val="18"/>
                <w:szCs w:val="18"/>
              </w:rPr>
            </w:pPr>
            <w:r w:rsidRPr="00361EB7">
              <w:rPr>
                <w:sz w:val="18"/>
                <w:szCs w:val="18"/>
              </w:rPr>
              <w:t>NOPSEMA’s functions specified in the OPGGS Act (s</w:t>
            </w:r>
            <w:r w:rsidR="00487774" w:rsidRPr="00361EB7">
              <w:rPr>
                <w:sz w:val="18"/>
                <w:szCs w:val="18"/>
              </w:rPr>
              <w:t>ection</w:t>
            </w:r>
            <w:r w:rsidR="002C3309" w:rsidRPr="00361EB7">
              <w:rPr>
                <w:sz w:val="18"/>
                <w:szCs w:val="18"/>
              </w:rPr>
              <w:t xml:space="preserve"> </w:t>
            </w:r>
            <w:r w:rsidRPr="00361EB7">
              <w:rPr>
                <w:sz w:val="18"/>
                <w:szCs w:val="18"/>
              </w:rPr>
              <w:t>646)</w:t>
            </w:r>
          </w:p>
        </w:tc>
        <w:tc>
          <w:tcPr>
            <w:tcW w:w="1065" w:type="pct"/>
            <w:tcBorders>
              <w:top w:val="single" w:sz="8" w:space="0" w:color="007680"/>
              <w:bottom w:val="single" w:sz="8" w:space="0" w:color="007680"/>
            </w:tcBorders>
            <w:shd w:val="clear" w:color="auto" w:fill="auto"/>
            <w:tcMar>
              <w:top w:w="72" w:type="dxa"/>
              <w:left w:w="144" w:type="dxa"/>
              <w:bottom w:w="72" w:type="dxa"/>
              <w:right w:w="144" w:type="dxa"/>
            </w:tcMar>
            <w:hideMark/>
          </w:tcPr>
          <w:p w14:paraId="43B7E46E" w14:textId="7B6294C8" w:rsidR="00E175D6" w:rsidRPr="00361EB7" w:rsidRDefault="00E175D6" w:rsidP="00C44305">
            <w:pPr>
              <w:pStyle w:val="Tableheader"/>
              <w:rPr>
                <w:sz w:val="18"/>
                <w:szCs w:val="18"/>
              </w:rPr>
            </w:pPr>
            <w:r w:rsidRPr="00361EB7">
              <w:rPr>
                <w:sz w:val="18"/>
                <w:szCs w:val="18"/>
              </w:rPr>
              <w:t>% of stakeholders who selected the item as a legislated role of NOPSEMA</w:t>
            </w:r>
          </w:p>
        </w:tc>
        <w:tc>
          <w:tcPr>
            <w:tcW w:w="845" w:type="pct"/>
            <w:tcBorders>
              <w:top w:val="single" w:sz="8" w:space="0" w:color="007680"/>
              <w:bottom w:val="single" w:sz="8" w:space="0" w:color="007680"/>
            </w:tcBorders>
            <w:shd w:val="clear" w:color="auto" w:fill="auto"/>
            <w:tcMar>
              <w:top w:w="72" w:type="dxa"/>
              <w:left w:w="144" w:type="dxa"/>
              <w:bottom w:w="72" w:type="dxa"/>
              <w:right w:w="144" w:type="dxa"/>
            </w:tcMar>
            <w:hideMark/>
          </w:tcPr>
          <w:p w14:paraId="00C32755" w14:textId="4932897C" w:rsidR="00E175D6" w:rsidRPr="00361EB7" w:rsidRDefault="00E175D6" w:rsidP="00C44305">
            <w:pPr>
              <w:pStyle w:val="Tableheader"/>
              <w:rPr>
                <w:sz w:val="18"/>
                <w:szCs w:val="18"/>
              </w:rPr>
            </w:pPr>
            <w:r w:rsidRPr="00361EB7">
              <w:rPr>
                <w:sz w:val="18"/>
                <w:szCs w:val="18"/>
              </w:rPr>
              <w:t>NOPSEMA’s functions as defined by the OPGGS Act?</w:t>
            </w:r>
          </w:p>
        </w:tc>
      </w:tr>
      <w:tr w:rsidR="00E175D6" w:rsidRPr="00AF0AF7" w14:paraId="6DF8DD39" w14:textId="77777777" w:rsidTr="00052FC6">
        <w:trPr>
          <w:trHeight w:val="562"/>
        </w:trPr>
        <w:tc>
          <w:tcPr>
            <w:tcW w:w="3090" w:type="pct"/>
            <w:tcBorders>
              <w:top w:val="single" w:sz="8" w:space="0" w:color="007680"/>
              <w:bottom w:val="single" w:sz="4" w:space="0" w:color="BFBFBF" w:themeColor="background1" w:themeShade="BF"/>
            </w:tcBorders>
            <w:shd w:val="clear" w:color="auto" w:fill="auto"/>
            <w:tcMar>
              <w:top w:w="72" w:type="dxa"/>
              <w:left w:w="144" w:type="dxa"/>
              <w:bottom w:w="72" w:type="dxa"/>
              <w:right w:w="144" w:type="dxa"/>
            </w:tcMar>
            <w:hideMark/>
          </w:tcPr>
          <w:p w14:paraId="7ECC1170" w14:textId="7E51BDF4" w:rsidR="00E175D6" w:rsidRPr="00361EB7" w:rsidRDefault="00E175D6" w:rsidP="00C44305">
            <w:pPr>
              <w:pStyle w:val="BodyCopyNEW"/>
              <w:rPr>
                <w:rFonts w:eastAsia="Times New Roman" w:cs="Arial"/>
                <w:szCs w:val="18"/>
                <w:lang w:eastAsia="en-AU"/>
              </w:rPr>
            </w:pPr>
            <w:r w:rsidRPr="00361EB7">
              <w:rPr>
                <w:szCs w:val="18"/>
                <w:lang w:eastAsia="en-AU"/>
              </w:rPr>
              <w:t>Develop and implement effective monitoring activities for occupational health and safety of persons engaged in offshore petroleum operations</w:t>
            </w:r>
          </w:p>
        </w:tc>
        <w:tc>
          <w:tcPr>
            <w:tcW w:w="1065" w:type="pct"/>
            <w:tcBorders>
              <w:top w:val="single" w:sz="8" w:space="0" w:color="007680"/>
              <w:bottom w:val="single" w:sz="4" w:space="0" w:color="BFBFBF" w:themeColor="background1" w:themeShade="BF"/>
            </w:tcBorders>
            <w:shd w:val="clear" w:color="auto" w:fill="auto"/>
            <w:tcMar>
              <w:top w:w="15" w:type="dxa"/>
              <w:left w:w="15" w:type="dxa"/>
              <w:bottom w:w="0" w:type="dxa"/>
              <w:right w:w="15" w:type="dxa"/>
            </w:tcMar>
            <w:hideMark/>
          </w:tcPr>
          <w:p w14:paraId="75C5E960" w14:textId="1F348288" w:rsidR="00E175D6" w:rsidRPr="00361EB7" w:rsidRDefault="00E175D6" w:rsidP="00C44305">
            <w:pPr>
              <w:pStyle w:val="BodyCopyNEW"/>
              <w:ind w:left="172"/>
              <w:rPr>
                <w:rFonts w:eastAsia="Times New Roman" w:cs="Arial"/>
                <w:szCs w:val="18"/>
                <w:lang w:eastAsia="en-AU"/>
              </w:rPr>
            </w:pPr>
            <w:r w:rsidRPr="00361EB7">
              <w:rPr>
                <w:b/>
                <w:szCs w:val="18"/>
                <w:lang w:eastAsia="en-AU"/>
              </w:rPr>
              <w:t>73.7%</w:t>
            </w:r>
          </w:p>
        </w:tc>
        <w:tc>
          <w:tcPr>
            <w:tcW w:w="845" w:type="pct"/>
            <w:tcBorders>
              <w:top w:val="single" w:sz="8" w:space="0" w:color="007680"/>
              <w:bottom w:val="single" w:sz="4" w:space="0" w:color="BFBFBF" w:themeColor="background1" w:themeShade="BF"/>
            </w:tcBorders>
            <w:shd w:val="clear" w:color="auto" w:fill="auto"/>
            <w:tcMar>
              <w:top w:w="72" w:type="dxa"/>
              <w:left w:w="144" w:type="dxa"/>
              <w:bottom w:w="72" w:type="dxa"/>
              <w:right w:w="144" w:type="dxa"/>
            </w:tcMar>
            <w:hideMark/>
          </w:tcPr>
          <w:p w14:paraId="4496F319" w14:textId="4413A00D" w:rsidR="00E175D6" w:rsidRPr="00361EB7" w:rsidRDefault="00B2795D" w:rsidP="00C44305">
            <w:pPr>
              <w:pStyle w:val="BodyCopyNEW"/>
              <w:rPr>
                <w:rFonts w:eastAsia="Times New Roman" w:cs="Arial"/>
                <w:b/>
                <w:szCs w:val="18"/>
                <w:lang w:eastAsia="en-AU"/>
              </w:rPr>
            </w:pPr>
            <w:r w:rsidRPr="00361EB7">
              <w:rPr>
                <w:rFonts w:eastAsia="Wingdings 2" w:cs="Wingdings 2"/>
                <w:b/>
                <w:szCs w:val="18"/>
                <w:lang w:eastAsia="en-AU"/>
              </w:rPr>
              <w:t>Yes</w:t>
            </w:r>
          </w:p>
        </w:tc>
      </w:tr>
      <w:tr w:rsidR="00E175D6" w:rsidRPr="00AF0AF7" w14:paraId="0C0C7CBE" w14:textId="77777777" w:rsidTr="00356576">
        <w:trPr>
          <w:trHeight w:val="562"/>
        </w:trPr>
        <w:tc>
          <w:tcPr>
            <w:tcW w:w="3090"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hideMark/>
          </w:tcPr>
          <w:p w14:paraId="7F4BB70F" w14:textId="35B18B8D" w:rsidR="00E175D6" w:rsidRPr="00361EB7" w:rsidRDefault="00E175D6" w:rsidP="00C44305">
            <w:pPr>
              <w:pStyle w:val="BodyCopyNEW"/>
              <w:rPr>
                <w:rFonts w:eastAsia="Times New Roman" w:cs="Arial"/>
                <w:szCs w:val="18"/>
                <w:lang w:eastAsia="en-AU"/>
              </w:rPr>
            </w:pPr>
            <w:r w:rsidRPr="00361EB7">
              <w:rPr>
                <w:rFonts w:eastAsia="Times New Roman" w:cs="Arial"/>
                <w:szCs w:val="18"/>
                <w:lang w:eastAsia="en-AU"/>
              </w:rPr>
              <w:t>Investigate all accidents and incidents relating to OHS, structural integrity of facilities and wells, and environmental management</w:t>
            </w:r>
          </w:p>
        </w:tc>
        <w:tc>
          <w:tcPr>
            <w:tcW w:w="1065" w:type="pct"/>
            <w:tcBorders>
              <w:top w:val="single" w:sz="4" w:space="0" w:color="BFBFBF" w:themeColor="background1" w:themeShade="BF"/>
              <w:bottom w:val="single" w:sz="4" w:space="0" w:color="BFBFBF" w:themeColor="background1" w:themeShade="BF"/>
            </w:tcBorders>
            <w:shd w:val="clear" w:color="auto" w:fill="auto"/>
            <w:tcMar>
              <w:top w:w="15" w:type="dxa"/>
              <w:left w:w="15" w:type="dxa"/>
              <w:bottom w:w="0" w:type="dxa"/>
              <w:right w:w="15" w:type="dxa"/>
            </w:tcMar>
            <w:hideMark/>
          </w:tcPr>
          <w:p w14:paraId="16BAB542" w14:textId="7C0E6309" w:rsidR="00E175D6" w:rsidRPr="00361EB7" w:rsidRDefault="00E175D6" w:rsidP="00C44305">
            <w:pPr>
              <w:pStyle w:val="BodyCopyNEW"/>
              <w:ind w:left="172"/>
              <w:rPr>
                <w:rFonts w:eastAsia="Times New Roman" w:cs="Arial"/>
                <w:szCs w:val="18"/>
                <w:lang w:eastAsia="en-AU"/>
              </w:rPr>
            </w:pPr>
            <w:r w:rsidRPr="00361EB7">
              <w:rPr>
                <w:b/>
                <w:szCs w:val="18"/>
                <w:lang w:eastAsia="en-AU"/>
              </w:rPr>
              <w:t>68.4%</w:t>
            </w:r>
          </w:p>
        </w:tc>
        <w:tc>
          <w:tcPr>
            <w:tcW w:w="845"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hideMark/>
          </w:tcPr>
          <w:p w14:paraId="13C873BB" w14:textId="55BCC95E" w:rsidR="00E175D6" w:rsidRPr="00361EB7" w:rsidRDefault="00B2795D" w:rsidP="00C44305">
            <w:pPr>
              <w:pStyle w:val="BodyCopyNEW"/>
              <w:rPr>
                <w:rFonts w:eastAsia="Times New Roman" w:cs="Arial"/>
                <w:b/>
                <w:szCs w:val="18"/>
                <w:lang w:eastAsia="en-AU"/>
              </w:rPr>
            </w:pPr>
            <w:r w:rsidRPr="00361EB7">
              <w:rPr>
                <w:rFonts w:eastAsia="Wingdings 2" w:cs="Wingdings 2"/>
                <w:b/>
                <w:szCs w:val="18"/>
                <w:lang w:eastAsia="en-AU"/>
              </w:rPr>
              <w:t>Yes</w:t>
            </w:r>
          </w:p>
        </w:tc>
      </w:tr>
      <w:tr w:rsidR="00E175D6" w:rsidRPr="00AF0AF7" w14:paraId="530A2A57" w14:textId="77777777" w:rsidTr="00356576">
        <w:trPr>
          <w:trHeight w:val="562"/>
        </w:trPr>
        <w:tc>
          <w:tcPr>
            <w:tcW w:w="3090"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561A3427" w14:textId="483CB0CD" w:rsidR="00E175D6" w:rsidRPr="00361EB7" w:rsidRDefault="00E175D6" w:rsidP="00C44305">
            <w:pPr>
              <w:pStyle w:val="BodyCopyNEW"/>
              <w:rPr>
                <w:rFonts w:eastAsia="Times New Roman" w:cs="Arial"/>
                <w:szCs w:val="18"/>
                <w:lang w:eastAsia="en-AU"/>
              </w:rPr>
            </w:pPr>
            <w:r w:rsidRPr="00361EB7">
              <w:rPr>
                <w:rFonts w:eastAsia="Times New Roman" w:cs="Arial"/>
                <w:szCs w:val="18"/>
                <w:lang w:eastAsia="en-AU"/>
              </w:rPr>
              <w:t xml:space="preserve">Develop and implement effective </w:t>
            </w:r>
            <w:r w:rsidR="00A95ED4" w:rsidRPr="00361EB7">
              <w:rPr>
                <w:rFonts w:eastAsia="Times New Roman" w:cs="Arial"/>
                <w:szCs w:val="18"/>
                <w:lang w:eastAsia="en-AU"/>
              </w:rPr>
              <w:t>monitoring activities for greenhouse gas storage operations across the offshore petroleum industry</w:t>
            </w:r>
          </w:p>
        </w:tc>
        <w:tc>
          <w:tcPr>
            <w:tcW w:w="1065" w:type="pct"/>
            <w:tcBorders>
              <w:top w:val="single" w:sz="4" w:space="0" w:color="BFBFBF" w:themeColor="background1" w:themeShade="BF"/>
              <w:bottom w:val="single" w:sz="4" w:space="0" w:color="BFBFBF" w:themeColor="background1" w:themeShade="BF"/>
            </w:tcBorders>
            <w:shd w:val="clear" w:color="auto" w:fill="auto"/>
            <w:tcMar>
              <w:top w:w="15" w:type="dxa"/>
              <w:left w:w="15" w:type="dxa"/>
              <w:bottom w:w="0" w:type="dxa"/>
              <w:right w:w="15" w:type="dxa"/>
            </w:tcMar>
          </w:tcPr>
          <w:p w14:paraId="464F9FAC" w14:textId="04C69400" w:rsidR="00E175D6" w:rsidRPr="00361EB7" w:rsidRDefault="00A95ED4" w:rsidP="00C44305">
            <w:pPr>
              <w:pStyle w:val="BodyCopyNEW"/>
              <w:ind w:left="172"/>
              <w:rPr>
                <w:rFonts w:eastAsia="Times New Roman" w:cs="Arial"/>
                <w:b/>
                <w:szCs w:val="18"/>
                <w:lang w:eastAsia="en-AU"/>
              </w:rPr>
            </w:pPr>
            <w:r w:rsidRPr="00361EB7">
              <w:rPr>
                <w:rFonts w:eastAsia="Times New Roman" w:cs="Arial"/>
                <w:b/>
                <w:szCs w:val="18"/>
                <w:lang w:eastAsia="en-AU"/>
              </w:rPr>
              <w:t>63.2%</w:t>
            </w:r>
          </w:p>
        </w:tc>
        <w:tc>
          <w:tcPr>
            <w:tcW w:w="845"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hideMark/>
          </w:tcPr>
          <w:p w14:paraId="77AD6BB6" w14:textId="1DFD0999" w:rsidR="00E175D6" w:rsidRPr="00361EB7" w:rsidRDefault="00B2795D" w:rsidP="00C44305">
            <w:pPr>
              <w:pStyle w:val="BodyCopyNEW"/>
              <w:rPr>
                <w:rFonts w:eastAsia="Times New Roman" w:cs="Arial"/>
                <w:b/>
                <w:szCs w:val="18"/>
                <w:lang w:eastAsia="en-AU"/>
              </w:rPr>
            </w:pPr>
            <w:r w:rsidRPr="00361EB7">
              <w:rPr>
                <w:rFonts w:eastAsia="Wingdings 2" w:cs="Wingdings 2"/>
                <w:b/>
                <w:szCs w:val="18"/>
                <w:lang w:eastAsia="en-AU"/>
              </w:rPr>
              <w:t>Yes</w:t>
            </w:r>
          </w:p>
        </w:tc>
      </w:tr>
      <w:tr w:rsidR="00E175D6" w:rsidRPr="00AF0AF7" w14:paraId="4691C2C5" w14:textId="77777777" w:rsidTr="00356576">
        <w:trPr>
          <w:trHeight w:val="409"/>
        </w:trPr>
        <w:tc>
          <w:tcPr>
            <w:tcW w:w="3090"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480723F2" w14:textId="4EA1E240" w:rsidR="00E175D6" w:rsidRPr="00361EB7" w:rsidRDefault="0044586C" w:rsidP="00C44305">
            <w:pPr>
              <w:pStyle w:val="BodyCopyNEW"/>
              <w:rPr>
                <w:rFonts w:eastAsia="Times New Roman" w:cs="Arial"/>
                <w:szCs w:val="18"/>
                <w:lang w:eastAsia="en-AU"/>
              </w:rPr>
            </w:pPr>
            <w:r w:rsidRPr="00361EB7">
              <w:rPr>
                <w:rFonts w:eastAsia="Times New Roman" w:cs="Arial"/>
                <w:szCs w:val="18"/>
                <w:lang w:eastAsia="en-AU"/>
              </w:rPr>
              <w:t>Assess and make decisions in accordance with l</w:t>
            </w:r>
            <w:r w:rsidR="003C209D" w:rsidRPr="00361EB7">
              <w:rPr>
                <w:rFonts w:eastAsia="Times New Roman" w:cs="Arial"/>
                <w:szCs w:val="18"/>
                <w:lang w:eastAsia="en-AU"/>
              </w:rPr>
              <w:t>e</w:t>
            </w:r>
            <w:r w:rsidR="000D6597" w:rsidRPr="00361EB7">
              <w:rPr>
                <w:rFonts w:eastAsia="Times New Roman" w:cs="Arial"/>
                <w:szCs w:val="18"/>
                <w:lang w:eastAsia="en-AU"/>
              </w:rPr>
              <w:t>gislated criteria</w:t>
            </w:r>
          </w:p>
        </w:tc>
        <w:tc>
          <w:tcPr>
            <w:tcW w:w="1065" w:type="pct"/>
            <w:tcBorders>
              <w:top w:val="single" w:sz="4" w:space="0" w:color="BFBFBF" w:themeColor="background1" w:themeShade="BF"/>
              <w:bottom w:val="single" w:sz="4" w:space="0" w:color="BFBFBF" w:themeColor="background1" w:themeShade="BF"/>
            </w:tcBorders>
            <w:shd w:val="clear" w:color="auto" w:fill="auto"/>
            <w:tcMar>
              <w:top w:w="15" w:type="dxa"/>
              <w:left w:w="15" w:type="dxa"/>
              <w:bottom w:w="0" w:type="dxa"/>
              <w:right w:w="15" w:type="dxa"/>
            </w:tcMar>
          </w:tcPr>
          <w:p w14:paraId="54FADAAC" w14:textId="71BD3568" w:rsidR="00E175D6" w:rsidRPr="00361EB7" w:rsidRDefault="000D6597" w:rsidP="00C44305">
            <w:pPr>
              <w:pStyle w:val="BodyCopyNEW"/>
              <w:ind w:left="172"/>
              <w:rPr>
                <w:rFonts w:eastAsia="Times New Roman" w:cs="Arial"/>
                <w:b/>
                <w:szCs w:val="18"/>
                <w:lang w:eastAsia="en-AU"/>
              </w:rPr>
            </w:pPr>
            <w:r w:rsidRPr="00361EB7">
              <w:rPr>
                <w:rFonts w:eastAsia="Times New Roman" w:cs="Arial"/>
                <w:b/>
                <w:szCs w:val="18"/>
                <w:lang w:eastAsia="en-AU"/>
              </w:rPr>
              <w:t>63.2%</w:t>
            </w:r>
          </w:p>
        </w:tc>
        <w:tc>
          <w:tcPr>
            <w:tcW w:w="845"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hideMark/>
          </w:tcPr>
          <w:p w14:paraId="36A3D792" w14:textId="5764EF03" w:rsidR="00E175D6" w:rsidRPr="00361EB7" w:rsidRDefault="00B2795D" w:rsidP="00C44305">
            <w:pPr>
              <w:pStyle w:val="BodyCopyNEW"/>
              <w:rPr>
                <w:rFonts w:eastAsia="Times New Roman" w:cs="Arial"/>
                <w:b/>
                <w:szCs w:val="18"/>
                <w:lang w:eastAsia="en-AU"/>
              </w:rPr>
            </w:pPr>
            <w:r w:rsidRPr="00361EB7">
              <w:rPr>
                <w:rFonts w:eastAsia="Wingdings 2" w:cs="Wingdings 2"/>
                <w:b/>
                <w:szCs w:val="18"/>
                <w:lang w:eastAsia="en-AU"/>
              </w:rPr>
              <w:t>Yes</w:t>
            </w:r>
          </w:p>
        </w:tc>
      </w:tr>
      <w:tr w:rsidR="00E175D6" w:rsidRPr="00AF0AF7" w14:paraId="14DAEB4C" w14:textId="77777777" w:rsidTr="00356576">
        <w:trPr>
          <w:trHeight w:val="562"/>
        </w:trPr>
        <w:tc>
          <w:tcPr>
            <w:tcW w:w="3090"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60E9EB63" w14:textId="07E8B779" w:rsidR="00E175D6" w:rsidRPr="00361EB7" w:rsidRDefault="00B96A5B" w:rsidP="00C44305">
            <w:pPr>
              <w:pStyle w:val="BodyCopyNEW"/>
              <w:rPr>
                <w:rFonts w:eastAsia="Times New Roman" w:cs="Arial"/>
                <w:szCs w:val="18"/>
                <w:lang w:eastAsia="en-AU"/>
              </w:rPr>
            </w:pPr>
            <w:r w:rsidRPr="00361EB7">
              <w:rPr>
                <w:rFonts w:eastAsia="Times New Roman" w:cs="Arial"/>
                <w:szCs w:val="18"/>
                <w:lang w:eastAsia="en-AU"/>
              </w:rPr>
              <w:t xml:space="preserve">Provide recommendations to the </w:t>
            </w:r>
            <w:r w:rsidR="003218A9" w:rsidRPr="00361EB7">
              <w:rPr>
                <w:rFonts w:eastAsia="Times New Roman" w:cs="Arial"/>
                <w:szCs w:val="18"/>
                <w:lang w:eastAsia="en-AU"/>
              </w:rPr>
              <w:t>responsible Commonwealth minister and each state and Northern Territory minister as appropriate</w:t>
            </w:r>
          </w:p>
        </w:tc>
        <w:tc>
          <w:tcPr>
            <w:tcW w:w="1065" w:type="pct"/>
            <w:tcBorders>
              <w:top w:val="single" w:sz="4" w:space="0" w:color="BFBFBF" w:themeColor="background1" w:themeShade="BF"/>
              <w:bottom w:val="single" w:sz="4" w:space="0" w:color="BFBFBF" w:themeColor="background1" w:themeShade="BF"/>
            </w:tcBorders>
            <w:shd w:val="clear" w:color="auto" w:fill="auto"/>
            <w:tcMar>
              <w:top w:w="15" w:type="dxa"/>
              <w:left w:w="15" w:type="dxa"/>
              <w:bottom w:w="0" w:type="dxa"/>
              <w:right w:w="15" w:type="dxa"/>
            </w:tcMar>
          </w:tcPr>
          <w:p w14:paraId="08F81D6B" w14:textId="79FA06ED" w:rsidR="00E175D6" w:rsidRPr="00361EB7" w:rsidRDefault="003218A9" w:rsidP="00C44305">
            <w:pPr>
              <w:pStyle w:val="BodyCopyNEW"/>
              <w:ind w:left="172"/>
              <w:rPr>
                <w:rFonts w:eastAsia="Times New Roman" w:cs="Arial"/>
                <w:b/>
                <w:szCs w:val="18"/>
                <w:lang w:eastAsia="en-AU"/>
              </w:rPr>
            </w:pPr>
            <w:r w:rsidRPr="00361EB7">
              <w:rPr>
                <w:rFonts w:eastAsia="Times New Roman" w:cs="Arial"/>
                <w:b/>
                <w:szCs w:val="18"/>
                <w:lang w:eastAsia="en-AU"/>
              </w:rPr>
              <w:t>59.6%</w:t>
            </w:r>
          </w:p>
        </w:tc>
        <w:tc>
          <w:tcPr>
            <w:tcW w:w="845"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hideMark/>
          </w:tcPr>
          <w:p w14:paraId="318D4D4A" w14:textId="5C27FD52" w:rsidR="00E175D6" w:rsidRPr="00361EB7" w:rsidRDefault="00B2795D" w:rsidP="00C44305">
            <w:pPr>
              <w:pStyle w:val="BodyCopyNEW"/>
              <w:rPr>
                <w:rFonts w:eastAsia="Times New Roman" w:cs="Arial"/>
                <w:b/>
                <w:szCs w:val="18"/>
                <w:lang w:eastAsia="en-AU"/>
              </w:rPr>
            </w:pPr>
            <w:r w:rsidRPr="00361EB7">
              <w:rPr>
                <w:rFonts w:eastAsia="Wingdings 2" w:cs="Wingdings 2"/>
                <w:b/>
                <w:szCs w:val="18"/>
                <w:lang w:eastAsia="en-AU"/>
              </w:rPr>
              <w:t>Yes</w:t>
            </w:r>
          </w:p>
        </w:tc>
      </w:tr>
      <w:tr w:rsidR="00E175D6" w:rsidRPr="00AF0AF7" w14:paraId="31E8387C" w14:textId="77777777" w:rsidTr="00356576">
        <w:trPr>
          <w:trHeight w:val="562"/>
        </w:trPr>
        <w:tc>
          <w:tcPr>
            <w:tcW w:w="3090"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2D818D2A" w14:textId="779BFD36" w:rsidR="00E175D6" w:rsidRPr="00361EB7" w:rsidRDefault="003218A9" w:rsidP="00C44305">
            <w:pPr>
              <w:pStyle w:val="BodyCopyNEW"/>
              <w:rPr>
                <w:rFonts w:eastAsia="Times New Roman" w:cs="Arial"/>
                <w:szCs w:val="18"/>
                <w:lang w:eastAsia="en-AU"/>
              </w:rPr>
            </w:pPr>
            <w:r w:rsidRPr="00361EB7">
              <w:rPr>
                <w:rFonts w:eastAsia="Times New Roman" w:cs="Arial"/>
                <w:szCs w:val="18"/>
                <w:lang w:eastAsia="en-AU"/>
              </w:rPr>
              <w:t xml:space="preserve">Develop and maintain government-related policies on offshore safety and </w:t>
            </w:r>
            <w:r w:rsidR="001723A8" w:rsidRPr="00361EB7">
              <w:rPr>
                <w:rFonts w:eastAsia="Times New Roman" w:cs="Arial"/>
                <w:szCs w:val="18"/>
                <w:lang w:eastAsia="en-AU"/>
              </w:rPr>
              <w:t>environmental management</w:t>
            </w:r>
          </w:p>
        </w:tc>
        <w:tc>
          <w:tcPr>
            <w:tcW w:w="1065" w:type="pct"/>
            <w:tcBorders>
              <w:top w:val="single" w:sz="4" w:space="0" w:color="BFBFBF" w:themeColor="background1" w:themeShade="BF"/>
              <w:bottom w:val="single" w:sz="4" w:space="0" w:color="BFBFBF" w:themeColor="background1" w:themeShade="BF"/>
            </w:tcBorders>
            <w:shd w:val="clear" w:color="auto" w:fill="auto"/>
            <w:tcMar>
              <w:top w:w="15" w:type="dxa"/>
              <w:left w:w="15" w:type="dxa"/>
              <w:bottom w:w="0" w:type="dxa"/>
              <w:right w:w="15" w:type="dxa"/>
            </w:tcMar>
          </w:tcPr>
          <w:p w14:paraId="5E1153D5" w14:textId="6ABD6D51" w:rsidR="00E175D6" w:rsidRPr="00361EB7" w:rsidRDefault="003218A9" w:rsidP="00C44305">
            <w:pPr>
              <w:pStyle w:val="BodyCopyNEW"/>
              <w:ind w:left="172"/>
              <w:rPr>
                <w:rFonts w:eastAsia="Times New Roman" w:cs="Arial"/>
                <w:b/>
                <w:szCs w:val="18"/>
                <w:lang w:eastAsia="en-AU"/>
              </w:rPr>
            </w:pPr>
            <w:r w:rsidRPr="00361EB7">
              <w:rPr>
                <w:rFonts w:eastAsia="Times New Roman" w:cs="Arial"/>
                <w:b/>
                <w:szCs w:val="18"/>
                <w:lang w:eastAsia="en-AU"/>
              </w:rPr>
              <w:t>43.9%</w:t>
            </w:r>
          </w:p>
        </w:tc>
        <w:tc>
          <w:tcPr>
            <w:tcW w:w="845"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hideMark/>
          </w:tcPr>
          <w:p w14:paraId="59C9E878" w14:textId="54B0292C" w:rsidR="00E175D6" w:rsidRPr="00361EB7" w:rsidRDefault="00B2795D" w:rsidP="00C44305">
            <w:pPr>
              <w:pStyle w:val="BodyCopyNEW"/>
              <w:rPr>
                <w:rFonts w:eastAsia="Times New Roman" w:cs="Arial"/>
                <w:b/>
                <w:szCs w:val="18"/>
                <w:lang w:eastAsia="en-AU"/>
              </w:rPr>
            </w:pPr>
            <w:r w:rsidRPr="00361EB7">
              <w:rPr>
                <w:rFonts w:eastAsia="Wingdings 2" w:cs="Wingdings 2"/>
                <w:b/>
                <w:szCs w:val="18"/>
                <w:lang w:eastAsia="en-AU"/>
              </w:rPr>
              <w:t>No</w:t>
            </w:r>
          </w:p>
        </w:tc>
      </w:tr>
      <w:tr w:rsidR="00E175D6" w:rsidRPr="00AF0AF7" w14:paraId="3171FC53" w14:textId="77777777" w:rsidTr="00356576">
        <w:trPr>
          <w:trHeight w:val="409"/>
        </w:trPr>
        <w:tc>
          <w:tcPr>
            <w:tcW w:w="3090"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tcPr>
          <w:p w14:paraId="4F8311FE" w14:textId="1B6521FC" w:rsidR="00E175D6" w:rsidRPr="00361EB7" w:rsidRDefault="003218A9" w:rsidP="00C44305">
            <w:pPr>
              <w:pStyle w:val="BodyCopyNEW"/>
              <w:rPr>
                <w:rFonts w:eastAsia="Times New Roman" w:cs="Arial"/>
                <w:szCs w:val="18"/>
                <w:lang w:eastAsia="en-AU"/>
              </w:rPr>
            </w:pPr>
            <w:r w:rsidRPr="00361EB7">
              <w:rPr>
                <w:rFonts w:eastAsia="Times New Roman" w:cs="Arial"/>
                <w:szCs w:val="18"/>
                <w:lang w:eastAsia="en-AU"/>
              </w:rPr>
              <w:t>Developing and maintaining legislation</w:t>
            </w:r>
            <w:r w:rsidR="007F607F" w:rsidRPr="00361EB7">
              <w:rPr>
                <w:rFonts w:eastAsia="Times New Roman" w:cs="Arial"/>
                <w:szCs w:val="18"/>
                <w:lang w:eastAsia="en-AU"/>
              </w:rPr>
              <w:t xml:space="preserve"> and regulations relating to the offshore petroleum industry</w:t>
            </w:r>
          </w:p>
        </w:tc>
        <w:tc>
          <w:tcPr>
            <w:tcW w:w="1065" w:type="pct"/>
            <w:tcBorders>
              <w:top w:val="single" w:sz="4" w:space="0" w:color="BFBFBF" w:themeColor="background1" w:themeShade="BF"/>
              <w:bottom w:val="single" w:sz="4" w:space="0" w:color="BFBFBF" w:themeColor="background1" w:themeShade="BF"/>
            </w:tcBorders>
            <w:shd w:val="clear" w:color="auto" w:fill="auto"/>
            <w:tcMar>
              <w:top w:w="15" w:type="dxa"/>
              <w:left w:w="15" w:type="dxa"/>
              <w:bottom w:w="0" w:type="dxa"/>
              <w:right w:w="15" w:type="dxa"/>
            </w:tcMar>
          </w:tcPr>
          <w:p w14:paraId="72560FD7" w14:textId="019618F7" w:rsidR="00E175D6" w:rsidRPr="00361EB7" w:rsidRDefault="003218A9" w:rsidP="00C44305">
            <w:pPr>
              <w:pStyle w:val="BodyCopyNEW"/>
              <w:ind w:left="172"/>
              <w:rPr>
                <w:rFonts w:eastAsia="Times New Roman" w:cs="Arial"/>
                <w:b/>
                <w:szCs w:val="18"/>
                <w:lang w:eastAsia="en-AU"/>
              </w:rPr>
            </w:pPr>
            <w:r w:rsidRPr="00361EB7">
              <w:rPr>
                <w:rFonts w:eastAsia="Times New Roman" w:cs="Arial"/>
                <w:b/>
                <w:szCs w:val="18"/>
                <w:lang w:eastAsia="en-AU"/>
              </w:rPr>
              <w:t>28.1%</w:t>
            </w:r>
          </w:p>
        </w:tc>
        <w:tc>
          <w:tcPr>
            <w:tcW w:w="845" w:type="pct"/>
            <w:tcBorders>
              <w:top w:val="single" w:sz="4" w:space="0" w:color="BFBFBF" w:themeColor="background1" w:themeShade="BF"/>
              <w:bottom w:val="single" w:sz="4" w:space="0" w:color="BFBFBF" w:themeColor="background1" w:themeShade="BF"/>
            </w:tcBorders>
            <w:shd w:val="clear" w:color="auto" w:fill="auto"/>
            <w:tcMar>
              <w:top w:w="72" w:type="dxa"/>
              <w:left w:w="144" w:type="dxa"/>
              <w:bottom w:w="72" w:type="dxa"/>
              <w:right w:w="144" w:type="dxa"/>
            </w:tcMar>
            <w:hideMark/>
          </w:tcPr>
          <w:p w14:paraId="6AAAB1C0" w14:textId="55E7D6CF" w:rsidR="00E175D6" w:rsidRPr="00361EB7" w:rsidRDefault="00B2795D" w:rsidP="00C44305">
            <w:pPr>
              <w:pStyle w:val="BodyCopyNEW"/>
              <w:rPr>
                <w:rFonts w:eastAsia="Times New Roman" w:cs="Arial"/>
                <w:b/>
                <w:szCs w:val="18"/>
                <w:lang w:eastAsia="en-AU"/>
              </w:rPr>
            </w:pPr>
            <w:r w:rsidRPr="00361EB7">
              <w:rPr>
                <w:rFonts w:eastAsia="Wingdings 2" w:cs="Wingdings 2"/>
                <w:b/>
                <w:szCs w:val="18"/>
                <w:lang w:eastAsia="en-AU"/>
              </w:rPr>
              <w:t>No</w:t>
            </w:r>
          </w:p>
        </w:tc>
      </w:tr>
    </w:tbl>
    <w:p w14:paraId="5FB47E34" w14:textId="77777777" w:rsidR="00325336" w:rsidRPr="00901C7B" w:rsidRDefault="00325336" w:rsidP="00A067D9">
      <w:pPr>
        <w:pStyle w:val="Caption"/>
        <w:rPr>
          <w:b w:val="0"/>
          <w:bCs/>
          <w:i/>
          <w:iCs w:val="0"/>
          <w:color w:val="75787B" w:themeColor="accent6"/>
        </w:rPr>
      </w:pPr>
      <w:r w:rsidRPr="00901C7B">
        <w:rPr>
          <w:b w:val="0"/>
          <w:bCs/>
          <w:i/>
          <w:iCs w:val="0"/>
          <w:color w:val="75787B" w:themeColor="accent6"/>
        </w:rPr>
        <w:t>Source: Deloitte Stakeholder Survey, Deloitte analysis</w:t>
      </w:r>
    </w:p>
    <w:p w14:paraId="686F6E5C" w14:textId="7A76F91D" w:rsidR="004627C9" w:rsidRPr="00777C5D" w:rsidRDefault="006B1708" w:rsidP="00052FC6">
      <w:pPr>
        <w:pStyle w:val="BodyCopyNEW"/>
        <w:rPr>
          <w:szCs w:val="18"/>
        </w:rPr>
      </w:pPr>
      <w:r>
        <w:rPr>
          <w:szCs w:val="18"/>
        </w:rPr>
        <w:t>Based on our examination, NOPSEMA has taken an active</w:t>
      </w:r>
      <w:r w:rsidR="00D154A2" w:rsidRPr="00073514">
        <w:rPr>
          <w:szCs w:val="18"/>
        </w:rPr>
        <w:t xml:space="preserve"> to ensure</w:t>
      </w:r>
      <w:r w:rsidR="004627C9" w:rsidRPr="00611BAA">
        <w:rPr>
          <w:szCs w:val="18"/>
        </w:rPr>
        <w:t xml:space="preserve"> it is transparent and </w:t>
      </w:r>
      <w:r w:rsidR="004627C9" w:rsidRPr="00946300">
        <w:rPr>
          <w:szCs w:val="18"/>
        </w:rPr>
        <w:t xml:space="preserve">engages with industry in a proactive manner, we </w:t>
      </w:r>
      <w:r w:rsidR="00C26692">
        <w:rPr>
          <w:szCs w:val="18"/>
        </w:rPr>
        <w:t>see</w:t>
      </w:r>
      <w:r w:rsidR="004627C9" w:rsidRPr="00946300">
        <w:rPr>
          <w:szCs w:val="18"/>
        </w:rPr>
        <w:t xml:space="preserve"> there is work </w:t>
      </w:r>
      <w:r w:rsidR="00C26692">
        <w:rPr>
          <w:szCs w:val="18"/>
        </w:rPr>
        <w:t>required</w:t>
      </w:r>
      <w:r w:rsidR="00C26692" w:rsidRPr="00946300">
        <w:rPr>
          <w:szCs w:val="18"/>
        </w:rPr>
        <w:t xml:space="preserve"> </w:t>
      </w:r>
      <w:r w:rsidR="004627C9" w:rsidRPr="00946300">
        <w:rPr>
          <w:szCs w:val="18"/>
        </w:rPr>
        <w:t xml:space="preserve">to address a lack of understanding as to the role NOPSEMA </w:t>
      </w:r>
      <w:r w:rsidR="00D154A2" w:rsidRPr="00392AAF">
        <w:rPr>
          <w:szCs w:val="18"/>
        </w:rPr>
        <w:t xml:space="preserve">actually </w:t>
      </w:r>
      <w:r w:rsidR="004627C9" w:rsidRPr="00F57169">
        <w:rPr>
          <w:szCs w:val="18"/>
        </w:rPr>
        <w:t xml:space="preserve">plays </w:t>
      </w:r>
      <w:r w:rsidR="00D154A2" w:rsidRPr="001C1F93">
        <w:rPr>
          <w:szCs w:val="18"/>
        </w:rPr>
        <w:t>(and just as important, it does not play)</w:t>
      </w:r>
      <w:r w:rsidR="004627C9" w:rsidRPr="00911F0E">
        <w:rPr>
          <w:szCs w:val="18"/>
        </w:rPr>
        <w:t xml:space="preserve"> in the regulation of the offshore industry. </w:t>
      </w:r>
      <w:r w:rsidR="002B48EE" w:rsidRPr="00372FB6">
        <w:rPr>
          <w:szCs w:val="18"/>
        </w:rPr>
        <w:t>It is important t</w:t>
      </w:r>
      <w:r w:rsidR="002B48EE" w:rsidRPr="004602AD">
        <w:rPr>
          <w:szCs w:val="18"/>
        </w:rPr>
        <w:t xml:space="preserve">hat these communication messages are consistent with and reinforce other </w:t>
      </w:r>
      <w:r w:rsidR="00F33997" w:rsidRPr="00C81CBA">
        <w:rPr>
          <w:szCs w:val="18"/>
        </w:rPr>
        <w:t xml:space="preserve">communications by </w:t>
      </w:r>
      <w:r w:rsidR="00033BFE" w:rsidRPr="00953CA5">
        <w:rPr>
          <w:szCs w:val="18"/>
        </w:rPr>
        <w:t>the administrative (NOPTA) and policy (DISER Offshore Resources) arms</w:t>
      </w:r>
      <w:r w:rsidR="00033BFE" w:rsidRPr="00171DEA">
        <w:rPr>
          <w:szCs w:val="18"/>
        </w:rPr>
        <w:t xml:space="preserve"> of the offshore legislative framework</w:t>
      </w:r>
      <w:r w:rsidR="00F15272" w:rsidRPr="00171DEA">
        <w:rPr>
          <w:szCs w:val="18"/>
        </w:rPr>
        <w:t>.</w:t>
      </w:r>
    </w:p>
    <w:p w14:paraId="2C14BDA5" w14:textId="585D8697" w:rsidR="00033BFE" w:rsidRPr="001C1F93" w:rsidRDefault="00C26692" w:rsidP="00033BFE">
      <w:pPr>
        <w:spacing w:after="120" w:line="240" w:lineRule="auto"/>
        <w:rPr>
          <w:sz w:val="16"/>
          <w:szCs w:val="16"/>
        </w:rPr>
      </w:pPr>
      <w:r>
        <w:rPr>
          <w:rFonts w:ascii="Calibri Light" w:hAnsi="Calibri Light" w:cs="Calibri Light"/>
        </w:rPr>
        <w:t>Based on our examination</w:t>
      </w:r>
      <w:r w:rsidR="00E42493">
        <w:rPr>
          <w:rFonts w:ascii="Calibri Light" w:hAnsi="Calibri Light" w:cs="Calibri Light"/>
        </w:rPr>
        <w:t xml:space="preserve"> of information on the NOPSEMA, DISER, and NOPTA websites</w:t>
      </w:r>
      <w:r>
        <w:rPr>
          <w:rFonts w:ascii="Calibri Light" w:hAnsi="Calibri Light" w:cs="Calibri Light"/>
        </w:rPr>
        <w:t>, t</w:t>
      </w:r>
      <w:r w:rsidR="00033BFE" w:rsidRPr="001C1F93">
        <w:rPr>
          <w:rFonts w:ascii="Calibri Light" w:hAnsi="Calibri Light" w:cs="Calibri Light"/>
        </w:rPr>
        <w:t xml:space="preserve">here </w:t>
      </w:r>
      <w:r>
        <w:rPr>
          <w:rFonts w:ascii="Calibri Light" w:hAnsi="Calibri Light" w:cs="Calibri Light"/>
        </w:rPr>
        <w:t xml:space="preserve">appears to be </w:t>
      </w:r>
      <w:r w:rsidR="00033BFE" w:rsidRPr="001C1F93">
        <w:rPr>
          <w:rFonts w:ascii="Calibri Light" w:hAnsi="Calibri Light" w:cs="Calibri Light"/>
        </w:rPr>
        <w:t>a lack of publicly available information to guide stakeholder understanding of NOPSEMA’s role in the broader offshore legislative framework and how it intersects with the policy development, decision-making, and administrative arms of the regime. We note this finding is not isolated to NOPSEMA – we found a similar finding across all arms of the offshore legislative framework – and the Government should seek to address gaps in understanding across the regime to ensure clear and achievable expectations are set.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09726C" w:rsidRPr="00733441" w14:paraId="78FC46C7" w14:textId="77777777" w:rsidTr="00BC3859">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4A45F607" w14:textId="77777777" w:rsidR="0009726C" w:rsidRPr="003E00E4" w:rsidRDefault="0009726C" w:rsidP="00BC3859">
            <w:pPr>
              <w:pStyle w:val="TableHeadingLeft"/>
            </w:pPr>
            <w:r w:rsidRPr="003E00E4">
              <w:t>Recommendation #1</w:t>
            </w:r>
          </w:p>
        </w:tc>
      </w:tr>
      <w:tr w:rsidR="00E950D6" w:rsidRPr="00777E58" w14:paraId="4A4DD478" w14:textId="77777777" w:rsidTr="00BC3859">
        <w:tc>
          <w:tcPr>
            <w:tcW w:w="9864" w:type="dxa"/>
            <w:tcBorders>
              <w:bottom w:val="nil"/>
            </w:tcBorders>
            <w:shd w:val="clear" w:color="auto" w:fill="F2F2F2" w:themeFill="background1" w:themeFillShade="F2"/>
          </w:tcPr>
          <w:p w14:paraId="01343124" w14:textId="5A914927" w:rsidR="00E950D6" w:rsidRPr="00777E58" w:rsidRDefault="00E950D6" w:rsidP="00E950D6">
            <w:pPr>
              <w:pStyle w:val="BodyCopyNEW"/>
            </w:pPr>
            <w:r w:rsidRPr="00777E58">
              <w:rPr>
                <w:szCs w:val="18"/>
              </w:rPr>
              <w:t>The Government should engage with industry and adjacent stakeholders to develop a clear and common understanding among these groups of the various roles, powers, and functions of the administrative, regulatory, policy, and decision-making facets of the offshore legislative framework.</w:t>
            </w:r>
          </w:p>
        </w:tc>
      </w:tr>
    </w:tbl>
    <w:p w14:paraId="66B4CB52" w14:textId="00C4B9DC" w:rsidR="00033BFE" w:rsidRPr="001C1F93" w:rsidRDefault="00A875E1" w:rsidP="00033BFE">
      <w:pPr>
        <w:spacing w:before="120" w:after="120"/>
        <w:rPr>
          <w:rFonts w:ascii="Calibri Light" w:hAnsi="Calibri Light" w:cs="Calibri Light"/>
        </w:rPr>
      </w:pPr>
      <w:r>
        <w:rPr>
          <w:rFonts w:ascii="Calibri Light" w:hAnsi="Calibri Light" w:cs="Calibri Light"/>
        </w:rPr>
        <w:t>Through i</w:t>
      </w:r>
      <w:r w:rsidR="00033BFE" w:rsidRPr="001C1F93">
        <w:rPr>
          <w:rFonts w:ascii="Calibri Light" w:hAnsi="Calibri Light" w:cs="Calibri Light"/>
        </w:rPr>
        <w:t>mplementing this recommendation, the Government could develop and disseminate information that clarifies what NOP</w:t>
      </w:r>
      <w:r w:rsidR="0009726C" w:rsidRPr="001C1F93">
        <w:rPr>
          <w:rFonts w:ascii="Calibri Light" w:hAnsi="Calibri Light" w:cs="Calibri Light"/>
        </w:rPr>
        <w:t>SEM</w:t>
      </w:r>
      <w:r w:rsidR="00033BFE" w:rsidRPr="001C1F93">
        <w:rPr>
          <w:rFonts w:ascii="Calibri Light" w:hAnsi="Calibri Light" w:cs="Calibri Light"/>
        </w:rPr>
        <w:t>A does not do (e.g. development of policy)</w:t>
      </w:r>
      <w:r>
        <w:rPr>
          <w:rFonts w:ascii="Calibri Light" w:hAnsi="Calibri Light" w:cs="Calibri Light"/>
        </w:rPr>
        <w:t>, which is as important as what it does do</w:t>
      </w:r>
      <w:r w:rsidR="00033BFE" w:rsidRPr="001C1F93">
        <w:rPr>
          <w:rFonts w:ascii="Calibri Light" w:hAnsi="Calibri Light" w:cs="Calibri Light"/>
        </w:rPr>
        <w:t>. Some factors to consider include:</w:t>
      </w:r>
    </w:p>
    <w:p w14:paraId="40E8EE8B" w14:textId="0647603D" w:rsidR="00033BFE" w:rsidRPr="001C1F93" w:rsidRDefault="00033BFE" w:rsidP="000C1F53">
      <w:pPr>
        <w:pStyle w:val="BodycopyNEW0"/>
        <w:numPr>
          <w:ilvl w:val="0"/>
          <w:numId w:val="23"/>
        </w:numPr>
        <w:ind w:left="378"/>
        <w:rPr>
          <w:rFonts w:cs="Calibri Light"/>
        </w:rPr>
      </w:pPr>
      <w:r w:rsidRPr="001C1F93">
        <w:rPr>
          <w:rFonts w:cs="Calibri Light"/>
        </w:rPr>
        <w:t>The role NOP</w:t>
      </w:r>
      <w:r w:rsidR="0009726C" w:rsidRPr="001C1F93">
        <w:rPr>
          <w:rFonts w:cs="Calibri Light"/>
        </w:rPr>
        <w:t>SEM</w:t>
      </w:r>
      <w:r w:rsidRPr="001C1F93">
        <w:rPr>
          <w:rFonts w:cs="Calibri Light"/>
        </w:rPr>
        <w:t>A plays in policy decisions</w:t>
      </w:r>
    </w:p>
    <w:p w14:paraId="43141799" w14:textId="7C6A505C" w:rsidR="00033BFE" w:rsidRPr="001C1F93" w:rsidRDefault="00033BFE" w:rsidP="000C1F53">
      <w:pPr>
        <w:pStyle w:val="BodycopyNEW0"/>
        <w:numPr>
          <w:ilvl w:val="0"/>
          <w:numId w:val="23"/>
        </w:numPr>
        <w:ind w:left="378"/>
        <w:rPr>
          <w:rFonts w:cs="Calibri Light"/>
        </w:rPr>
      </w:pPr>
      <w:r w:rsidRPr="001C1F93">
        <w:rPr>
          <w:rFonts w:cs="Calibri Light"/>
        </w:rPr>
        <w:t>The role NOP</w:t>
      </w:r>
      <w:r w:rsidR="0009726C" w:rsidRPr="001C1F93">
        <w:rPr>
          <w:rFonts w:cs="Calibri Light"/>
        </w:rPr>
        <w:t>SEM</w:t>
      </w:r>
      <w:r w:rsidRPr="001C1F93">
        <w:rPr>
          <w:rFonts w:cs="Calibri Light"/>
        </w:rPr>
        <w:t>A plays in acreage release and titles administration</w:t>
      </w:r>
    </w:p>
    <w:p w14:paraId="74DA1EE6" w14:textId="6CFF110E" w:rsidR="001E6822" w:rsidRPr="001C1F93" w:rsidRDefault="001E6822" w:rsidP="000C1F53">
      <w:pPr>
        <w:pStyle w:val="BodycopyNEW0"/>
        <w:numPr>
          <w:ilvl w:val="0"/>
          <w:numId w:val="23"/>
        </w:numPr>
        <w:ind w:left="378"/>
        <w:rPr>
          <w:rFonts w:cs="Calibri Light"/>
        </w:rPr>
      </w:pPr>
      <w:r w:rsidRPr="001C1F93">
        <w:rPr>
          <w:rFonts w:cs="Calibri Light"/>
        </w:rPr>
        <w:t xml:space="preserve">How overlapping </w:t>
      </w:r>
      <w:r w:rsidR="00A80FCC">
        <w:rPr>
          <w:rFonts w:cs="Calibri Light"/>
        </w:rPr>
        <w:t>powers</w:t>
      </w:r>
      <w:r w:rsidRPr="001C1F93">
        <w:rPr>
          <w:rFonts w:cs="Calibri Light"/>
        </w:rPr>
        <w:t xml:space="preserve"> with </w:t>
      </w:r>
      <w:r w:rsidR="00033BFE" w:rsidRPr="001C1F93">
        <w:rPr>
          <w:rFonts w:cs="Calibri Light"/>
        </w:rPr>
        <w:t xml:space="preserve">the </w:t>
      </w:r>
      <w:r w:rsidR="004A1E0F" w:rsidRPr="001C1F93">
        <w:rPr>
          <w:rFonts w:cs="Calibri Light"/>
        </w:rPr>
        <w:t>administrative</w:t>
      </w:r>
      <w:r w:rsidR="00033BFE" w:rsidRPr="001C1F93">
        <w:rPr>
          <w:rFonts w:cs="Calibri Light"/>
        </w:rPr>
        <w:t xml:space="preserve"> and policy</w:t>
      </w:r>
      <w:r w:rsidRPr="001C1F93">
        <w:rPr>
          <w:rFonts w:cs="Calibri Light"/>
        </w:rPr>
        <w:t xml:space="preserve"> bodies (e.g. </w:t>
      </w:r>
      <w:r w:rsidR="00033BFE" w:rsidRPr="001C1F93">
        <w:rPr>
          <w:rFonts w:cs="Calibri Light"/>
        </w:rPr>
        <w:t>DISER and</w:t>
      </w:r>
      <w:r w:rsidRPr="001C1F93">
        <w:rPr>
          <w:rFonts w:cs="Calibri Light"/>
        </w:rPr>
        <w:t xml:space="preserve"> NOPTA) </w:t>
      </w:r>
      <w:r w:rsidR="00033BFE" w:rsidRPr="001C1F93">
        <w:rPr>
          <w:rFonts w:cs="Calibri Light"/>
        </w:rPr>
        <w:t>work</w:t>
      </w:r>
      <w:r w:rsidRPr="001C1F93">
        <w:rPr>
          <w:rFonts w:cs="Calibri Light"/>
        </w:rPr>
        <w:t xml:space="preserve"> and who is responsible for what</w:t>
      </w:r>
    </w:p>
    <w:p w14:paraId="6EE040FB" w14:textId="4DD0D222" w:rsidR="001E6822" w:rsidRPr="001C1F93" w:rsidRDefault="001E6822" w:rsidP="000C1F53">
      <w:pPr>
        <w:pStyle w:val="BodycopyNEW0"/>
        <w:numPr>
          <w:ilvl w:val="0"/>
          <w:numId w:val="23"/>
        </w:numPr>
        <w:ind w:left="378"/>
        <w:rPr>
          <w:rFonts w:cs="Calibri Light"/>
        </w:rPr>
      </w:pPr>
      <w:r w:rsidRPr="001C1F93">
        <w:rPr>
          <w:rFonts w:cs="Calibri Light"/>
        </w:rPr>
        <w:t>How the various parties and stakeholders in industry work together to achieve desired and planned outcomes.</w:t>
      </w:r>
    </w:p>
    <w:p w14:paraId="67B54E24" w14:textId="0897422D" w:rsidR="0078642E" w:rsidRPr="001844BA" w:rsidRDefault="001844BA" w:rsidP="00AE2D6E">
      <w:pPr>
        <w:pStyle w:val="Heading2"/>
        <w:numPr>
          <w:ilvl w:val="1"/>
          <w:numId w:val="1"/>
        </w:numPr>
      </w:pPr>
      <w:bookmarkStart w:id="34" w:name="_Ref58592683"/>
      <w:r w:rsidRPr="001844BA">
        <w:lastRenderedPageBreak/>
        <w:t>What is performance for a regulator?</w:t>
      </w:r>
      <w:bookmarkEnd w:id="34"/>
    </w:p>
    <w:p w14:paraId="6FA2DD3D" w14:textId="77777777" w:rsidR="006727CB" w:rsidRPr="00611BAA" w:rsidRDefault="006727CB" w:rsidP="00F764AA">
      <w:pPr>
        <w:pStyle w:val="BodyCopyNEW"/>
        <w:rPr>
          <w:szCs w:val="18"/>
        </w:rPr>
      </w:pPr>
      <w:r w:rsidRPr="00096BC3">
        <w:rPr>
          <w:szCs w:val="18"/>
        </w:rPr>
        <w:t xml:space="preserve">Performance for a regulator is arguably a simple one – has it </w:t>
      </w:r>
      <w:r w:rsidRPr="00073514">
        <w:rPr>
          <w:szCs w:val="18"/>
        </w:rPr>
        <w:t>successfully delivered the policy objectives and regulatory outcomes sought? While overly simplistic, it can be a good high-level measure, but it is hard to quantify.</w:t>
      </w:r>
    </w:p>
    <w:p w14:paraId="0EA1CC47" w14:textId="14979460" w:rsidR="006727CB" w:rsidRPr="00953CA5" w:rsidRDefault="006727CB" w:rsidP="00F764AA">
      <w:pPr>
        <w:pStyle w:val="BodyCopyNEW"/>
        <w:rPr>
          <w:szCs w:val="18"/>
        </w:rPr>
      </w:pPr>
      <w:r w:rsidRPr="00946300">
        <w:rPr>
          <w:szCs w:val="18"/>
        </w:rPr>
        <w:t xml:space="preserve">For NOPSEMA, the above simplistic </w:t>
      </w:r>
      <w:r w:rsidR="00222C0A" w:rsidRPr="00392AAF">
        <w:rPr>
          <w:szCs w:val="18"/>
        </w:rPr>
        <w:t>definition</w:t>
      </w:r>
      <w:r w:rsidRPr="00F57169">
        <w:rPr>
          <w:szCs w:val="18"/>
        </w:rPr>
        <w:t xml:space="preserve"> would mean a measure of “has NOPSEMA prevented </w:t>
      </w:r>
      <w:r w:rsidR="00793F1F" w:rsidRPr="001C1F93">
        <w:rPr>
          <w:szCs w:val="18"/>
        </w:rPr>
        <w:t>harm to workers</w:t>
      </w:r>
      <w:r w:rsidRPr="001C1F93">
        <w:rPr>
          <w:szCs w:val="18"/>
        </w:rPr>
        <w:t xml:space="preserve"> and the </w:t>
      </w:r>
      <w:r w:rsidR="00793F1F" w:rsidRPr="00911F0E">
        <w:rPr>
          <w:szCs w:val="18"/>
        </w:rPr>
        <w:t xml:space="preserve">environment </w:t>
      </w:r>
      <w:r w:rsidRPr="00372FB6">
        <w:rPr>
          <w:szCs w:val="18"/>
        </w:rPr>
        <w:t xml:space="preserve">in the offshore petroleum industry in Commonwealth waters?” </w:t>
      </w:r>
      <w:r w:rsidR="003A5D98">
        <w:rPr>
          <w:szCs w:val="18"/>
        </w:rPr>
        <w:t xml:space="preserve">While </w:t>
      </w:r>
      <w:r w:rsidRPr="009013BE">
        <w:rPr>
          <w:szCs w:val="18"/>
        </w:rPr>
        <w:t>NOPSEMA</w:t>
      </w:r>
      <w:r w:rsidR="009B0F10">
        <w:rPr>
          <w:szCs w:val="18"/>
        </w:rPr>
        <w:t xml:space="preserve"> does </w:t>
      </w:r>
      <w:r w:rsidR="0065166F">
        <w:rPr>
          <w:szCs w:val="18"/>
        </w:rPr>
        <w:t xml:space="preserve">have an important role and </w:t>
      </w:r>
      <w:r w:rsidR="00A27D6C">
        <w:rPr>
          <w:szCs w:val="18"/>
        </w:rPr>
        <w:t>contribute</w:t>
      </w:r>
      <w:r w:rsidR="0065166F">
        <w:rPr>
          <w:szCs w:val="18"/>
        </w:rPr>
        <w:t xml:space="preserve"> to th</w:t>
      </w:r>
      <w:r w:rsidR="000B0233">
        <w:rPr>
          <w:szCs w:val="18"/>
        </w:rPr>
        <w:t>e overall health, safety and environment management</w:t>
      </w:r>
      <w:r w:rsidR="009B0F10">
        <w:rPr>
          <w:szCs w:val="18"/>
        </w:rPr>
        <w:t>, they</w:t>
      </w:r>
      <w:r w:rsidRPr="009013BE">
        <w:rPr>
          <w:szCs w:val="18"/>
        </w:rPr>
        <w:t xml:space="preserve"> </w:t>
      </w:r>
      <w:r w:rsidR="000B0233">
        <w:rPr>
          <w:szCs w:val="18"/>
        </w:rPr>
        <w:t>can</w:t>
      </w:r>
      <w:r w:rsidR="000C1475">
        <w:rPr>
          <w:szCs w:val="18"/>
        </w:rPr>
        <w:t>not</w:t>
      </w:r>
      <w:r w:rsidRPr="00016436">
        <w:rPr>
          <w:szCs w:val="18"/>
        </w:rPr>
        <w:t xml:space="preserve"> claim all the credit fo</w:t>
      </w:r>
      <w:r w:rsidRPr="005E6D5F">
        <w:rPr>
          <w:szCs w:val="18"/>
        </w:rPr>
        <w:t xml:space="preserve">r industry performance since NOPSEMA is just one component of the risk framework that manages OHS, well integrity, and environment </w:t>
      </w:r>
      <w:r w:rsidR="001C4ED2">
        <w:rPr>
          <w:szCs w:val="18"/>
        </w:rPr>
        <w:t xml:space="preserve">risk </w:t>
      </w:r>
      <w:r w:rsidRPr="005E6D5F">
        <w:rPr>
          <w:szCs w:val="18"/>
        </w:rPr>
        <w:t xml:space="preserve">in the </w:t>
      </w:r>
      <w:r w:rsidR="001C4ED2">
        <w:rPr>
          <w:szCs w:val="18"/>
        </w:rPr>
        <w:t>industry</w:t>
      </w:r>
      <w:r w:rsidRPr="005E6D5F">
        <w:rPr>
          <w:szCs w:val="18"/>
        </w:rPr>
        <w:t>.</w:t>
      </w:r>
    </w:p>
    <w:p w14:paraId="5574EB4A" w14:textId="59B7D9B7" w:rsidR="00180AFC" w:rsidRPr="001C1F93" w:rsidRDefault="00CB259F" w:rsidP="0027287B">
      <w:pPr>
        <w:pStyle w:val="BodyCopyNEW"/>
        <w:rPr>
          <w:szCs w:val="18"/>
        </w:rPr>
      </w:pPr>
      <w:r w:rsidRPr="00CB259F">
        <w:rPr>
          <w:b/>
          <w:bCs/>
          <w:szCs w:val="18"/>
        </w:rPr>
        <w:fldChar w:fldCharType="begin"/>
      </w:r>
      <w:r w:rsidRPr="00CB259F">
        <w:rPr>
          <w:b/>
          <w:bCs/>
          <w:szCs w:val="18"/>
        </w:rPr>
        <w:instrText xml:space="preserve"> REF _Ref58445042 \h </w:instrText>
      </w:r>
      <w:r>
        <w:rPr>
          <w:b/>
          <w:bCs/>
          <w:szCs w:val="18"/>
        </w:rPr>
        <w:instrText xml:space="preserve"> \* MERGEFORMAT </w:instrText>
      </w:r>
      <w:r w:rsidRPr="00CB259F">
        <w:rPr>
          <w:b/>
          <w:bCs/>
          <w:szCs w:val="18"/>
        </w:rPr>
      </w:r>
      <w:r w:rsidRPr="00CB259F">
        <w:rPr>
          <w:b/>
          <w:bCs/>
          <w:szCs w:val="18"/>
        </w:rPr>
        <w:fldChar w:fldCharType="separate"/>
      </w:r>
      <w:r w:rsidR="00E816B8" w:rsidRPr="00E816B8">
        <w:rPr>
          <w:b/>
          <w:bCs/>
        </w:rPr>
        <w:t xml:space="preserve">Figure </w:t>
      </w:r>
      <w:r w:rsidR="00E816B8" w:rsidRPr="00E816B8">
        <w:rPr>
          <w:b/>
          <w:bCs/>
          <w:noProof/>
        </w:rPr>
        <w:t>5.1</w:t>
      </w:r>
      <w:r w:rsidRPr="00CB259F">
        <w:rPr>
          <w:b/>
          <w:bCs/>
          <w:szCs w:val="18"/>
        </w:rPr>
        <w:fldChar w:fldCharType="end"/>
      </w:r>
      <w:r>
        <w:rPr>
          <w:szCs w:val="18"/>
        </w:rPr>
        <w:t xml:space="preserve"> </w:t>
      </w:r>
      <w:r w:rsidR="006727CB" w:rsidRPr="00096BC3">
        <w:rPr>
          <w:szCs w:val="18"/>
        </w:rPr>
        <w:t xml:space="preserve">outlines the three lines of defence (3LOD) model that </w:t>
      </w:r>
      <w:r w:rsidR="006727CB" w:rsidRPr="00073514">
        <w:rPr>
          <w:szCs w:val="18"/>
        </w:rPr>
        <w:t xml:space="preserve">is commonly used in risk management </w:t>
      </w:r>
      <w:r w:rsidR="00222C0A" w:rsidRPr="00611BAA">
        <w:rPr>
          <w:szCs w:val="18"/>
        </w:rPr>
        <w:t>and assurance</w:t>
      </w:r>
      <w:r w:rsidR="006727CB" w:rsidRPr="00946300">
        <w:rPr>
          <w:szCs w:val="18"/>
        </w:rPr>
        <w:t xml:space="preserve"> activities. The model articulates 3LOD that prevent a risk event occurring as well as pr</w:t>
      </w:r>
      <w:r w:rsidR="006727CB" w:rsidRPr="00392AAF">
        <w:rPr>
          <w:szCs w:val="18"/>
        </w:rPr>
        <w:t>oviding an organisation’s decision-makers with information to enable robust and well-considered action. The figure shows, through the size of the ‘wedge’, where the majority of effort should be applied by an organisation – with the third line being the sma</w:t>
      </w:r>
      <w:r w:rsidR="006727CB" w:rsidRPr="001C1F93">
        <w:rPr>
          <w:szCs w:val="18"/>
        </w:rPr>
        <w:t>llest.</w:t>
      </w:r>
    </w:p>
    <w:p w14:paraId="253330A6" w14:textId="21051982" w:rsidR="00B75DFB" w:rsidRDefault="006727CB" w:rsidP="00F764AA">
      <w:pPr>
        <w:pStyle w:val="BodyCopyNEW"/>
        <w:rPr>
          <w:szCs w:val="18"/>
        </w:rPr>
      </w:pPr>
      <w:r w:rsidRPr="00911F0E">
        <w:rPr>
          <w:szCs w:val="18"/>
        </w:rPr>
        <w:t xml:space="preserve">Conceptually, in a 3LOD model, regulator involvement, whether it is audits, </w:t>
      </w:r>
      <w:r w:rsidR="006A64F8" w:rsidRPr="00372FB6">
        <w:rPr>
          <w:szCs w:val="18"/>
        </w:rPr>
        <w:t xml:space="preserve">supports </w:t>
      </w:r>
      <w:r w:rsidRPr="004602AD">
        <w:rPr>
          <w:szCs w:val="18"/>
        </w:rPr>
        <w:t xml:space="preserve">education, </w:t>
      </w:r>
      <w:r w:rsidR="006A64F8" w:rsidRPr="009013BE">
        <w:rPr>
          <w:szCs w:val="18"/>
        </w:rPr>
        <w:t>or conducts</w:t>
      </w:r>
      <w:r w:rsidRPr="00C81CBA">
        <w:rPr>
          <w:szCs w:val="18"/>
        </w:rPr>
        <w:t xml:space="preserve"> inspections or investigations sit in the third line and help inform the first two lines.</w:t>
      </w:r>
    </w:p>
    <w:p w14:paraId="5BB04CFE" w14:textId="00DC845B" w:rsidR="00CB259F" w:rsidRPr="001C1F93" w:rsidRDefault="00CB259F" w:rsidP="004B089B">
      <w:pPr>
        <w:pStyle w:val="Caption"/>
        <w:keepNext/>
      </w:pPr>
      <w:bookmarkStart w:id="35" w:name="_Ref58445042"/>
      <w:r>
        <w:t xml:space="preserve">Figure </w:t>
      </w:r>
      <w:r w:rsidR="00AD41F8">
        <w:fldChar w:fldCharType="begin"/>
      </w:r>
      <w:r w:rsidR="00AD41F8">
        <w:instrText xml:space="preserve"> STYLEREF 1 \s </w:instrText>
      </w:r>
      <w:r w:rsidR="00AD41F8">
        <w:fldChar w:fldCharType="separate"/>
      </w:r>
      <w:r w:rsidR="00E816B8">
        <w:rPr>
          <w:noProof/>
        </w:rPr>
        <w:t>5</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1</w:t>
      </w:r>
      <w:r w:rsidR="00AD41F8">
        <w:fldChar w:fldCharType="end"/>
      </w:r>
      <w:bookmarkEnd w:id="35"/>
      <w:r>
        <w:t>: Three lines of defence model</w:t>
      </w:r>
    </w:p>
    <w:p w14:paraId="154A95A7" w14:textId="5D93E5A9" w:rsidR="008244A7" w:rsidRDefault="68D1B6DB" w:rsidP="00E94BB2">
      <w:pPr>
        <w:spacing w:before="120" w:after="120" w:line="240" w:lineRule="auto"/>
        <w:jc w:val="center"/>
        <w:rPr>
          <w:rFonts w:asciiTheme="majorHAnsi" w:hAnsiTheme="majorHAnsi" w:cs="Calibri"/>
        </w:rPr>
      </w:pPr>
      <w:r>
        <w:rPr>
          <w:noProof/>
          <w:lang w:eastAsia="en-AU"/>
        </w:rPr>
        <w:drawing>
          <wp:inline distT="0" distB="0" distL="0" distR="0" wp14:anchorId="29FC8EA7" wp14:editId="253BE465">
            <wp:extent cx="4985272" cy="3780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5">
                      <a:extLst>
                        <a:ext uri="{28A0092B-C50C-407E-A947-70E740481C1C}">
                          <a14:useLocalDpi xmlns:a14="http://schemas.microsoft.com/office/drawing/2010/main"/>
                        </a:ext>
                      </a:extLst>
                    </a:blip>
                    <a:stretch>
                      <a:fillRect/>
                    </a:stretch>
                  </pic:blipFill>
                  <pic:spPr>
                    <a:xfrm>
                      <a:off x="0" y="0"/>
                      <a:ext cx="4985272" cy="3780000"/>
                    </a:xfrm>
                    <a:prstGeom prst="rect">
                      <a:avLst/>
                    </a:prstGeom>
                  </pic:spPr>
                </pic:pic>
              </a:graphicData>
            </a:graphic>
          </wp:inline>
        </w:drawing>
      </w:r>
    </w:p>
    <w:p w14:paraId="10C1DDE6" w14:textId="6A66D55F" w:rsidR="00EF32EE" w:rsidRPr="00901C7B" w:rsidRDefault="00EF32EE" w:rsidP="00A067D9">
      <w:pPr>
        <w:pStyle w:val="Caption"/>
        <w:rPr>
          <w:b w:val="0"/>
          <w:bCs/>
          <w:i/>
          <w:iCs w:val="0"/>
          <w:color w:val="75787B" w:themeColor="accent6"/>
        </w:rPr>
      </w:pPr>
      <w:r w:rsidRPr="00901C7B">
        <w:rPr>
          <w:b w:val="0"/>
          <w:bCs/>
          <w:i/>
          <w:iCs w:val="0"/>
          <w:color w:val="75787B" w:themeColor="accent6"/>
        </w:rPr>
        <w:t xml:space="preserve">Source: </w:t>
      </w:r>
      <w:r w:rsidR="00B2795D" w:rsidRPr="00901C7B">
        <w:rPr>
          <w:b w:val="0"/>
          <w:bCs/>
          <w:i/>
          <w:iCs w:val="0"/>
          <w:color w:val="75787B" w:themeColor="accent6"/>
        </w:rPr>
        <w:t>Deloitte</w:t>
      </w:r>
    </w:p>
    <w:p w14:paraId="4AA8E7F0" w14:textId="069DF3C4" w:rsidR="003B68C6" w:rsidRPr="009013BE" w:rsidRDefault="00180AFC" w:rsidP="00F764AA">
      <w:pPr>
        <w:pStyle w:val="BodyCopyNEW"/>
        <w:rPr>
          <w:szCs w:val="18"/>
        </w:rPr>
      </w:pPr>
      <w:r w:rsidRPr="00096BC3">
        <w:rPr>
          <w:szCs w:val="18"/>
        </w:rPr>
        <w:t xml:space="preserve">It is primarily the responsibility of industry – and specifically those charged with the 1LOD of </w:t>
      </w:r>
      <w:r w:rsidR="00F17210" w:rsidRPr="00073514">
        <w:rPr>
          <w:szCs w:val="18"/>
        </w:rPr>
        <w:t>front-line operations</w:t>
      </w:r>
      <w:r w:rsidRPr="003E73F3">
        <w:rPr>
          <w:szCs w:val="18"/>
        </w:rPr>
        <w:t xml:space="preserve"> responsibility</w:t>
      </w:r>
      <w:r w:rsidR="00F17210" w:rsidRPr="00611BAA">
        <w:rPr>
          <w:szCs w:val="18"/>
        </w:rPr>
        <w:t xml:space="preserve"> </w:t>
      </w:r>
      <w:r w:rsidRPr="00946300">
        <w:rPr>
          <w:szCs w:val="18"/>
        </w:rPr>
        <w:t xml:space="preserve">to implement measures that reduce risk and the propensity for </w:t>
      </w:r>
      <w:r w:rsidR="00F17210" w:rsidRPr="00392AAF">
        <w:rPr>
          <w:szCs w:val="18"/>
        </w:rPr>
        <w:t>harm</w:t>
      </w:r>
      <w:r w:rsidRPr="00F57169">
        <w:rPr>
          <w:szCs w:val="18"/>
        </w:rPr>
        <w:t xml:space="preserve"> within its business. The 1LOD has a strategic control framework to promote safe systems of work and safe workplaces. </w:t>
      </w:r>
      <w:r w:rsidR="003B68C6" w:rsidRPr="001C1F93">
        <w:rPr>
          <w:szCs w:val="18"/>
        </w:rPr>
        <w:t xml:space="preserve">NOPSEMA </w:t>
      </w:r>
      <w:r w:rsidRPr="001C1F93">
        <w:rPr>
          <w:szCs w:val="18"/>
        </w:rPr>
        <w:t>can provide guidance, influence decision-makers, enforce specifi</w:t>
      </w:r>
      <w:r w:rsidRPr="00911F0E">
        <w:rPr>
          <w:szCs w:val="18"/>
        </w:rPr>
        <w:t>c actions to be undertaken or prosecute those that they have reasonable cause to believe have failed to live up to their legislative duty and community expectations, but it can only be a third line of defence. Primary responsibility remains with organisati</w:t>
      </w:r>
      <w:r w:rsidRPr="004602AD">
        <w:rPr>
          <w:szCs w:val="18"/>
        </w:rPr>
        <w:t xml:space="preserve">onal management. </w:t>
      </w:r>
    </w:p>
    <w:p w14:paraId="0EBF38C9" w14:textId="77777777" w:rsidR="00E323E0" w:rsidRDefault="00E323E0" w:rsidP="00F764AA">
      <w:pPr>
        <w:pStyle w:val="Heading3NoNumber"/>
      </w:pPr>
      <w:r>
        <w:t>Stakeholders tend to view NOPSEMA as making positive contribution to desired outcomes</w:t>
      </w:r>
    </w:p>
    <w:p w14:paraId="58F22CE4" w14:textId="6D56C467" w:rsidR="00E323E0" w:rsidRPr="00073514" w:rsidRDefault="00185A18" w:rsidP="00F764AA">
      <w:pPr>
        <w:pStyle w:val="BodyCopyNEW"/>
        <w:rPr>
          <w:szCs w:val="18"/>
        </w:rPr>
      </w:pPr>
      <w:r w:rsidRPr="00096BC3">
        <w:rPr>
          <w:szCs w:val="18"/>
        </w:rPr>
        <w:t>On balance, s</w:t>
      </w:r>
      <w:r w:rsidR="00E323E0" w:rsidRPr="00073514">
        <w:rPr>
          <w:szCs w:val="18"/>
        </w:rPr>
        <w:t>takeh</w:t>
      </w:r>
      <w:r w:rsidR="00E323E0" w:rsidRPr="003E73F3">
        <w:rPr>
          <w:szCs w:val="18"/>
        </w:rPr>
        <w:t xml:space="preserve">older perception is that NOPSEMA has made a </w:t>
      </w:r>
      <w:r w:rsidRPr="00611BAA">
        <w:rPr>
          <w:szCs w:val="18"/>
        </w:rPr>
        <w:t>positive</w:t>
      </w:r>
      <w:r w:rsidR="00E323E0" w:rsidRPr="00946300">
        <w:rPr>
          <w:szCs w:val="18"/>
        </w:rPr>
        <w:t xml:space="preserve"> contribution to fostering a positive safety culture in the industry, fa</w:t>
      </w:r>
      <w:r w:rsidR="00E323E0" w:rsidRPr="00392AAF">
        <w:rPr>
          <w:szCs w:val="18"/>
        </w:rPr>
        <w:t>cilitating proactive and preventative approaches to environmental management, and enabling continual improvement in safety and environmental management of the industry (see</w:t>
      </w:r>
      <w:r w:rsidR="00CB259F">
        <w:rPr>
          <w:b/>
          <w:szCs w:val="18"/>
        </w:rPr>
        <w:t xml:space="preserve"> </w:t>
      </w:r>
      <w:r w:rsidR="00CB259F" w:rsidRPr="00CB259F">
        <w:rPr>
          <w:b/>
          <w:szCs w:val="18"/>
        </w:rPr>
        <w:fldChar w:fldCharType="begin"/>
      </w:r>
      <w:r w:rsidR="00CB259F" w:rsidRPr="00CB259F">
        <w:rPr>
          <w:b/>
          <w:szCs w:val="18"/>
        </w:rPr>
        <w:instrText xml:space="preserve"> REF _Ref58445114 \h  \* MERGEFORMAT </w:instrText>
      </w:r>
      <w:r w:rsidR="00CB259F" w:rsidRPr="00CB259F">
        <w:rPr>
          <w:b/>
          <w:szCs w:val="18"/>
        </w:rPr>
      </w:r>
      <w:r w:rsidR="00CB259F" w:rsidRPr="00CB259F">
        <w:rPr>
          <w:b/>
          <w:szCs w:val="18"/>
        </w:rPr>
        <w:fldChar w:fldCharType="separate"/>
      </w:r>
      <w:r w:rsidR="00E816B8" w:rsidRPr="00E816B8">
        <w:rPr>
          <w:b/>
        </w:rPr>
        <w:t xml:space="preserve">Figure </w:t>
      </w:r>
      <w:r w:rsidR="00E816B8" w:rsidRPr="00E816B8">
        <w:rPr>
          <w:b/>
          <w:noProof/>
        </w:rPr>
        <w:t>5.2</w:t>
      </w:r>
      <w:r w:rsidR="00CB259F" w:rsidRPr="00CB259F">
        <w:rPr>
          <w:b/>
          <w:szCs w:val="18"/>
        </w:rPr>
        <w:fldChar w:fldCharType="end"/>
      </w:r>
      <w:r w:rsidR="00E323E0" w:rsidRPr="00096BC3">
        <w:rPr>
          <w:szCs w:val="18"/>
        </w:rPr>
        <w:t xml:space="preserve">, below). There were competing views, with some stakeholders </w:t>
      </w:r>
      <w:r w:rsidR="002F7D30" w:rsidRPr="00946300">
        <w:rPr>
          <w:szCs w:val="18"/>
        </w:rPr>
        <w:t xml:space="preserve">claiming </w:t>
      </w:r>
      <w:r w:rsidR="00E323E0" w:rsidRPr="00946300">
        <w:rPr>
          <w:szCs w:val="18"/>
        </w:rPr>
        <w:t xml:space="preserve">that a perceived </w:t>
      </w:r>
      <w:r w:rsidR="00934BA3" w:rsidRPr="00392AAF">
        <w:rPr>
          <w:szCs w:val="18"/>
        </w:rPr>
        <w:t>‘</w:t>
      </w:r>
      <w:r w:rsidR="00E323E0" w:rsidRPr="00F57169">
        <w:rPr>
          <w:szCs w:val="18"/>
        </w:rPr>
        <w:t>overly prescriptive approach</w:t>
      </w:r>
      <w:r w:rsidR="00934BA3" w:rsidRPr="001C1F93">
        <w:rPr>
          <w:szCs w:val="18"/>
        </w:rPr>
        <w:t>’</w:t>
      </w:r>
      <w:r w:rsidR="00E323E0" w:rsidRPr="001C1F93">
        <w:rPr>
          <w:szCs w:val="18"/>
        </w:rPr>
        <w:t xml:space="preserve"> </w:t>
      </w:r>
      <w:r w:rsidR="00156476" w:rsidRPr="00911F0E">
        <w:rPr>
          <w:szCs w:val="18"/>
        </w:rPr>
        <w:t xml:space="preserve">by NOPSEMA </w:t>
      </w:r>
      <w:r w:rsidR="00E323E0" w:rsidRPr="00372FB6">
        <w:rPr>
          <w:szCs w:val="18"/>
        </w:rPr>
        <w:t>to regulation ha</w:t>
      </w:r>
      <w:r w:rsidR="00156476" w:rsidRPr="004602AD">
        <w:rPr>
          <w:szCs w:val="18"/>
        </w:rPr>
        <w:t xml:space="preserve">s </w:t>
      </w:r>
      <w:r w:rsidR="00E323E0" w:rsidRPr="009013BE">
        <w:rPr>
          <w:szCs w:val="18"/>
        </w:rPr>
        <w:t>detracted focus from managing the risks that matter most.</w:t>
      </w:r>
      <w:r w:rsidR="000D017E" w:rsidRPr="00C81CBA">
        <w:rPr>
          <w:szCs w:val="18"/>
        </w:rPr>
        <w:t xml:space="preserve"> </w:t>
      </w:r>
      <w:r w:rsidR="002F7D30" w:rsidRPr="00016436">
        <w:rPr>
          <w:szCs w:val="18"/>
        </w:rPr>
        <w:t xml:space="preserve">We address this perception in further detail </w:t>
      </w:r>
      <w:r w:rsidR="005633DD" w:rsidRPr="005E6D5F">
        <w:rPr>
          <w:szCs w:val="18"/>
        </w:rPr>
        <w:t xml:space="preserve">in </w:t>
      </w:r>
      <w:r w:rsidR="005633DD" w:rsidRPr="00901C7B">
        <w:rPr>
          <w:b/>
          <w:szCs w:val="18"/>
        </w:rPr>
        <w:t xml:space="preserve">Section </w:t>
      </w:r>
      <w:r w:rsidR="005633DD" w:rsidRPr="00901C7B">
        <w:rPr>
          <w:b/>
          <w:bCs/>
          <w:szCs w:val="18"/>
        </w:rPr>
        <w:fldChar w:fldCharType="begin"/>
      </w:r>
      <w:r w:rsidR="005633DD" w:rsidRPr="00901C7B">
        <w:rPr>
          <w:b/>
          <w:bCs/>
          <w:szCs w:val="18"/>
        </w:rPr>
        <w:instrText xml:space="preserve"> REF _Ref55978299 \r \h </w:instrText>
      </w:r>
      <w:r w:rsidR="005633DD" w:rsidRPr="00E75BFD">
        <w:rPr>
          <w:b/>
          <w:bCs/>
          <w:szCs w:val="18"/>
        </w:rPr>
        <w:instrText xml:space="preserve"> \* MERGEFORM</w:instrText>
      </w:r>
      <w:r w:rsidR="005633DD" w:rsidRPr="00E75BFD">
        <w:rPr>
          <w:b/>
          <w:szCs w:val="18"/>
        </w:rPr>
        <w:instrText xml:space="preserve">AT </w:instrText>
      </w:r>
      <w:r w:rsidR="005633DD" w:rsidRPr="00901C7B">
        <w:rPr>
          <w:b/>
          <w:bCs/>
          <w:szCs w:val="18"/>
        </w:rPr>
      </w:r>
      <w:r w:rsidR="005633DD" w:rsidRPr="00901C7B">
        <w:rPr>
          <w:b/>
          <w:bCs/>
          <w:szCs w:val="18"/>
        </w:rPr>
        <w:fldChar w:fldCharType="separate"/>
      </w:r>
      <w:r w:rsidR="00E816B8">
        <w:rPr>
          <w:b/>
          <w:bCs/>
          <w:szCs w:val="18"/>
        </w:rPr>
        <w:t>6</w:t>
      </w:r>
      <w:r w:rsidR="005633DD" w:rsidRPr="00901C7B">
        <w:rPr>
          <w:b/>
          <w:bCs/>
          <w:szCs w:val="18"/>
        </w:rPr>
        <w:fldChar w:fldCharType="end"/>
      </w:r>
      <w:r w:rsidR="005633DD" w:rsidRPr="00096BC3">
        <w:rPr>
          <w:szCs w:val="18"/>
        </w:rPr>
        <w:t>.</w:t>
      </w:r>
    </w:p>
    <w:p w14:paraId="3BE04C74" w14:textId="2E197257" w:rsidR="00CB259F" w:rsidRPr="00CB259F" w:rsidRDefault="00CB259F" w:rsidP="004B089B">
      <w:pPr>
        <w:pStyle w:val="Caption"/>
        <w:keepNext/>
      </w:pPr>
      <w:bookmarkStart w:id="36" w:name="_Ref58445114"/>
      <w:r>
        <w:lastRenderedPageBreak/>
        <w:t xml:space="preserve">Figure </w:t>
      </w:r>
      <w:r w:rsidR="00AD41F8">
        <w:fldChar w:fldCharType="begin"/>
      </w:r>
      <w:r w:rsidR="00AD41F8">
        <w:instrText xml:space="preserve"> STYLEREF 1 \s </w:instrText>
      </w:r>
      <w:r w:rsidR="00AD41F8">
        <w:fldChar w:fldCharType="separate"/>
      </w:r>
      <w:r w:rsidR="00E816B8">
        <w:rPr>
          <w:noProof/>
        </w:rPr>
        <w:t>5</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2</w:t>
      </w:r>
      <w:r w:rsidR="00AD41F8">
        <w:fldChar w:fldCharType="end"/>
      </w:r>
      <w:bookmarkEnd w:id="36"/>
      <w:r>
        <w:t>: Survey responses to NOPSEMA’s contribution towards desired regulatory outcomes</w:t>
      </w:r>
    </w:p>
    <w:p w14:paraId="6DE5EA16" w14:textId="77777777" w:rsidR="00E323E0" w:rsidRPr="00C122C7" w:rsidRDefault="00E323E0" w:rsidP="00E323E0">
      <w:r w:rsidRPr="00C122C7">
        <w:rPr>
          <w:noProof/>
          <w:lang w:eastAsia="en-AU"/>
        </w:rPr>
        <w:drawing>
          <wp:inline distT="0" distB="0" distL="0" distR="0" wp14:anchorId="789D0530" wp14:editId="3442969A">
            <wp:extent cx="6254115" cy="3190875"/>
            <wp:effectExtent l="0" t="0" r="13335" b="9525"/>
            <wp:docPr id="21" name="Chart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ECA98053-8370-428C-A12B-DCEA27FCF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8524E92" w14:textId="77777777" w:rsidR="00E323E0" w:rsidRPr="00901C7B" w:rsidRDefault="00E323E0" w:rsidP="00A067D9">
      <w:pPr>
        <w:pStyle w:val="Caption"/>
        <w:rPr>
          <w:b w:val="0"/>
          <w:bCs/>
          <w:i/>
          <w:iCs w:val="0"/>
          <w:color w:val="75787B" w:themeColor="accent6"/>
        </w:rPr>
      </w:pPr>
      <w:r w:rsidRPr="00901C7B">
        <w:rPr>
          <w:b w:val="0"/>
          <w:bCs/>
          <w:i/>
          <w:iCs w:val="0"/>
          <w:color w:val="75787B" w:themeColor="accent6"/>
        </w:rPr>
        <w:t>Source: Deloitte Stakeholder Survey, Deloitte analysis</w:t>
      </w:r>
    </w:p>
    <w:p w14:paraId="3750EE09" w14:textId="50EAC4DF" w:rsidR="00180AFC" w:rsidRPr="00CA5045" w:rsidRDefault="00CA5045" w:rsidP="00AE2D6E">
      <w:pPr>
        <w:pStyle w:val="Heading2"/>
        <w:numPr>
          <w:ilvl w:val="1"/>
          <w:numId w:val="1"/>
        </w:numPr>
      </w:pPr>
      <w:bookmarkStart w:id="37" w:name="_Ref58592690"/>
      <w:r w:rsidRPr="00CA5045">
        <w:t xml:space="preserve">NOPSEMA’s </w:t>
      </w:r>
      <w:r w:rsidR="00C374B8">
        <w:t xml:space="preserve">strategic regulatory </w:t>
      </w:r>
      <w:r w:rsidRPr="00CA5045">
        <w:t>approach</w:t>
      </w:r>
      <w:bookmarkEnd w:id="37"/>
    </w:p>
    <w:p w14:paraId="4437D4F8" w14:textId="77777777" w:rsidR="002870E5" w:rsidRDefault="002870E5" w:rsidP="00F764AA">
      <w:pPr>
        <w:pStyle w:val="Heading3NoNumber"/>
      </w:pPr>
      <w:r>
        <w:t>NOPSEMA’s regulatory strategy is unclear</w:t>
      </w:r>
    </w:p>
    <w:p w14:paraId="26499E5C" w14:textId="22A9C866" w:rsidR="006715A8" w:rsidRPr="00611BAA" w:rsidRDefault="00C35BA2" w:rsidP="00F764AA">
      <w:pPr>
        <w:pStyle w:val="BodyCopyNEW"/>
        <w:rPr>
          <w:szCs w:val="18"/>
        </w:rPr>
      </w:pPr>
      <w:r w:rsidRPr="00096BC3">
        <w:rPr>
          <w:szCs w:val="18"/>
        </w:rPr>
        <w:t xml:space="preserve">NOPSEMA has developed and published its </w:t>
      </w:r>
      <w:r w:rsidRPr="00073514">
        <w:rPr>
          <w:i/>
          <w:szCs w:val="18"/>
        </w:rPr>
        <w:t>Corporate Plan 2020-2025</w:t>
      </w:r>
      <w:r w:rsidR="007A002A" w:rsidRPr="003E73F3">
        <w:rPr>
          <w:szCs w:val="18"/>
        </w:rPr>
        <w:t xml:space="preserve"> (</w:t>
      </w:r>
      <w:r w:rsidR="007A002A" w:rsidRPr="00611BAA">
        <w:rPr>
          <w:b/>
          <w:szCs w:val="18"/>
        </w:rPr>
        <w:t>Corporate Plan</w:t>
      </w:r>
      <w:r w:rsidR="007A002A" w:rsidRPr="00946300">
        <w:rPr>
          <w:szCs w:val="18"/>
        </w:rPr>
        <w:t>)</w:t>
      </w:r>
      <w:r w:rsidR="007D781A" w:rsidRPr="00946300">
        <w:rPr>
          <w:szCs w:val="18"/>
        </w:rPr>
        <w:t xml:space="preserve">, which articulates its focus areas and goals for the period, tied to its </w:t>
      </w:r>
      <w:r w:rsidR="007D781A" w:rsidRPr="00901C7B">
        <w:rPr>
          <w:i/>
          <w:szCs w:val="18"/>
        </w:rPr>
        <w:t>Regulatory Performance Framework</w:t>
      </w:r>
      <w:r w:rsidR="007D781A" w:rsidRPr="00096BC3">
        <w:rPr>
          <w:szCs w:val="18"/>
        </w:rPr>
        <w:t xml:space="preserve"> (</w:t>
      </w:r>
      <w:r w:rsidR="007D781A" w:rsidRPr="00073514">
        <w:rPr>
          <w:b/>
          <w:szCs w:val="18"/>
        </w:rPr>
        <w:t>RPF</w:t>
      </w:r>
      <w:r w:rsidR="007D781A" w:rsidRPr="003E73F3">
        <w:rPr>
          <w:szCs w:val="18"/>
        </w:rPr>
        <w:t>).</w:t>
      </w:r>
      <w:r w:rsidR="00AE22B8" w:rsidRPr="00611BAA">
        <w:rPr>
          <w:szCs w:val="18"/>
        </w:rPr>
        <w:t xml:space="preserve"> The Corporate Plan is underpinned by a vision of </w:t>
      </w:r>
      <w:r w:rsidR="00AE22B8" w:rsidRPr="00901C7B">
        <w:rPr>
          <w:i/>
          <w:szCs w:val="18"/>
        </w:rPr>
        <w:t xml:space="preserve">“a protected offshore </w:t>
      </w:r>
      <w:r w:rsidR="00771E79" w:rsidRPr="00901C7B">
        <w:rPr>
          <w:i/>
          <w:szCs w:val="18"/>
        </w:rPr>
        <w:t>workforce</w:t>
      </w:r>
      <w:r w:rsidR="00AE22B8" w:rsidRPr="00901C7B">
        <w:rPr>
          <w:i/>
          <w:szCs w:val="18"/>
        </w:rPr>
        <w:t xml:space="preserve"> and environment”</w:t>
      </w:r>
      <w:r w:rsidR="00AE22B8" w:rsidRPr="00096BC3">
        <w:rPr>
          <w:szCs w:val="18"/>
        </w:rPr>
        <w:t xml:space="preserve"> and a purpose </w:t>
      </w:r>
      <w:r w:rsidR="00AE22B8" w:rsidRPr="00901C7B">
        <w:rPr>
          <w:i/>
          <w:szCs w:val="18"/>
        </w:rPr>
        <w:t>“to assure the protection of lives and the environment”</w:t>
      </w:r>
      <w:r w:rsidR="00AE22B8" w:rsidRPr="00096BC3">
        <w:rPr>
          <w:szCs w:val="18"/>
        </w:rPr>
        <w:t xml:space="preserve">. </w:t>
      </w:r>
      <w:r w:rsidR="00771E79" w:rsidRPr="00073514">
        <w:rPr>
          <w:szCs w:val="18"/>
        </w:rPr>
        <w:t>The vision and purpose are delivered through an approach of influence, oversee, and enforce.</w:t>
      </w:r>
    </w:p>
    <w:p w14:paraId="3A4FB8DF" w14:textId="04D2448D" w:rsidR="00771E79" w:rsidRPr="00946300" w:rsidRDefault="00C5690F" w:rsidP="00F764AA">
      <w:pPr>
        <w:pStyle w:val="BodyCopyNEW"/>
        <w:rPr>
          <w:szCs w:val="18"/>
        </w:rPr>
      </w:pPr>
      <w:r w:rsidRPr="00946300">
        <w:rPr>
          <w:szCs w:val="18"/>
        </w:rPr>
        <w:t>The key focus areas for the Corporate Plan include:</w:t>
      </w:r>
    </w:p>
    <w:p w14:paraId="3B3E0355" w14:textId="7CCBE424" w:rsidR="00C5690F" w:rsidRPr="00F57169" w:rsidRDefault="00C5690F" w:rsidP="000C1F53">
      <w:pPr>
        <w:pStyle w:val="BodycopyNEW0"/>
        <w:numPr>
          <w:ilvl w:val="0"/>
          <w:numId w:val="23"/>
        </w:numPr>
        <w:ind w:left="378"/>
        <w:rPr>
          <w:szCs w:val="18"/>
        </w:rPr>
      </w:pPr>
      <w:r w:rsidRPr="00392AAF">
        <w:rPr>
          <w:szCs w:val="18"/>
        </w:rPr>
        <w:t>Preventing Major Accident Events</w:t>
      </w:r>
    </w:p>
    <w:p w14:paraId="4CEEBCBA" w14:textId="0282D7AF" w:rsidR="00C5690F" w:rsidRPr="001C1F93" w:rsidRDefault="00C5690F" w:rsidP="000C1F53">
      <w:pPr>
        <w:pStyle w:val="BodycopyNEW0"/>
        <w:numPr>
          <w:ilvl w:val="0"/>
          <w:numId w:val="23"/>
        </w:numPr>
        <w:ind w:left="378"/>
        <w:rPr>
          <w:szCs w:val="18"/>
        </w:rPr>
      </w:pPr>
      <w:r w:rsidRPr="001C1F93">
        <w:rPr>
          <w:szCs w:val="18"/>
        </w:rPr>
        <w:t>Preventing loss of well control</w:t>
      </w:r>
    </w:p>
    <w:p w14:paraId="3C0A130D" w14:textId="15E6F53B" w:rsidR="00C5690F" w:rsidRPr="004602AD" w:rsidRDefault="00C5690F" w:rsidP="000C1F53">
      <w:pPr>
        <w:pStyle w:val="BodycopyNEW0"/>
        <w:numPr>
          <w:ilvl w:val="0"/>
          <w:numId w:val="23"/>
        </w:numPr>
        <w:ind w:left="378"/>
        <w:rPr>
          <w:szCs w:val="18"/>
        </w:rPr>
      </w:pPr>
      <w:r w:rsidRPr="00911F0E">
        <w:rPr>
          <w:szCs w:val="18"/>
        </w:rPr>
        <w:t>Effective oil po</w:t>
      </w:r>
      <w:r w:rsidRPr="00372FB6">
        <w:rPr>
          <w:szCs w:val="18"/>
        </w:rPr>
        <w:t>llution emergency preparedness</w:t>
      </w:r>
    </w:p>
    <w:p w14:paraId="2E6CDA6F" w14:textId="2578C5B9" w:rsidR="006715A8" w:rsidRPr="00016436" w:rsidRDefault="005F3E5C" w:rsidP="000C1F53">
      <w:pPr>
        <w:pStyle w:val="BodycopyNEW0"/>
        <w:numPr>
          <w:ilvl w:val="0"/>
          <w:numId w:val="23"/>
        </w:numPr>
        <w:ind w:left="378"/>
        <w:rPr>
          <w:szCs w:val="18"/>
        </w:rPr>
      </w:pPr>
      <w:r w:rsidRPr="00C81CBA">
        <w:rPr>
          <w:szCs w:val="18"/>
        </w:rPr>
        <w:t>Responsible asset stewardship.</w:t>
      </w:r>
    </w:p>
    <w:p w14:paraId="30594612" w14:textId="1A8F16D6" w:rsidR="001F661C" w:rsidRPr="00777C5D" w:rsidRDefault="001F661C" w:rsidP="00F764AA">
      <w:pPr>
        <w:pStyle w:val="BodyCopyNEW"/>
        <w:rPr>
          <w:szCs w:val="18"/>
        </w:rPr>
      </w:pPr>
      <w:r w:rsidRPr="00953CA5">
        <w:rPr>
          <w:szCs w:val="18"/>
        </w:rPr>
        <w:t>NOPSEMA does not have a published regulatory strategy, through which its activities are tied to the overarching requirements of the OPGGS Act; demonstrating its goals, focus areas and measures of success. Therefore, there is no established definition of success. There are Corporate Plans and reports demonstrating success of output</w:t>
      </w:r>
      <w:r w:rsidR="003E48DF" w:rsidRPr="00953CA5">
        <w:rPr>
          <w:szCs w:val="18"/>
        </w:rPr>
        <w:t>s</w:t>
      </w:r>
      <w:r w:rsidRPr="00171DEA">
        <w:rPr>
          <w:szCs w:val="18"/>
        </w:rPr>
        <w:t xml:space="preserve"> (</w:t>
      </w:r>
      <w:r w:rsidR="003E48DF" w:rsidRPr="00171DEA">
        <w:rPr>
          <w:szCs w:val="18"/>
        </w:rPr>
        <w:t xml:space="preserve">and </w:t>
      </w:r>
      <w:r w:rsidRPr="00777C5D">
        <w:rPr>
          <w:szCs w:val="18"/>
        </w:rPr>
        <w:t>not necessarily outcome</w:t>
      </w:r>
      <w:r w:rsidR="003E48DF" w:rsidRPr="006C6606">
        <w:rPr>
          <w:szCs w:val="18"/>
        </w:rPr>
        <w:t>s</w:t>
      </w:r>
      <w:r w:rsidRPr="007F74D3">
        <w:rPr>
          <w:szCs w:val="18"/>
        </w:rPr>
        <w:t>) and focused performance measures tied to RPF, however they do not tie to the principa</w:t>
      </w:r>
      <w:r w:rsidRPr="0047319A">
        <w:rPr>
          <w:szCs w:val="18"/>
        </w:rPr>
        <w:t xml:space="preserve">l question ‘why does NOPSEMA exist?’. </w:t>
      </w:r>
      <w:r w:rsidR="000D05ED" w:rsidRPr="00611BAA">
        <w:rPr>
          <w:szCs w:val="18"/>
        </w:rPr>
        <w:t>We distinguish</w:t>
      </w:r>
      <w:r w:rsidR="000D05ED" w:rsidRPr="00946300">
        <w:rPr>
          <w:szCs w:val="18"/>
        </w:rPr>
        <w:t xml:space="preserve"> </w:t>
      </w:r>
      <w:r w:rsidR="002E01AE" w:rsidRPr="00946300">
        <w:rPr>
          <w:szCs w:val="18"/>
        </w:rPr>
        <w:t>here</w:t>
      </w:r>
      <w:r w:rsidR="000D05ED" w:rsidRPr="00392AAF">
        <w:rPr>
          <w:szCs w:val="18"/>
        </w:rPr>
        <w:t xml:space="preserve"> </w:t>
      </w:r>
      <w:r w:rsidR="000D05ED" w:rsidRPr="00F57169">
        <w:rPr>
          <w:szCs w:val="18"/>
        </w:rPr>
        <w:t xml:space="preserve">between a regulatory strategy and an organisational strategy. </w:t>
      </w:r>
      <w:r w:rsidR="00542E48" w:rsidRPr="001C1F93">
        <w:rPr>
          <w:szCs w:val="18"/>
        </w:rPr>
        <w:t xml:space="preserve">The latter </w:t>
      </w:r>
      <w:r w:rsidR="00435C2A" w:rsidRPr="001C1F93">
        <w:rPr>
          <w:szCs w:val="18"/>
        </w:rPr>
        <w:t>ou</w:t>
      </w:r>
      <w:r w:rsidR="00435C2A" w:rsidRPr="00911F0E">
        <w:rPr>
          <w:szCs w:val="18"/>
        </w:rPr>
        <w:t xml:space="preserve">tlines how the organisation of NOPSEMA </w:t>
      </w:r>
      <w:r w:rsidR="008B2B85" w:rsidRPr="004602AD">
        <w:rPr>
          <w:szCs w:val="18"/>
        </w:rPr>
        <w:t xml:space="preserve">(its capabilities, processes, governance, and </w:t>
      </w:r>
      <w:r w:rsidR="003B2A85" w:rsidRPr="009013BE">
        <w:rPr>
          <w:szCs w:val="18"/>
        </w:rPr>
        <w:t xml:space="preserve">people) </w:t>
      </w:r>
      <w:r w:rsidR="00A53AD9" w:rsidRPr="00C81CBA">
        <w:rPr>
          <w:szCs w:val="18"/>
        </w:rPr>
        <w:t xml:space="preserve">will </w:t>
      </w:r>
      <w:r w:rsidR="000426D8">
        <w:rPr>
          <w:szCs w:val="18"/>
        </w:rPr>
        <w:t>position</w:t>
      </w:r>
      <w:r w:rsidR="000426D8" w:rsidRPr="00C81CBA">
        <w:rPr>
          <w:szCs w:val="18"/>
        </w:rPr>
        <w:t xml:space="preserve"> </w:t>
      </w:r>
      <w:r w:rsidR="00A53AD9" w:rsidRPr="00C81CBA">
        <w:rPr>
          <w:szCs w:val="18"/>
        </w:rPr>
        <w:t xml:space="preserve">itself to </w:t>
      </w:r>
      <w:r w:rsidR="000F282C" w:rsidRPr="00016436">
        <w:rPr>
          <w:szCs w:val="18"/>
        </w:rPr>
        <w:t>successfully deliver the ‘external facing’ regulatory strategy</w:t>
      </w:r>
      <w:r w:rsidR="003B2A85" w:rsidRPr="00953CA5">
        <w:rPr>
          <w:szCs w:val="18"/>
        </w:rPr>
        <w:t xml:space="preserve"> (which outlines what </w:t>
      </w:r>
      <w:r w:rsidR="00CB0F91" w:rsidRPr="00953CA5">
        <w:rPr>
          <w:szCs w:val="18"/>
        </w:rPr>
        <w:t xml:space="preserve">target outcomes are sought with regards to safety, well integrity, and </w:t>
      </w:r>
      <w:r w:rsidR="00756334" w:rsidRPr="00171DEA">
        <w:rPr>
          <w:szCs w:val="18"/>
        </w:rPr>
        <w:t>environment)</w:t>
      </w:r>
      <w:r w:rsidR="000F282C" w:rsidRPr="00171DEA">
        <w:rPr>
          <w:szCs w:val="18"/>
        </w:rPr>
        <w:t>.</w:t>
      </w:r>
    </w:p>
    <w:p w14:paraId="50E6F728" w14:textId="13B5ABA2" w:rsidR="00CB259F" w:rsidRPr="004B089B" w:rsidRDefault="00671919" w:rsidP="004B089B">
      <w:pPr>
        <w:pStyle w:val="BodyCopyNEW"/>
        <w:rPr>
          <w:szCs w:val="18"/>
        </w:rPr>
      </w:pPr>
      <w:r w:rsidRPr="007F74D3">
        <w:rPr>
          <w:szCs w:val="18"/>
        </w:rPr>
        <w:t xml:space="preserve">A </w:t>
      </w:r>
      <w:r w:rsidR="00306219" w:rsidRPr="0047319A">
        <w:rPr>
          <w:szCs w:val="18"/>
        </w:rPr>
        <w:t xml:space="preserve">set of questions were asked </w:t>
      </w:r>
      <w:r w:rsidRPr="00C9422D">
        <w:rPr>
          <w:szCs w:val="18"/>
        </w:rPr>
        <w:t xml:space="preserve">of stakeholders </w:t>
      </w:r>
      <w:r w:rsidR="001F2597" w:rsidRPr="00F53817">
        <w:rPr>
          <w:szCs w:val="18"/>
        </w:rPr>
        <w:t xml:space="preserve">through our survey </w:t>
      </w:r>
      <w:r w:rsidRPr="00A32AAE">
        <w:rPr>
          <w:szCs w:val="18"/>
        </w:rPr>
        <w:t>regarding</w:t>
      </w:r>
      <w:r w:rsidR="00306219" w:rsidRPr="00B575BF">
        <w:rPr>
          <w:szCs w:val="18"/>
        </w:rPr>
        <w:t xml:space="preserve"> NOPSEMA’s strategic direction</w:t>
      </w:r>
      <w:r w:rsidR="006E23FB" w:rsidRPr="00D11371">
        <w:rPr>
          <w:szCs w:val="18"/>
        </w:rPr>
        <w:t xml:space="preserve"> (</w:t>
      </w:r>
      <w:r w:rsidR="00CB259F" w:rsidRPr="00CB259F">
        <w:rPr>
          <w:b/>
          <w:szCs w:val="18"/>
          <w:highlight w:val="yellow"/>
        </w:rPr>
        <w:fldChar w:fldCharType="begin"/>
      </w:r>
      <w:r w:rsidR="00CB259F" w:rsidRPr="00CB259F">
        <w:rPr>
          <w:b/>
          <w:szCs w:val="18"/>
        </w:rPr>
        <w:instrText xml:space="preserve"> REF _Ref58445157 \h </w:instrText>
      </w:r>
      <w:r w:rsidR="00CB259F" w:rsidRPr="00CB259F">
        <w:rPr>
          <w:b/>
          <w:szCs w:val="18"/>
          <w:highlight w:val="yellow"/>
        </w:rPr>
        <w:instrText xml:space="preserve"> \* MERGEFORMAT </w:instrText>
      </w:r>
      <w:r w:rsidR="00CB259F" w:rsidRPr="00CB259F">
        <w:rPr>
          <w:b/>
          <w:szCs w:val="18"/>
          <w:highlight w:val="yellow"/>
        </w:rPr>
      </w:r>
      <w:r w:rsidR="00CB259F" w:rsidRPr="00CB259F">
        <w:rPr>
          <w:b/>
          <w:szCs w:val="18"/>
          <w:highlight w:val="yellow"/>
        </w:rPr>
        <w:fldChar w:fldCharType="separate"/>
      </w:r>
      <w:r w:rsidR="00E816B8" w:rsidRPr="00E816B8">
        <w:rPr>
          <w:b/>
        </w:rPr>
        <w:t xml:space="preserve">Figure </w:t>
      </w:r>
      <w:r w:rsidR="00E816B8" w:rsidRPr="00E816B8">
        <w:rPr>
          <w:b/>
          <w:noProof/>
        </w:rPr>
        <w:t>5.3</w:t>
      </w:r>
      <w:r w:rsidR="00CB259F" w:rsidRPr="00CB259F">
        <w:rPr>
          <w:b/>
          <w:szCs w:val="18"/>
          <w:highlight w:val="yellow"/>
        </w:rPr>
        <w:fldChar w:fldCharType="end"/>
      </w:r>
      <w:r w:rsidR="006E23FB" w:rsidRPr="00096BC3">
        <w:rPr>
          <w:szCs w:val="18"/>
        </w:rPr>
        <w:t>)</w:t>
      </w:r>
      <w:r w:rsidR="00306219" w:rsidRPr="00073514">
        <w:rPr>
          <w:szCs w:val="18"/>
        </w:rPr>
        <w:t xml:space="preserve">. </w:t>
      </w:r>
      <w:r w:rsidR="00620D81" w:rsidRPr="003E73F3">
        <w:rPr>
          <w:szCs w:val="18"/>
        </w:rPr>
        <w:t>The overriding theme</w:t>
      </w:r>
      <w:r w:rsidR="00620D81" w:rsidRPr="00611BAA" w:rsidDel="0087625E">
        <w:rPr>
          <w:szCs w:val="18"/>
        </w:rPr>
        <w:t xml:space="preserve"> </w:t>
      </w:r>
      <w:r w:rsidR="0087625E" w:rsidRPr="00946300">
        <w:rPr>
          <w:szCs w:val="18"/>
        </w:rPr>
        <w:t xml:space="preserve">was </w:t>
      </w:r>
      <w:r w:rsidR="00620D81" w:rsidRPr="00946300">
        <w:rPr>
          <w:szCs w:val="18"/>
        </w:rPr>
        <w:t>that stakeholder</w:t>
      </w:r>
      <w:r w:rsidR="0087625E" w:rsidRPr="00392AAF">
        <w:rPr>
          <w:szCs w:val="18"/>
        </w:rPr>
        <w:t>s (</w:t>
      </w:r>
      <w:r w:rsidR="00E265DD" w:rsidRPr="00F57169">
        <w:rPr>
          <w:szCs w:val="18"/>
        </w:rPr>
        <w:t xml:space="preserve">across </w:t>
      </w:r>
      <w:r w:rsidR="008440B3" w:rsidRPr="001C1F93">
        <w:rPr>
          <w:szCs w:val="18"/>
        </w:rPr>
        <w:t>all segments surveyed)</w:t>
      </w:r>
      <w:r w:rsidR="00620D81" w:rsidRPr="001C1F93">
        <w:rPr>
          <w:szCs w:val="18"/>
        </w:rPr>
        <w:t xml:space="preserve"> generally perceived limited visibility and transparency of NOPSEMA’s strategic direction. </w:t>
      </w:r>
      <w:r w:rsidR="000426D8" w:rsidRPr="00C9422D">
        <w:rPr>
          <w:szCs w:val="18"/>
        </w:rPr>
        <w:t xml:space="preserve">Comments </w:t>
      </w:r>
      <w:r w:rsidR="000426D8" w:rsidRPr="00096BC3">
        <w:rPr>
          <w:szCs w:val="18"/>
        </w:rPr>
        <w:t xml:space="preserve">like </w:t>
      </w:r>
      <w:r w:rsidR="000426D8" w:rsidRPr="002027C8">
        <w:rPr>
          <w:i/>
          <w:szCs w:val="18"/>
        </w:rPr>
        <w:t xml:space="preserve">“NOPSEMA’s strategic direction is very inwards-focused and doesn’t reflect emerging trends and the needs for a regulator to adapt” </w:t>
      </w:r>
      <w:r w:rsidR="000426D8" w:rsidRPr="00096BC3">
        <w:rPr>
          <w:szCs w:val="18"/>
        </w:rPr>
        <w:t>demonstrate the sentiment from industry.</w:t>
      </w:r>
      <w:r w:rsidR="000426D8" w:rsidRPr="00611BAA">
        <w:rPr>
          <w:szCs w:val="18"/>
        </w:rPr>
        <w:t xml:space="preserve"> </w:t>
      </w:r>
      <w:r w:rsidR="00D31E0F" w:rsidRPr="00911F0E">
        <w:rPr>
          <w:szCs w:val="18"/>
        </w:rPr>
        <w:t>This was also echoed throu</w:t>
      </w:r>
      <w:r w:rsidR="00D31E0F" w:rsidRPr="00372FB6">
        <w:rPr>
          <w:szCs w:val="18"/>
        </w:rPr>
        <w:t>gh our interviews with industry stakeholders</w:t>
      </w:r>
      <w:r w:rsidR="005E3B8B" w:rsidRPr="009013BE">
        <w:rPr>
          <w:szCs w:val="18"/>
        </w:rPr>
        <w:t>.</w:t>
      </w:r>
    </w:p>
    <w:p w14:paraId="37714543" w14:textId="72CA5B5A" w:rsidR="00CB259F" w:rsidRPr="00CB259F" w:rsidRDefault="00CB259F" w:rsidP="004B089B">
      <w:pPr>
        <w:pStyle w:val="Caption"/>
        <w:keepNext/>
      </w:pPr>
      <w:bookmarkStart w:id="38" w:name="_Ref58445157"/>
      <w:r>
        <w:lastRenderedPageBreak/>
        <w:t xml:space="preserve">Figure </w:t>
      </w:r>
      <w:r w:rsidR="00AD41F8">
        <w:fldChar w:fldCharType="begin"/>
      </w:r>
      <w:r w:rsidR="00AD41F8">
        <w:instrText xml:space="preserve"> STYLEREF 1 \s </w:instrText>
      </w:r>
      <w:r w:rsidR="00AD41F8">
        <w:fldChar w:fldCharType="separate"/>
      </w:r>
      <w:r w:rsidR="00E816B8">
        <w:rPr>
          <w:noProof/>
        </w:rPr>
        <w:t>5</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3</w:t>
      </w:r>
      <w:r w:rsidR="00AD41F8">
        <w:fldChar w:fldCharType="end"/>
      </w:r>
      <w:bookmarkEnd w:id="38"/>
      <w:r>
        <w:t>: Survey responses to NOPSEMA’s strategic direction</w:t>
      </w:r>
    </w:p>
    <w:p w14:paraId="3DA6E5BF" w14:textId="02AE8050" w:rsidR="00FF0307" w:rsidRDefault="00256721" w:rsidP="001F661C">
      <w:pPr>
        <w:spacing w:after="120" w:line="240" w:lineRule="auto"/>
      </w:pPr>
      <w:r>
        <w:rPr>
          <w:noProof/>
          <w:lang w:eastAsia="en-AU"/>
        </w:rPr>
        <w:drawing>
          <wp:inline distT="0" distB="0" distL="0" distR="0" wp14:anchorId="7B7D1CC1" wp14:editId="7BC868DD">
            <wp:extent cx="6202045" cy="3143250"/>
            <wp:effectExtent l="0" t="0" r="8255" b="0"/>
            <wp:docPr id="26" name="Chart 2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F175DF3-FAFD-4EEA-8133-BD4BC33D2C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B2F2A07" w14:textId="77777777" w:rsidR="0055514A" w:rsidRPr="00901C7B" w:rsidRDefault="0055514A" w:rsidP="00A067D9">
      <w:pPr>
        <w:pStyle w:val="Caption"/>
        <w:rPr>
          <w:b w:val="0"/>
          <w:bCs/>
          <w:i/>
          <w:iCs w:val="0"/>
          <w:color w:val="75787B" w:themeColor="accent6"/>
        </w:rPr>
      </w:pPr>
      <w:r w:rsidRPr="00901C7B">
        <w:rPr>
          <w:b w:val="0"/>
          <w:bCs/>
          <w:i/>
          <w:iCs w:val="0"/>
          <w:color w:val="75787B" w:themeColor="accent6"/>
        </w:rPr>
        <w:t>Source: Deloitte Stakeholder Survey, Deloitte analysis</w:t>
      </w:r>
    </w:p>
    <w:p w14:paraId="4DA81931" w14:textId="4435667A" w:rsidR="001F661C" w:rsidRPr="00C81CBA" w:rsidRDefault="00D76546" w:rsidP="00F764AA">
      <w:pPr>
        <w:pStyle w:val="BodyCopyNEW"/>
        <w:rPr>
          <w:rFonts w:asciiTheme="majorHAnsi" w:hAnsiTheme="majorHAnsi" w:cs="Calibri"/>
          <w:szCs w:val="18"/>
        </w:rPr>
      </w:pPr>
      <w:r w:rsidRPr="00096BC3">
        <w:rPr>
          <w:szCs w:val="18"/>
        </w:rPr>
        <w:t>Although NOPSEMA do</w:t>
      </w:r>
      <w:r w:rsidR="00383A0B" w:rsidRPr="00073514">
        <w:rPr>
          <w:szCs w:val="18"/>
        </w:rPr>
        <w:t>es</w:t>
      </w:r>
      <w:r w:rsidRPr="003E73F3">
        <w:rPr>
          <w:szCs w:val="18"/>
        </w:rPr>
        <w:t xml:space="preserve"> publish </w:t>
      </w:r>
      <w:r w:rsidR="00383A0B" w:rsidRPr="00611BAA">
        <w:rPr>
          <w:szCs w:val="18"/>
        </w:rPr>
        <w:t xml:space="preserve">its </w:t>
      </w:r>
      <w:r w:rsidRPr="00946300">
        <w:rPr>
          <w:szCs w:val="18"/>
        </w:rPr>
        <w:t>Corporate Plan</w:t>
      </w:r>
      <w:r w:rsidR="00C8475D" w:rsidRPr="00946300">
        <w:rPr>
          <w:szCs w:val="18"/>
        </w:rPr>
        <w:t xml:space="preserve"> and provide a forward view of</w:t>
      </w:r>
      <w:r w:rsidR="00F74FC1" w:rsidRPr="00392AAF">
        <w:rPr>
          <w:szCs w:val="18"/>
        </w:rPr>
        <w:t xml:space="preserve"> </w:t>
      </w:r>
      <w:r w:rsidR="008F5C56" w:rsidRPr="00F57169">
        <w:rPr>
          <w:szCs w:val="18"/>
        </w:rPr>
        <w:t xml:space="preserve">its </w:t>
      </w:r>
      <w:r w:rsidR="00F74FC1" w:rsidRPr="005C158E">
        <w:rPr>
          <w:szCs w:val="18"/>
        </w:rPr>
        <w:t xml:space="preserve">strategic </w:t>
      </w:r>
      <w:r w:rsidR="008F5C56" w:rsidRPr="00911F0E">
        <w:rPr>
          <w:szCs w:val="18"/>
        </w:rPr>
        <w:t xml:space="preserve">areas of focus </w:t>
      </w:r>
      <w:r w:rsidR="00F74FC1" w:rsidRPr="00372FB6">
        <w:rPr>
          <w:szCs w:val="18"/>
        </w:rPr>
        <w:t xml:space="preserve">to </w:t>
      </w:r>
      <w:r w:rsidR="003A7EC0" w:rsidRPr="004602AD">
        <w:rPr>
          <w:szCs w:val="18"/>
        </w:rPr>
        <w:t>APPEA</w:t>
      </w:r>
      <w:r w:rsidR="00671919" w:rsidRPr="009013BE">
        <w:rPr>
          <w:szCs w:val="18"/>
        </w:rPr>
        <w:t xml:space="preserve"> and through engagements with </w:t>
      </w:r>
      <w:r w:rsidR="009A535B">
        <w:rPr>
          <w:szCs w:val="18"/>
        </w:rPr>
        <w:t>title</w:t>
      </w:r>
      <w:r w:rsidR="00671919" w:rsidRPr="009013BE">
        <w:rPr>
          <w:szCs w:val="18"/>
        </w:rPr>
        <w:t xml:space="preserve">holder </w:t>
      </w:r>
      <w:r w:rsidR="00671919" w:rsidRPr="00096BC3">
        <w:rPr>
          <w:szCs w:val="18"/>
        </w:rPr>
        <w:t xml:space="preserve">executive </w:t>
      </w:r>
      <w:r w:rsidR="006973E1" w:rsidRPr="00073514">
        <w:rPr>
          <w:szCs w:val="18"/>
        </w:rPr>
        <w:t>teams</w:t>
      </w:r>
      <w:r w:rsidRPr="003E73F3">
        <w:rPr>
          <w:szCs w:val="18"/>
        </w:rPr>
        <w:t xml:space="preserve">, stakeholder feedback would suggest NOPSEMA’s strategic direction is not clearly or actively communicated enough. </w:t>
      </w:r>
      <w:r w:rsidR="00526CEA">
        <w:rPr>
          <w:szCs w:val="18"/>
        </w:rPr>
        <w:t>A</w:t>
      </w:r>
      <w:r w:rsidR="008440B3" w:rsidRPr="00392AAF">
        <w:rPr>
          <w:szCs w:val="18"/>
        </w:rPr>
        <w:t xml:space="preserve"> transparent regulatory</w:t>
      </w:r>
      <w:r w:rsidR="001F661C" w:rsidRPr="00F57169">
        <w:rPr>
          <w:szCs w:val="18"/>
        </w:rPr>
        <w:t xml:space="preserve"> strategy is imperative for NOPSEMA in a cost recovered environment, as it provides a found</w:t>
      </w:r>
      <w:r w:rsidR="001F661C" w:rsidRPr="005C158E">
        <w:rPr>
          <w:szCs w:val="18"/>
        </w:rPr>
        <w:t xml:space="preserve">ation through which NOPSEMA can communicate its intent and for industry to understand the regulator’s focus. </w:t>
      </w:r>
      <w:r w:rsidR="001F661C" w:rsidRPr="004602AD">
        <w:rPr>
          <w:szCs w:val="18"/>
        </w:rPr>
        <w:t>We suggest that gre</w:t>
      </w:r>
      <w:r w:rsidR="001F661C" w:rsidRPr="009013BE">
        <w:rPr>
          <w:szCs w:val="18"/>
        </w:rPr>
        <w:t>ater clarity of intent to industry would remove some of the negative perceptions about the regulator.</w:t>
      </w:r>
    </w:p>
    <w:p w14:paraId="6EB926C1" w14:textId="25BFF46E" w:rsidR="00FE67B3" w:rsidRPr="00276A29" w:rsidRDefault="00ED2719" w:rsidP="00F764AA">
      <w:pPr>
        <w:pStyle w:val="BodyCopyNEW"/>
        <w:rPr>
          <w:szCs w:val="18"/>
        </w:rPr>
      </w:pPr>
      <w:r w:rsidRPr="00953CA5">
        <w:rPr>
          <w:szCs w:val="18"/>
        </w:rPr>
        <w:t>Also, t</w:t>
      </w:r>
      <w:r w:rsidR="00906820" w:rsidRPr="00953CA5">
        <w:rPr>
          <w:szCs w:val="18"/>
        </w:rPr>
        <w:t>hrough our conversations with NOPSEMA leadership and stakeholder feedback received</w:t>
      </w:r>
      <w:r w:rsidR="00906820" w:rsidRPr="00171DEA">
        <w:rPr>
          <w:szCs w:val="18"/>
        </w:rPr>
        <w:t xml:space="preserve">, there is more work that can be done to promote a </w:t>
      </w:r>
      <w:r w:rsidRPr="00777C5D">
        <w:rPr>
          <w:szCs w:val="18"/>
        </w:rPr>
        <w:t>risk-based</w:t>
      </w:r>
      <w:r w:rsidR="00906820" w:rsidRPr="006C6606">
        <w:rPr>
          <w:szCs w:val="18"/>
        </w:rPr>
        <w:t xml:space="preserve"> intent and focus by the regulator. We acknowledge the </w:t>
      </w:r>
      <w:r w:rsidR="00485960">
        <w:rPr>
          <w:szCs w:val="18"/>
        </w:rPr>
        <w:t>considerable</w:t>
      </w:r>
      <w:r w:rsidR="00485960" w:rsidRPr="0047319A">
        <w:rPr>
          <w:szCs w:val="18"/>
        </w:rPr>
        <w:t xml:space="preserve"> </w:t>
      </w:r>
      <w:r w:rsidR="00906820" w:rsidRPr="0047319A">
        <w:rPr>
          <w:szCs w:val="18"/>
        </w:rPr>
        <w:t xml:space="preserve">work done by NOPSEMA </w:t>
      </w:r>
      <w:r w:rsidR="00D14028" w:rsidRPr="00C9422D">
        <w:rPr>
          <w:szCs w:val="18"/>
        </w:rPr>
        <w:t xml:space="preserve">to internally understand the risks inherent in industry, and the work NOPSEMA does to promote and collaborate with industry. </w:t>
      </w:r>
      <w:r w:rsidR="0068470C" w:rsidRPr="00C9422D">
        <w:rPr>
          <w:szCs w:val="18"/>
        </w:rPr>
        <w:t>However, the</w:t>
      </w:r>
      <w:r w:rsidR="00BB7108" w:rsidRPr="00F53817">
        <w:rPr>
          <w:szCs w:val="18"/>
        </w:rPr>
        <w:t xml:space="preserve"> </w:t>
      </w:r>
      <w:r w:rsidR="008F3558" w:rsidRPr="00A32AAE">
        <w:rPr>
          <w:szCs w:val="18"/>
        </w:rPr>
        <w:t>next</w:t>
      </w:r>
      <w:r w:rsidR="008F3558" w:rsidRPr="00B575BF">
        <w:rPr>
          <w:szCs w:val="18"/>
        </w:rPr>
        <w:t xml:space="preserve"> step of NOPSEMA’s journey to increase transparency</w:t>
      </w:r>
      <w:r w:rsidR="00D14028" w:rsidRPr="00D11371">
        <w:rPr>
          <w:szCs w:val="18"/>
        </w:rPr>
        <w:t xml:space="preserve"> is </w:t>
      </w:r>
      <w:r w:rsidR="008F3558" w:rsidRPr="003E4CD6">
        <w:rPr>
          <w:szCs w:val="18"/>
        </w:rPr>
        <w:t xml:space="preserve">to encourage </w:t>
      </w:r>
      <w:r w:rsidR="00D14028" w:rsidRPr="00777710">
        <w:rPr>
          <w:szCs w:val="18"/>
        </w:rPr>
        <w:t xml:space="preserve">greater </w:t>
      </w:r>
      <w:r w:rsidR="008F3558" w:rsidRPr="00777710">
        <w:rPr>
          <w:szCs w:val="18"/>
        </w:rPr>
        <w:t xml:space="preserve">industry </w:t>
      </w:r>
      <w:r w:rsidR="00D14028" w:rsidRPr="006F091B">
        <w:rPr>
          <w:szCs w:val="18"/>
        </w:rPr>
        <w:t xml:space="preserve">collaboration </w:t>
      </w:r>
      <w:r w:rsidR="008F3558" w:rsidRPr="006610D9">
        <w:rPr>
          <w:szCs w:val="18"/>
        </w:rPr>
        <w:t xml:space="preserve">for the identification of industry </w:t>
      </w:r>
      <w:r w:rsidR="00D14028" w:rsidRPr="00711FC9">
        <w:rPr>
          <w:szCs w:val="18"/>
        </w:rPr>
        <w:t xml:space="preserve">risks </w:t>
      </w:r>
      <w:r w:rsidR="008F3558" w:rsidRPr="00834F3C">
        <w:rPr>
          <w:szCs w:val="18"/>
        </w:rPr>
        <w:t xml:space="preserve">and trends </w:t>
      </w:r>
      <w:r w:rsidR="00D14028" w:rsidRPr="00834F3C">
        <w:rPr>
          <w:szCs w:val="18"/>
        </w:rPr>
        <w:t xml:space="preserve">(both </w:t>
      </w:r>
      <w:r w:rsidR="009D2DEF" w:rsidRPr="00FF42CF">
        <w:rPr>
          <w:szCs w:val="18"/>
        </w:rPr>
        <w:t xml:space="preserve">opportunities and threats) </w:t>
      </w:r>
      <w:r w:rsidR="008F3558" w:rsidRPr="00FF42CF">
        <w:rPr>
          <w:szCs w:val="18"/>
        </w:rPr>
        <w:t xml:space="preserve">to inform strategic direction but also drive a common ground </w:t>
      </w:r>
      <w:r w:rsidR="008F3558" w:rsidRPr="002113A4">
        <w:rPr>
          <w:szCs w:val="18"/>
        </w:rPr>
        <w:t>across indu</w:t>
      </w:r>
      <w:r w:rsidR="008F3558" w:rsidRPr="001D4317">
        <w:rPr>
          <w:szCs w:val="18"/>
        </w:rPr>
        <w:t>stry players</w:t>
      </w:r>
      <w:r w:rsidR="009D2DEF" w:rsidRPr="00C75BED">
        <w:rPr>
          <w:szCs w:val="18"/>
        </w:rPr>
        <w:t>. The Corporate Plan has very little risk-based information captured to demonstrate the regulatory intent and focus for the period – and the outcome achieved th</w:t>
      </w:r>
      <w:r w:rsidR="009D2DEF" w:rsidRPr="00A25353">
        <w:rPr>
          <w:szCs w:val="18"/>
        </w:rPr>
        <w:t xml:space="preserve">rough which the regulator and the industry can hold themselves to account in the promotion and </w:t>
      </w:r>
      <w:r w:rsidR="009D2DEF" w:rsidRPr="00276A29">
        <w:rPr>
          <w:szCs w:val="18"/>
        </w:rPr>
        <w:t>protection of workers and the environment in the offshore industry.</w:t>
      </w:r>
    </w:p>
    <w:tbl>
      <w:tblPr>
        <w:tblStyle w:val="TableGrid"/>
        <w:tblpPr w:leftFromText="180" w:rightFromText="180" w:vertAnchor="text" w:horzAnchor="margin" w:tblpY="87"/>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5C158E" w:rsidRPr="00733441" w14:paraId="7AC7D2CE" w14:textId="77777777" w:rsidTr="002F7580">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6DF212CA" w14:textId="44A61E73" w:rsidR="005C158E" w:rsidRPr="00E53183" w:rsidRDefault="005C158E" w:rsidP="002F7580">
            <w:pPr>
              <w:pStyle w:val="TableHeadingLeft"/>
            </w:pPr>
            <w:r w:rsidRPr="00E53183">
              <w:t>Recommendation #</w:t>
            </w:r>
            <w:r w:rsidR="000861E3" w:rsidRPr="00E53183">
              <w:t>2</w:t>
            </w:r>
          </w:p>
        </w:tc>
      </w:tr>
      <w:tr w:rsidR="005C158E" w:rsidRPr="00733441" w14:paraId="15BBD0C4" w14:textId="77777777" w:rsidTr="002F7580">
        <w:tc>
          <w:tcPr>
            <w:tcW w:w="9864" w:type="dxa"/>
            <w:tcBorders>
              <w:bottom w:val="nil"/>
            </w:tcBorders>
            <w:shd w:val="clear" w:color="auto" w:fill="F2F2F2" w:themeFill="background1" w:themeFillShade="F2"/>
          </w:tcPr>
          <w:p w14:paraId="5EEF19C0" w14:textId="631E9F39" w:rsidR="005C158E" w:rsidRPr="00777E58" w:rsidRDefault="00E950D6" w:rsidP="002F7580">
            <w:pPr>
              <w:pStyle w:val="BodyCopyNEW"/>
            </w:pPr>
            <w:r w:rsidRPr="00777E58">
              <w:rPr>
                <w:szCs w:val="18"/>
              </w:rPr>
              <w:t>NOPSEMA</w:t>
            </w:r>
            <w:r w:rsidRPr="00777E58">
              <w:t>, in consultat</w:t>
            </w:r>
            <w:r w:rsidRPr="00777E58">
              <w:rPr>
                <w:szCs w:val="18"/>
              </w:rPr>
              <w:t>ion with the Minister and in alignment with the OPGGS Act, should develop a regulatory strategy (or update its current Corporate Plan document/approach) to reflect the broader risks and trends of the industry, how NOPSEMA is responding, and its role in influencing, overseeing, and enforcing expectations with industry.</w:t>
            </w:r>
          </w:p>
        </w:tc>
      </w:tr>
    </w:tbl>
    <w:p w14:paraId="19AF70D2" w14:textId="55FB9962" w:rsidR="001E3F70" w:rsidRDefault="00163497" w:rsidP="00901C7B">
      <w:pPr>
        <w:pStyle w:val="BodyCopyNEW"/>
        <w:spacing w:before="120"/>
        <w:sectPr w:rsidR="001E3F70" w:rsidSect="002B0B05">
          <w:headerReference w:type="default" r:id="rId38"/>
          <w:type w:val="continuous"/>
          <w:pgSz w:w="11906" w:h="16838" w:code="9"/>
          <w:pgMar w:top="1985" w:right="1021" w:bottom="1134" w:left="1021" w:header="680" w:footer="425" w:gutter="0"/>
          <w:cols w:space="284"/>
          <w:docGrid w:linePitch="360"/>
        </w:sectPr>
      </w:pPr>
      <w:r w:rsidRPr="00096BC3">
        <w:rPr>
          <w:szCs w:val="18"/>
        </w:rPr>
        <w:t xml:space="preserve">Supporting performance measures for </w:t>
      </w:r>
      <w:r w:rsidR="007E2F62" w:rsidRPr="00073514">
        <w:rPr>
          <w:szCs w:val="18"/>
        </w:rPr>
        <w:t>the above</w:t>
      </w:r>
      <w:r w:rsidRPr="003E73F3">
        <w:rPr>
          <w:szCs w:val="18"/>
        </w:rPr>
        <w:t xml:space="preserve"> regulatory strategy should be SMART </w:t>
      </w:r>
      <w:r w:rsidRPr="00611BAA">
        <w:rPr>
          <w:rFonts w:cs="Times New Roman"/>
          <w:szCs w:val="18"/>
        </w:rPr>
        <w:t>(</w:t>
      </w:r>
      <w:r w:rsidRPr="00946300">
        <w:rPr>
          <w:rFonts w:cs="Times New Roman"/>
          <w:szCs w:val="18"/>
        </w:rPr>
        <w:t xml:space="preserve">Specific, Measurable, Achievable, Relevant, Time-bound) </w:t>
      </w:r>
      <w:r w:rsidRPr="00392AAF">
        <w:rPr>
          <w:szCs w:val="18"/>
        </w:rPr>
        <w:t>and aligned to the desired regulatory outcome(s), not the output(s).</w:t>
      </w:r>
      <w:r w:rsidR="007D64B5">
        <w:rPr>
          <w:szCs w:val="18"/>
        </w:rPr>
        <w:t xml:space="preserve"> </w:t>
      </w:r>
      <w:r w:rsidRPr="005C158E">
        <w:rPr>
          <w:szCs w:val="18"/>
        </w:rPr>
        <w:t xml:space="preserve">The regulatory strategy should </w:t>
      </w:r>
      <w:r w:rsidR="007D64B5">
        <w:rPr>
          <w:szCs w:val="18"/>
        </w:rPr>
        <w:t xml:space="preserve">also </w:t>
      </w:r>
      <w:r w:rsidRPr="005C158E">
        <w:rPr>
          <w:szCs w:val="18"/>
        </w:rPr>
        <w:t>be developed in consultation with DISER, the NOPSEMA Advisory Board, and other industry stakeholders to promote greater collaboration. The final strategy should then be publ</w:t>
      </w:r>
      <w:r w:rsidRPr="00911F0E">
        <w:rPr>
          <w:szCs w:val="18"/>
        </w:rPr>
        <w:t>ished on NOPSEMA’s website, with performance tracked and reported annually</w:t>
      </w:r>
      <w:r>
        <w:t>.</w:t>
      </w:r>
    </w:p>
    <w:p w14:paraId="2265325F" w14:textId="3DEF201B" w:rsidR="004D13A7" w:rsidRPr="005E272D" w:rsidRDefault="004D13A7" w:rsidP="00901C7B">
      <w:pPr>
        <w:pStyle w:val="BodyCopyNEW"/>
      </w:pPr>
    </w:p>
    <w:p w14:paraId="22013908" w14:textId="771EA435" w:rsidR="00D24BBC" w:rsidRDefault="006B1708" w:rsidP="00FA2482">
      <w:pPr>
        <w:pStyle w:val="Heading1"/>
        <w:ind w:right="4477"/>
      </w:pPr>
      <w:bookmarkStart w:id="39" w:name="_Toc56148039"/>
      <w:bookmarkStart w:id="40" w:name="_Ref55978299"/>
      <w:bookmarkStart w:id="41" w:name="_Ref55990498"/>
      <w:bookmarkStart w:id="42" w:name="_Ref56064416"/>
      <w:bookmarkStart w:id="43" w:name="_Ref56073530"/>
      <w:bookmarkStart w:id="44" w:name="_Ref56078742"/>
      <w:bookmarkStart w:id="45" w:name="_Toc63970843"/>
      <w:bookmarkEnd w:id="39"/>
      <w:r>
        <w:rPr>
          <w:noProof/>
          <w:lang w:eastAsia="en-AU"/>
        </w:rPr>
        <w:lastRenderedPageBreak/>
        <w:drawing>
          <wp:anchor distT="0" distB="0" distL="114300" distR="114300" simplePos="0" relativeHeight="251658246" behindDoc="1" locked="0" layoutInCell="1" allowOverlap="1" wp14:anchorId="0E95FAF8" wp14:editId="12977D34">
            <wp:simplePos x="0" y="0"/>
            <wp:positionH relativeFrom="page">
              <wp:align>right</wp:align>
            </wp:positionH>
            <wp:positionV relativeFrom="paragraph">
              <wp:posOffset>-1256030</wp:posOffset>
            </wp:positionV>
            <wp:extent cx="7559675" cy="10693400"/>
            <wp:effectExtent l="0" t="0" r="317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r w:rsidR="000A7080">
        <w:t xml:space="preserve">How </w:t>
      </w:r>
      <w:r w:rsidR="001D32BA">
        <w:t xml:space="preserve">does </w:t>
      </w:r>
      <w:r w:rsidR="000A7080">
        <w:t>NOPSEMA effectively regulate and use its powers</w:t>
      </w:r>
      <w:bookmarkEnd w:id="40"/>
      <w:bookmarkEnd w:id="41"/>
      <w:bookmarkEnd w:id="42"/>
      <w:bookmarkEnd w:id="43"/>
      <w:bookmarkEnd w:id="44"/>
      <w:r w:rsidR="001D32BA">
        <w:t>?</w:t>
      </w:r>
      <w:bookmarkEnd w:id="45"/>
    </w:p>
    <w:p w14:paraId="6C6606D2" w14:textId="4667328C" w:rsidR="00C9181E" w:rsidRDefault="00C9181E" w:rsidP="00C9181E">
      <w:pPr>
        <w:pStyle w:val="Keypoints"/>
      </w:pPr>
    </w:p>
    <w:p w14:paraId="2120860D" w14:textId="6297DDA3" w:rsidR="00C9181E" w:rsidRPr="00A706C4" w:rsidRDefault="00C9181E" w:rsidP="00C9181E">
      <w:pPr>
        <w:pStyle w:val="Keypoints"/>
      </w:pPr>
      <w:r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6096"/>
        <w:gridCol w:w="3485"/>
      </w:tblGrid>
      <w:tr w:rsidR="00A45F88" w14:paraId="147AD565" w14:textId="77777777" w:rsidTr="001D7C52">
        <w:trPr>
          <w:cnfStyle w:val="100000000000" w:firstRow="1" w:lastRow="0" w:firstColumn="0" w:lastColumn="0" w:oddVBand="0" w:evenVBand="0" w:oddHBand="0" w:evenHBand="0" w:firstRowFirstColumn="0" w:firstRowLastColumn="0" w:lastRowFirstColumn="0" w:lastRowLastColumn="0"/>
        </w:trPr>
        <w:tc>
          <w:tcPr>
            <w:tcW w:w="6096" w:type="dxa"/>
            <w:shd w:val="clear" w:color="auto" w:fill="auto"/>
          </w:tcPr>
          <w:p w14:paraId="2F25B3D5" w14:textId="77777777" w:rsidR="00A45F88" w:rsidRPr="0009767E" w:rsidRDefault="00A45F88" w:rsidP="00A45F88">
            <w:pPr>
              <w:spacing w:after="60"/>
              <w:rPr>
                <w:rFonts w:ascii="Calibri" w:hAnsi="Calibri"/>
                <w:b/>
                <w:bCs/>
                <w:color w:val="007680"/>
                <w:sz w:val="20"/>
                <w:szCs w:val="20"/>
              </w:rPr>
            </w:pPr>
            <w:r w:rsidRPr="0009767E">
              <w:rPr>
                <w:rFonts w:ascii="Calibri" w:hAnsi="Calibri"/>
                <w:b/>
                <w:bCs/>
                <w:color w:val="007680"/>
                <w:sz w:val="20"/>
                <w:szCs w:val="20"/>
              </w:rPr>
              <w:t>Assessment</w:t>
            </w:r>
          </w:p>
          <w:p w14:paraId="5470B059" w14:textId="77777777" w:rsidR="00A45F88" w:rsidRPr="00355671" w:rsidRDefault="00A45F88" w:rsidP="00A45F88">
            <w:pPr>
              <w:spacing w:after="60"/>
              <w:rPr>
                <w:rFonts w:ascii="Calibri" w:hAnsi="Calibri"/>
                <w:b/>
                <w:bCs/>
                <w:sz w:val="20"/>
                <w:szCs w:val="20"/>
              </w:rPr>
            </w:pPr>
            <w:r w:rsidRPr="00355671">
              <w:rPr>
                <w:rFonts w:ascii="Calibri" w:hAnsi="Calibri"/>
                <w:b/>
                <w:bCs/>
                <w:sz w:val="20"/>
                <w:szCs w:val="20"/>
              </w:rPr>
              <w:t>Permissioning processes require collaboration to improve</w:t>
            </w:r>
          </w:p>
          <w:p w14:paraId="02EDA84A" w14:textId="0983448E" w:rsidR="00A45F88" w:rsidRPr="00777E58" w:rsidRDefault="00A45F88" w:rsidP="00A45F88">
            <w:pPr>
              <w:spacing w:after="60"/>
              <w:rPr>
                <w:rFonts w:ascii="Calibri" w:hAnsi="Calibri"/>
                <w:sz w:val="20"/>
                <w:szCs w:val="20"/>
              </w:rPr>
            </w:pPr>
            <w:r w:rsidRPr="00777E58">
              <w:rPr>
                <w:rFonts w:ascii="Calibri Light" w:hAnsi="Calibri Light"/>
              </w:rPr>
              <w:t>The approach (i.e. the frameworks and procedures) to permissioning is</w:t>
            </w:r>
            <w:r w:rsidR="00B642B6">
              <w:rPr>
                <w:rFonts w:ascii="Calibri Light" w:hAnsi="Calibri Light"/>
              </w:rPr>
              <w:t xml:space="preserve"> adequate for its purpose, b</w:t>
            </w:r>
            <w:r w:rsidRPr="00777E58">
              <w:rPr>
                <w:rFonts w:ascii="Calibri Light" w:hAnsi="Calibri Light"/>
              </w:rPr>
              <w:t xml:space="preserve">ut there are concerns with the usefulness of permissioning documents, perceived prescription in NOPSEMA’s approach and level of effort by industry to engage with the process. NOPSEMA also expressed a sentiment that the regulator is being used by some </w:t>
            </w:r>
            <w:r w:rsidR="00B9623E" w:rsidRPr="00777E58">
              <w:rPr>
                <w:rFonts w:ascii="Calibri Light" w:hAnsi="Calibri Light"/>
              </w:rPr>
              <w:t>title</w:t>
            </w:r>
            <w:r w:rsidRPr="00777E58">
              <w:rPr>
                <w:rFonts w:ascii="Calibri Light" w:hAnsi="Calibri Light"/>
              </w:rPr>
              <w:t xml:space="preserve">holders to identify weaknesses in documents, provide a list of deficiencies, and to enable the </w:t>
            </w:r>
            <w:r w:rsidR="00B9623E" w:rsidRPr="00777E58">
              <w:rPr>
                <w:rFonts w:ascii="Calibri Light" w:hAnsi="Calibri Light"/>
              </w:rPr>
              <w:t>title</w:t>
            </w:r>
            <w:r w:rsidRPr="00777E58">
              <w:rPr>
                <w:rFonts w:ascii="Calibri Light" w:hAnsi="Calibri Light"/>
              </w:rPr>
              <w:t xml:space="preserve">holder to submit an acceptable document. Our engagement with stakeholders identified a strong theme of inconsistency across assessment processes for permissioning documents. </w:t>
            </w:r>
            <w:r w:rsidR="00581788">
              <w:rPr>
                <w:rFonts w:ascii="Calibri Light" w:hAnsi="Calibri Light"/>
              </w:rPr>
              <w:t>There is</w:t>
            </w:r>
            <w:r w:rsidRPr="00777E58">
              <w:rPr>
                <w:rFonts w:ascii="Calibri Light" w:hAnsi="Calibri Light"/>
              </w:rPr>
              <w:t xml:space="preserve"> potential for improved </w:t>
            </w:r>
            <w:r w:rsidR="00D17F50" w:rsidRPr="00777E58">
              <w:rPr>
                <w:rFonts w:ascii="Calibri Light" w:hAnsi="Calibri Light"/>
              </w:rPr>
              <w:t xml:space="preserve">OHS </w:t>
            </w:r>
            <w:r w:rsidRPr="00777E58">
              <w:rPr>
                <w:rFonts w:ascii="Calibri Light" w:hAnsi="Calibri Light"/>
              </w:rPr>
              <w:t xml:space="preserve">and environmental outcomes from greater integration of the permissioning documents. The issues we have observed are not the responsibility of NOPSEMA alone to address. A joint industry-NOPSEMA approach will be required. </w:t>
            </w:r>
          </w:p>
        </w:tc>
        <w:tc>
          <w:tcPr>
            <w:tcW w:w="3485" w:type="dxa"/>
            <w:vMerge w:val="restart"/>
            <w:shd w:val="clear" w:color="auto" w:fill="auto"/>
          </w:tcPr>
          <w:p w14:paraId="5CE19D7A" w14:textId="77777777" w:rsidR="00A45F88" w:rsidRPr="00FC136B" w:rsidRDefault="00A45F88" w:rsidP="00A45F88">
            <w:pPr>
              <w:spacing w:after="60"/>
              <w:rPr>
                <w:rFonts w:ascii="Calibri" w:hAnsi="Calibri"/>
                <w:b/>
                <w:bCs/>
                <w:color w:val="007680"/>
                <w:sz w:val="20"/>
                <w:szCs w:val="20"/>
              </w:rPr>
            </w:pPr>
            <w:r w:rsidRPr="00FC136B">
              <w:rPr>
                <w:rFonts w:ascii="Calibri" w:hAnsi="Calibri"/>
                <w:b/>
                <w:bCs/>
                <w:color w:val="007680"/>
                <w:sz w:val="20"/>
                <w:szCs w:val="20"/>
              </w:rPr>
              <w:t>Enforcement</w:t>
            </w:r>
          </w:p>
          <w:p w14:paraId="56633FFD" w14:textId="77777777" w:rsidR="00A45F88" w:rsidRPr="00FC136B" w:rsidRDefault="621666D2" w:rsidP="00A45F88">
            <w:pPr>
              <w:spacing w:after="60"/>
              <w:rPr>
                <w:rFonts w:ascii="Calibri" w:hAnsi="Calibri"/>
                <w:b/>
                <w:bCs/>
                <w:sz w:val="20"/>
                <w:szCs w:val="20"/>
              </w:rPr>
            </w:pPr>
            <w:r w:rsidRPr="00FC136B">
              <w:rPr>
                <w:rFonts w:ascii="Calibri" w:hAnsi="Calibri"/>
                <w:b/>
                <w:bCs/>
                <w:sz w:val="20"/>
                <w:szCs w:val="20"/>
              </w:rPr>
              <w:t>NOPSEMA’s enforcement powers should be bolstered and enforcement actions more clearly communicated to stakeholders</w:t>
            </w:r>
          </w:p>
          <w:p w14:paraId="07FB1D76" w14:textId="60C9CC10" w:rsidR="00A45F88" w:rsidRPr="00777E58" w:rsidRDefault="00A45F88" w:rsidP="5BECF17B">
            <w:pPr>
              <w:spacing w:after="60"/>
              <w:rPr>
                <w:rFonts w:ascii="Calibri Light" w:hAnsi="Calibri Light"/>
              </w:rPr>
            </w:pPr>
            <w:r w:rsidRPr="00777E58">
              <w:rPr>
                <w:rFonts w:ascii="Calibri Light" w:hAnsi="Calibri Light"/>
              </w:rPr>
              <w:t xml:space="preserve">NOPSEMA’s suite of enforcement powers appear </w:t>
            </w:r>
            <w:r w:rsidR="006071B3" w:rsidRPr="00777E58">
              <w:rPr>
                <w:rFonts w:ascii="Calibri Light" w:hAnsi="Calibri Light"/>
              </w:rPr>
              <w:t xml:space="preserve">adequate for its purpose </w:t>
            </w:r>
            <w:r w:rsidRPr="00777E58">
              <w:rPr>
                <w:rFonts w:ascii="Calibri Light" w:hAnsi="Calibri Light"/>
              </w:rPr>
              <w:t xml:space="preserve">and enables a graduated enforcement approach. However, NOPSEMA would benefit from being given the equivalent power of a ‘section 27 offence’ (i.e. corporate officer due diligence) </w:t>
            </w:r>
            <w:r w:rsidR="00655562">
              <w:rPr>
                <w:rFonts w:ascii="Calibri Light" w:hAnsi="Calibri Light"/>
              </w:rPr>
              <w:t xml:space="preserve">as provided for </w:t>
            </w:r>
            <w:r w:rsidRPr="00777E58">
              <w:rPr>
                <w:rFonts w:ascii="Calibri Light" w:hAnsi="Calibri Light"/>
              </w:rPr>
              <w:t xml:space="preserve">under the harmonised WHS laws. </w:t>
            </w:r>
          </w:p>
          <w:p w14:paraId="389AB19D" w14:textId="74685634" w:rsidR="00160E9A" w:rsidRPr="00777E58" w:rsidRDefault="15FA3B43" w:rsidP="00160E9A">
            <w:pPr>
              <w:spacing w:after="60"/>
              <w:rPr>
                <w:rFonts w:ascii="Calibri Light" w:hAnsi="Calibri Light"/>
              </w:rPr>
            </w:pPr>
            <w:r w:rsidRPr="00777E58">
              <w:rPr>
                <w:rFonts w:ascii="Calibri Light" w:hAnsi="Calibri Light"/>
              </w:rPr>
              <w:t>The Government should update the OPGGS Act to provide an express power to enable NOPSEMA inspectors to electronically record answers to questions during an interview.</w:t>
            </w:r>
          </w:p>
          <w:p w14:paraId="7F252C30" w14:textId="2DCC5F44" w:rsidR="7FE876B1" w:rsidRPr="00777E58" w:rsidRDefault="180A28A0" w:rsidP="7FE876B1">
            <w:pPr>
              <w:spacing w:after="60"/>
              <w:rPr>
                <w:rFonts w:ascii="Calibri Light" w:hAnsi="Calibri Light"/>
              </w:rPr>
            </w:pPr>
            <w:r w:rsidRPr="00777E58">
              <w:rPr>
                <w:rFonts w:ascii="Calibri Light" w:hAnsi="Calibri Light"/>
              </w:rPr>
              <w:t>NOPSEMA should publish guidance for the benefit of stakeholders as to how, and in what circumstances, the law concerning self-incrimination is relevant when a NOPSEMA inspection exercises their powe</w:t>
            </w:r>
            <w:r w:rsidR="0D8AAB91" w:rsidRPr="00777E58">
              <w:rPr>
                <w:rFonts w:ascii="Calibri Light" w:hAnsi="Calibri Light"/>
              </w:rPr>
              <w:t>rs requiring a person to answer questions or produce documents.</w:t>
            </w:r>
          </w:p>
          <w:p w14:paraId="219CB2AC" w14:textId="6C0F4789" w:rsidR="00A45F88" w:rsidRPr="00777E58" w:rsidRDefault="621666D2" w:rsidP="00A45F88">
            <w:pPr>
              <w:spacing w:after="60"/>
              <w:rPr>
                <w:rFonts w:ascii="Calibri Light" w:hAnsi="Calibri Light"/>
              </w:rPr>
            </w:pPr>
            <w:r w:rsidRPr="00777E58">
              <w:rPr>
                <w:rFonts w:ascii="Calibri Light" w:hAnsi="Calibri Light"/>
              </w:rPr>
              <w:t xml:space="preserve">There was a perceived concern by some non-industry stakeholders of insufficient enforcement action by NOPSEMA. At face value NOPSEMA’s rate of prosecutions are low. However, NOPSEMA has undertaken a range of other enforcement actions in response to incidents and non-compliance by </w:t>
            </w:r>
            <w:r w:rsidR="6C73BD1A" w:rsidRPr="00777E58">
              <w:rPr>
                <w:rFonts w:ascii="Calibri Light" w:hAnsi="Calibri Light"/>
              </w:rPr>
              <w:t>title</w:t>
            </w:r>
            <w:r w:rsidRPr="00777E58">
              <w:rPr>
                <w:rFonts w:ascii="Calibri Light" w:hAnsi="Calibri Light"/>
              </w:rPr>
              <w:t>holders. Accordingly, NOPSEMA should more actively communicate to stakeholders its enforcement approach and the full suite of enforcement actions it undertakes.</w:t>
            </w:r>
          </w:p>
          <w:p w14:paraId="137F33C6" w14:textId="6A919F3E" w:rsidR="00A45F88" w:rsidRPr="00FC136B" w:rsidRDefault="00A45F88" w:rsidP="00A45F88">
            <w:pPr>
              <w:spacing w:after="60"/>
              <w:rPr>
                <w:rFonts w:ascii="Calibri" w:hAnsi="Calibri"/>
                <w:b/>
                <w:bCs/>
                <w:color w:val="00ABAB"/>
                <w:sz w:val="20"/>
                <w:szCs w:val="20"/>
              </w:rPr>
            </w:pPr>
            <w:r w:rsidRPr="00FC136B">
              <w:rPr>
                <w:rFonts w:ascii="Calibri" w:hAnsi="Calibri"/>
                <w:b/>
                <w:bCs/>
                <w:sz w:val="20"/>
                <w:szCs w:val="20"/>
              </w:rPr>
              <w:t xml:space="preserve">Recommendations: </w:t>
            </w:r>
            <w:r w:rsidRPr="00FC136B">
              <w:rPr>
                <w:rFonts w:ascii="Calibri" w:hAnsi="Calibri"/>
                <w:b/>
                <w:bCs/>
                <w:color w:val="00ABAB"/>
                <w:sz w:val="20"/>
                <w:szCs w:val="20"/>
              </w:rPr>
              <w:t>3, 4, 5, 6, 7</w:t>
            </w:r>
            <w:r w:rsidR="00D31D3C" w:rsidRPr="00FC136B">
              <w:rPr>
                <w:rFonts w:ascii="Calibri" w:hAnsi="Calibri"/>
                <w:b/>
                <w:bCs/>
                <w:color w:val="00ABAB"/>
                <w:sz w:val="20"/>
                <w:szCs w:val="20"/>
              </w:rPr>
              <w:t>, 8</w:t>
            </w:r>
          </w:p>
          <w:p w14:paraId="33FD38DA" w14:textId="08BE2E0E" w:rsidR="00A45F88" w:rsidRPr="00FC136B" w:rsidRDefault="00A45F88" w:rsidP="00A45F88">
            <w:pPr>
              <w:spacing w:after="60"/>
              <w:rPr>
                <w:rFonts w:ascii="Calibri" w:hAnsi="Calibri"/>
                <w:b/>
                <w:bCs/>
                <w:sz w:val="20"/>
                <w:szCs w:val="20"/>
              </w:rPr>
            </w:pPr>
            <w:r w:rsidRPr="00FC136B">
              <w:rPr>
                <w:rFonts w:ascii="Calibri" w:hAnsi="Calibri"/>
                <w:b/>
                <w:bCs/>
                <w:sz w:val="20"/>
                <w:szCs w:val="20"/>
              </w:rPr>
              <w:t xml:space="preserve">Opportunities: </w:t>
            </w:r>
            <w:r w:rsidRPr="00FC136B">
              <w:rPr>
                <w:rFonts w:ascii="Calibri" w:hAnsi="Calibri"/>
                <w:b/>
                <w:bCs/>
                <w:color w:val="00ABAB"/>
                <w:sz w:val="20"/>
                <w:szCs w:val="20"/>
              </w:rPr>
              <w:t>1, 2, 3, 4, 5</w:t>
            </w:r>
            <w:r w:rsidR="000D0E4F">
              <w:rPr>
                <w:rFonts w:ascii="Calibri" w:hAnsi="Calibri"/>
                <w:b/>
                <w:bCs/>
                <w:color w:val="00ABAB"/>
                <w:sz w:val="20"/>
                <w:szCs w:val="20"/>
              </w:rPr>
              <w:t>, 6</w:t>
            </w:r>
          </w:p>
        </w:tc>
      </w:tr>
      <w:tr w:rsidR="00A45F88" w14:paraId="66D05D9B" w14:textId="77777777" w:rsidTr="001D7C52">
        <w:tc>
          <w:tcPr>
            <w:tcW w:w="6096" w:type="dxa"/>
            <w:shd w:val="clear" w:color="auto" w:fill="auto"/>
          </w:tcPr>
          <w:p w14:paraId="7905E42D" w14:textId="546FA35F" w:rsidR="00A45F88" w:rsidRPr="0009767E" w:rsidRDefault="00A45F88" w:rsidP="00A45F88">
            <w:pPr>
              <w:spacing w:after="60"/>
              <w:rPr>
                <w:rFonts w:ascii="Calibri" w:hAnsi="Calibri"/>
                <w:b/>
                <w:bCs/>
                <w:color w:val="007680"/>
                <w:sz w:val="20"/>
                <w:szCs w:val="20"/>
              </w:rPr>
            </w:pPr>
            <w:r w:rsidRPr="0009767E">
              <w:rPr>
                <w:rFonts w:ascii="Calibri" w:hAnsi="Calibri"/>
                <w:b/>
                <w:bCs/>
                <w:color w:val="007680"/>
                <w:sz w:val="20"/>
                <w:szCs w:val="20"/>
              </w:rPr>
              <w:t>Inspections and investigations</w:t>
            </w:r>
          </w:p>
          <w:p w14:paraId="720F8E0D" w14:textId="77777777" w:rsidR="00A45F88" w:rsidRPr="00355671" w:rsidRDefault="00A45F88" w:rsidP="00A45F88">
            <w:pPr>
              <w:spacing w:after="60"/>
              <w:rPr>
                <w:rFonts w:ascii="Calibri" w:hAnsi="Calibri"/>
                <w:b/>
                <w:bCs/>
                <w:sz w:val="20"/>
                <w:szCs w:val="20"/>
              </w:rPr>
            </w:pPr>
            <w:r w:rsidRPr="00355671">
              <w:rPr>
                <w:rFonts w:ascii="Calibri" w:hAnsi="Calibri"/>
                <w:b/>
                <w:bCs/>
                <w:sz w:val="20"/>
                <w:szCs w:val="20"/>
              </w:rPr>
              <w:t>NOPSEMA’s approach to inspections and investigations evidence better practice but inspections would benefit from greater use of risk-based and cross-functional approaches</w:t>
            </w:r>
          </w:p>
          <w:p w14:paraId="59C984BA" w14:textId="62C4D35B" w:rsidR="00A45F88" w:rsidRPr="00777E58" w:rsidRDefault="00A45F88" w:rsidP="00A45F88">
            <w:pPr>
              <w:spacing w:after="60"/>
              <w:rPr>
                <w:rFonts w:ascii="Calibri Light" w:hAnsi="Calibri Light"/>
              </w:rPr>
            </w:pPr>
            <w:r w:rsidRPr="00777E58">
              <w:rPr>
                <w:rFonts w:ascii="Calibri Light" w:hAnsi="Calibri Light"/>
              </w:rPr>
              <w:t>NOPSEMA’s inspections processes and framework appear aligned to better practice but should make more extensive use of risk-based approaches. The philosophy of</w:t>
            </w:r>
            <w:r w:rsidR="00FC136B" w:rsidRPr="00777E58">
              <w:rPr>
                <w:rFonts w:ascii="Calibri Light" w:hAnsi="Calibri Light"/>
              </w:rPr>
              <w:t xml:space="preserve"> “</w:t>
            </w:r>
            <w:r w:rsidRPr="00777E58">
              <w:rPr>
                <w:rFonts w:ascii="Calibri Light" w:hAnsi="Calibri Light"/>
              </w:rPr>
              <w:t xml:space="preserve">find one, fix many” is a key tenant of NOPSEMA’s inspection regime. </w:t>
            </w:r>
          </w:p>
          <w:p w14:paraId="22F5C517" w14:textId="218E6C39" w:rsidR="00A45F88" w:rsidRPr="00777E58" w:rsidRDefault="00A45F88" w:rsidP="00A45F88">
            <w:pPr>
              <w:spacing w:after="60"/>
              <w:rPr>
                <w:rFonts w:ascii="Calibri Light" w:hAnsi="Calibri Light"/>
              </w:rPr>
            </w:pPr>
            <w:r w:rsidRPr="00777E58">
              <w:rPr>
                <w:rFonts w:ascii="Calibri Light" w:hAnsi="Calibri Light"/>
              </w:rPr>
              <w:t xml:space="preserve">While there is some evidence of risk-based approaches to inspections, </w:t>
            </w:r>
            <w:r w:rsidR="00AC4105">
              <w:rPr>
                <w:rFonts w:ascii="Calibri Light" w:hAnsi="Calibri Light"/>
              </w:rPr>
              <w:t>it is currently limited.</w:t>
            </w:r>
            <w:r w:rsidRPr="00777E58">
              <w:rPr>
                <w:rFonts w:ascii="Calibri Light" w:hAnsi="Calibri Light"/>
              </w:rPr>
              <w:t xml:space="preserve"> Current risk-based </w:t>
            </w:r>
            <w:r w:rsidR="00A81A85" w:rsidRPr="00777E58">
              <w:rPr>
                <w:rFonts w:ascii="Calibri Light" w:hAnsi="Calibri Light"/>
              </w:rPr>
              <w:t xml:space="preserve">processes </w:t>
            </w:r>
            <w:r w:rsidRPr="00777E58">
              <w:rPr>
                <w:rFonts w:ascii="Calibri Light" w:hAnsi="Calibri Light"/>
              </w:rPr>
              <w:t xml:space="preserve">rely on the best efforts of the inspector(s) and are manual. We are of the view that the ability to utilise </w:t>
            </w:r>
            <w:r w:rsidR="00A83FE8" w:rsidRPr="00777E58">
              <w:rPr>
                <w:rFonts w:ascii="Calibri Light" w:hAnsi="Calibri Light"/>
              </w:rPr>
              <w:t xml:space="preserve">data and </w:t>
            </w:r>
            <w:r w:rsidRPr="00777E58">
              <w:rPr>
                <w:rFonts w:ascii="Calibri Light" w:hAnsi="Calibri Light"/>
              </w:rPr>
              <w:t>analytics to drive risk identification is an important capability for NOPSEMA to develop.</w:t>
            </w:r>
          </w:p>
          <w:p w14:paraId="4996BDF3" w14:textId="6E725727" w:rsidR="00A45F88" w:rsidRPr="00777E58" w:rsidRDefault="00A45F88" w:rsidP="00A45F88">
            <w:pPr>
              <w:spacing w:after="60"/>
              <w:rPr>
                <w:rFonts w:ascii="Calibri Light" w:hAnsi="Calibri Light"/>
              </w:rPr>
            </w:pPr>
            <w:r w:rsidRPr="00777E58">
              <w:rPr>
                <w:rFonts w:ascii="Calibri Light" w:hAnsi="Calibri Light"/>
              </w:rPr>
              <w:t xml:space="preserve">Consistent with our observations regarding NOPSEMA’s various permissioning documents, we see a similar siloed approach applied to inspections. The discrete OHS, environmental and well integrity specific inspection regimes, each governed by its own policy and operational procedures, results in a disparate inspection framework. </w:t>
            </w:r>
            <w:r w:rsidR="0097561D">
              <w:rPr>
                <w:rFonts w:ascii="Calibri Light" w:hAnsi="Calibri Light"/>
              </w:rPr>
              <w:t>NOPSEMA</w:t>
            </w:r>
            <w:r w:rsidRPr="00777E58">
              <w:rPr>
                <w:rFonts w:ascii="Calibri Light" w:hAnsi="Calibri Light"/>
              </w:rPr>
              <w:t xml:space="preserve"> </w:t>
            </w:r>
            <w:r w:rsidR="00552DD0">
              <w:rPr>
                <w:rFonts w:ascii="Calibri Light" w:hAnsi="Calibri Light"/>
              </w:rPr>
              <w:t>is</w:t>
            </w:r>
            <w:r w:rsidRPr="00777E58">
              <w:rPr>
                <w:rFonts w:ascii="Calibri Light" w:hAnsi="Calibri Light"/>
              </w:rPr>
              <w:t xml:space="preserve"> piloting, in some circumstances, cross-functional inspections, but we are of the view that further collaboration and coordination across the inspectorate is required. </w:t>
            </w:r>
          </w:p>
          <w:p w14:paraId="56FD1521" w14:textId="00400E9A" w:rsidR="00A45F88" w:rsidRPr="00C9181E" w:rsidRDefault="00A45F88" w:rsidP="00A45F88">
            <w:pPr>
              <w:spacing w:after="60"/>
              <w:rPr>
                <w:rFonts w:ascii="Calibri" w:hAnsi="Calibri"/>
                <w:b/>
                <w:bCs/>
                <w:sz w:val="20"/>
                <w:szCs w:val="20"/>
              </w:rPr>
            </w:pPr>
            <w:r w:rsidRPr="00777E58">
              <w:rPr>
                <w:rFonts w:ascii="Calibri Light" w:hAnsi="Calibri Light"/>
              </w:rPr>
              <w:t xml:space="preserve">To support </w:t>
            </w:r>
            <w:r w:rsidR="2E0383F7" w:rsidRPr="00777E58">
              <w:rPr>
                <w:rFonts w:ascii="Calibri Light" w:hAnsi="Calibri Light"/>
              </w:rPr>
              <w:t xml:space="preserve">and improve effective </w:t>
            </w:r>
            <w:r w:rsidR="2B8852C1" w:rsidRPr="00777E58">
              <w:rPr>
                <w:rFonts w:ascii="Calibri Light" w:hAnsi="Calibri Light"/>
              </w:rPr>
              <w:t>investigations</w:t>
            </w:r>
            <w:r w:rsidRPr="00777E58">
              <w:rPr>
                <w:rFonts w:ascii="Calibri Light" w:hAnsi="Calibri Light"/>
              </w:rPr>
              <w:t xml:space="preserve">, NOPSEMA should also be provided </w:t>
            </w:r>
            <w:r w:rsidR="1899242B" w:rsidRPr="00777E58">
              <w:rPr>
                <w:rFonts w:ascii="Calibri Light" w:hAnsi="Calibri Light"/>
              </w:rPr>
              <w:t>with the power to electronically record answers to questions during an interview.</w:t>
            </w:r>
          </w:p>
        </w:tc>
        <w:tc>
          <w:tcPr>
            <w:tcW w:w="3485" w:type="dxa"/>
            <w:vMerge/>
          </w:tcPr>
          <w:p w14:paraId="4620790A" w14:textId="77777777" w:rsidR="00A45F88" w:rsidRPr="00C9181E" w:rsidRDefault="00A45F88" w:rsidP="00A45F88">
            <w:pPr>
              <w:spacing w:after="60"/>
              <w:rPr>
                <w:rFonts w:ascii="Calibri" w:hAnsi="Calibri"/>
                <w:b/>
                <w:bCs/>
                <w:sz w:val="20"/>
                <w:szCs w:val="20"/>
              </w:rPr>
            </w:pPr>
          </w:p>
        </w:tc>
      </w:tr>
    </w:tbl>
    <w:p w14:paraId="4AB30C9B" w14:textId="77777777" w:rsidR="001E3F70" w:rsidRDefault="001E3F70" w:rsidP="00F764AA">
      <w:pPr>
        <w:pStyle w:val="BodyCopyNEW"/>
        <w:sectPr w:rsidR="001E3F70" w:rsidSect="002B0B05">
          <w:headerReference w:type="default" r:id="rId39"/>
          <w:type w:val="continuous"/>
          <w:pgSz w:w="11906" w:h="16838" w:code="9"/>
          <w:pgMar w:top="1985" w:right="1021" w:bottom="1134" w:left="1021" w:header="680" w:footer="425" w:gutter="0"/>
          <w:cols w:space="284"/>
          <w:docGrid w:linePitch="360"/>
        </w:sectPr>
      </w:pPr>
    </w:p>
    <w:p w14:paraId="01DFD0B4" w14:textId="09A46E7C" w:rsidR="00AF5E83" w:rsidRPr="004602AD" w:rsidRDefault="004E1BF9" w:rsidP="00AF5E83">
      <w:pPr>
        <w:pStyle w:val="BodyCopyNEW"/>
        <w:rPr>
          <w:szCs w:val="18"/>
        </w:rPr>
      </w:pPr>
      <w:r>
        <w:lastRenderedPageBreak/>
        <w:t xml:space="preserve">In this section we examine the effectiveness of </w:t>
      </w:r>
      <w:r w:rsidR="003C3320">
        <w:t>NOPSEMA’s regulatory approach.</w:t>
      </w:r>
      <w:r w:rsidR="00AF5E83" w:rsidRPr="00AF5E83">
        <w:rPr>
          <w:szCs w:val="18"/>
        </w:rPr>
        <w:t xml:space="preserve"> </w:t>
      </w:r>
      <w:r w:rsidR="00AF5E83" w:rsidRPr="00096BC3">
        <w:rPr>
          <w:szCs w:val="18"/>
        </w:rPr>
        <w:t>NOPSEMA has been empowered with a range of tools to effectively regulate the industry and other stakeholders</w:t>
      </w:r>
      <w:r w:rsidR="00AF5E83">
        <w:rPr>
          <w:szCs w:val="18"/>
        </w:rPr>
        <w:t xml:space="preserve"> within the </w:t>
      </w:r>
      <w:r w:rsidR="00FD39A6">
        <w:rPr>
          <w:szCs w:val="18"/>
        </w:rPr>
        <w:t xml:space="preserve">broader </w:t>
      </w:r>
      <w:r w:rsidR="00AF5E83">
        <w:rPr>
          <w:szCs w:val="18"/>
        </w:rPr>
        <w:t>objective-based regime provided by the offshore legislative framework</w:t>
      </w:r>
      <w:r w:rsidR="00AF5E83" w:rsidRPr="00096BC3">
        <w:rPr>
          <w:szCs w:val="18"/>
        </w:rPr>
        <w:t>. The principle behind the approach to the regulation</w:t>
      </w:r>
      <w:r w:rsidR="00AF5E83" w:rsidRPr="00611BAA">
        <w:rPr>
          <w:szCs w:val="18"/>
        </w:rPr>
        <w:t xml:space="preserve"> is that </w:t>
      </w:r>
      <w:r w:rsidR="00AF5E83" w:rsidRPr="00946300">
        <w:rPr>
          <w:szCs w:val="18"/>
        </w:rPr>
        <w:t>‘</w:t>
      </w:r>
      <w:r w:rsidR="00AF5E83" w:rsidRPr="00392AAF">
        <w:rPr>
          <w:i/>
          <w:szCs w:val="18"/>
        </w:rPr>
        <w:t>those who create the risk must manage it’</w:t>
      </w:r>
      <w:r w:rsidR="00AF5E83" w:rsidRPr="00F57169">
        <w:rPr>
          <w:szCs w:val="18"/>
        </w:rPr>
        <w:t xml:space="preserve">. </w:t>
      </w:r>
      <w:r w:rsidR="00AF5E83" w:rsidRPr="004B6FFA">
        <w:rPr>
          <w:szCs w:val="18"/>
        </w:rPr>
        <w:t>The approach</w:t>
      </w:r>
      <w:r w:rsidR="00AF5E83" w:rsidRPr="00911F0E">
        <w:rPr>
          <w:szCs w:val="18"/>
        </w:rPr>
        <w:t xml:space="preserve"> of the </w:t>
      </w:r>
      <w:r w:rsidR="0092603E">
        <w:rPr>
          <w:szCs w:val="18"/>
        </w:rPr>
        <w:t>responsible party</w:t>
      </w:r>
      <w:r w:rsidR="002C1714">
        <w:rPr>
          <w:rStyle w:val="FootnoteReference"/>
          <w:szCs w:val="18"/>
        </w:rPr>
        <w:footnoteReference w:id="12"/>
      </w:r>
      <w:r w:rsidR="0092603E" w:rsidRPr="00372FB6">
        <w:rPr>
          <w:szCs w:val="18"/>
        </w:rPr>
        <w:t xml:space="preserve"> </w:t>
      </w:r>
      <w:r w:rsidR="00AF5E83" w:rsidRPr="00372FB6">
        <w:rPr>
          <w:szCs w:val="18"/>
        </w:rPr>
        <w:t>being responsible for the risk it creates is aligned to contemporary regulatory practice – putting the responsibility for the provision of (for example) a safe working environment on the owner and operator of the activity.</w:t>
      </w:r>
    </w:p>
    <w:p w14:paraId="5C31C694" w14:textId="11D29FD0" w:rsidR="002C334B" w:rsidRDefault="003C3320" w:rsidP="002C334B">
      <w:pPr>
        <w:pStyle w:val="BodyCopyNEW"/>
      </w:pPr>
      <w:r>
        <w:t>We begin</w:t>
      </w:r>
      <w:r w:rsidR="002C334B">
        <w:t xml:space="preserve"> with an examination of NOPSEMA’s approach and application of its permissioning document assessment processes (</w:t>
      </w:r>
      <w:r w:rsidR="002C334B" w:rsidRPr="00901C7B">
        <w:rPr>
          <w:b/>
          <w:bCs/>
        </w:rPr>
        <w:t xml:space="preserve">subsection </w:t>
      </w:r>
      <w:r w:rsidR="004E1BF9">
        <w:rPr>
          <w:b/>
          <w:bCs/>
        </w:rPr>
        <w:fldChar w:fldCharType="begin"/>
      </w:r>
      <w:r w:rsidR="004E1BF9">
        <w:rPr>
          <w:b/>
          <w:bCs/>
        </w:rPr>
        <w:instrText xml:space="preserve"> REF _Ref55932900 \r \h </w:instrText>
      </w:r>
      <w:r w:rsidR="004E1BF9">
        <w:rPr>
          <w:b/>
          <w:bCs/>
        </w:rPr>
      </w:r>
      <w:r w:rsidR="004E1BF9">
        <w:rPr>
          <w:b/>
          <w:bCs/>
        </w:rPr>
        <w:fldChar w:fldCharType="separate"/>
      </w:r>
      <w:r w:rsidR="00E816B8">
        <w:rPr>
          <w:b/>
          <w:bCs/>
        </w:rPr>
        <w:t>6.1</w:t>
      </w:r>
      <w:r w:rsidR="004E1BF9">
        <w:rPr>
          <w:b/>
          <w:bCs/>
        </w:rPr>
        <w:fldChar w:fldCharType="end"/>
      </w:r>
      <w:r w:rsidR="002C334B">
        <w:t xml:space="preserve">). </w:t>
      </w:r>
      <w:r w:rsidR="002C334B" w:rsidRPr="002027C8">
        <w:rPr>
          <w:b/>
          <w:bCs/>
        </w:rPr>
        <w:t xml:space="preserve">Subsection </w:t>
      </w:r>
      <w:r w:rsidR="004E1BF9">
        <w:rPr>
          <w:b/>
          <w:bCs/>
        </w:rPr>
        <w:fldChar w:fldCharType="begin"/>
      </w:r>
      <w:r w:rsidR="004E1BF9">
        <w:rPr>
          <w:b/>
          <w:bCs/>
        </w:rPr>
        <w:instrText xml:space="preserve"> REF _Ref58592941 \r \h </w:instrText>
      </w:r>
      <w:r w:rsidR="004E1BF9">
        <w:rPr>
          <w:b/>
          <w:bCs/>
        </w:rPr>
      </w:r>
      <w:r w:rsidR="004E1BF9">
        <w:rPr>
          <w:b/>
          <w:bCs/>
        </w:rPr>
        <w:fldChar w:fldCharType="separate"/>
      </w:r>
      <w:r w:rsidR="00E816B8">
        <w:rPr>
          <w:b/>
          <w:bCs/>
        </w:rPr>
        <w:t>6.2</w:t>
      </w:r>
      <w:r w:rsidR="004E1BF9">
        <w:rPr>
          <w:b/>
          <w:bCs/>
        </w:rPr>
        <w:fldChar w:fldCharType="end"/>
      </w:r>
      <w:r w:rsidR="002C334B">
        <w:t xml:space="preserve"> analyses NOPSEMA’s current approach to inspections</w:t>
      </w:r>
      <w:r w:rsidR="00776500">
        <w:t xml:space="preserve"> and </w:t>
      </w:r>
      <w:r w:rsidR="00776500" w:rsidRPr="00901C7B">
        <w:rPr>
          <w:b/>
          <w:bCs/>
        </w:rPr>
        <w:t>subsection</w:t>
      </w:r>
      <w:r w:rsidR="00067012" w:rsidRPr="00901C7B">
        <w:rPr>
          <w:b/>
          <w:bCs/>
        </w:rPr>
        <w:t xml:space="preserve"> </w:t>
      </w:r>
      <w:r w:rsidR="004E1BF9" w:rsidRPr="00901C7B">
        <w:rPr>
          <w:b/>
          <w:bCs/>
        </w:rPr>
        <w:fldChar w:fldCharType="begin"/>
      </w:r>
      <w:r w:rsidR="004E1BF9" w:rsidRPr="00901C7B">
        <w:rPr>
          <w:b/>
          <w:bCs/>
        </w:rPr>
        <w:instrText xml:space="preserve"> REF _Ref58592948 \r \h  \* MERGEFORMAT </w:instrText>
      </w:r>
      <w:r w:rsidR="004E1BF9" w:rsidRPr="00901C7B">
        <w:rPr>
          <w:b/>
          <w:bCs/>
        </w:rPr>
      </w:r>
      <w:r w:rsidR="004E1BF9" w:rsidRPr="00901C7B">
        <w:rPr>
          <w:b/>
          <w:bCs/>
        </w:rPr>
        <w:fldChar w:fldCharType="separate"/>
      </w:r>
      <w:r w:rsidR="00E816B8">
        <w:rPr>
          <w:b/>
          <w:bCs/>
        </w:rPr>
        <w:t>6.3</w:t>
      </w:r>
      <w:r w:rsidR="004E1BF9" w:rsidRPr="00901C7B">
        <w:rPr>
          <w:b/>
          <w:bCs/>
        </w:rPr>
        <w:fldChar w:fldCharType="end"/>
      </w:r>
      <w:r w:rsidR="00776500" w:rsidRPr="00067012">
        <w:t xml:space="preserve"> </w:t>
      </w:r>
      <w:r w:rsidR="00C64141">
        <w:t xml:space="preserve">examines </w:t>
      </w:r>
      <w:r w:rsidR="00067012">
        <w:t>its approach to investigations and potenti</w:t>
      </w:r>
      <w:r w:rsidR="004E1BF9">
        <w:t>al gaps in NOPSEMA’s investigative powers</w:t>
      </w:r>
      <w:r w:rsidR="002C334B">
        <w:t xml:space="preserve">. This section concludes with </w:t>
      </w:r>
      <w:r w:rsidR="004E1BF9">
        <w:t>an examination of NOPSEMA’s enforcement powers, their application, and enforcement actions undertaken in conjunction with NOPTA (</w:t>
      </w:r>
      <w:r w:rsidR="004E1BF9">
        <w:rPr>
          <w:b/>
          <w:bCs/>
        </w:rPr>
        <w:t>s</w:t>
      </w:r>
      <w:r w:rsidR="004E1BF9" w:rsidRPr="00901C7B">
        <w:rPr>
          <w:b/>
          <w:bCs/>
        </w:rPr>
        <w:t xml:space="preserve">ubsection </w:t>
      </w:r>
      <w:r w:rsidR="004E1BF9">
        <w:rPr>
          <w:b/>
          <w:bCs/>
        </w:rPr>
        <w:fldChar w:fldCharType="begin"/>
      </w:r>
      <w:r w:rsidR="004E1BF9">
        <w:rPr>
          <w:b/>
          <w:bCs/>
        </w:rPr>
        <w:instrText xml:space="preserve"> REF _Ref58592960 \r \h </w:instrText>
      </w:r>
      <w:r w:rsidR="004E1BF9">
        <w:rPr>
          <w:b/>
          <w:bCs/>
        </w:rPr>
      </w:r>
      <w:r w:rsidR="004E1BF9">
        <w:rPr>
          <w:b/>
          <w:bCs/>
        </w:rPr>
        <w:fldChar w:fldCharType="separate"/>
      </w:r>
      <w:r w:rsidR="00E816B8">
        <w:rPr>
          <w:b/>
          <w:bCs/>
        </w:rPr>
        <w:t>6.4</w:t>
      </w:r>
      <w:r w:rsidR="004E1BF9">
        <w:rPr>
          <w:b/>
          <w:bCs/>
        </w:rPr>
        <w:fldChar w:fldCharType="end"/>
      </w:r>
      <w:r w:rsidR="004E1BF9">
        <w:t>)</w:t>
      </w:r>
      <w:r w:rsidR="002C334B">
        <w:t>.</w:t>
      </w:r>
    </w:p>
    <w:p w14:paraId="58A33FD9" w14:textId="0D8F1C85" w:rsidR="00111796" w:rsidRPr="00111796" w:rsidRDefault="00111796" w:rsidP="00AE2D6E">
      <w:pPr>
        <w:pStyle w:val="Heading2"/>
        <w:numPr>
          <w:ilvl w:val="1"/>
          <w:numId w:val="1"/>
        </w:numPr>
      </w:pPr>
      <w:bookmarkStart w:id="46" w:name="_Ref55932900"/>
      <w:r>
        <w:t>Assessment of permissioning documents</w:t>
      </w:r>
      <w:bookmarkEnd w:id="46"/>
    </w:p>
    <w:p w14:paraId="1373B017" w14:textId="59270124" w:rsidR="00F30953" w:rsidRPr="003F74D5" w:rsidRDefault="00F30953" w:rsidP="00784E0E">
      <w:pPr>
        <w:pStyle w:val="Heading3"/>
        <w:numPr>
          <w:ilvl w:val="2"/>
          <w:numId w:val="1"/>
        </w:numPr>
      </w:pPr>
      <w:r w:rsidRPr="003F74D5">
        <w:t>Purpose of permissioning</w:t>
      </w:r>
    </w:p>
    <w:p w14:paraId="309E63B1" w14:textId="5404B921" w:rsidR="0087720D" w:rsidRPr="0087720D" w:rsidRDefault="0087720D" w:rsidP="00F764AA">
      <w:pPr>
        <w:pStyle w:val="Heading3NoNumber"/>
      </w:pPr>
      <w:r>
        <w:t>NOPSEMA receive and assess three forms of permissioning documents</w:t>
      </w:r>
    </w:p>
    <w:p w14:paraId="6570650C" w14:textId="1F9C39A7" w:rsidR="0033436A" w:rsidRPr="00096BC3" w:rsidRDefault="0033436A" w:rsidP="00F764AA">
      <w:pPr>
        <w:pStyle w:val="BodyCopyNEW"/>
        <w:rPr>
          <w:szCs w:val="18"/>
        </w:rPr>
      </w:pPr>
      <w:r w:rsidRPr="00096BC3">
        <w:rPr>
          <w:szCs w:val="18"/>
        </w:rPr>
        <w:t xml:space="preserve">Before </w:t>
      </w:r>
      <w:r w:rsidR="0092603E">
        <w:rPr>
          <w:szCs w:val="18"/>
        </w:rPr>
        <w:t>the commencement of</w:t>
      </w:r>
      <w:r w:rsidRPr="00096BC3">
        <w:rPr>
          <w:szCs w:val="18"/>
        </w:rPr>
        <w:t xml:space="preserve"> offshore activities, </w:t>
      </w:r>
      <w:r w:rsidR="00253348">
        <w:rPr>
          <w:szCs w:val="18"/>
        </w:rPr>
        <w:t>responsible parties</w:t>
      </w:r>
      <w:r w:rsidR="00253348" w:rsidRPr="00096BC3">
        <w:rPr>
          <w:szCs w:val="18"/>
        </w:rPr>
        <w:t xml:space="preserve"> </w:t>
      </w:r>
      <w:r w:rsidRPr="00096BC3">
        <w:rPr>
          <w:szCs w:val="18"/>
        </w:rPr>
        <w:t>are required to obtain a range of ‘permissions’ from NOPSEMA,</w:t>
      </w:r>
      <w:r w:rsidR="00F37D5F">
        <w:rPr>
          <w:szCs w:val="18"/>
        </w:rPr>
        <w:t xml:space="preserve"> which may</w:t>
      </w:r>
      <w:r w:rsidRPr="00096BC3">
        <w:rPr>
          <w:szCs w:val="18"/>
        </w:rPr>
        <w:t xml:space="preserve"> includ</w:t>
      </w:r>
      <w:r w:rsidR="00F37D5F">
        <w:rPr>
          <w:szCs w:val="18"/>
        </w:rPr>
        <w:t>e</w:t>
      </w:r>
      <w:r w:rsidRPr="00096BC3">
        <w:rPr>
          <w:szCs w:val="18"/>
        </w:rPr>
        <w:t xml:space="preserve"> OHS, well integrity, and environment permissions. The permissions are obtained by developing and submitting a document to the r</w:t>
      </w:r>
      <w:r w:rsidRPr="00611BAA">
        <w:rPr>
          <w:szCs w:val="18"/>
        </w:rPr>
        <w:t>egulator outlining the hazards and risks assoc</w:t>
      </w:r>
      <w:r w:rsidRPr="00946300">
        <w:rPr>
          <w:szCs w:val="18"/>
        </w:rPr>
        <w:t xml:space="preserve">iated with the work and the approach the </w:t>
      </w:r>
      <w:r w:rsidR="00FA72F9">
        <w:rPr>
          <w:szCs w:val="18"/>
        </w:rPr>
        <w:t>responsible party</w:t>
      </w:r>
      <w:r w:rsidR="00FA72F9" w:rsidRPr="00946300">
        <w:rPr>
          <w:szCs w:val="18"/>
        </w:rPr>
        <w:t xml:space="preserve"> </w:t>
      </w:r>
      <w:r w:rsidRPr="00946300">
        <w:rPr>
          <w:szCs w:val="18"/>
        </w:rPr>
        <w:t xml:space="preserve">will take to reduce the hazards and risks to </w:t>
      </w:r>
      <w:r w:rsidR="001E2CD8">
        <w:rPr>
          <w:szCs w:val="18"/>
        </w:rPr>
        <w:t>ALARP</w:t>
      </w:r>
      <w:r w:rsidR="00FA72F9">
        <w:rPr>
          <w:szCs w:val="18"/>
        </w:rPr>
        <w:t xml:space="preserve"> from a</w:t>
      </w:r>
      <w:r w:rsidR="00C759B5">
        <w:rPr>
          <w:szCs w:val="18"/>
        </w:rPr>
        <w:t xml:space="preserve"> safety and well integrity perspective, and “Acceptable” from an environment perspective</w:t>
      </w:r>
      <w:r w:rsidRPr="00F57169">
        <w:rPr>
          <w:szCs w:val="18"/>
        </w:rPr>
        <w:t xml:space="preserve">. </w:t>
      </w:r>
      <w:r w:rsidR="00161923" w:rsidRPr="004B6FFA">
        <w:rPr>
          <w:szCs w:val="18"/>
        </w:rPr>
        <w:t>It is also important to recognise that all permissioning documents are not the same</w:t>
      </w:r>
      <w:r w:rsidR="007F461B" w:rsidRPr="00911F0E">
        <w:rPr>
          <w:szCs w:val="18"/>
        </w:rPr>
        <w:t>.</w:t>
      </w:r>
      <w:r w:rsidR="00161923" w:rsidRPr="00911F0E">
        <w:rPr>
          <w:szCs w:val="18"/>
        </w:rPr>
        <w:t xml:space="preserve"> For example, one </w:t>
      </w:r>
      <w:r w:rsidR="00F63D4F" w:rsidRPr="00372FB6">
        <w:rPr>
          <w:szCs w:val="18"/>
        </w:rPr>
        <w:t>WOMP</w:t>
      </w:r>
      <w:r w:rsidR="00161923" w:rsidRPr="004602AD">
        <w:rPr>
          <w:szCs w:val="18"/>
        </w:rPr>
        <w:t xml:space="preserve"> does not </w:t>
      </w:r>
      <w:r w:rsidR="00F63D4F" w:rsidRPr="004602AD">
        <w:rPr>
          <w:szCs w:val="18"/>
        </w:rPr>
        <w:t xml:space="preserve">necessarily equate to </w:t>
      </w:r>
      <w:r w:rsidR="00161923" w:rsidRPr="009013BE">
        <w:rPr>
          <w:szCs w:val="18"/>
        </w:rPr>
        <w:t xml:space="preserve">one well </w:t>
      </w:r>
      <w:r w:rsidR="00E64A30" w:rsidRPr="00C81CBA">
        <w:rPr>
          <w:szCs w:val="18"/>
        </w:rPr>
        <w:t>–</w:t>
      </w:r>
      <w:r w:rsidR="00161923" w:rsidRPr="00C81CBA">
        <w:rPr>
          <w:szCs w:val="18"/>
        </w:rPr>
        <w:t xml:space="preserve"> </w:t>
      </w:r>
      <w:r w:rsidR="00E64A30" w:rsidRPr="00016436">
        <w:rPr>
          <w:szCs w:val="18"/>
        </w:rPr>
        <w:t xml:space="preserve">we have </w:t>
      </w:r>
      <w:r w:rsidR="0719F30C" w:rsidRPr="005E6D5F">
        <w:rPr>
          <w:szCs w:val="18"/>
        </w:rPr>
        <w:t>be</w:t>
      </w:r>
      <w:r w:rsidR="0230EEA0" w:rsidRPr="005E6D5F">
        <w:rPr>
          <w:szCs w:val="18"/>
        </w:rPr>
        <w:t>e</w:t>
      </w:r>
      <w:r w:rsidR="0719F30C" w:rsidRPr="005E6D5F">
        <w:rPr>
          <w:szCs w:val="18"/>
        </w:rPr>
        <w:t>n</w:t>
      </w:r>
      <w:r w:rsidR="00E64A30" w:rsidRPr="00953CA5">
        <w:rPr>
          <w:szCs w:val="18"/>
        </w:rPr>
        <w:t xml:space="preserve"> advised </w:t>
      </w:r>
      <w:r w:rsidR="00683D7D" w:rsidRPr="00953CA5">
        <w:rPr>
          <w:szCs w:val="18"/>
        </w:rPr>
        <w:t>a</w:t>
      </w:r>
      <w:r w:rsidR="00E64A30" w:rsidRPr="00953CA5">
        <w:rPr>
          <w:szCs w:val="18"/>
        </w:rPr>
        <w:t xml:space="preserve"> WOMPs </w:t>
      </w:r>
      <w:r w:rsidR="00683D7D" w:rsidRPr="00953CA5">
        <w:rPr>
          <w:szCs w:val="18"/>
        </w:rPr>
        <w:t>could</w:t>
      </w:r>
      <w:r w:rsidR="00E64A30" w:rsidRPr="00953CA5">
        <w:rPr>
          <w:szCs w:val="18"/>
        </w:rPr>
        <w:t xml:space="preserve"> apply to </w:t>
      </w:r>
      <w:r w:rsidR="00683D7D" w:rsidRPr="00171DEA">
        <w:rPr>
          <w:szCs w:val="18"/>
        </w:rPr>
        <w:t xml:space="preserve">multiple, even </w:t>
      </w:r>
      <w:r w:rsidR="00E64A30" w:rsidRPr="00171DEA">
        <w:rPr>
          <w:szCs w:val="18"/>
        </w:rPr>
        <w:t>hundreds of wells.</w:t>
      </w:r>
    </w:p>
    <w:p w14:paraId="1DF0A3DC" w14:textId="23AA4FE2" w:rsidR="00776ECF" w:rsidRPr="00096BC3" w:rsidRDefault="00776ECF" w:rsidP="00F764AA">
      <w:pPr>
        <w:pStyle w:val="BodyCopyNEW"/>
        <w:rPr>
          <w:szCs w:val="18"/>
        </w:rPr>
      </w:pPr>
      <w:r w:rsidRPr="00096BC3">
        <w:rPr>
          <w:szCs w:val="18"/>
        </w:rPr>
        <w:t xml:space="preserve">During the </w:t>
      </w:r>
      <w:r w:rsidR="006F714F" w:rsidRPr="00096BC3">
        <w:rPr>
          <w:szCs w:val="18"/>
        </w:rPr>
        <w:t xml:space="preserve">review </w:t>
      </w:r>
      <w:r w:rsidRPr="00096BC3">
        <w:rPr>
          <w:szCs w:val="18"/>
        </w:rPr>
        <w:t xml:space="preserve">period, NOPSEMA received </w:t>
      </w:r>
      <w:r w:rsidR="00FC7FF3" w:rsidRPr="00096BC3">
        <w:rPr>
          <w:szCs w:val="18"/>
        </w:rPr>
        <w:t>908 permissioning documents for assessment</w:t>
      </w:r>
      <w:r w:rsidR="0018422F" w:rsidRPr="00096BC3">
        <w:rPr>
          <w:szCs w:val="18"/>
        </w:rPr>
        <w:t xml:space="preserve"> (see </w:t>
      </w:r>
      <w:r w:rsidR="00113866" w:rsidRPr="00113866">
        <w:rPr>
          <w:b/>
          <w:bCs/>
          <w:szCs w:val="18"/>
        </w:rPr>
        <w:fldChar w:fldCharType="begin"/>
      </w:r>
      <w:r w:rsidR="00113866" w:rsidRPr="00113866">
        <w:rPr>
          <w:b/>
          <w:bCs/>
          <w:szCs w:val="18"/>
        </w:rPr>
        <w:instrText xml:space="preserve"> REF _Ref58445246 \h  \* MERGEFORMAT </w:instrText>
      </w:r>
      <w:r w:rsidR="00113866" w:rsidRPr="00113866">
        <w:rPr>
          <w:b/>
          <w:bCs/>
          <w:szCs w:val="18"/>
        </w:rPr>
      </w:r>
      <w:r w:rsidR="00113866" w:rsidRPr="00113866">
        <w:rPr>
          <w:b/>
          <w:bCs/>
          <w:szCs w:val="18"/>
        </w:rPr>
        <w:fldChar w:fldCharType="separate"/>
      </w:r>
      <w:r w:rsidR="00E816B8" w:rsidRPr="00E816B8">
        <w:rPr>
          <w:b/>
          <w:bCs/>
        </w:rPr>
        <w:t xml:space="preserve">Figure </w:t>
      </w:r>
      <w:r w:rsidR="00E816B8" w:rsidRPr="00E816B8">
        <w:rPr>
          <w:b/>
          <w:bCs/>
          <w:noProof/>
        </w:rPr>
        <w:t>6.1</w:t>
      </w:r>
      <w:r w:rsidR="00113866" w:rsidRPr="00113866">
        <w:rPr>
          <w:b/>
          <w:bCs/>
          <w:szCs w:val="18"/>
        </w:rPr>
        <w:fldChar w:fldCharType="end"/>
      </w:r>
      <w:r w:rsidR="0018422F" w:rsidRPr="00096BC3">
        <w:rPr>
          <w:szCs w:val="18"/>
        </w:rPr>
        <w:t>)</w:t>
      </w:r>
      <w:r w:rsidR="00351EEE" w:rsidRPr="00096BC3">
        <w:rPr>
          <w:szCs w:val="18"/>
        </w:rPr>
        <w:t>, with 892 assessed</w:t>
      </w:r>
      <w:r w:rsidR="00683D7D" w:rsidRPr="00096BC3">
        <w:rPr>
          <w:szCs w:val="18"/>
        </w:rPr>
        <w:t xml:space="preserve"> (see</w:t>
      </w:r>
      <w:r w:rsidR="0094292C">
        <w:rPr>
          <w:b/>
          <w:szCs w:val="18"/>
        </w:rPr>
        <w:t xml:space="preserve"> </w:t>
      </w:r>
      <w:r w:rsidR="0094292C" w:rsidRPr="0094292C">
        <w:rPr>
          <w:b/>
          <w:szCs w:val="18"/>
          <w:highlight w:val="yellow"/>
        </w:rPr>
        <w:fldChar w:fldCharType="begin"/>
      </w:r>
      <w:r w:rsidR="0094292C" w:rsidRPr="0094292C">
        <w:rPr>
          <w:b/>
          <w:szCs w:val="18"/>
        </w:rPr>
        <w:instrText xml:space="preserve"> REF _Ref58445310 \h </w:instrText>
      </w:r>
      <w:r w:rsidR="0094292C" w:rsidRPr="0094292C">
        <w:rPr>
          <w:b/>
          <w:szCs w:val="18"/>
          <w:highlight w:val="yellow"/>
        </w:rPr>
        <w:instrText xml:space="preserve"> \* MERGEFORMAT </w:instrText>
      </w:r>
      <w:r w:rsidR="0094292C" w:rsidRPr="0094292C">
        <w:rPr>
          <w:b/>
          <w:szCs w:val="18"/>
          <w:highlight w:val="yellow"/>
        </w:rPr>
      </w:r>
      <w:r w:rsidR="0094292C" w:rsidRPr="0094292C">
        <w:rPr>
          <w:b/>
          <w:szCs w:val="18"/>
          <w:highlight w:val="yellow"/>
        </w:rPr>
        <w:fldChar w:fldCharType="separate"/>
      </w:r>
      <w:r w:rsidR="00E816B8" w:rsidRPr="00E816B8">
        <w:rPr>
          <w:b/>
        </w:rPr>
        <w:t xml:space="preserve">Figure </w:t>
      </w:r>
      <w:r w:rsidR="00E816B8" w:rsidRPr="00E816B8">
        <w:rPr>
          <w:b/>
          <w:noProof/>
        </w:rPr>
        <w:t>6.2</w:t>
      </w:r>
      <w:r w:rsidR="0094292C" w:rsidRPr="0094292C">
        <w:rPr>
          <w:b/>
          <w:szCs w:val="18"/>
          <w:highlight w:val="yellow"/>
        </w:rPr>
        <w:fldChar w:fldCharType="end"/>
      </w:r>
      <w:r w:rsidR="00683D7D" w:rsidRPr="00096BC3">
        <w:rPr>
          <w:szCs w:val="18"/>
        </w:rPr>
        <w:t>)</w:t>
      </w:r>
      <w:r w:rsidR="00351EEE" w:rsidRPr="00096BC3">
        <w:rPr>
          <w:szCs w:val="18"/>
        </w:rPr>
        <w:t>.</w:t>
      </w:r>
    </w:p>
    <w:p w14:paraId="47BF3D53" w14:textId="3258BB0B" w:rsidR="00113866" w:rsidRPr="00113866" w:rsidRDefault="00113866" w:rsidP="004B089B">
      <w:pPr>
        <w:pStyle w:val="Caption"/>
        <w:keepNext/>
      </w:pPr>
      <w:bookmarkStart w:id="47" w:name="_Ref58445246"/>
      <w:r>
        <w:t xml:space="preserve">Figure </w:t>
      </w:r>
      <w:r w:rsidR="00AD41F8">
        <w:fldChar w:fldCharType="begin"/>
      </w:r>
      <w:r w:rsidR="00AD41F8">
        <w:instrText xml:space="preserve"> STYLEREF 1 \s </w:instrText>
      </w:r>
      <w:r w:rsidR="00AD41F8">
        <w:fldChar w:fldCharType="separate"/>
      </w:r>
      <w:r w:rsidR="00E816B8">
        <w:rPr>
          <w:noProof/>
        </w:rPr>
        <w:t>6</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1</w:t>
      </w:r>
      <w:r w:rsidR="00AD41F8">
        <w:fldChar w:fldCharType="end"/>
      </w:r>
      <w:bookmarkEnd w:id="47"/>
      <w:r>
        <w:t>: Volume of submitted permissioning assessments from 2015</w:t>
      </w:r>
    </w:p>
    <w:p w14:paraId="04C5A05C" w14:textId="1C63FD47" w:rsidR="00BE3193" w:rsidRDefault="00CE1E16" w:rsidP="0033436A">
      <w:pPr>
        <w:widowControl w:val="0"/>
        <w:spacing w:after="120" w:line="240" w:lineRule="auto"/>
        <w:rPr>
          <w:rFonts w:asciiTheme="majorHAnsi" w:hAnsiTheme="majorHAnsi" w:cstheme="minorHAnsi"/>
        </w:rPr>
      </w:pPr>
      <w:r w:rsidRPr="00E94BB2">
        <w:rPr>
          <w:noProof/>
          <w:shd w:val="clear" w:color="auto" w:fill="FFFFFF" w:themeFill="background1"/>
          <w:lang w:eastAsia="en-AU"/>
        </w:rPr>
        <w:drawing>
          <wp:inline distT="0" distB="0" distL="0" distR="0" wp14:anchorId="42F844EA" wp14:editId="5BE14B55">
            <wp:extent cx="6263640" cy="3171825"/>
            <wp:effectExtent l="0" t="0" r="3810" b="9525"/>
            <wp:docPr id="32" name="Chart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C1CF0A1-B118-41C1-9F0D-C2BA5F15E8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47408FD" w14:textId="1C2EC430" w:rsidR="0094292C" w:rsidRPr="004B089B" w:rsidRDefault="005B5D2B" w:rsidP="004B089B">
      <w:pPr>
        <w:pStyle w:val="Caption"/>
        <w:rPr>
          <w:b w:val="0"/>
          <w:bCs/>
          <w:i/>
          <w:iCs w:val="0"/>
          <w:color w:val="75787B" w:themeColor="accent6"/>
        </w:rPr>
      </w:pPr>
      <w:r w:rsidRPr="00901C7B">
        <w:rPr>
          <w:b w:val="0"/>
          <w:bCs/>
          <w:i/>
          <w:iCs w:val="0"/>
          <w:color w:val="75787B" w:themeColor="accent6"/>
        </w:rPr>
        <w:t xml:space="preserve">Source: </w:t>
      </w:r>
      <w:r w:rsidR="00300717" w:rsidRPr="00300717">
        <w:rPr>
          <w:b w:val="0"/>
          <w:bCs/>
          <w:i/>
          <w:iCs w:val="0"/>
          <w:color w:val="75787B" w:themeColor="accent6"/>
        </w:rPr>
        <w:t>Deloitte analysis adapted from NOPSEMA data</w:t>
      </w:r>
    </w:p>
    <w:p w14:paraId="221B6AEF" w14:textId="13E6C982" w:rsidR="00113866" w:rsidRPr="00113866" w:rsidRDefault="00113866" w:rsidP="004B089B">
      <w:pPr>
        <w:pStyle w:val="Caption"/>
        <w:keepNext/>
      </w:pPr>
      <w:bookmarkStart w:id="48" w:name="_Ref58445310"/>
      <w:r>
        <w:lastRenderedPageBreak/>
        <w:t xml:space="preserve">Figure </w:t>
      </w:r>
      <w:r w:rsidR="00AD41F8">
        <w:fldChar w:fldCharType="begin"/>
      </w:r>
      <w:r w:rsidR="00AD41F8">
        <w:instrText xml:space="preserve"> STYLEREF 1 \s </w:instrText>
      </w:r>
      <w:r w:rsidR="00AD41F8">
        <w:fldChar w:fldCharType="separate"/>
      </w:r>
      <w:r w:rsidR="00E816B8">
        <w:rPr>
          <w:noProof/>
        </w:rPr>
        <w:t>6</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2</w:t>
      </w:r>
      <w:r w:rsidR="00AD41F8">
        <w:fldChar w:fldCharType="end"/>
      </w:r>
      <w:bookmarkEnd w:id="48"/>
      <w:r>
        <w:t>: Volume of completed permissioning assessments from 2015</w:t>
      </w:r>
    </w:p>
    <w:p w14:paraId="739AF5D7" w14:textId="1F80D30E" w:rsidR="00CE1E16" w:rsidRDefault="006F02A5" w:rsidP="0033436A">
      <w:pPr>
        <w:widowControl w:val="0"/>
        <w:spacing w:after="120" w:line="240" w:lineRule="auto"/>
        <w:rPr>
          <w:rFonts w:asciiTheme="majorHAnsi" w:hAnsiTheme="majorHAnsi" w:cstheme="minorHAnsi"/>
        </w:rPr>
      </w:pPr>
      <w:r>
        <w:rPr>
          <w:noProof/>
          <w:lang w:eastAsia="en-AU"/>
        </w:rPr>
        <w:drawing>
          <wp:inline distT="0" distB="0" distL="0" distR="0" wp14:anchorId="61BF5717" wp14:editId="46FDE380">
            <wp:extent cx="6263640" cy="3171600"/>
            <wp:effectExtent l="0" t="0" r="3810" b="10160"/>
            <wp:docPr id="33" name="Chart 3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773632BE-6FF1-4044-996A-FE3F14CC8D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0D5344B" w14:textId="47BFDA96" w:rsidR="00FC7FF3" w:rsidRPr="00901C7B" w:rsidRDefault="003A4EE7" w:rsidP="00A067D9">
      <w:pPr>
        <w:pStyle w:val="Caption"/>
        <w:rPr>
          <w:b w:val="0"/>
          <w:bCs/>
          <w:i/>
          <w:iCs w:val="0"/>
          <w:color w:val="75787B" w:themeColor="accent6"/>
        </w:rPr>
      </w:pPr>
      <w:r w:rsidRPr="00901C7B">
        <w:rPr>
          <w:b w:val="0"/>
          <w:bCs/>
          <w:i/>
          <w:iCs w:val="0"/>
          <w:color w:val="75787B" w:themeColor="accent6"/>
        </w:rPr>
        <w:t xml:space="preserve">Source: </w:t>
      </w:r>
      <w:r w:rsidR="00300717" w:rsidRPr="00300717">
        <w:rPr>
          <w:b w:val="0"/>
          <w:bCs/>
          <w:i/>
          <w:iCs w:val="0"/>
          <w:color w:val="75787B" w:themeColor="accent6"/>
        </w:rPr>
        <w:t>Deloitte analysis adapted from NOPSEMA data</w:t>
      </w:r>
    </w:p>
    <w:p w14:paraId="766529AE" w14:textId="1F604C31" w:rsidR="003A02E7" w:rsidRDefault="005B5658" w:rsidP="00F764AA">
      <w:pPr>
        <w:pStyle w:val="BodyCopyNEW"/>
      </w:pPr>
      <w:r>
        <w:t>The</w:t>
      </w:r>
      <w:r w:rsidR="003A02E7">
        <w:t xml:space="preserve"> three fundamental types of permissioning documents detailed in </w:t>
      </w:r>
      <w:r w:rsidR="009E47D1" w:rsidRPr="009E47D1">
        <w:rPr>
          <w:b/>
          <w:bCs/>
        </w:rPr>
        <w:fldChar w:fldCharType="begin"/>
      </w:r>
      <w:r w:rsidR="009E47D1" w:rsidRPr="009E47D1">
        <w:rPr>
          <w:b/>
          <w:bCs/>
        </w:rPr>
        <w:instrText xml:space="preserve"> REF _Ref58445393 \h  \* MERGEFORMAT </w:instrText>
      </w:r>
      <w:r w:rsidR="009E47D1" w:rsidRPr="009E47D1">
        <w:rPr>
          <w:b/>
          <w:bCs/>
        </w:rPr>
      </w:r>
      <w:r w:rsidR="009E47D1" w:rsidRPr="009E47D1">
        <w:rPr>
          <w:b/>
          <w:bCs/>
        </w:rPr>
        <w:fldChar w:fldCharType="separate"/>
      </w:r>
      <w:r w:rsidR="00E816B8" w:rsidRPr="00E816B8">
        <w:rPr>
          <w:b/>
          <w:bCs/>
        </w:rPr>
        <w:t xml:space="preserve">Table </w:t>
      </w:r>
      <w:r w:rsidR="00E816B8" w:rsidRPr="00E816B8">
        <w:rPr>
          <w:b/>
          <w:bCs/>
          <w:noProof/>
        </w:rPr>
        <w:t>6.1</w:t>
      </w:r>
      <w:r w:rsidR="009E47D1" w:rsidRPr="009E47D1">
        <w:rPr>
          <w:b/>
          <w:bCs/>
        </w:rPr>
        <w:fldChar w:fldCharType="end"/>
      </w:r>
      <w:r w:rsidR="009E47D1">
        <w:rPr>
          <w:b/>
          <w:bCs/>
        </w:rPr>
        <w:t xml:space="preserve"> </w:t>
      </w:r>
      <w:r w:rsidR="003A02E7">
        <w:t>below</w:t>
      </w:r>
      <w:r w:rsidR="00AB5DDD">
        <w:rPr>
          <w:rStyle w:val="FootnoteReference"/>
        </w:rPr>
        <w:footnoteReference w:id="13"/>
      </w:r>
      <w:r w:rsidR="003A02E7">
        <w:t>.</w:t>
      </w:r>
    </w:p>
    <w:p w14:paraId="41A302DC" w14:textId="43A04FE3" w:rsidR="009C2C29" w:rsidRDefault="009E47D1" w:rsidP="004B089B">
      <w:pPr>
        <w:pStyle w:val="Caption"/>
        <w:keepNext/>
      </w:pPr>
      <w:bookmarkStart w:id="49" w:name="_Ref58445393"/>
      <w:r>
        <w:t xml:space="preserve">Table </w:t>
      </w:r>
      <w:r w:rsidR="00F8476B">
        <w:fldChar w:fldCharType="begin"/>
      </w:r>
      <w:r w:rsidR="00F8476B">
        <w:instrText xml:space="preserve"> STYLEREF 1 \s </w:instrText>
      </w:r>
      <w:r w:rsidR="00F8476B">
        <w:fldChar w:fldCharType="separate"/>
      </w:r>
      <w:r w:rsidR="00E816B8">
        <w:rPr>
          <w:noProof/>
        </w:rPr>
        <w:t>6</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1</w:t>
      </w:r>
      <w:r w:rsidR="00F8476B">
        <w:fldChar w:fldCharType="end"/>
      </w:r>
      <w:bookmarkEnd w:id="49"/>
      <w:r>
        <w:t>: The three types of permissioning documents</w:t>
      </w:r>
    </w:p>
    <w:tbl>
      <w:tblPr>
        <w:tblStyle w:val="ListTable3-Accent3"/>
        <w:tblW w:w="0" w:type="auto"/>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1418"/>
        <w:gridCol w:w="8363"/>
      </w:tblGrid>
      <w:tr w:rsidR="009C2C29" w14:paraId="670D4CCA" w14:textId="77777777" w:rsidTr="004B089B">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8" w:type="dxa"/>
            <w:tcBorders>
              <w:top w:val="single" w:sz="8" w:space="0" w:color="007680"/>
              <w:bottom w:val="single" w:sz="8" w:space="0" w:color="007680"/>
            </w:tcBorders>
            <w:shd w:val="clear" w:color="auto" w:fill="auto"/>
          </w:tcPr>
          <w:p w14:paraId="06B9FC85" w14:textId="7C739433" w:rsidR="009C2C29" w:rsidRPr="00C86F08" w:rsidRDefault="00BC6605" w:rsidP="00C86F08">
            <w:pPr>
              <w:pStyle w:val="Tableheader"/>
              <w:rPr>
                <w:b/>
                <w:bCs/>
              </w:rPr>
            </w:pPr>
            <w:r w:rsidRPr="00C86F08">
              <w:rPr>
                <w:b/>
                <w:bCs/>
              </w:rPr>
              <w:t>Type</w:t>
            </w:r>
          </w:p>
        </w:tc>
        <w:tc>
          <w:tcPr>
            <w:tcW w:w="8363" w:type="dxa"/>
            <w:tcBorders>
              <w:top w:val="single" w:sz="8" w:space="0" w:color="007680"/>
              <w:bottom w:val="single" w:sz="8" w:space="0" w:color="007680"/>
            </w:tcBorders>
            <w:shd w:val="clear" w:color="auto" w:fill="auto"/>
          </w:tcPr>
          <w:p w14:paraId="281920D5" w14:textId="67ED68B6" w:rsidR="009C2C29" w:rsidRPr="00C86F08" w:rsidRDefault="00BC6605" w:rsidP="00C86F08">
            <w:pPr>
              <w:pStyle w:val="Tableheader"/>
              <w:cnfStyle w:val="100000000000" w:firstRow="1" w:lastRow="0" w:firstColumn="0" w:lastColumn="0" w:oddVBand="0" w:evenVBand="0" w:oddHBand="0" w:evenHBand="0" w:firstRowFirstColumn="0" w:firstRowLastColumn="0" w:lastRowFirstColumn="0" w:lastRowLastColumn="0"/>
              <w:rPr>
                <w:b/>
                <w:bCs/>
              </w:rPr>
            </w:pPr>
            <w:r w:rsidRPr="00C86F08">
              <w:rPr>
                <w:b/>
                <w:bCs/>
              </w:rPr>
              <w:t>Description</w:t>
            </w:r>
          </w:p>
        </w:tc>
      </w:tr>
      <w:tr w:rsidR="009C2C29" w14:paraId="2A7DD398" w14:textId="77777777" w:rsidTr="004B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8" w:space="0" w:color="007680"/>
              <w:bottom w:val="single" w:sz="4" w:space="0" w:color="BFBFBF" w:themeColor="background1" w:themeShade="BF"/>
            </w:tcBorders>
          </w:tcPr>
          <w:p w14:paraId="0447D12E" w14:textId="5E3616E3" w:rsidR="009C2C29" w:rsidRPr="00096BC3" w:rsidRDefault="009C2C29" w:rsidP="00F764AA">
            <w:pPr>
              <w:pStyle w:val="BodyCopyNEW"/>
              <w:rPr>
                <w:b w:val="0"/>
                <w:szCs w:val="18"/>
              </w:rPr>
            </w:pPr>
            <w:r w:rsidRPr="00096BC3">
              <w:rPr>
                <w:szCs w:val="18"/>
              </w:rPr>
              <w:t>Safety case</w:t>
            </w:r>
          </w:p>
        </w:tc>
        <w:tc>
          <w:tcPr>
            <w:tcW w:w="8363" w:type="dxa"/>
            <w:tcBorders>
              <w:top w:val="single" w:sz="8" w:space="0" w:color="007680"/>
              <w:bottom w:val="single" w:sz="4" w:space="0" w:color="BFBFBF" w:themeColor="background1" w:themeShade="BF"/>
            </w:tcBorders>
          </w:tcPr>
          <w:p w14:paraId="4983ABB3" w14:textId="7BB6E695" w:rsidR="009C2C29" w:rsidRPr="004602AD" w:rsidRDefault="009C2C29" w:rsidP="004B089B">
            <w:pPr>
              <w:pStyle w:val="BodyBullet1"/>
              <w:spacing w:line="240" w:lineRule="auto"/>
              <w:cnfStyle w:val="000000100000" w:firstRow="0" w:lastRow="0" w:firstColumn="0" w:lastColumn="0" w:oddVBand="0" w:evenVBand="0" w:oddHBand="1" w:evenHBand="0" w:firstRowFirstColumn="0" w:firstRowLastColumn="0" w:lastRowFirstColumn="0" w:lastRowLastColumn="0"/>
              <w:rPr>
                <w:szCs w:val="18"/>
              </w:rPr>
            </w:pPr>
            <w:r w:rsidRPr="004C6DE4">
              <w:rPr>
                <w:szCs w:val="18"/>
              </w:rPr>
              <w:t xml:space="preserve">A safety case is a </w:t>
            </w:r>
            <w:r w:rsidR="00503A07" w:rsidRPr="004C6DE4">
              <w:rPr>
                <w:szCs w:val="18"/>
              </w:rPr>
              <w:t xml:space="preserve">permissioning </w:t>
            </w:r>
            <w:r w:rsidRPr="004C6DE4">
              <w:rPr>
                <w:szCs w:val="18"/>
              </w:rPr>
              <w:t xml:space="preserve">document </w:t>
            </w:r>
            <w:r w:rsidR="00503A07" w:rsidRPr="00FA724A">
              <w:rPr>
                <w:szCs w:val="18"/>
              </w:rPr>
              <w:t xml:space="preserve">developed </w:t>
            </w:r>
            <w:r w:rsidRPr="00E9351C">
              <w:rPr>
                <w:szCs w:val="18"/>
              </w:rPr>
              <w:t xml:space="preserve">by </w:t>
            </w:r>
            <w:r w:rsidR="00503A07" w:rsidRPr="00D4602F">
              <w:rPr>
                <w:szCs w:val="18"/>
              </w:rPr>
              <w:t xml:space="preserve">an </w:t>
            </w:r>
            <w:r w:rsidRPr="00D4602F">
              <w:rPr>
                <w:szCs w:val="18"/>
              </w:rPr>
              <w:t>operator of a facility</w:t>
            </w:r>
            <w:r w:rsidR="005F0A04" w:rsidRPr="00CA1ABE">
              <w:rPr>
                <w:szCs w:val="18"/>
              </w:rPr>
              <w:t>, in consultation with its workers,</w:t>
            </w:r>
            <w:r w:rsidRPr="00611BAA">
              <w:rPr>
                <w:szCs w:val="18"/>
              </w:rPr>
              <w:t xml:space="preserve"> which</w:t>
            </w:r>
            <w:r w:rsidR="00A5280F" w:rsidRPr="00946300">
              <w:rPr>
                <w:szCs w:val="18"/>
              </w:rPr>
              <w:t xml:space="preserve"> i</w:t>
            </w:r>
            <w:r w:rsidRPr="00946300">
              <w:rPr>
                <w:szCs w:val="18"/>
              </w:rPr>
              <w:t>dentifies the hazards and risks</w:t>
            </w:r>
            <w:r w:rsidR="00A5280F" w:rsidRPr="00946300">
              <w:rPr>
                <w:szCs w:val="18"/>
              </w:rPr>
              <w:t>, d</w:t>
            </w:r>
            <w:r w:rsidRPr="00392AAF">
              <w:rPr>
                <w:szCs w:val="18"/>
              </w:rPr>
              <w:t xml:space="preserve">escribes how the risks are </w:t>
            </w:r>
            <w:r w:rsidRPr="00F57169">
              <w:rPr>
                <w:szCs w:val="18"/>
              </w:rPr>
              <w:t>controlled</w:t>
            </w:r>
            <w:r w:rsidR="00A5280F" w:rsidRPr="00F57169">
              <w:rPr>
                <w:szCs w:val="18"/>
              </w:rPr>
              <w:t>, and d</w:t>
            </w:r>
            <w:r w:rsidRPr="00F57169">
              <w:rPr>
                <w:szCs w:val="18"/>
              </w:rPr>
              <w:t xml:space="preserve">escribes the </w:t>
            </w:r>
            <w:r w:rsidR="00503A07" w:rsidRPr="004B6FFA">
              <w:rPr>
                <w:szCs w:val="18"/>
              </w:rPr>
              <w:t>S</w:t>
            </w:r>
            <w:r w:rsidRPr="004B6FFA">
              <w:rPr>
                <w:szCs w:val="18"/>
              </w:rPr>
              <w:t xml:space="preserve">afety </w:t>
            </w:r>
            <w:r w:rsidR="00503A07" w:rsidRPr="004B6FFA">
              <w:rPr>
                <w:szCs w:val="18"/>
              </w:rPr>
              <w:t>M</w:t>
            </w:r>
            <w:r w:rsidRPr="004B6FFA">
              <w:rPr>
                <w:szCs w:val="18"/>
              </w:rPr>
              <w:t xml:space="preserve">anagement </w:t>
            </w:r>
            <w:r w:rsidR="00503A07" w:rsidRPr="004B6FFA">
              <w:rPr>
                <w:szCs w:val="18"/>
              </w:rPr>
              <w:t>S</w:t>
            </w:r>
            <w:r w:rsidRPr="004B6FFA">
              <w:rPr>
                <w:szCs w:val="18"/>
              </w:rPr>
              <w:t xml:space="preserve">ystem </w:t>
            </w:r>
            <w:r w:rsidR="00503A07" w:rsidRPr="004B6FFA">
              <w:rPr>
                <w:szCs w:val="18"/>
              </w:rPr>
              <w:t>(</w:t>
            </w:r>
            <w:r w:rsidR="00503A07" w:rsidRPr="004B6FFA">
              <w:rPr>
                <w:b/>
                <w:szCs w:val="18"/>
              </w:rPr>
              <w:t>SMS</w:t>
            </w:r>
            <w:r w:rsidR="00503A07" w:rsidRPr="00911F0E">
              <w:rPr>
                <w:szCs w:val="18"/>
              </w:rPr>
              <w:t xml:space="preserve">) </w:t>
            </w:r>
            <w:r w:rsidRPr="00372FB6">
              <w:rPr>
                <w:szCs w:val="18"/>
              </w:rPr>
              <w:t>in place to ensure the controls are effectively and consistently applied</w:t>
            </w:r>
          </w:p>
          <w:p w14:paraId="5CFC899F" w14:textId="49433104" w:rsidR="009C2C29" w:rsidRPr="00EE5A55" w:rsidRDefault="00503A07" w:rsidP="004B089B">
            <w:pPr>
              <w:pStyle w:val="BodyBullet1"/>
              <w:spacing w:line="240" w:lineRule="auto"/>
              <w:cnfStyle w:val="000000100000" w:firstRow="0" w:lastRow="0" w:firstColumn="0" w:lastColumn="0" w:oddVBand="0" w:evenVBand="0" w:oddHBand="1" w:evenHBand="0" w:firstRowFirstColumn="0" w:firstRowLastColumn="0" w:lastRowFirstColumn="0" w:lastRowLastColumn="0"/>
              <w:rPr>
                <w:szCs w:val="18"/>
              </w:rPr>
            </w:pPr>
            <w:r w:rsidRPr="00C81CBA">
              <w:rPr>
                <w:szCs w:val="18"/>
              </w:rPr>
              <w:t xml:space="preserve">In the </w:t>
            </w:r>
            <w:r w:rsidR="00A45758" w:rsidRPr="00016436">
              <w:rPr>
                <w:szCs w:val="18"/>
              </w:rPr>
              <w:t>s</w:t>
            </w:r>
            <w:r w:rsidRPr="00016436">
              <w:rPr>
                <w:szCs w:val="18"/>
              </w:rPr>
              <w:t xml:space="preserve">afety </w:t>
            </w:r>
            <w:r w:rsidR="00A45758" w:rsidRPr="005E6D5F">
              <w:rPr>
                <w:szCs w:val="18"/>
              </w:rPr>
              <w:t>c</w:t>
            </w:r>
            <w:r w:rsidRPr="00953CA5">
              <w:rPr>
                <w:szCs w:val="18"/>
              </w:rPr>
              <w:t>ase regime, i</w:t>
            </w:r>
            <w:r w:rsidR="009C2C29" w:rsidRPr="00953CA5">
              <w:rPr>
                <w:szCs w:val="18"/>
              </w:rPr>
              <w:t xml:space="preserve">t is the operators' </w:t>
            </w:r>
            <w:r w:rsidRPr="00953CA5">
              <w:rPr>
                <w:szCs w:val="18"/>
              </w:rPr>
              <w:t xml:space="preserve">responsibility </w:t>
            </w:r>
            <w:r w:rsidR="009C2C29" w:rsidRPr="00953CA5">
              <w:rPr>
                <w:szCs w:val="18"/>
              </w:rPr>
              <w:t xml:space="preserve">to assess </w:t>
            </w:r>
            <w:r w:rsidRPr="00953CA5">
              <w:rPr>
                <w:szCs w:val="18"/>
              </w:rPr>
              <w:t xml:space="preserve">its own </w:t>
            </w:r>
            <w:r w:rsidR="009C2C29" w:rsidRPr="00953CA5">
              <w:rPr>
                <w:szCs w:val="18"/>
              </w:rPr>
              <w:t>processes, procedures</w:t>
            </w:r>
            <w:r w:rsidRPr="00953CA5">
              <w:rPr>
                <w:szCs w:val="18"/>
              </w:rPr>
              <w:t>,</w:t>
            </w:r>
            <w:r w:rsidR="009C2C29" w:rsidRPr="00953CA5">
              <w:rPr>
                <w:szCs w:val="18"/>
              </w:rPr>
              <w:t xml:space="preserve"> and systems to identify and evaluate risks and implement the appropriate controls</w:t>
            </w:r>
            <w:r w:rsidRPr="00171DEA">
              <w:rPr>
                <w:szCs w:val="18"/>
              </w:rPr>
              <w:t xml:space="preserve"> – ensuring risk is reduced to </w:t>
            </w:r>
            <w:r w:rsidR="00F63D4F" w:rsidRPr="00171DEA">
              <w:rPr>
                <w:szCs w:val="18"/>
              </w:rPr>
              <w:t>ALARP</w:t>
            </w:r>
          </w:p>
          <w:p w14:paraId="4D92E809" w14:textId="3523EA9A" w:rsidR="00A45758" w:rsidRPr="007F74D3" w:rsidRDefault="00A45758" w:rsidP="004B089B">
            <w:pPr>
              <w:pStyle w:val="BodyBullet1"/>
              <w:spacing w:line="240" w:lineRule="auto"/>
              <w:cnfStyle w:val="000000100000" w:firstRow="0" w:lastRow="0" w:firstColumn="0" w:lastColumn="0" w:oddVBand="0" w:evenVBand="0" w:oddHBand="1" w:evenHBand="0" w:firstRowFirstColumn="0" w:firstRowLastColumn="0" w:lastRowFirstColumn="0" w:lastRowLastColumn="0"/>
              <w:rPr>
                <w:szCs w:val="18"/>
              </w:rPr>
            </w:pPr>
            <w:r w:rsidRPr="00777C5D">
              <w:rPr>
                <w:szCs w:val="18"/>
              </w:rPr>
              <w:t xml:space="preserve">The key focus of a safety case is on MAEs, which are the critical aspects of the facility that can cause a major accident. An </w:t>
            </w:r>
            <w:r w:rsidR="00E71AA6" w:rsidRPr="006C6606">
              <w:rPr>
                <w:szCs w:val="18"/>
              </w:rPr>
              <w:t>operator’s</w:t>
            </w:r>
            <w:r w:rsidRPr="009D5BA8">
              <w:rPr>
                <w:szCs w:val="18"/>
              </w:rPr>
              <w:t xml:space="preserve"> safety case must consider both technical and managerial risk factors that could increase the risk of harm</w:t>
            </w:r>
          </w:p>
          <w:p w14:paraId="06DAFC03" w14:textId="47CD16C3" w:rsidR="009C2C29" w:rsidRPr="00777710" w:rsidRDefault="00A45758" w:rsidP="004B089B">
            <w:pPr>
              <w:pStyle w:val="BodyBullet1"/>
              <w:spacing w:line="240" w:lineRule="auto"/>
              <w:cnfStyle w:val="000000100000" w:firstRow="0" w:lastRow="0" w:firstColumn="0" w:lastColumn="0" w:oddVBand="0" w:evenVBand="0" w:oddHBand="1" w:evenHBand="0" w:firstRowFirstColumn="0" w:firstRowLastColumn="0" w:lastRowFirstColumn="0" w:lastRowLastColumn="0"/>
              <w:rPr>
                <w:szCs w:val="18"/>
              </w:rPr>
            </w:pPr>
            <w:r w:rsidRPr="0047319A">
              <w:rPr>
                <w:szCs w:val="18"/>
              </w:rPr>
              <w:t xml:space="preserve">Once the risks have been understood, </w:t>
            </w:r>
            <w:r w:rsidR="00E71AA6" w:rsidRPr="00C9422D">
              <w:rPr>
                <w:szCs w:val="18"/>
              </w:rPr>
              <w:t xml:space="preserve">the operator must define </w:t>
            </w:r>
            <w:r w:rsidRPr="00F53817">
              <w:rPr>
                <w:szCs w:val="18"/>
              </w:rPr>
              <w:t>a</w:t>
            </w:r>
            <w:r w:rsidR="009C2C29" w:rsidRPr="00A32AAE">
              <w:rPr>
                <w:szCs w:val="18"/>
              </w:rPr>
              <w:t xml:space="preserve">ppropriate performance standards for </w:t>
            </w:r>
            <w:r w:rsidR="009F24B1">
              <w:rPr>
                <w:szCs w:val="18"/>
              </w:rPr>
              <w:t>safe operation in relation to its MAEs</w:t>
            </w:r>
          </w:p>
          <w:p w14:paraId="227C04BE" w14:textId="77777777" w:rsidR="00D064FD" w:rsidRPr="00834F3C" w:rsidRDefault="009C2C29" w:rsidP="004B089B">
            <w:pPr>
              <w:pStyle w:val="BodyBullet1"/>
              <w:spacing w:line="240" w:lineRule="auto"/>
              <w:cnfStyle w:val="000000100000" w:firstRow="0" w:lastRow="0" w:firstColumn="0" w:lastColumn="0" w:oddVBand="0" w:evenVBand="0" w:oddHBand="1" w:evenHBand="0" w:firstRowFirstColumn="0" w:firstRowLastColumn="0" w:lastRowFirstColumn="0" w:lastRowLastColumn="0"/>
              <w:rPr>
                <w:szCs w:val="18"/>
              </w:rPr>
            </w:pPr>
            <w:r w:rsidRPr="00777710">
              <w:rPr>
                <w:szCs w:val="18"/>
              </w:rPr>
              <w:t xml:space="preserve">NOPSEMA assesses safety cases and 'accepts' </w:t>
            </w:r>
            <w:r w:rsidR="00E71AA6" w:rsidRPr="006F091B">
              <w:rPr>
                <w:szCs w:val="18"/>
              </w:rPr>
              <w:t>the document</w:t>
            </w:r>
            <w:r w:rsidRPr="006610D9">
              <w:rPr>
                <w:szCs w:val="18"/>
              </w:rPr>
              <w:t xml:space="preserve"> if it is satisfied the arrangements demonstrate the risks will be reduced </w:t>
            </w:r>
            <w:r w:rsidR="00E71AA6" w:rsidRPr="00711FC9">
              <w:rPr>
                <w:szCs w:val="18"/>
              </w:rPr>
              <w:t xml:space="preserve">to </w:t>
            </w:r>
            <w:r w:rsidRPr="00834F3C">
              <w:rPr>
                <w:szCs w:val="18"/>
              </w:rPr>
              <w:t>ALARP</w:t>
            </w:r>
          </w:p>
          <w:p w14:paraId="5230857C" w14:textId="3630D6D9" w:rsidR="009C2C29" w:rsidRPr="001D4317" w:rsidRDefault="00D064FD" w:rsidP="004B089B">
            <w:pPr>
              <w:pStyle w:val="BodyBullet1"/>
              <w:spacing w:line="240" w:lineRule="auto"/>
              <w:cnfStyle w:val="000000100000" w:firstRow="0" w:lastRow="0" w:firstColumn="0" w:lastColumn="0" w:oddVBand="0" w:evenVBand="0" w:oddHBand="1" w:evenHBand="0" w:firstRowFirstColumn="0" w:firstRowLastColumn="0" w:lastRowFirstColumn="0" w:lastRowLastColumn="0"/>
              <w:rPr>
                <w:szCs w:val="18"/>
              </w:rPr>
            </w:pPr>
            <w:r w:rsidRPr="00FF42CF">
              <w:rPr>
                <w:szCs w:val="18"/>
              </w:rPr>
              <w:t xml:space="preserve">Once </w:t>
            </w:r>
            <w:r w:rsidR="009C2C29" w:rsidRPr="00FF42CF">
              <w:rPr>
                <w:szCs w:val="18"/>
              </w:rPr>
              <w:t xml:space="preserve">'accepted', NOPSEMA </w:t>
            </w:r>
            <w:r w:rsidR="00657176">
              <w:rPr>
                <w:szCs w:val="18"/>
              </w:rPr>
              <w:t>monitors compliance through inspections with the permissioning documents and listed NOPSEMA laws</w:t>
            </w:r>
            <w:r w:rsidR="009C2C29" w:rsidRPr="002113A4">
              <w:rPr>
                <w:szCs w:val="18"/>
              </w:rPr>
              <w:t>.</w:t>
            </w:r>
          </w:p>
        </w:tc>
      </w:tr>
      <w:tr w:rsidR="009C2C29" w14:paraId="180AB85D" w14:textId="77777777" w:rsidTr="004B089B">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FBFBF" w:themeColor="background1" w:themeShade="BF"/>
              <w:bottom w:val="single" w:sz="4" w:space="0" w:color="BFBFBF" w:themeColor="background1" w:themeShade="BF"/>
            </w:tcBorders>
          </w:tcPr>
          <w:p w14:paraId="382B3720" w14:textId="22411A0A" w:rsidR="009C2C29" w:rsidRPr="004C6DE4" w:rsidRDefault="009C2C29" w:rsidP="00F764AA">
            <w:pPr>
              <w:pStyle w:val="BodyCopyNEW"/>
              <w:rPr>
                <w:b w:val="0"/>
                <w:szCs w:val="18"/>
              </w:rPr>
            </w:pPr>
            <w:r w:rsidRPr="00096BC3">
              <w:rPr>
                <w:szCs w:val="18"/>
              </w:rPr>
              <w:t xml:space="preserve">Well Operations Management Plan </w:t>
            </w:r>
            <w:r w:rsidR="00CA0A1A" w:rsidRPr="004C6DE4">
              <w:rPr>
                <w:szCs w:val="18"/>
              </w:rPr>
              <w:t>(WOMP)</w:t>
            </w:r>
          </w:p>
        </w:tc>
        <w:tc>
          <w:tcPr>
            <w:tcW w:w="8363" w:type="dxa"/>
            <w:tcBorders>
              <w:top w:val="single" w:sz="4" w:space="0" w:color="BFBFBF" w:themeColor="background1" w:themeShade="BF"/>
              <w:bottom w:val="single" w:sz="4" w:space="0" w:color="BFBFBF" w:themeColor="background1" w:themeShade="BF"/>
            </w:tcBorders>
          </w:tcPr>
          <w:p w14:paraId="244A5A2F" w14:textId="645F9140" w:rsidR="00F52E89" w:rsidRPr="00372FB6" w:rsidRDefault="00645A22" w:rsidP="004B089B">
            <w:pPr>
              <w:pStyle w:val="BodyBullet1"/>
              <w:spacing w:line="240"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Cs w:val="18"/>
              </w:rPr>
            </w:pPr>
            <w:r w:rsidRPr="00611BAA">
              <w:rPr>
                <w:szCs w:val="18"/>
              </w:rPr>
              <w:t xml:space="preserve">The </w:t>
            </w:r>
            <w:r w:rsidR="00F52E89" w:rsidRPr="00946300">
              <w:rPr>
                <w:szCs w:val="18"/>
              </w:rPr>
              <w:t xml:space="preserve">WOMP </w:t>
            </w:r>
            <w:r w:rsidRPr="00946300">
              <w:rPr>
                <w:szCs w:val="18"/>
              </w:rPr>
              <w:t xml:space="preserve">defines the </w:t>
            </w:r>
            <w:r w:rsidR="00657176">
              <w:rPr>
                <w:szCs w:val="18"/>
              </w:rPr>
              <w:t>titleholder’s</w:t>
            </w:r>
            <w:r w:rsidR="00657176" w:rsidRPr="00392AAF">
              <w:rPr>
                <w:szCs w:val="18"/>
              </w:rPr>
              <w:t xml:space="preserve"> </w:t>
            </w:r>
            <w:r w:rsidRPr="00392AAF">
              <w:rPr>
                <w:szCs w:val="18"/>
              </w:rPr>
              <w:t xml:space="preserve">commitment of compliance to Part 5 of the </w:t>
            </w:r>
            <w:r w:rsidR="00ED6BC8" w:rsidRPr="000B563E">
              <w:rPr>
                <w:bCs/>
                <w:szCs w:val="18"/>
              </w:rPr>
              <w:t>RMA Regulations</w:t>
            </w:r>
          </w:p>
          <w:p w14:paraId="0F9943D4" w14:textId="009F5FAE" w:rsidR="00F55C43" w:rsidRPr="005E6D5F" w:rsidRDefault="00645A22" w:rsidP="004B089B">
            <w:pPr>
              <w:pStyle w:val="BodyBullet1"/>
              <w:spacing w:line="240" w:lineRule="auto"/>
              <w:cnfStyle w:val="000000000000" w:firstRow="0" w:lastRow="0" w:firstColumn="0" w:lastColumn="0" w:oddVBand="0" w:evenVBand="0" w:oddHBand="0" w:evenHBand="0" w:firstRowFirstColumn="0" w:firstRowLastColumn="0" w:lastRowFirstColumn="0" w:lastRowLastColumn="0"/>
              <w:rPr>
                <w:szCs w:val="18"/>
              </w:rPr>
            </w:pPr>
            <w:r w:rsidRPr="004602AD">
              <w:rPr>
                <w:szCs w:val="18"/>
              </w:rPr>
              <w:t xml:space="preserve">The </w:t>
            </w:r>
            <w:r w:rsidR="009B0681" w:rsidRPr="009013BE">
              <w:rPr>
                <w:szCs w:val="18"/>
              </w:rPr>
              <w:t>WOMP</w:t>
            </w:r>
            <w:r w:rsidRPr="009013BE">
              <w:rPr>
                <w:szCs w:val="18"/>
              </w:rPr>
              <w:t xml:space="preserve"> sets out to describe the technical and managerial aspects of managing the risks to integrity of the well</w:t>
            </w:r>
            <w:r w:rsidR="00F55C43" w:rsidRPr="00C81CBA">
              <w:rPr>
                <w:szCs w:val="18"/>
              </w:rPr>
              <w:t xml:space="preserve">, and can be </w:t>
            </w:r>
            <w:r w:rsidRPr="00016436">
              <w:rPr>
                <w:szCs w:val="18"/>
              </w:rPr>
              <w:t xml:space="preserve">applicable </w:t>
            </w:r>
            <w:r w:rsidR="00601CD3">
              <w:rPr>
                <w:szCs w:val="18"/>
              </w:rPr>
              <w:t>to all</w:t>
            </w:r>
            <w:r w:rsidRPr="00016436">
              <w:rPr>
                <w:szCs w:val="18"/>
              </w:rPr>
              <w:t xml:space="preserve"> or any part of the lifecycle of a well</w:t>
            </w:r>
          </w:p>
          <w:p w14:paraId="54BCCAB4" w14:textId="69B93D52" w:rsidR="00F55C43" w:rsidRPr="00953CA5" w:rsidRDefault="00645A22" w:rsidP="004B089B">
            <w:pPr>
              <w:pStyle w:val="BodyBullet1"/>
              <w:spacing w:line="240" w:lineRule="auto"/>
              <w:cnfStyle w:val="000000000000" w:firstRow="0" w:lastRow="0" w:firstColumn="0" w:lastColumn="0" w:oddVBand="0" w:evenVBand="0" w:oddHBand="0" w:evenHBand="0" w:firstRowFirstColumn="0" w:firstRowLastColumn="0" w:lastRowFirstColumn="0" w:lastRowLastColumn="0"/>
              <w:rPr>
                <w:szCs w:val="18"/>
              </w:rPr>
            </w:pPr>
            <w:r w:rsidRPr="00953CA5">
              <w:rPr>
                <w:szCs w:val="18"/>
              </w:rPr>
              <w:lastRenderedPageBreak/>
              <w:t>At any stage of the well’s lifecycle a WOMP must be in force and active up until the accepted permanent abandonment of the well</w:t>
            </w:r>
          </w:p>
          <w:p w14:paraId="63876430" w14:textId="0024C3C8" w:rsidR="009C2C29" w:rsidRPr="006C6606" w:rsidRDefault="00645A22" w:rsidP="004B089B">
            <w:pPr>
              <w:pStyle w:val="BodyBullet1"/>
              <w:spacing w:line="240" w:lineRule="auto"/>
              <w:cnfStyle w:val="000000000000" w:firstRow="0" w:lastRow="0" w:firstColumn="0" w:lastColumn="0" w:oddVBand="0" w:evenVBand="0" w:oddHBand="0" w:evenHBand="0" w:firstRowFirstColumn="0" w:firstRowLastColumn="0" w:lastRowFirstColumn="0" w:lastRowLastColumn="0"/>
              <w:rPr>
                <w:szCs w:val="18"/>
              </w:rPr>
            </w:pPr>
            <w:r w:rsidRPr="00171DEA">
              <w:rPr>
                <w:szCs w:val="18"/>
              </w:rPr>
              <w:t>The WOMP also describes barrier management throughout the lifecycle of the well, the application and adherence to the Well Operat</w:t>
            </w:r>
            <w:r w:rsidR="00601CD3">
              <w:rPr>
                <w:szCs w:val="18"/>
              </w:rPr>
              <w:t>ions</w:t>
            </w:r>
            <w:r w:rsidRPr="00171DEA">
              <w:rPr>
                <w:szCs w:val="18"/>
              </w:rPr>
              <w:t xml:space="preserve"> Management </w:t>
            </w:r>
            <w:r w:rsidR="00601CD3">
              <w:rPr>
                <w:szCs w:val="18"/>
              </w:rPr>
              <w:t>Plan</w:t>
            </w:r>
            <w:r w:rsidR="00601CD3" w:rsidRPr="00171DEA">
              <w:rPr>
                <w:szCs w:val="18"/>
              </w:rPr>
              <w:t xml:space="preserve"> </w:t>
            </w:r>
            <w:r w:rsidR="006E51DF">
              <w:rPr>
                <w:szCs w:val="18"/>
              </w:rPr>
              <w:t>d</w:t>
            </w:r>
            <w:r w:rsidR="006E51DF" w:rsidRPr="00171DEA">
              <w:rPr>
                <w:szCs w:val="18"/>
              </w:rPr>
              <w:t>efined</w:t>
            </w:r>
            <w:r w:rsidRPr="00171DEA">
              <w:rPr>
                <w:szCs w:val="18"/>
              </w:rPr>
              <w:t xml:space="preserve"> Standards, an overview of the well activities throughout the lifecycle including construction, testing, monitoring, suspending and abandoning and the relevant</w:t>
            </w:r>
            <w:r w:rsidRPr="00777C5D">
              <w:rPr>
                <w:szCs w:val="18"/>
              </w:rPr>
              <w:t xml:space="preserve"> performance outcomes. It include</w:t>
            </w:r>
            <w:r w:rsidR="008F45BF">
              <w:rPr>
                <w:szCs w:val="18"/>
              </w:rPr>
              <w:t>s</w:t>
            </w:r>
            <w:r w:rsidRPr="00777C5D">
              <w:rPr>
                <w:szCs w:val="18"/>
              </w:rPr>
              <w:t xml:space="preserve"> a well specific source control plan and blow out modelling and discussion around worst case discharge</w:t>
            </w:r>
          </w:p>
          <w:p w14:paraId="5C1B6B6A" w14:textId="2B103E38" w:rsidR="00FC01C8" w:rsidRPr="00A32AAE" w:rsidRDefault="00FC01C8" w:rsidP="004B089B">
            <w:pPr>
              <w:pStyle w:val="BodyBullet1"/>
              <w:spacing w:line="240" w:lineRule="auto"/>
              <w:cnfStyle w:val="000000000000" w:firstRow="0" w:lastRow="0" w:firstColumn="0" w:lastColumn="0" w:oddVBand="0" w:evenVBand="0" w:oddHBand="0" w:evenHBand="0" w:firstRowFirstColumn="0" w:firstRowLastColumn="0" w:lastRowFirstColumn="0" w:lastRowLastColumn="0"/>
              <w:rPr>
                <w:szCs w:val="18"/>
              </w:rPr>
            </w:pPr>
            <w:r w:rsidRPr="007F74D3">
              <w:rPr>
                <w:szCs w:val="18"/>
              </w:rPr>
              <w:t xml:space="preserve">NOPSEMA assesses </w:t>
            </w:r>
            <w:r w:rsidR="00100D7F" w:rsidRPr="0047319A">
              <w:rPr>
                <w:szCs w:val="18"/>
              </w:rPr>
              <w:t>WOMPs</w:t>
            </w:r>
            <w:r w:rsidRPr="00C9422D">
              <w:rPr>
                <w:szCs w:val="18"/>
              </w:rPr>
              <w:t xml:space="preserve"> and 'accepts' the document if it is satisfied the arrangements demonstrate the risks </w:t>
            </w:r>
            <w:r w:rsidRPr="00F53817">
              <w:rPr>
                <w:szCs w:val="18"/>
              </w:rPr>
              <w:t>will be reduced to ALARP</w:t>
            </w:r>
          </w:p>
          <w:p w14:paraId="6CEE9659" w14:textId="066BD61D" w:rsidR="00FC01C8" w:rsidRPr="00777710" w:rsidRDefault="00FC01C8" w:rsidP="004B089B">
            <w:pPr>
              <w:pStyle w:val="BodyBullet1"/>
              <w:spacing w:line="240" w:lineRule="auto"/>
              <w:cnfStyle w:val="000000000000" w:firstRow="0" w:lastRow="0" w:firstColumn="0" w:lastColumn="0" w:oddVBand="0" w:evenVBand="0" w:oddHBand="0" w:evenHBand="0" w:firstRowFirstColumn="0" w:firstRowLastColumn="0" w:lastRowFirstColumn="0" w:lastRowLastColumn="0"/>
              <w:rPr>
                <w:szCs w:val="18"/>
              </w:rPr>
            </w:pPr>
            <w:r w:rsidRPr="00B575BF">
              <w:rPr>
                <w:szCs w:val="18"/>
              </w:rPr>
              <w:t xml:space="preserve">Once 'accepted', NOPSEMA </w:t>
            </w:r>
            <w:r w:rsidR="008F45BF">
              <w:rPr>
                <w:szCs w:val="18"/>
              </w:rPr>
              <w:t>monitors compliance through inspections with the permissioning documents and listed NOPSEMA laws</w:t>
            </w:r>
            <w:r w:rsidRPr="003E4CD6">
              <w:rPr>
                <w:szCs w:val="18"/>
              </w:rPr>
              <w:t>.</w:t>
            </w:r>
          </w:p>
        </w:tc>
      </w:tr>
      <w:tr w:rsidR="009C2C29" w14:paraId="738A0813" w14:textId="77777777" w:rsidTr="004B08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BFBFBF" w:themeColor="background1" w:themeShade="BF"/>
              <w:bottom w:val="single" w:sz="4" w:space="0" w:color="BFBFBF" w:themeColor="background1" w:themeShade="BF"/>
            </w:tcBorders>
          </w:tcPr>
          <w:p w14:paraId="6E4F8E24" w14:textId="79790837" w:rsidR="009C2C29" w:rsidRPr="00EC0CDF" w:rsidRDefault="009C2C29" w:rsidP="00F764AA">
            <w:pPr>
              <w:pStyle w:val="BodyCopyNEW"/>
              <w:rPr>
                <w:b w:val="0"/>
                <w:szCs w:val="18"/>
              </w:rPr>
            </w:pPr>
            <w:r w:rsidRPr="00096BC3">
              <w:rPr>
                <w:szCs w:val="18"/>
              </w:rPr>
              <w:lastRenderedPageBreak/>
              <w:t xml:space="preserve">Environment Plan </w:t>
            </w:r>
            <w:r w:rsidR="00CA0A1A" w:rsidRPr="004C6DE4">
              <w:rPr>
                <w:szCs w:val="18"/>
              </w:rPr>
              <w:t>(EP)</w:t>
            </w:r>
          </w:p>
        </w:tc>
        <w:tc>
          <w:tcPr>
            <w:tcW w:w="8363" w:type="dxa"/>
            <w:tcBorders>
              <w:top w:val="single" w:sz="4" w:space="0" w:color="BFBFBF" w:themeColor="background1" w:themeShade="BF"/>
              <w:bottom w:val="single" w:sz="4" w:space="0" w:color="BFBFBF" w:themeColor="background1" w:themeShade="BF"/>
            </w:tcBorders>
          </w:tcPr>
          <w:p w14:paraId="0CFBFEE3" w14:textId="77777777" w:rsidR="004B69E2" w:rsidRPr="00F57169" w:rsidRDefault="00A5280F" w:rsidP="004B089B">
            <w:pPr>
              <w:pStyle w:val="BodyBullet1"/>
              <w:spacing w:line="240" w:lineRule="auto"/>
              <w:ind w:hanging="357"/>
              <w:cnfStyle w:val="000000100000" w:firstRow="0" w:lastRow="0" w:firstColumn="0" w:lastColumn="0" w:oddVBand="0" w:evenVBand="0" w:oddHBand="1" w:evenHBand="0" w:firstRowFirstColumn="0" w:firstRowLastColumn="0" w:lastRowFirstColumn="0" w:lastRowLastColumn="0"/>
              <w:rPr>
                <w:szCs w:val="18"/>
              </w:rPr>
            </w:pPr>
            <w:r w:rsidRPr="00611BAA">
              <w:rPr>
                <w:szCs w:val="18"/>
              </w:rPr>
              <w:t>T</w:t>
            </w:r>
            <w:r w:rsidRPr="00946300">
              <w:rPr>
                <w:szCs w:val="18"/>
              </w:rPr>
              <w:t xml:space="preserve">he scope of an </w:t>
            </w:r>
            <w:r w:rsidR="004F5B10" w:rsidRPr="00946300">
              <w:rPr>
                <w:szCs w:val="18"/>
              </w:rPr>
              <w:t>EP</w:t>
            </w:r>
            <w:r w:rsidRPr="00946300">
              <w:rPr>
                <w:szCs w:val="18"/>
              </w:rPr>
              <w:t xml:space="preserve"> is determined with regard to the nature and scale of the proposed activity and the identified impacts on and risks to the receiving environment. </w:t>
            </w:r>
          </w:p>
          <w:p w14:paraId="048228B0" w14:textId="22E88819" w:rsidR="00A5280F" w:rsidRPr="005E6D5F" w:rsidRDefault="00A5280F" w:rsidP="004B089B">
            <w:pPr>
              <w:pStyle w:val="BodyBullet1"/>
              <w:spacing w:line="240" w:lineRule="auto"/>
              <w:ind w:hanging="357"/>
              <w:cnfStyle w:val="000000100000" w:firstRow="0" w:lastRow="0" w:firstColumn="0" w:lastColumn="0" w:oddVBand="0" w:evenVBand="0" w:oddHBand="1" w:evenHBand="0" w:firstRowFirstColumn="0" w:firstRowLastColumn="0" w:lastRowFirstColumn="0" w:lastRowLastColumn="0"/>
              <w:rPr>
                <w:rFonts w:cstheme="minorHAnsi"/>
                <w:szCs w:val="18"/>
              </w:rPr>
            </w:pPr>
            <w:r w:rsidRPr="00F57169">
              <w:rPr>
                <w:rFonts w:cstheme="minorHAnsi"/>
                <w:szCs w:val="18"/>
              </w:rPr>
              <w:t xml:space="preserve">The </w:t>
            </w:r>
            <w:r w:rsidR="000649BB" w:rsidRPr="00F57169">
              <w:rPr>
                <w:i/>
                <w:szCs w:val="18"/>
              </w:rPr>
              <w:t>Offshore Petroleum and Greenhouse Gas Storage (</w:t>
            </w:r>
            <w:r w:rsidRPr="001F0F24">
              <w:rPr>
                <w:i/>
                <w:szCs w:val="18"/>
              </w:rPr>
              <w:t>Environment</w:t>
            </w:r>
            <w:r w:rsidR="000649BB" w:rsidRPr="00372FB6">
              <w:rPr>
                <w:i/>
                <w:szCs w:val="18"/>
              </w:rPr>
              <w:t>)</w:t>
            </w:r>
            <w:r w:rsidRPr="00372FB6">
              <w:rPr>
                <w:i/>
                <w:szCs w:val="18"/>
              </w:rPr>
              <w:t xml:space="preserve"> Regulations </w:t>
            </w:r>
            <w:r w:rsidR="000649BB" w:rsidRPr="009013BE">
              <w:rPr>
                <w:i/>
                <w:szCs w:val="18"/>
              </w:rPr>
              <w:t xml:space="preserve">2009 </w:t>
            </w:r>
            <w:r w:rsidR="000649BB" w:rsidRPr="009013BE">
              <w:rPr>
                <w:szCs w:val="18"/>
              </w:rPr>
              <w:t xml:space="preserve">(the </w:t>
            </w:r>
            <w:r w:rsidR="000649BB" w:rsidRPr="009013BE">
              <w:rPr>
                <w:b/>
                <w:szCs w:val="18"/>
              </w:rPr>
              <w:t>Environment Regulations</w:t>
            </w:r>
            <w:r w:rsidR="000649BB" w:rsidRPr="00C81CBA">
              <w:rPr>
                <w:szCs w:val="18"/>
              </w:rPr>
              <w:t xml:space="preserve">) </w:t>
            </w:r>
            <w:r w:rsidRPr="00C81CBA">
              <w:rPr>
                <w:rFonts w:cstheme="minorHAnsi"/>
                <w:szCs w:val="18"/>
              </w:rPr>
              <w:t xml:space="preserve">also detail required content for an </w:t>
            </w:r>
            <w:r w:rsidR="00CA0A1A" w:rsidRPr="00016436">
              <w:rPr>
                <w:rFonts w:cstheme="minorHAnsi"/>
                <w:szCs w:val="18"/>
              </w:rPr>
              <w:t>EP</w:t>
            </w:r>
            <w:r w:rsidR="004B69E2" w:rsidRPr="005E6D5F">
              <w:rPr>
                <w:rFonts w:cstheme="minorHAnsi"/>
                <w:szCs w:val="18"/>
              </w:rPr>
              <w:t xml:space="preserve"> and includes (for example):</w:t>
            </w:r>
          </w:p>
          <w:p w14:paraId="105FA41C" w14:textId="5F65D0CC" w:rsidR="00A5280F" w:rsidRPr="00953CA5" w:rsidRDefault="004B69E2" w:rsidP="004B089B">
            <w:pPr>
              <w:pStyle w:val="Bodybullet2"/>
              <w:spacing w:line="240" w:lineRule="auto"/>
              <w:ind w:left="1080" w:hanging="357"/>
              <w:cnfStyle w:val="000000100000" w:firstRow="0" w:lastRow="0" w:firstColumn="0" w:lastColumn="0" w:oddVBand="0" w:evenVBand="0" w:oddHBand="1" w:evenHBand="0" w:firstRowFirstColumn="0" w:firstRowLastColumn="0" w:lastRowFirstColumn="0" w:lastRowLastColumn="0"/>
              <w:rPr>
                <w:szCs w:val="18"/>
              </w:rPr>
            </w:pPr>
            <w:r w:rsidRPr="00953CA5">
              <w:rPr>
                <w:szCs w:val="18"/>
              </w:rPr>
              <w:t>A</w:t>
            </w:r>
            <w:r w:rsidR="00A5280F" w:rsidRPr="00953CA5">
              <w:rPr>
                <w:szCs w:val="18"/>
              </w:rPr>
              <w:t xml:space="preserve"> description of the activity, including location and proposed timetable</w:t>
            </w:r>
          </w:p>
          <w:p w14:paraId="4027742E" w14:textId="14D41A8B" w:rsidR="00A5280F" w:rsidRPr="00171DEA" w:rsidRDefault="004B69E2" w:rsidP="004B089B">
            <w:pPr>
              <w:pStyle w:val="Bodybullet2"/>
              <w:spacing w:line="240" w:lineRule="auto"/>
              <w:ind w:left="1080" w:hanging="357"/>
              <w:cnfStyle w:val="000000100000" w:firstRow="0" w:lastRow="0" w:firstColumn="0" w:lastColumn="0" w:oddVBand="0" w:evenVBand="0" w:oddHBand="1" w:evenHBand="0" w:firstRowFirstColumn="0" w:firstRowLastColumn="0" w:lastRowFirstColumn="0" w:lastRowLastColumn="0"/>
              <w:rPr>
                <w:szCs w:val="18"/>
              </w:rPr>
            </w:pPr>
            <w:r w:rsidRPr="00953CA5">
              <w:rPr>
                <w:szCs w:val="18"/>
              </w:rPr>
              <w:t>A</w:t>
            </w:r>
            <w:r w:rsidR="00A5280F" w:rsidRPr="00953CA5">
              <w:rPr>
                <w:szCs w:val="18"/>
              </w:rPr>
              <w:t xml:space="preserve"> description of the environment that may be affected by the activity</w:t>
            </w:r>
          </w:p>
          <w:p w14:paraId="68686C30" w14:textId="7DF8861A" w:rsidR="00A5280F" w:rsidRPr="00EE5A55" w:rsidRDefault="004B69E2" w:rsidP="004B089B">
            <w:pPr>
              <w:pStyle w:val="Bodybullet2"/>
              <w:spacing w:line="240" w:lineRule="auto"/>
              <w:ind w:left="1080" w:hanging="357"/>
              <w:cnfStyle w:val="000000100000" w:firstRow="0" w:lastRow="0" w:firstColumn="0" w:lastColumn="0" w:oddVBand="0" w:evenVBand="0" w:oddHBand="1" w:evenHBand="0" w:firstRowFirstColumn="0" w:firstRowLastColumn="0" w:lastRowFirstColumn="0" w:lastRowLastColumn="0"/>
              <w:rPr>
                <w:szCs w:val="18"/>
              </w:rPr>
            </w:pPr>
            <w:r w:rsidRPr="00171DEA">
              <w:rPr>
                <w:szCs w:val="18"/>
              </w:rPr>
              <w:t>D</w:t>
            </w:r>
            <w:r w:rsidR="00A5280F" w:rsidRPr="00171DEA">
              <w:rPr>
                <w:szCs w:val="18"/>
              </w:rPr>
              <w:t>etails and an evaluation of the environment</w:t>
            </w:r>
            <w:r w:rsidR="00A5280F" w:rsidRPr="00EE5A55">
              <w:rPr>
                <w:szCs w:val="18"/>
              </w:rPr>
              <w:t xml:space="preserve">al impacts and risks </w:t>
            </w:r>
          </w:p>
          <w:p w14:paraId="090B6D0B" w14:textId="5CE12883" w:rsidR="00A5280F" w:rsidRPr="009D5BA8" w:rsidRDefault="004B69E2" w:rsidP="004B089B">
            <w:pPr>
              <w:pStyle w:val="Bodybullet2"/>
              <w:spacing w:line="240" w:lineRule="auto"/>
              <w:ind w:left="1080" w:hanging="357"/>
              <w:cnfStyle w:val="000000100000" w:firstRow="0" w:lastRow="0" w:firstColumn="0" w:lastColumn="0" w:oddVBand="0" w:evenVBand="0" w:oddHBand="1" w:evenHBand="0" w:firstRowFirstColumn="0" w:firstRowLastColumn="0" w:lastRowFirstColumn="0" w:lastRowLastColumn="0"/>
              <w:rPr>
                <w:szCs w:val="18"/>
              </w:rPr>
            </w:pPr>
            <w:r w:rsidRPr="00777C5D">
              <w:rPr>
                <w:szCs w:val="18"/>
              </w:rPr>
              <w:t>D</w:t>
            </w:r>
            <w:r w:rsidR="00A5280F" w:rsidRPr="00777C5D">
              <w:rPr>
                <w:szCs w:val="18"/>
              </w:rPr>
              <w:t xml:space="preserve">etails of the control measures that will be in place to reduce the environmental impacts and risks of the activity to a level that is acceptable and </w:t>
            </w:r>
            <w:r w:rsidR="00CE5C99" w:rsidRPr="006C6606">
              <w:rPr>
                <w:szCs w:val="18"/>
              </w:rPr>
              <w:t>ALARP</w:t>
            </w:r>
          </w:p>
          <w:p w14:paraId="1662FF4A" w14:textId="330D869A" w:rsidR="00A5280F" w:rsidRPr="00B575BF" w:rsidRDefault="004B69E2" w:rsidP="004B089B">
            <w:pPr>
              <w:pStyle w:val="Bodybullet2"/>
              <w:spacing w:line="240" w:lineRule="auto"/>
              <w:ind w:left="1080" w:hanging="357"/>
              <w:cnfStyle w:val="000000100000" w:firstRow="0" w:lastRow="0" w:firstColumn="0" w:lastColumn="0" w:oddVBand="0" w:evenVBand="0" w:oddHBand="1" w:evenHBand="0" w:firstRowFirstColumn="0" w:firstRowLastColumn="0" w:lastRowFirstColumn="0" w:lastRowLastColumn="0"/>
              <w:rPr>
                <w:szCs w:val="18"/>
              </w:rPr>
            </w:pPr>
            <w:r w:rsidRPr="007F74D3">
              <w:rPr>
                <w:szCs w:val="18"/>
              </w:rPr>
              <w:t>E</w:t>
            </w:r>
            <w:r w:rsidR="00A5280F" w:rsidRPr="0047319A">
              <w:rPr>
                <w:szCs w:val="18"/>
              </w:rPr>
              <w:t xml:space="preserve">nvironmental performance standards </w:t>
            </w:r>
            <w:r w:rsidR="00CE5C99" w:rsidRPr="00C9422D">
              <w:rPr>
                <w:szCs w:val="18"/>
              </w:rPr>
              <w:t xml:space="preserve">and outcomes </w:t>
            </w:r>
            <w:r w:rsidR="00A5280F" w:rsidRPr="00F53817">
              <w:rPr>
                <w:szCs w:val="18"/>
              </w:rPr>
              <w:t>(and associated measurement c</w:t>
            </w:r>
            <w:r w:rsidR="00A5280F" w:rsidRPr="00A32AAE">
              <w:rPr>
                <w:szCs w:val="18"/>
              </w:rPr>
              <w:t xml:space="preserve">riteria) </w:t>
            </w:r>
          </w:p>
          <w:p w14:paraId="21ECDDB0" w14:textId="3B1040AD" w:rsidR="004B69E2" w:rsidRPr="00711FC9" w:rsidRDefault="004B69E2" w:rsidP="004B089B">
            <w:pPr>
              <w:pStyle w:val="Bodybullet2"/>
              <w:spacing w:line="240" w:lineRule="auto"/>
              <w:ind w:left="1080" w:hanging="357"/>
              <w:cnfStyle w:val="000000100000" w:firstRow="0" w:lastRow="0" w:firstColumn="0" w:lastColumn="0" w:oddVBand="0" w:evenVBand="0" w:oddHBand="1" w:evenHBand="0" w:firstRowFirstColumn="0" w:firstRowLastColumn="0" w:lastRowFirstColumn="0" w:lastRowLastColumn="0"/>
              <w:rPr>
                <w:szCs w:val="18"/>
              </w:rPr>
            </w:pPr>
            <w:r w:rsidRPr="00D11371">
              <w:rPr>
                <w:szCs w:val="18"/>
              </w:rPr>
              <w:t>A</w:t>
            </w:r>
            <w:r w:rsidR="00A5280F" w:rsidRPr="003E4CD6">
              <w:rPr>
                <w:szCs w:val="18"/>
              </w:rPr>
              <w:t xml:space="preserve">n implementation strategy describing the </w:t>
            </w:r>
            <w:r w:rsidR="00A5280F" w:rsidRPr="00777710">
              <w:rPr>
                <w:szCs w:val="18"/>
              </w:rPr>
              <w:t xml:space="preserve">titleholder’s environmental management system, roles and responsibilities for implementing the </w:t>
            </w:r>
            <w:r w:rsidR="00CA0A1A" w:rsidRPr="006F091B">
              <w:rPr>
                <w:szCs w:val="18"/>
              </w:rPr>
              <w:t>EP</w:t>
            </w:r>
            <w:r w:rsidR="00A5280F" w:rsidRPr="006610D9">
              <w:rPr>
                <w:szCs w:val="18"/>
              </w:rPr>
              <w:t xml:space="preserve"> and the monitoring, recording and auditing that will be undertaken to review environmental performance</w:t>
            </w:r>
            <w:r w:rsidR="00686DD2">
              <w:rPr>
                <w:szCs w:val="18"/>
              </w:rPr>
              <w:t>.</w:t>
            </w:r>
          </w:p>
          <w:p w14:paraId="17017B5D" w14:textId="1D7788FB" w:rsidR="004B69E2" w:rsidRPr="002113A4" w:rsidRDefault="005C64A7" w:rsidP="004B089B">
            <w:pPr>
              <w:pStyle w:val="BodyBullet1"/>
              <w:spacing w:line="240" w:lineRule="auto"/>
              <w:ind w:hanging="357"/>
              <w:cnfStyle w:val="000000100000" w:firstRow="0" w:lastRow="0" w:firstColumn="0" w:lastColumn="0" w:oddVBand="0" w:evenVBand="0" w:oddHBand="1" w:evenHBand="0" w:firstRowFirstColumn="0" w:firstRowLastColumn="0" w:lastRowFirstColumn="0" w:lastRowLastColumn="0"/>
              <w:rPr>
                <w:szCs w:val="18"/>
              </w:rPr>
            </w:pPr>
            <w:r w:rsidRPr="00834F3C">
              <w:rPr>
                <w:szCs w:val="18"/>
              </w:rPr>
              <w:t xml:space="preserve">The </w:t>
            </w:r>
            <w:r w:rsidR="008F45BF">
              <w:rPr>
                <w:szCs w:val="18"/>
              </w:rPr>
              <w:t>titleholder</w:t>
            </w:r>
            <w:r w:rsidR="008F45BF" w:rsidRPr="00834F3C">
              <w:rPr>
                <w:szCs w:val="18"/>
              </w:rPr>
              <w:t xml:space="preserve"> </w:t>
            </w:r>
            <w:r w:rsidRPr="00834F3C">
              <w:rPr>
                <w:szCs w:val="18"/>
              </w:rPr>
              <w:t xml:space="preserve">is also required to provide </w:t>
            </w:r>
            <w:r w:rsidR="004B69E2" w:rsidRPr="00834F3C">
              <w:rPr>
                <w:szCs w:val="18"/>
              </w:rPr>
              <w:t>an Oil Pollution Emergency Plan that provides adequate arrangements for responding to and monitoring oil pollut</w:t>
            </w:r>
            <w:r w:rsidR="004B69E2" w:rsidRPr="00FF42CF">
              <w:rPr>
                <w:szCs w:val="18"/>
              </w:rPr>
              <w:t>ion</w:t>
            </w:r>
            <w:r w:rsidR="00100D7F" w:rsidRPr="00FF42CF">
              <w:rPr>
                <w:szCs w:val="18"/>
              </w:rPr>
              <w:t>, including financial assurance of funds to respond to the emergency</w:t>
            </w:r>
          </w:p>
          <w:p w14:paraId="4236305A" w14:textId="0F53EA5C" w:rsidR="00100D7F" w:rsidRPr="00A25353" w:rsidRDefault="00100D7F" w:rsidP="004B089B">
            <w:pPr>
              <w:pStyle w:val="BodyBullet1"/>
              <w:spacing w:line="240" w:lineRule="auto"/>
              <w:ind w:hanging="357"/>
              <w:cnfStyle w:val="000000100000" w:firstRow="0" w:lastRow="0" w:firstColumn="0" w:lastColumn="0" w:oddVBand="0" w:evenVBand="0" w:oddHBand="1" w:evenHBand="0" w:firstRowFirstColumn="0" w:firstRowLastColumn="0" w:lastRowFirstColumn="0" w:lastRowLastColumn="0"/>
              <w:rPr>
                <w:szCs w:val="18"/>
              </w:rPr>
            </w:pPr>
            <w:r w:rsidRPr="001D4317">
              <w:rPr>
                <w:szCs w:val="18"/>
              </w:rPr>
              <w:t>NOPSEMA assesses EPs and 'accepts' the document if it is satisfied</w:t>
            </w:r>
            <w:r w:rsidR="00E007FE">
              <w:rPr>
                <w:szCs w:val="18"/>
              </w:rPr>
              <w:t xml:space="preserve"> with the contents of the EP (</w:t>
            </w:r>
            <w:r w:rsidR="006E51DF">
              <w:rPr>
                <w:szCs w:val="18"/>
              </w:rPr>
              <w:t>e.g.</w:t>
            </w:r>
            <w:r w:rsidR="006E51DF" w:rsidRPr="001D4317">
              <w:rPr>
                <w:szCs w:val="18"/>
              </w:rPr>
              <w:t xml:space="preserve"> </w:t>
            </w:r>
            <w:r w:rsidR="006E51DF">
              <w:rPr>
                <w:szCs w:val="18"/>
              </w:rPr>
              <w:t>t</w:t>
            </w:r>
            <w:r w:rsidR="006E51DF" w:rsidRPr="001D4317">
              <w:rPr>
                <w:szCs w:val="18"/>
              </w:rPr>
              <w:t>he</w:t>
            </w:r>
            <w:r w:rsidRPr="001D4317">
              <w:rPr>
                <w:szCs w:val="18"/>
              </w:rPr>
              <w:t xml:space="preserve"> arrangements </w:t>
            </w:r>
            <w:r w:rsidRPr="00C75BED">
              <w:rPr>
                <w:szCs w:val="18"/>
              </w:rPr>
              <w:t>demonstrate the risks will be reduced to ALARP and are acceptable</w:t>
            </w:r>
            <w:r w:rsidR="00E007FE">
              <w:rPr>
                <w:szCs w:val="18"/>
              </w:rPr>
              <w:t>)</w:t>
            </w:r>
          </w:p>
          <w:p w14:paraId="7D0CEA6B" w14:textId="6C516691" w:rsidR="004B69E2" w:rsidRPr="00E75BFD" w:rsidRDefault="00100D7F" w:rsidP="004B089B">
            <w:pPr>
              <w:pStyle w:val="BodyBullet1"/>
              <w:spacing w:line="240" w:lineRule="auto"/>
              <w:ind w:hanging="357"/>
              <w:cnfStyle w:val="000000100000" w:firstRow="0" w:lastRow="0" w:firstColumn="0" w:lastColumn="0" w:oddVBand="0" w:evenVBand="0" w:oddHBand="1" w:evenHBand="0" w:firstRowFirstColumn="0" w:firstRowLastColumn="0" w:lastRowFirstColumn="0" w:lastRowLastColumn="0"/>
              <w:rPr>
                <w:szCs w:val="18"/>
              </w:rPr>
            </w:pPr>
            <w:r w:rsidRPr="00C066D9">
              <w:rPr>
                <w:szCs w:val="18"/>
              </w:rPr>
              <w:t xml:space="preserve">Once 'accepted', NOPSEMA </w:t>
            </w:r>
            <w:r w:rsidR="003250FF">
              <w:rPr>
                <w:szCs w:val="18"/>
              </w:rPr>
              <w:t>monitors compliance through inspections with the permissioning documents and listed NOPSEMA laws</w:t>
            </w:r>
            <w:r w:rsidRPr="00CD5AFE">
              <w:rPr>
                <w:szCs w:val="18"/>
              </w:rPr>
              <w:t>.</w:t>
            </w:r>
          </w:p>
        </w:tc>
      </w:tr>
    </w:tbl>
    <w:p w14:paraId="38D9E5B1" w14:textId="69865651" w:rsidR="00272720" w:rsidRPr="00272720" w:rsidRDefault="00272720" w:rsidP="00272720">
      <w:pPr>
        <w:pStyle w:val="Caption"/>
        <w:rPr>
          <w:b w:val="0"/>
          <w:bCs/>
          <w:i/>
          <w:iCs w:val="0"/>
          <w:color w:val="75787B" w:themeColor="accent6"/>
        </w:rPr>
      </w:pPr>
      <w:r w:rsidRPr="00272720">
        <w:rPr>
          <w:b w:val="0"/>
          <w:bCs/>
          <w:i/>
          <w:iCs w:val="0"/>
          <w:color w:val="75787B" w:themeColor="accent6"/>
        </w:rPr>
        <w:t>Source: NOPSEMA data, Deloitte analysis</w:t>
      </w:r>
    </w:p>
    <w:p w14:paraId="4CE78B2E" w14:textId="376500BB" w:rsidR="00F30953" w:rsidRPr="003F74D5" w:rsidRDefault="003F74D5" w:rsidP="00784E0E">
      <w:pPr>
        <w:pStyle w:val="Heading3"/>
        <w:numPr>
          <w:ilvl w:val="2"/>
          <w:numId w:val="1"/>
        </w:numPr>
      </w:pPr>
      <w:r w:rsidRPr="003F74D5">
        <w:t>The permissioning assessment framework and approach</w:t>
      </w:r>
    </w:p>
    <w:p w14:paraId="568FFCE5" w14:textId="753FAAB2" w:rsidR="0070713F" w:rsidRPr="0070713F" w:rsidRDefault="00BB12F0" w:rsidP="00C86F08">
      <w:pPr>
        <w:pStyle w:val="Heading3NoNumber"/>
      </w:pPr>
      <w:r>
        <w:t>T</w:t>
      </w:r>
      <w:r w:rsidR="00492BA4">
        <w:t>he purpose of the</w:t>
      </w:r>
      <w:r w:rsidR="0070713F">
        <w:t xml:space="preserve"> </w:t>
      </w:r>
      <w:r w:rsidR="0070713F" w:rsidRPr="0070713F">
        <w:t>Permissioning Assessment Framework</w:t>
      </w:r>
      <w:r w:rsidR="00492BA4">
        <w:t xml:space="preserve"> is aligned to better practice</w:t>
      </w:r>
    </w:p>
    <w:p w14:paraId="6542EF0A" w14:textId="6DBC9CBE" w:rsidR="007E115E" w:rsidRPr="00372FB6" w:rsidRDefault="007E115E" w:rsidP="00C86F08">
      <w:pPr>
        <w:pStyle w:val="BodyCopyNEW"/>
        <w:rPr>
          <w:szCs w:val="18"/>
        </w:rPr>
      </w:pPr>
      <w:r w:rsidRPr="00096BC3">
        <w:rPr>
          <w:szCs w:val="18"/>
        </w:rPr>
        <w:t xml:space="preserve">The </w:t>
      </w:r>
      <w:r w:rsidRPr="004C6DE4">
        <w:rPr>
          <w:i/>
          <w:szCs w:val="18"/>
        </w:rPr>
        <w:t>NOPSEMA Permissioning Assessment Framework</w:t>
      </w:r>
      <w:r w:rsidRPr="00EC0CDF">
        <w:rPr>
          <w:szCs w:val="18"/>
        </w:rPr>
        <w:t xml:space="preserve"> (the </w:t>
      </w:r>
      <w:r w:rsidRPr="00073514">
        <w:rPr>
          <w:b/>
          <w:szCs w:val="18"/>
        </w:rPr>
        <w:t>Assessment Framework</w:t>
      </w:r>
      <w:r w:rsidRPr="003E73F3">
        <w:rPr>
          <w:szCs w:val="18"/>
        </w:rPr>
        <w:t xml:space="preserve">) comprises an overarching </w:t>
      </w:r>
      <w:r w:rsidRPr="003E73F3">
        <w:rPr>
          <w:i/>
          <w:szCs w:val="18"/>
        </w:rPr>
        <w:t xml:space="preserve">NOPSEMA </w:t>
      </w:r>
      <w:r w:rsidR="00A45291" w:rsidRPr="003E73F3">
        <w:rPr>
          <w:i/>
          <w:szCs w:val="18"/>
        </w:rPr>
        <w:t>Assessment</w:t>
      </w:r>
      <w:r w:rsidRPr="00E9351C">
        <w:rPr>
          <w:i/>
          <w:szCs w:val="18"/>
        </w:rPr>
        <w:t xml:space="preserve"> Policy</w:t>
      </w:r>
      <w:r w:rsidRPr="00611BAA">
        <w:rPr>
          <w:szCs w:val="18"/>
        </w:rPr>
        <w:t xml:space="preserve"> that applies to all types of </w:t>
      </w:r>
      <w:r w:rsidR="002A22D2" w:rsidRPr="00946300">
        <w:rPr>
          <w:szCs w:val="18"/>
        </w:rPr>
        <w:t>permissioning assessments</w:t>
      </w:r>
      <w:r w:rsidRPr="00946300">
        <w:rPr>
          <w:szCs w:val="18"/>
        </w:rPr>
        <w:t xml:space="preserve">. The policy is supported by a further </w:t>
      </w:r>
      <w:r w:rsidR="002115CB" w:rsidRPr="00946300">
        <w:rPr>
          <w:szCs w:val="18"/>
        </w:rPr>
        <w:t xml:space="preserve">suite </w:t>
      </w:r>
      <w:r w:rsidRPr="00F57169">
        <w:rPr>
          <w:szCs w:val="18"/>
        </w:rPr>
        <w:t xml:space="preserve">of environmental, well integrity, and OHS </w:t>
      </w:r>
      <w:r w:rsidR="002A22D2" w:rsidRPr="00F57169">
        <w:rPr>
          <w:szCs w:val="18"/>
        </w:rPr>
        <w:t xml:space="preserve">assessment </w:t>
      </w:r>
      <w:r w:rsidR="006B1244" w:rsidRPr="001F0F24">
        <w:rPr>
          <w:szCs w:val="18"/>
        </w:rPr>
        <w:t>procedures/</w:t>
      </w:r>
      <w:r w:rsidR="008B7C63" w:rsidRPr="001F0F24">
        <w:rPr>
          <w:szCs w:val="18"/>
        </w:rPr>
        <w:t>documents</w:t>
      </w:r>
      <w:r w:rsidRPr="001F0F24">
        <w:rPr>
          <w:szCs w:val="18"/>
        </w:rPr>
        <w:t>, which are given effect by content-specific procedures, guidelines, tools, forms and templates</w:t>
      </w:r>
      <w:r w:rsidR="002A22D2" w:rsidRPr="00372FB6">
        <w:rPr>
          <w:szCs w:val="18"/>
        </w:rPr>
        <w:t>.</w:t>
      </w:r>
    </w:p>
    <w:p w14:paraId="6C14BA25" w14:textId="19A11F13" w:rsidR="00B547A3" w:rsidRPr="007F74D3" w:rsidRDefault="007E115E" w:rsidP="00C86F08">
      <w:pPr>
        <w:pStyle w:val="BodyCopyNEW"/>
        <w:rPr>
          <w:szCs w:val="18"/>
        </w:rPr>
      </w:pPr>
      <w:r w:rsidRPr="009013BE">
        <w:rPr>
          <w:szCs w:val="18"/>
        </w:rPr>
        <w:t xml:space="preserve">The </w:t>
      </w:r>
      <w:r w:rsidR="002A22D2" w:rsidRPr="009013BE">
        <w:rPr>
          <w:szCs w:val="18"/>
        </w:rPr>
        <w:t>assessment</w:t>
      </w:r>
      <w:r w:rsidRPr="009013BE">
        <w:rPr>
          <w:szCs w:val="18"/>
        </w:rPr>
        <w:t xml:space="preserve"> methodology and approach provided by the </w:t>
      </w:r>
      <w:r w:rsidR="002A22D2" w:rsidRPr="00C81CBA">
        <w:rPr>
          <w:szCs w:val="18"/>
        </w:rPr>
        <w:t xml:space="preserve">Assessment Framework </w:t>
      </w:r>
      <w:r w:rsidRPr="00C81CBA">
        <w:rPr>
          <w:szCs w:val="18"/>
        </w:rPr>
        <w:t xml:space="preserve">is aligned with principles of the </w:t>
      </w:r>
      <w:r w:rsidRPr="00016436">
        <w:rPr>
          <w:i/>
          <w:szCs w:val="18"/>
        </w:rPr>
        <w:t>NOPSEMA Enforcement Policy</w:t>
      </w:r>
      <w:r w:rsidR="001F3A89" w:rsidRPr="00953CA5">
        <w:rPr>
          <w:szCs w:val="18"/>
        </w:rPr>
        <w:t>. I</w:t>
      </w:r>
      <w:r w:rsidRPr="00953CA5">
        <w:rPr>
          <w:szCs w:val="18"/>
        </w:rPr>
        <w:t>t is outcome focused, proportionate and responsive, informed, transparent, targeted and aligned with the principles of procedural fairness.</w:t>
      </w:r>
      <w:r w:rsidR="002C6B4A" w:rsidRPr="00171DEA">
        <w:rPr>
          <w:szCs w:val="18"/>
        </w:rPr>
        <w:t xml:space="preserve"> </w:t>
      </w:r>
      <w:r w:rsidR="001F3A89" w:rsidRPr="00171DEA">
        <w:rPr>
          <w:szCs w:val="18"/>
        </w:rPr>
        <w:t>T</w:t>
      </w:r>
      <w:r w:rsidRPr="00EE5A55">
        <w:rPr>
          <w:szCs w:val="18"/>
        </w:rPr>
        <w:t xml:space="preserve">he purpose of the </w:t>
      </w:r>
      <w:r w:rsidR="004752D4" w:rsidRPr="00EE5A55">
        <w:rPr>
          <w:szCs w:val="18"/>
        </w:rPr>
        <w:t xml:space="preserve">Assessment Framework </w:t>
      </w:r>
      <w:r w:rsidRPr="00777C5D">
        <w:rPr>
          <w:szCs w:val="18"/>
        </w:rPr>
        <w:t>is aligned to better practice</w:t>
      </w:r>
      <w:r w:rsidR="00DC41FC">
        <w:rPr>
          <w:rStyle w:val="FootnoteReference"/>
          <w:szCs w:val="18"/>
        </w:rPr>
        <w:footnoteReference w:id="14"/>
      </w:r>
      <w:r w:rsidRPr="00777C5D">
        <w:rPr>
          <w:szCs w:val="18"/>
        </w:rPr>
        <w:t xml:space="preserve">, as well as being clear and </w:t>
      </w:r>
      <w:r w:rsidRPr="00777C5D">
        <w:rPr>
          <w:szCs w:val="18"/>
        </w:rPr>
        <w:lastRenderedPageBreak/>
        <w:t xml:space="preserve">appropriate. The </w:t>
      </w:r>
      <w:r w:rsidR="004752D4" w:rsidRPr="00777C5D">
        <w:rPr>
          <w:szCs w:val="18"/>
        </w:rPr>
        <w:t xml:space="preserve">Assessment Framework </w:t>
      </w:r>
      <w:r w:rsidRPr="006C6606">
        <w:rPr>
          <w:szCs w:val="18"/>
        </w:rPr>
        <w:t>drives the development and implementation of effective monitoring and enforcement strategies to secure compliance with the OPGGS Act and regulations.</w:t>
      </w:r>
    </w:p>
    <w:p w14:paraId="5B86DE92" w14:textId="050CD0BF" w:rsidR="003F74D5" w:rsidRPr="00A470B1" w:rsidRDefault="003F74D5" w:rsidP="00784E0E">
      <w:pPr>
        <w:pStyle w:val="Heading3"/>
        <w:numPr>
          <w:ilvl w:val="2"/>
          <w:numId w:val="1"/>
        </w:numPr>
        <w:rPr>
          <w:szCs w:val="22"/>
        </w:rPr>
      </w:pPr>
      <w:r w:rsidRPr="00A470B1">
        <w:rPr>
          <w:szCs w:val="22"/>
        </w:rPr>
        <w:t>The permissioning assessment process</w:t>
      </w:r>
    </w:p>
    <w:p w14:paraId="0055D6FD" w14:textId="2C30AF7E" w:rsidR="00111796" w:rsidRPr="00F57169" w:rsidRDefault="00C92992" w:rsidP="00C86F08">
      <w:pPr>
        <w:pStyle w:val="BodyCopyNEW"/>
        <w:rPr>
          <w:szCs w:val="18"/>
        </w:rPr>
      </w:pPr>
      <w:r w:rsidRPr="00096BC3">
        <w:rPr>
          <w:szCs w:val="18"/>
        </w:rPr>
        <w:t xml:space="preserve">The permissioning assessment process is relatively straightforward in approach. </w:t>
      </w:r>
      <w:r w:rsidR="003250FF">
        <w:t>The process relies on the operator submitting a safety case, or a titleholder submitting a WOMP or EP, to NOPSEMA for evaluation</w:t>
      </w:r>
      <w:r w:rsidRPr="003E73F3">
        <w:rPr>
          <w:szCs w:val="18"/>
        </w:rPr>
        <w:t>. When submi</w:t>
      </w:r>
      <w:r w:rsidRPr="00611BAA">
        <w:rPr>
          <w:szCs w:val="18"/>
        </w:rPr>
        <w:t>tted</w:t>
      </w:r>
      <w:r w:rsidR="007C2B64" w:rsidRPr="00946300">
        <w:rPr>
          <w:szCs w:val="18"/>
        </w:rPr>
        <w:t>,</w:t>
      </w:r>
      <w:r w:rsidRPr="00946300">
        <w:rPr>
          <w:szCs w:val="18"/>
        </w:rPr>
        <w:t xml:space="preserve"> the document</w:t>
      </w:r>
      <w:r w:rsidR="007C2B64" w:rsidRPr="00946300">
        <w:rPr>
          <w:szCs w:val="18"/>
        </w:rPr>
        <w:t xml:space="preserve">s are </w:t>
      </w:r>
      <w:r w:rsidR="0016589A" w:rsidRPr="00F57169">
        <w:rPr>
          <w:szCs w:val="18"/>
        </w:rPr>
        <w:t>triaged, an assessment brief created, and review team assigned. The process is managed through RMS</w:t>
      </w:r>
      <w:r w:rsidR="0055094E">
        <w:rPr>
          <w:szCs w:val="18"/>
        </w:rPr>
        <w:t>, the NOPSEMA regulatory process management system</w:t>
      </w:r>
      <w:r w:rsidR="0016589A" w:rsidRPr="00F57169">
        <w:rPr>
          <w:szCs w:val="18"/>
        </w:rPr>
        <w:t>.</w:t>
      </w:r>
    </w:p>
    <w:p w14:paraId="25F1F55D" w14:textId="44FB5361" w:rsidR="00C41476" w:rsidRPr="00096BC3" w:rsidRDefault="000C2986" w:rsidP="00C86F08">
      <w:pPr>
        <w:pStyle w:val="BodyCopyNEW"/>
        <w:rPr>
          <w:szCs w:val="18"/>
        </w:rPr>
      </w:pPr>
      <w:r>
        <w:rPr>
          <w:szCs w:val="18"/>
        </w:rPr>
        <w:t xml:space="preserve">Upon receiving </w:t>
      </w:r>
      <w:r w:rsidR="006376D1">
        <w:rPr>
          <w:szCs w:val="18"/>
        </w:rPr>
        <w:t xml:space="preserve">a permissioning document for assessment, NOPSEMA conducts a pre-assessment or </w:t>
      </w:r>
      <w:r w:rsidR="00196B90">
        <w:rPr>
          <w:szCs w:val="18"/>
        </w:rPr>
        <w:t>a completeness check for completeness of information provided (i.e. that no critical information is missing)</w:t>
      </w:r>
      <w:r w:rsidR="004072E8" w:rsidRPr="009013BE">
        <w:rPr>
          <w:szCs w:val="18"/>
        </w:rPr>
        <w:t xml:space="preserve">. </w:t>
      </w:r>
      <w:r w:rsidR="00A60F7D" w:rsidRPr="00EC0CDF">
        <w:rPr>
          <w:szCs w:val="18"/>
        </w:rPr>
        <w:t xml:space="preserve">The </w:t>
      </w:r>
      <w:r w:rsidR="00A60F7D">
        <w:rPr>
          <w:szCs w:val="18"/>
        </w:rPr>
        <w:t>pre-assessment or completeness check</w:t>
      </w:r>
      <w:r w:rsidR="00A60F7D" w:rsidRPr="00EC0CDF">
        <w:rPr>
          <w:szCs w:val="18"/>
        </w:rPr>
        <w:t xml:space="preserve"> is a</w:t>
      </w:r>
      <w:r w:rsidR="00A60F7D" w:rsidRPr="00073514">
        <w:rPr>
          <w:szCs w:val="18"/>
        </w:rPr>
        <w:t xml:space="preserve"> critical</w:t>
      </w:r>
      <w:r w:rsidR="00A60F7D" w:rsidRPr="003E73F3">
        <w:rPr>
          <w:szCs w:val="18"/>
        </w:rPr>
        <w:t xml:space="preserve"> upfront component of the process, which is used to determine if there are any critical deficiencies in the documents submitted.</w:t>
      </w:r>
    </w:p>
    <w:p w14:paraId="63699811" w14:textId="4EA27FF9" w:rsidR="008F1375" w:rsidRPr="00C81CBA" w:rsidRDefault="004072E8" w:rsidP="00C86F08">
      <w:pPr>
        <w:pStyle w:val="BodyCopyNEW"/>
        <w:rPr>
          <w:szCs w:val="18"/>
        </w:rPr>
      </w:pPr>
      <w:r w:rsidRPr="004C6DE4">
        <w:rPr>
          <w:szCs w:val="18"/>
        </w:rPr>
        <w:t xml:space="preserve">Once the </w:t>
      </w:r>
      <w:r w:rsidR="003250FF">
        <w:rPr>
          <w:szCs w:val="18"/>
        </w:rPr>
        <w:t>responsible party</w:t>
      </w:r>
      <w:r w:rsidR="003250FF" w:rsidRPr="004C6DE4">
        <w:rPr>
          <w:szCs w:val="18"/>
        </w:rPr>
        <w:t xml:space="preserve"> </w:t>
      </w:r>
      <w:r w:rsidRPr="004C6DE4">
        <w:rPr>
          <w:szCs w:val="18"/>
        </w:rPr>
        <w:t xml:space="preserve">has developed and formally submitted the permissioning document, </w:t>
      </w:r>
      <w:r w:rsidR="00CC5E8E">
        <w:rPr>
          <w:szCs w:val="18"/>
        </w:rPr>
        <w:t>the</w:t>
      </w:r>
      <w:r w:rsidR="00CC5E8E" w:rsidRPr="004C6DE4">
        <w:rPr>
          <w:szCs w:val="18"/>
        </w:rPr>
        <w:t xml:space="preserve"> assessment</w:t>
      </w:r>
      <w:r w:rsidR="00CC5E8E">
        <w:rPr>
          <w:szCs w:val="18"/>
        </w:rPr>
        <w:t xml:space="preserve"> process is</w:t>
      </w:r>
      <w:r w:rsidRPr="004C6DE4">
        <w:rPr>
          <w:szCs w:val="18"/>
        </w:rPr>
        <w:t xml:space="preserve"> </w:t>
      </w:r>
      <w:r w:rsidRPr="00EC0CDF">
        <w:rPr>
          <w:szCs w:val="18"/>
        </w:rPr>
        <w:t xml:space="preserve">conducted. </w:t>
      </w:r>
      <w:r w:rsidR="003D39BF" w:rsidRPr="003E73F3">
        <w:rPr>
          <w:szCs w:val="18"/>
        </w:rPr>
        <w:t>If critical deficiencies are identified</w:t>
      </w:r>
      <w:r w:rsidR="00A60F7D">
        <w:rPr>
          <w:szCs w:val="18"/>
        </w:rPr>
        <w:t xml:space="preserve"> within the permissioning document</w:t>
      </w:r>
      <w:r w:rsidR="003D39BF" w:rsidRPr="003E73F3">
        <w:rPr>
          <w:szCs w:val="18"/>
        </w:rPr>
        <w:t xml:space="preserve">, the assessment is aborted, findings </w:t>
      </w:r>
      <w:r w:rsidR="00BC683E" w:rsidRPr="00611BAA">
        <w:rPr>
          <w:szCs w:val="18"/>
        </w:rPr>
        <w:t>captured</w:t>
      </w:r>
      <w:r w:rsidR="003D39BF" w:rsidRPr="00946300">
        <w:rPr>
          <w:szCs w:val="18"/>
        </w:rPr>
        <w:t>, reviewed by the Lead Assessor a</w:t>
      </w:r>
      <w:r w:rsidR="003D39BF" w:rsidRPr="00F57169">
        <w:rPr>
          <w:szCs w:val="18"/>
        </w:rPr>
        <w:t xml:space="preserve">nd communicated to the </w:t>
      </w:r>
      <w:r w:rsidR="003250FF">
        <w:rPr>
          <w:szCs w:val="18"/>
        </w:rPr>
        <w:t>relevant party</w:t>
      </w:r>
      <w:r w:rsidR="003D39BF" w:rsidRPr="00F57169">
        <w:rPr>
          <w:szCs w:val="18"/>
        </w:rPr>
        <w:t xml:space="preserve">. </w:t>
      </w:r>
      <w:r w:rsidR="00A60F7D">
        <w:rPr>
          <w:szCs w:val="18"/>
        </w:rPr>
        <w:t xml:space="preserve">NOPSEMA aborts the assessment where critical deficiencies are </w:t>
      </w:r>
      <w:r w:rsidR="0025153A">
        <w:rPr>
          <w:szCs w:val="18"/>
        </w:rPr>
        <w:t xml:space="preserve">identified </w:t>
      </w:r>
      <w:r w:rsidR="003D39BF" w:rsidRPr="00F57169">
        <w:rPr>
          <w:szCs w:val="18"/>
        </w:rPr>
        <w:t xml:space="preserve">to </w:t>
      </w:r>
      <w:r w:rsidR="00970BA7" w:rsidRPr="00F57169">
        <w:rPr>
          <w:szCs w:val="18"/>
        </w:rPr>
        <w:t xml:space="preserve">enable the efficient and effective </w:t>
      </w:r>
      <w:r w:rsidR="517BDACD" w:rsidRPr="00F57169">
        <w:rPr>
          <w:szCs w:val="18"/>
        </w:rPr>
        <w:t xml:space="preserve">use </w:t>
      </w:r>
      <w:r w:rsidR="00970BA7" w:rsidRPr="00F57169">
        <w:rPr>
          <w:szCs w:val="18"/>
        </w:rPr>
        <w:t>of NOPSEMA resources – so as to not invest time in permissioning documents that do not meet minimum expectations.</w:t>
      </w:r>
      <w:r w:rsidR="00F86762" w:rsidRPr="00372FB6">
        <w:rPr>
          <w:szCs w:val="18"/>
        </w:rPr>
        <w:t xml:space="preserve"> </w:t>
      </w:r>
      <w:r w:rsidR="008F1375" w:rsidRPr="009013BE">
        <w:rPr>
          <w:szCs w:val="18"/>
        </w:rPr>
        <w:t>NOPSEMA also has powers to request further information to support a permissioning document assessment</w:t>
      </w:r>
      <w:r w:rsidR="00833246" w:rsidRPr="009013BE">
        <w:rPr>
          <w:szCs w:val="18"/>
        </w:rPr>
        <w:t xml:space="preserve"> – however, these are generally limited to two requests for new permissioning documents and once for revised documents.</w:t>
      </w:r>
    </w:p>
    <w:p w14:paraId="1F8885E6" w14:textId="6B704BF4" w:rsidR="00741FBE" w:rsidRPr="00953CA5" w:rsidRDefault="00741FBE" w:rsidP="00C86F08">
      <w:pPr>
        <w:pStyle w:val="BodyCopyNEW"/>
        <w:rPr>
          <w:szCs w:val="18"/>
        </w:rPr>
      </w:pPr>
      <w:r w:rsidRPr="00953CA5">
        <w:rPr>
          <w:szCs w:val="18"/>
        </w:rPr>
        <w:t>In very rare circumstances, NOPSEMA can “conditionally accept” a permissioning document</w:t>
      </w:r>
      <w:r w:rsidR="00F71055" w:rsidRPr="00953CA5">
        <w:rPr>
          <w:szCs w:val="18"/>
        </w:rPr>
        <w:t xml:space="preserve"> or apply limitations. If there is a decision to accept with conditions or limitations, </w:t>
      </w:r>
      <w:r w:rsidR="006B3B1F">
        <w:rPr>
          <w:szCs w:val="18"/>
        </w:rPr>
        <w:t>the RON escalates the decision for discussion and agreement with the</w:t>
      </w:r>
      <w:r w:rsidR="00F71055" w:rsidRPr="00953CA5">
        <w:rPr>
          <w:szCs w:val="18"/>
        </w:rPr>
        <w:t xml:space="preserve"> Head of Division or the CEO for approval. </w:t>
      </w:r>
    </w:p>
    <w:p w14:paraId="23F52CA6" w14:textId="171219FC" w:rsidR="00E31F93" w:rsidRPr="00BB64B6" w:rsidRDefault="00E31F93" w:rsidP="00C86F08">
      <w:pPr>
        <w:pStyle w:val="Heading3NoNumber"/>
      </w:pPr>
      <w:r w:rsidRPr="00BB64B6">
        <w:t xml:space="preserve">Safeguards </w:t>
      </w:r>
      <w:r w:rsidR="00BB64B6" w:rsidRPr="00BB64B6">
        <w:t xml:space="preserve">are built into the Assessment Framework </w:t>
      </w:r>
      <w:r w:rsidRPr="00BB64B6">
        <w:t>to protect the integrity of assessments</w:t>
      </w:r>
    </w:p>
    <w:p w14:paraId="0FBEA9B5" w14:textId="3A6FC0FC" w:rsidR="00E31F93" w:rsidRPr="00EC0CDF" w:rsidRDefault="00E31F93" w:rsidP="00C86F08">
      <w:pPr>
        <w:pStyle w:val="BodyCopyNEW"/>
        <w:rPr>
          <w:szCs w:val="18"/>
        </w:rPr>
      </w:pPr>
      <w:r w:rsidRPr="00096BC3">
        <w:rPr>
          <w:szCs w:val="18"/>
        </w:rPr>
        <w:t>Safeguards are built into the Assessment Framework to deliver consistency and quality by means of oversight and assurance at important decision points by the Team Manager/R</w:t>
      </w:r>
      <w:r w:rsidR="0078539B">
        <w:rPr>
          <w:szCs w:val="18"/>
        </w:rPr>
        <w:t>epresentative of NOPSEMA (</w:t>
      </w:r>
      <w:r w:rsidR="0078539B" w:rsidRPr="0078539B">
        <w:rPr>
          <w:b/>
          <w:bCs/>
          <w:szCs w:val="18"/>
        </w:rPr>
        <w:t>RON</w:t>
      </w:r>
      <w:r w:rsidR="0078539B">
        <w:rPr>
          <w:szCs w:val="18"/>
        </w:rPr>
        <w:t>)</w:t>
      </w:r>
      <w:r w:rsidRPr="004C6DE4">
        <w:rPr>
          <w:szCs w:val="18"/>
        </w:rPr>
        <w:t>, including:</w:t>
      </w:r>
    </w:p>
    <w:p w14:paraId="20815095" w14:textId="0E4DF59C" w:rsidR="00E31F93" w:rsidRPr="003E73F3" w:rsidRDefault="00E31F93" w:rsidP="000C1F53">
      <w:pPr>
        <w:pStyle w:val="BodycopyNEW0"/>
        <w:numPr>
          <w:ilvl w:val="0"/>
          <w:numId w:val="23"/>
        </w:numPr>
        <w:ind w:left="378"/>
        <w:rPr>
          <w:szCs w:val="18"/>
        </w:rPr>
      </w:pPr>
      <w:r w:rsidRPr="00073514">
        <w:rPr>
          <w:szCs w:val="18"/>
        </w:rPr>
        <w:t>Review and approval of the assessment brief (team, scope) within RMS, including the variation to an assessment scope</w:t>
      </w:r>
    </w:p>
    <w:p w14:paraId="5FD4130C" w14:textId="46D18F1F" w:rsidR="00E31F93" w:rsidRPr="00F57169" w:rsidRDefault="00902FAF" w:rsidP="000C1F53">
      <w:pPr>
        <w:pStyle w:val="BodycopyNEW0"/>
        <w:numPr>
          <w:ilvl w:val="0"/>
          <w:numId w:val="23"/>
        </w:numPr>
        <w:ind w:left="378"/>
        <w:rPr>
          <w:szCs w:val="18"/>
        </w:rPr>
      </w:pPr>
      <w:r w:rsidRPr="00611BAA">
        <w:rPr>
          <w:szCs w:val="18"/>
        </w:rPr>
        <w:t>Involvement</w:t>
      </w:r>
      <w:r w:rsidR="00E31F93" w:rsidRPr="00946300">
        <w:rPr>
          <w:szCs w:val="18"/>
        </w:rPr>
        <w:t xml:space="preserve"> in </w:t>
      </w:r>
      <w:r w:rsidRPr="00946300">
        <w:rPr>
          <w:szCs w:val="18"/>
        </w:rPr>
        <w:t>abandoning assessments based on early general assessment of material outlined in the permissioning documents</w:t>
      </w:r>
    </w:p>
    <w:p w14:paraId="5C36B0AA" w14:textId="08A72300" w:rsidR="00E31F93" w:rsidRPr="00F57169" w:rsidRDefault="00902FAF" w:rsidP="000C1F53">
      <w:pPr>
        <w:pStyle w:val="BodycopyNEW0"/>
        <w:numPr>
          <w:ilvl w:val="0"/>
          <w:numId w:val="23"/>
        </w:numPr>
        <w:ind w:left="378"/>
        <w:rPr>
          <w:szCs w:val="18"/>
        </w:rPr>
      </w:pPr>
      <w:r w:rsidRPr="00F57169">
        <w:rPr>
          <w:szCs w:val="18"/>
        </w:rPr>
        <w:t>Issuing of requests for further information or finalised assessment outcomes</w:t>
      </w:r>
    </w:p>
    <w:p w14:paraId="3E845ECA" w14:textId="2691550B" w:rsidR="00E31F93" w:rsidRPr="00372FB6" w:rsidRDefault="00E31F93" w:rsidP="000C1F53">
      <w:pPr>
        <w:pStyle w:val="BodycopyNEW0"/>
        <w:numPr>
          <w:ilvl w:val="0"/>
          <w:numId w:val="23"/>
        </w:numPr>
        <w:ind w:left="378"/>
        <w:rPr>
          <w:szCs w:val="18"/>
        </w:rPr>
      </w:pPr>
      <w:r w:rsidRPr="004B6FFA">
        <w:rPr>
          <w:szCs w:val="18"/>
        </w:rPr>
        <w:t xml:space="preserve">Review and approval of reports and involvement in onshore </w:t>
      </w:r>
      <w:r w:rsidR="008D605D">
        <w:rPr>
          <w:szCs w:val="18"/>
        </w:rPr>
        <w:t>title</w:t>
      </w:r>
      <w:r w:rsidR="00327ACB" w:rsidRPr="004B6FFA">
        <w:rPr>
          <w:szCs w:val="18"/>
        </w:rPr>
        <w:t>holder</w:t>
      </w:r>
      <w:r w:rsidRPr="00372FB6">
        <w:rPr>
          <w:szCs w:val="18"/>
        </w:rPr>
        <w:t xml:space="preserve"> feedback meetings.</w:t>
      </w:r>
    </w:p>
    <w:p w14:paraId="043E1FE5" w14:textId="1F8AF651" w:rsidR="00CE1A0F" w:rsidRPr="004C6DE4" w:rsidRDefault="00CE1A0F" w:rsidP="00C86F08">
      <w:pPr>
        <w:pStyle w:val="BodyCopyNEW"/>
        <w:rPr>
          <w:szCs w:val="18"/>
        </w:rPr>
      </w:pPr>
      <w:r w:rsidRPr="009013BE">
        <w:rPr>
          <w:szCs w:val="18"/>
        </w:rPr>
        <w:t xml:space="preserve">In summary, </w:t>
      </w:r>
      <w:r w:rsidR="00BA09D3">
        <w:rPr>
          <w:szCs w:val="18"/>
        </w:rPr>
        <w:t xml:space="preserve">our analysis shows </w:t>
      </w:r>
      <w:r w:rsidR="006E51DF">
        <w:rPr>
          <w:szCs w:val="18"/>
        </w:rPr>
        <w:t xml:space="preserve">that </w:t>
      </w:r>
      <w:r w:rsidR="006E51DF" w:rsidRPr="009013BE">
        <w:rPr>
          <w:szCs w:val="18"/>
        </w:rPr>
        <w:t>NOPSEMA</w:t>
      </w:r>
      <w:r w:rsidRPr="009013BE">
        <w:rPr>
          <w:szCs w:val="18"/>
        </w:rPr>
        <w:t xml:space="preserve"> has established a robust and better practice approach to assessing </w:t>
      </w:r>
      <w:r w:rsidRPr="00096BC3">
        <w:rPr>
          <w:szCs w:val="18"/>
        </w:rPr>
        <w:t xml:space="preserve">permissioning documents submitted by industry. </w:t>
      </w:r>
      <w:r w:rsidR="00055255">
        <w:rPr>
          <w:szCs w:val="18"/>
        </w:rPr>
        <w:t xml:space="preserve">We discuss the </w:t>
      </w:r>
      <w:r w:rsidR="0092495E">
        <w:rPr>
          <w:szCs w:val="18"/>
        </w:rPr>
        <w:t>application of the assessment approach and permissioning documents below.</w:t>
      </w:r>
    </w:p>
    <w:p w14:paraId="22BE62FB" w14:textId="187689BD" w:rsidR="009D1311" w:rsidRDefault="00862F12" w:rsidP="00784E0E">
      <w:pPr>
        <w:pStyle w:val="Heading3"/>
      </w:pPr>
      <w:bookmarkStart w:id="50" w:name="_Ref56369209"/>
      <w:bookmarkStart w:id="51" w:name="_Ref55564546"/>
      <w:r>
        <w:t>Stakeholder perceptions of the assessment process</w:t>
      </w:r>
      <w:bookmarkEnd w:id="50"/>
    </w:p>
    <w:p w14:paraId="5BF1664B" w14:textId="147C96EB" w:rsidR="00CE1A0F" w:rsidRDefault="00CE1A0F" w:rsidP="00C86F08">
      <w:pPr>
        <w:pStyle w:val="Heading3NoNumber"/>
      </w:pPr>
      <w:r w:rsidRPr="00CE1A0F">
        <w:t xml:space="preserve">The approach to permissioning is better practice but there are concerns with the usefulness of permissioning documents, perceived prescription in NOPSEMA’s </w:t>
      </w:r>
      <w:r w:rsidR="0093324A">
        <w:t xml:space="preserve">application of its </w:t>
      </w:r>
      <w:r w:rsidRPr="00CE1A0F">
        <w:t>approach</w:t>
      </w:r>
      <w:r>
        <w:t>,</w:t>
      </w:r>
      <w:r w:rsidRPr="00CE1A0F">
        <w:t xml:space="preserve"> and level of effort in the process </w:t>
      </w:r>
    </w:p>
    <w:p w14:paraId="45A42CD1" w14:textId="4D176966" w:rsidR="009D1311" w:rsidRPr="00611BAA" w:rsidRDefault="0022579C" w:rsidP="00C86F08">
      <w:pPr>
        <w:pStyle w:val="BodyCopyNEW"/>
        <w:rPr>
          <w:szCs w:val="18"/>
        </w:rPr>
      </w:pPr>
      <w:r w:rsidRPr="00096BC3">
        <w:rPr>
          <w:szCs w:val="18"/>
        </w:rPr>
        <w:t>F</w:t>
      </w:r>
      <w:r w:rsidR="009D1311" w:rsidRPr="004C6DE4">
        <w:rPr>
          <w:szCs w:val="18"/>
        </w:rPr>
        <w:t>rom our consultation with industry, we identified a number of negative perceptions regarding the permissioning proce</w:t>
      </w:r>
      <w:r w:rsidR="009D1311" w:rsidRPr="00EC0CDF">
        <w:rPr>
          <w:szCs w:val="18"/>
        </w:rPr>
        <w:t>ss. Feedback from industry regarding the permissioning assessment process continues to demonstrate some issues with the underlying safety case regime (including WOMPs and EPs) and approach, and mis-aligned expectations. There also appears to be concerns th</w:t>
      </w:r>
      <w:r w:rsidR="009D1311" w:rsidRPr="00073514">
        <w:rPr>
          <w:szCs w:val="18"/>
        </w:rPr>
        <w:t>ere is an evolution toward prescriptive rather than risk-based assessments, as well as variability in the assessment process and outcomes.</w:t>
      </w:r>
    </w:p>
    <w:p w14:paraId="465818EE" w14:textId="23720CBE" w:rsidR="009D1311" w:rsidRPr="00F57169" w:rsidRDefault="009D1311" w:rsidP="00C86F08">
      <w:pPr>
        <w:pStyle w:val="BodyCopyNEW"/>
        <w:rPr>
          <w:szCs w:val="18"/>
        </w:rPr>
      </w:pPr>
      <w:r w:rsidRPr="00946300">
        <w:rPr>
          <w:szCs w:val="18"/>
        </w:rPr>
        <w:t xml:space="preserve">Some relevant comments received to demonstrate the types of concerns </w:t>
      </w:r>
      <w:r w:rsidR="00113A6D" w:rsidRPr="00946300">
        <w:rPr>
          <w:szCs w:val="18"/>
        </w:rPr>
        <w:t>raised</w:t>
      </w:r>
      <w:r w:rsidRPr="00F57169">
        <w:rPr>
          <w:szCs w:val="18"/>
        </w:rPr>
        <w:t xml:space="preserve"> include:</w:t>
      </w:r>
    </w:p>
    <w:p w14:paraId="3CC1357B" w14:textId="12371E9F" w:rsidR="009D1311" w:rsidRPr="00372FB6" w:rsidRDefault="009D1311" w:rsidP="000C1F53">
      <w:pPr>
        <w:pStyle w:val="BodycopyNEW0"/>
        <w:numPr>
          <w:ilvl w:val="0"/>
          <w:numId w:val="23"/>
        </w:numPr>
        <w:ind w:left="378"/>
        <w:rPr>
          <w:szCs w:val="18"/>
        </w:rPr>
      </w:pPr>
      <w:r w:rsidRPr="00F57169">
        <w:rPr>
          <w:szCs w:val="18"/>
        </w:rPr>
        <w:t>Permissioning documents are seen by some stakeholders (including operators</w:t>
      </w:r>
      <w:r w:rsidR="00F02A09">
        <w:rPr>
          <w:szCs w:val="18"/>
        </w:rPr>
        <w:t xml:space="preserve"> and titleholders</w:t>
      </w:r>
      <w:r w:rsidRPr="00F57169">
        <w:rPr>
          <w:szCs w:val="18"/>
        </w:rPr>
        <w:t>) as a ‘tick the box’ document – not reflecting the true nature of the operation or activities. We received commentary, which highlighted permissioning documents are developed by “co</w:t>
      </w:r>
      <w:r w:rsidRPr="00372FB6">
        <w:rPr>
          <w:szCs w:val="18"/>
        </w:rPr>
        <w:t>rporate teams” and then when approved, handed over to operational teams in industry</w:t>
      </w:r>
    </w:p>
    <w:p w14:paraId="5B2D9369" w14:textId="0083B8D3" w:rsidR="009D1311" w:rsidRPr="00611BAA" w:rsidRDefault="009D1311" w:rsidP="000C1F53">
      <w:pPr>
        <w:pStyle w:val="BodycopyNEW0"/>
        <w:numPr>
          <w:ilvl w:val="0"/>
          <w:numId w:val="23"/>
        </w:numPr>
        <w:ind w:left="378"/>
        <w:rPr>
          <w:szCs w:val="18"/>
        </w:rPr>
      </w:pPr>
      <w:r w:rsidRPr="009013BE">
        <w:rPr>
          <w:szCs w:val="18"/>
        </w:rPr>
        <w:t>The level of effort to demonstrate ALARP and acceptability is not always proportionate to the potential risks or impacts associated with the proposed activity (see</w:t>
      </w:r>
      <w:r w:rsidR="009F1D04" w:rsidRPr="007B16E0">
        <w:rPr>
          <w:rFonts w:cs="Calibri Light"/>
        </w:rPr>
        <w:t xml:space="preserve"> </w:t>
      </w:r>
      <w:r w:rsidR="009F1D04" w:rsidRPr="006E51DF">
        <w:rPr>
          <w:rFonts w:cs="Calibri Light"/>
          <w:b/>
          <w:bCs/>
        </w:rPr>
        <w:fldChar w:fldCharType="begin"/>
      </w:r>
      <w:r w:rsidR="009F1D04" w:rsidRPr="006E51DF">
        <w:rPr>
          <w:rFonts w:cs="Calibri Light"/>
          <w:b/>
          <w:bCs/>
        </w:rPr>
        <w:instrText xml:space="preserve"> REF _Ref58445484 \h  \* MERGEFORMAT </w:instrText>
      </w:r>
      <w:r w:rsidR="009F1D04" w:rsidRPr="006E51DF">
        <w:rPr>
          <w:rFonts w:cs="Calibri Light"/>
          <w:b/>
          <w:bCs/>
        </w:rPr>
      </w:r>
      <w:r w:rsidR="009F1D04" w:rsidRPr="006E51DF">
        <w:rPr>
          <w:rFonts w:cs="Calibri Light"/>
          <w:b/>
          <w:bCs/>
        </w:rPr>
        <w:fldChar w:fldCharType="separate"/>
      </w:r>
      <w:r w:rsidR="00E816B8" w:rsidRPr="00E816B8">
        <w:rPr>
          <w:rFonts w:cs="Calibri Light"/>
          <w:b/>
          <w:bCs/>
        </w:rPr>
        <w:t>Figure 6.3</w:t>
      </w:r>
      <w:r w:rsidR="009F1D04" w:rsidRPr="006E51DF">
        <w:rPr>
          <w:rFonts w:cs="Calibri Light"/>
          <w:b/>
          <w:bCs/>
        </w:rPr>
        <w:fldChar w:fldCharType="end"/>
      </w:r>
      <w:r w:rsidRPr="00096BC3">
        <w:rPr>
          <w:szCs w:val="18"/>
        </w:rPr>
        <w:t xml:space="preserve">) and a perception that NOPSEMA’s requirements for EPs, WOMPs and </w:t>
      </w:r>
      <w:r w:rsidR="00431371">
        <w:rPr>
          <w:szCs w:val="18"/>
        </w:rPr>
        <w:t>safety case</w:t>
      </w:r>
      <w:r w:rsidR="00431371" w:rsidRPr="00096BC3">
        <w:rPr>
          <w:szCs w:val="18"/>
        </w:rPr>
        <w:t xml:space="preserve">s </w:t>
      </w:r>
      <w:r w:rsidRPr="00096BC3">
        <w:rPr>
          <w:szCs w:val="18"/>
        </w:rPr>
        <w:t>are steadily increasing, particularly in demonstrating ALARP.</w:t>
      </w:r>
      <w:r w:rsidRPr="004C6DE4">
        <w:rPr>
          <w:rFonts w:cstheme="minorHAnsi"/>
          <w:szCs w:val="18"/>
        </w:rPr>
        <w:t xml:space="preserve"> NOPSEMA needs to take care that the effort requ</w:t>
      </w:r>
      <w:r w:rsidRPr="00EC0CDF">
        <w:rPr>
          <w:rFonts w:cstheme="minorHAnsi"/>
          <w:szCs w:val="18"/>
        </w:rPr>
        <w:t xml:space="preserve">ired by </w:t>
      </w:r>
      <w:r w:rsidR="008D605D">
        <w:rPr>
          <w:rFonts w:cstheme="minorHAnsi"/>
          <w:szCs w:val="18"/>
        </w:rPr>
        <w:t>title</w:t>
      </w:r>
      <w:r w:rsidR="00327ACB" w:rsidRPr="00073514">
        <w:rPr>
          <w:rFonts w:cstheme="minorHAnsi"/>
          <w:szCs w:val="18"/>
        </w:rPr>
        <w:t>holders</w:t>
      </w:r>
      <w:r w:rsidRPr="00073514">
        <w:rPr>
          <w:rFonts w:cstheme="minorHAnsi"/>
          <w:szCs w:val="18"/>
        </w:rPr>
        <w:t xml:space="preserve"> is proportionate to the potential risks/impacts associated with the activity</w:t>
      </w:r>
    </w:p>
    <w:p w14:paraId="7E7D1A47" w14:textId="77777777" w:rsidR="009D1311" w:rsidRPr="00F57169" w:rsidRDefault="009D1311" w:rsidP="000C1F53">
      <w:pPr>
        <w:pStyle w:val="BodycopyNEW0"/>
        <w:numPr>
          <w:ilvl w:val="0"/>
          <w:numId w:val="23"/>
        </w:numPr>
        <w:ind w:left="378"/>
        <w:rPr>
          <w:szCs w:val="18"/>
        </w:rPr>
      </w:pPr>
      <w:r w:rsidRPr="00946300">
        <w:rPr>
          <w:szCs w:val="18"/>
        </w:rPr>
        <w:t>With the changes made to the transparency of EPs and their publication for public consumption, there is now additional effort requ</w:t>
      </w:r>
      <w:r w:rsidRPr="00F57169">
        <w:rPr>
          <w:szCs w:val="18"/>
        </w:rPr>
        <w:t>ired from industry to make these documents understandable for non-technical audiences</w:t>
      </w:r>
    </w:p>
    <w:p w14:paraId="20660EA8" w14:textId="0820F7E1" w:rsidR="009D1311" w:rsidRPr="00EC0CDF" w:rsidRDefault="009D1311" w:rsidP="000C1F53">
      <w:pPr>
        <w:pStyle w:val="BodycopyNEW0"/>
        <w:numPr>
          <w:ilvl w:val="0"/>
          <w:numId w:val="23"/>
        </w:numPr>
        <w:ind w:left="378"/>
        <w:rPr>
          <w:rFonts w:cstheme="minorHAnsi"/>
          <w:szCs w:val="18"/>
        </w:rPr>
      </w:pPr>
      <w:r w:rsidRPr="00F57169">
        <w:rPr>
          <w:rFonts w:cstheme="minorHAnsi"/>
          <w:szCs w:val="18"/>
        </w:rPr>
        <w:lastRenderedPageBreak/>
        <w:t xml:space="preserve">Concern </w:t>
      </w:r>
      <w:r w:rsidR="00552FF2">
        <w:rPr>
          <w:rFonts w:cstheme="minorHAnsi"/>
          <w:szCs w:val="18"/>
        </w:rPr>
        <w:t>from</w:t>
      </w:r>
      <w:r w:rsidR="00552FF2" w:rsidRPr="00F57169">
        <w:rPr>
          <w:rFonts w:cstheme="minorHAnsi"/>
          <w:szCs w:val="18"/>
        </w:rPr>
        <w:t xml:space="preserve"> </w:t>
      </w:r>
      <w:r w:rsidRPr="00F57169">
        <w:rPr>
          <w:rFonts w:cstheme="minorHAnsi"/>
          <w:szCs w:val="18"/>
        </w:rPr>
        <w:t>some stakeholders (</w:t>
      </w:r>
      <w:r w:rsidRPr="00901C7B">
        <w:rPr>
          <w:rFonts w:cstheme="minorHAnsi"/>
          <w:szCs w:val="18"/>
        </w:rPr>
        <w:t xml:space="preserve">including </w:t>
      </w:r>
      <w:r w:rsidR="008D605D" w:rsidRPr="00901C7B">
        <w:rPr>
          <w:rFonts w:cstheme="minorHAnsi"/>
          <w:szCs w:val="18"/>
        </w:rPr>
        <w:t>title</w:t>
      </w:r>
      <w:r w:rsidRPr="00901C7B">
        <w:rPr>
          <w:rFonts w:cstheme="minorHAnsi"/>
          <w:szCs w:val="18"/>
        </w:rPr>
        <w:t>holders</w:t>
      </w:r>
      <w:r w:rsidR="00F02A09">
        <w:rPr>
          <w:rFonts w:cstheme="minorHAnsi"/>
          <w:szCs w:val="18"/>
        </w:rPr>
        <w:t xml:space="preserve"> and </w:t>
      </w:r>
      <w:r w:rsidR="00AC4BA7">
        <w:rPr>
          <w:rFonts w:cstheme="minorHAnsi"/>
          <w:szCs w:val="18"/>
        </w:rPr>
        <w:t>facility operators</w:t>
      </w:r>
      <w:r w:rsidRPr="008D605D">
        <w:rPr>
          <w:rFonts w:cstheme="minorHAnsi"/>
          <w:szCs w:val="18"/>
        </w:rPr>
        <w:t>)</w:t>
      </w:r>
      <w:r w:rsidRPr="00096BC3">
        <w:rPr>
          <w:rFonts w:cstheme="minorHAnsi"/>
          <w:szCs w:val="18"/>
        </w:rPr>
        <w:t xml:space="preserve"> that for safety cases the effort is not scalable, and the average size of the documents are not suitable for workforce engagement (e.g. the doc</w:t>
      </w:r>
      <w:r w:rsidRPr="004C6DE4">
        <w:rPr>
          <w:rFonts w:cstheme="minorHAnsi"/>
          <w:szCs w:val="18"/>
        </w:rPr>
        <w:t>ument is too cumbersome for a worker to meaningfully use)</w:t>
      </w:r>
    </w:p>
    <w:p w14:paraId="064CF610" w14:textId="77777777" w:rsidR="009D1311" w:rsidRPr="00E9351C" w:rsidRDefault="009D1311" w:rsidP="000C1F53">
      <w:pPr>
        <w:pStyle w:val="BodycopyNEW0"/>
        <w:numPr>
          <w:ilvl w:val="0"/>
          <w:numId w:val="23"/>
        </w:numPr>
        <w:ind w:left="378"/>
        <w:rPr>
          <w:szCs w:val="18"/>
        </w:rPr>
      </w:pPr>
      <w:r w:rsidRPr="00073514">
        <w:rPr>
          <w:rFonts w:cstheme="minorHAnsi"/>
          <w:szCs w:val="18"/>
        </w:rPr>
        <w:t>The documents are too manual – reflecting a need for better digitisation of the permissioning documents to drive consistency and structure, but also greater data availability for the regulator to co</w:t>
      </w:r>
      <w:r w:rsidRPr="003E73F3">
        <w:rPr>
          <w:rFonts w:cstheme="minorHAnsi"/>
          <w:szCs w:val="18"/>
        </w:rPr>
        <w:t>nduct analysis</w:t>
      </w:r>
      <w:r w:rsidRPr="003E73F3">
        <w:rPr>
          <w:szCs w:val="18"/>
        </w:rPr>
        <w:t xml:space="preserve"> </w:t>
      </w:r>
    </w:p>
    <w:p w14:paraId="51886BAC" w14:textId="77777777" w:rsidR="009D1311" w:rsidRPr="00946300" w:rsidRDefault="009D1311" w:rsidP="000C1F53">
      <w:pPr>
        <w:pStyle w:val="BodycopyNEW0"/>
        <w:numPr>
          <w:ilvl w:val="0"/>
          <w:numId w:val="23"/>
        </w:numPr>
        <w:ind w:left="378"/>
        <w:rPr>
          <w:szCs w:val="18"/>
        </w:rPr>
      </w:pPr>
      <w:r w:rsidRPr="00611BAA">
        <w:rPr>
          <w:szCs w:val="18"/>
        </w:rPr>
        <w:t>Inconsistencies in the assessment and decision-making outcomes from</w:t>
      </w:r>
      <w:r w:rsidRPr="00946300">
        <w:rPr>
          <w:szCs w:val="18"/>
        </w:rPr>
        <w:t xml:space="preserve"> assessments</w:t>
      </w:r>
    </w:p>
    <w:p w14:paraId="79979799" w14:textId="3CC222CB" w:rsidR="009D1311" w:rsidRPr="004B6FFA" w:rsidRDefault="009D1311" w:rsidP="000C1F53">
      <w:pPr>
        <w:pStyle w:val="BodycopyNEW0"/>
        <w:numPr>
          <w:ilvl w:val="0"/>
          <w:numId w:val="23"/>
        </w:numPr>
        <w:ind w:left="378"/>
        <w:rPr>
          <w:rFonts w:cstheme="minorHAnsi"/>
          <w:szCs w:val="18"/>
        </w:rPr>
      </w:pPr>
      <w:r w:rsidRPr="00F57169">
        <w:rPr>
          <w:rFonts w:cstheme="minorHAnsi"/>
          <w:szCs w:val="18"/>
        </w:rPr>
        <w:t xml:space="preserve">The documents are not designed to talk to each other, but invariably rely on content from one-another to present a clear picture on the underlying control environment of the </w:t>
      </w:r>
      <w:r w:rsidR="00AC4BA7">
        <w:rPr>
          <w:rFonts w:cstheme="minorHAnsi"/>
          <w:szCs w:val="18"/>
        </w:rPr>
        <w:t>responsible party</w:t>
      </w:r>
    </w:p>
    <w:p w14:paraId="479FBAEC" w14:textId="1EBED710" w:rsidR="009D1311" w:rsidRPr="009013BE" w:rsidRDefault="009D1311" w:rsidP="000C1F53">
      <w:pPr>
        <w:pStyle w:val="BodycopyNEW0"/>
        <w:numPr>
          <w:ilvl w:val="0"/>
          <w:numId w:val="23"/>
        </w:numPr>
        <w:ind w:left="378"/>
        <w:rPr>
          <w:szCs w:val="18"/>
        </w:rPr>
      </w:pPr>
      <w:r w:rsidRPr="00372FB6">
        <w:rPr>
          <w:szCs w:val="18"/>
        </w:rPr>
        <w:t xml:space="preserve">The approvals process is seemingly growing more lengthy, costly and time consuming whilst being perceived by some of not adding any actual improvement in </w:t>
      </w:r>
      <w:r w:rsidR="008D605D">
        <w:rPr>
          <w:szCs w:val="18"/>
        </w:rPr>
        <w:t>title</w:t>
      </w:r>
      <w:r w:rsidRPr="00372FB6">
        <w:rPr>
          <w:szCs w:val="18"/>
        </w:rPr>
        <w:t>holder practices or changes to con</w:t>
      </w:r>
      <w:r w:rsidRPr="009013BE">
        <w:rPr>
          <w:szCs w:val="18"/>
        </w:rPr>
        <w:t>trol measures that are implemented</w:t>
      </w:r>
    </w:p>
    <w:p w14:paraId="55D2D0C4" w14:textId="1A4D4A8B" w:rsidR="009D1311" w:rsidRPr="00171DEA" w:rsidRDefault="009D1311" w:rsidP="000C1F53">
      <w:pPr>
        <w:pStyle w:val="BodycopyNEW0"/>
        <w:numPr>
          <w:ilvl w:val="0"/>
          <w:numId w:val="23"/>
        </w:numPr>
        <w:ind w:left="378"/>
        <w:rPr>
          <w:szCs w:val="18"/>
        </w:rPr>
      </w:pPr>
      <w:r w:rsidRPr="00016436">
        <w:rPr>
          <w:szCs w:val="18"/>
        </w:rPr>
        <w:t xml:space="preserve">NOPSEMA usually has very specific responses they wish to see by </w:t>
      </w:r>
      <w:r w:rsidR="008D605D">
        <w:rPr>
          <w:szCs w:val="18"/>
        </w:rPr>
        <w:t>title</w:t>
      </w:r>
      <w:r w:rsidRPr="00016436">
        <w:rPr>
          <w:szCs w:val="18"/>
        </w:rPr>
        <w:t>holders submitting permission documents. It is often the case that NOPSEMA request</w:t>
      </w:r>
      <w:r w:rsidR="00FE3E22" w:rsidRPr="00953CA5">
        <w:rPr>
          <w:szCs w:val="18"/>
        </w:rPr>
        <w:t>s</w:t>
      </w:r>
      <w:r w:rsidRPr="00953CA5">
        <w:rPr>
          <w:szCs w:val="18"/>
        </w:rPr>
        <w:t xml:space="preserve"> further information that is actually contained in the submissions, or extra details that are not providing any perceived added value or would add any further reduction to the risks or impacts</w:t>
      </w:r>
    </w:p>
    <w:p w14:paraId="139FD1A9" w14:textId="0EDB1045" w:rsidR="009D1311" w:rsidRPr="00C9422D" w:rsidRDefault="009D1311" w:rsidP="000C1F53">
      <w:pPr>
        <w:pStyle w:val="BodycopyNEW0"/>
        <w:numPr>
          <w:ilvl w:val="0"/>
          <w:numId w:val="23"/>
        </w:numPr>
        <w:ind w:left="378"/>
        <w:rPr>
          <w:szCs w:val="18"/>
        </w:rPr>
      </w:pPr>
      <w:r w:rsidRPr="00EE5A55">
        <w:rPr>
          <w:szCs w:val="18"/>
        </w:rPr>
        <w:t>There appears to be a significant amount of effort that goes into submissions for what some stakeholders perceive as little value</w:t>
      </w:r>
      <w:r w:rsidRPr="00777C5D">
        <w:rPr>
          <w:szCs w:val="18"/>
        </w:rPr>
        <w:t>. The three NOP</w:t>
      </w:r>
      <w:r w:rsidR="00E11048" w:rsidRPr="006C6606">
        <w:rPr>
          <w:szCs w:val="18"/>
        </w:rPr>
        <w:t>S</w:t>
      </w:r>
      <w:r w:rsidRPr="009D5BA8">
        <w:rPr>
          <w:szCs w:val="18"/>
        </w:rPr>
        <w:t xml:space="preserve">EMA divisions (OHS, well integrity, and environment) work independently with very different levels of rigour. </w:t>
      </w:r>
      <w:r w:rsidR="008176EE" w:rsidRPr="009D5BA8">
        <w:rPr>
          <w:szCs w:val="18"/>
        </w:rPr>
        <w:t>Focus areas in NOPSEMA assessments are seen to</w:t>
      </w:r>
      <w:r w:rsidRPr="007F74D3">
        <w:rPr>
          <w:szCs w:val="18"/>
        </w:rPr>
        <w:t xml:space="preserve"> depend on the individual assessor or inspector and what their individual areas of e</w:t>
      </w:r>
      <w:r w:rsidRPr="0047319A">
        <w:rPr>
          <w:szCs w:val="18"/>
        </w:rPr>
        <w:t>xpertise, past experience or concerns may be</w:t>
      </w:r>
    </w:p>
    <w:p w14:paraId="79AB9C7B" w14:textId="084DF3A3" w:rsidR="004863D2" w:rsidRPr="00834F3C" w:rsidRDefault="0075011D" w:rsidP="000C1F53">
      <w:pPr>
        <w:pStyle w:val="BodycopyNEW0"/>
        <w:numPr>
          <w:ilvl w:val="0"/>
          <w:numId w:val="23"/>
        </w:numPr>
        <w:ind w:left="378"/>
        <w:rPr>
          <w:szCs w:val="18"/>
        </w:rPr>
      </w:pPr>
      <w:r w:rsidRPr="00F53817">
        <w:rPr>
          <w:szCs w:val="18"/>
        </w:rPr>
        <w:t xml:space="preserve">Inconsistency </w:t>
      </w:r>
      <w:r w:rsidR="003231F5" w:rsidRPr="00A32AAE">
        <w:rPr>
          <w:szCs w:val="18"/>
        </w:rPr>
        <w:t xml:space="preserve">in NOPSEMA’s approach to </w:t>
      </w:r>
      <w:r w:rsidR="00DF2206" w:rsidRPr="00B575BF">
        <w:rPr>
          <w:szCs w:val="18"/>
        </w:rPr>
        <w:t xml:space="preserve">permissioning documents across </w:t>
      </w:r>
      <w:r w:rsidR="00841EDA" w:rsidRPr="00D11371">
        <w:rPr>
          <w:szCs w:val="18"/>
        </w:rPr>
        <w:t xml:space="preserve">its </w:t>
      </w:r>
      <w:r w:rsidR="00AC61A4" w:rsidRPr="003E4CD6">
        <w:rPr>
          <w:szCs w:val="18"/>
        </w:rPr>
        <w:t>d</w:t>
      </w:r>
      <w:r w:rsidR="00841EDA" w:rsidRPr="00777710">
        <w:rPr>
          <w:szCs w:val="18"/>
        </w:rPr>
        <w:t>ivisions</w:t>
      </w:r>
      <w:r w:rsidR="00090DD2" w:rsidRPr="00777710">
        <w:rPr>
          <w:szCs w:val="18"/>
        </w:rPr>
        <w:t xml:space="preserve"> and a disconnect in </w:t>
      </w:r>
      <w:r w:rsidR="00A8693B" w:rsidRPr="006F091B">
        <w:rPr>
          <w:szCs w:val="18"/>
        </w:rPr>
        <w:t>the treatment of different</w:t>
      </w:r>
      <w:r w:rsidR="00090DD2" w:rsidRPr="006610D9">
        <w:rPr>
          <w:szCs w:val="18"/>
        </w:rPr>
        <w:t xml:space="preserve"> </w:t>
      </w:r>
      <w:r w:rsidR="000522B4" w:rsidRPr="00711FC9">
        <w:rPr>
          <w:szCs w:val="18"/>
        </w:rPr>
        <w:t>permissioning documents</w:t>
      </w:r>
      <w:r w:rsidR="00A8693B" w:rsidRPr="00834F3C">
        <w:rPr>
          <w:szCs w:val="18"/>
        </w:rPr>
        <w:t xml:space="preserve"> (i.e. safety case, WOMP, or EP) for the same or similar activities</w:t>
      </w:r>
    </w:p>
    <w:p w14:paraId="753B0DCB" w14:textId="159B9D65" w:rsidR="009D1311" w:rsidRDefault="009D1311" w:rsidP="000C1F53">
      <w:pPr>
        <w:pStyle w:val="BodycopyNEW0"/>
        <w:numPr>
          <w:ilvl w:val="0"/>
          <w:numId w:val="23"/>
        </w:numPr>
        <w:ind w:left="378"/>
        <w:rPr>
          <w:rFonts w:cstheme="minorHAnsi"/>
          <w:szCs w:val="18"/>
        </w:rPr>
      </w:pPr>
      <w:r w:rsidRPr="00FF42CF">
        <w:rPr>
          <w:rFonts w:cstheme="minorHAnsi"/>
          <w:szCs w:val="18"/>
        </w:rPr>
        <w:t xml:space="preserve">The concept of </w:t>
      </w:r>
      <w:r w:rsidR="004863D2" w:rsidRPr="00FF42CF">
        <w:rPr>
          <w:rFonts w:cstheme="minorHAnsi"/>
          <w:szCs w:val="18"/>
        </w:rPr>
        <w:t>‘</w:t>
      </w:r>
      <w:r w:rsidRPr="002113A4">
        <w:rPr>
          <w:rFonts w:cstheme="minorHAnsi"/>
          <w:szCs w:val="18"/>
        </w:rPr>
        <w:t>acceptable</w:t>
      </w:r>
      <w:r w:rsidR="004863D2" w:rsidRPr="001D4317">
        <w:rPr>
          <w:rFonts w:cstheme="minorHAnsi"/>
          <w:szCs w:val="18"/>
        </w:rPr>
        <w:t>’</w:t>
      </w:r>
      <w:r w:rsidRPr="00C75BED">
        <w:rPr>
          <w:rFonts w:cstheme="minorHAnsi"/>
          <w:szCs w:val="18"/>
        </w:rPr>
        <w:t xml:space="preserve"> levels of impact/risk is so subjective that no-one really knows what it is.</w:t>
      </w:r>
    </w:p>
    <w:p w14:paraId="0DF1F739" w14:textId="289DCFC2" w:rsidR="009F1D04" w:rsidRPr="004B6FFA" w:rsidRDefault="009F1D04" w:rsidP="004B089B">
      <w:pPr>
        <w:pStyle w:val="Caption"/>
        <w:keepNext/>
        <w:rPr>
          <w:rFonts w:cstheme="minorHAnsi"/>
        </w:rPr>
      </w:pPr>
      <w:bookmarkStart w:id="52" w:name="_Ref58445484"/>
      <w:r>
        <w:t xml:space="preserve">Figure </w:t>
      </w:r>
      <w:r w:rsidR="00AD41F8">
        <w:fldChar w:fldCharType="begin"/>
      </w:r>
      <w:r w:rsidR="00AD41F8">
        <w:instrText xml:space="preserve"> STYLEREF 1 \s </w:instrText>
      </w:r>
      <w:r w:rsidR="00AD41F8">
        <w:fldChar w:fldCharType="separate"/>
      </w:r>
      <w:r w:rsidR="00E816B8">
        <w:rPr>
          <w:noProof/>
        </w:rPr>
        <w:t>6</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3</w:t>
      </w:r>
      <w:r w:rsidR="00AD41F8">
        <w:fldChar w:fldCharType="end"/>
      </w:r>
      <w:bookmarkEnd w:id="52"/>
      <w:r>
        <w:t>: Survey responses to the level of effort required to meet NOPSEMA’s requirements</w:t>
      </w:r>
    </w:p>
    <w:p w14:paraId="2BE3C211" w14:textId="77777777" w:rsidR="00691AB8" w:rsidRDefault="00691AB8" w:rsidP="00691AB8">
      <w:pPr>
        <w:spacing w:after="120" w:line="240" w:lineRule="auto"/>
      </w:pPr>
      <w:r w:rsidRPr="007E7A6E">
        <w:rPr>
          <w:noProof/>
          <w:lang w:eastAsia="en-AU"/>
        </w:rPr>
        <w:drawing>
          <wp:inline distT="0" distB="0" distL="0" distR="0" wp14:anchorId="6F6A5620" wp14:editId="39242F97">
            <wp:extent cx="6254115" cy="3240000"/>
            <wp:effectExtent l="0" t="0" r="13335" b="17780"/>
            <wp:docPr id="23" name="Chart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7C20147-9EE6-430E-B36E-A8FF359E9D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B98C8A3" w14:textId="5A7DB26A" w:rsidR="00691AB8" w:rsidRPr="002454C5" w:rsidRDefault="00691AB8" w:rsidP="002454C5">
      <w:pPr>
        <w:spacing w:after="120" w:line="240" w:lineRule="auto"/>
        <w:rPr>
          <w:rFonts w:ascii="Calibri Light" w:hAnsi="Calibri Light" w:cs="Calibri Light"/>
          <w:sz w:val="14"/>
          <w:szCs w:val="14"/>
        </w:rPr>
      </w:pPr>
      <w:r w:rsidRPr="002454C5">
        <w:rPr>
          <w:rFonts w:ascii="Calibri Light" w:hAnsi="Calibri Light" w:cs="Calibri Light"/>
          <w:sz w:val="14"/>
          <w:szCs w:val="14"/>
        </w:rPr>
        <w:t xml:space="preserve">*NOTE: ALARP refers to 'as low as reasonably practicable'. </w:t>
      </w:r>
      <w:r w:rsidR="008D605D" w:rsidRPr="002454C5">
        <w:rPr>
          <w:rFonts w:ascii="Calibri Light" w:hAnsi="Calibri Light" w:cs="Calibri Light"/>
          <w:sz w:val="14"/>
          <w:szCs w:val="14"/>
        </w:rPr>
        <w:t>Title</w:t>
      </w:r>
      <w:r w:rsidRPr="002454C5">
        <w:rPr>
          <w:rFonts w:ascii="Calibri Light" w:hAnsi="Calibri Light" w:cs="Calibri Light"/>
          <w:sz w:val="14"/>
          <w:szCs w:val="14"/>
        </w:rPr>
        <w:t>holders are required to demonstrate to NOPSEMA through evidence (e.g. controls and mitigation activities) that</w:t>
      </w:r>
      <w:r w:rsidR="00F92DFE" w:rsidRPr="002454C5">
        <w:rPr>
          <w:rFonts w:ascii="Calibri Light" w:hAnsi="Calibri Light" w:cs="Calibri Light"/>
          <w:sz w:val="14"/>
          <w:szCs w:val="14"/>
        </w:rPr>
        <w:t xml:space="preserve"> risks have been reduced to a level that is ALARP and acceptable.</w:t>
      </w:r>
      <w:r w:rsidR="00F92DFE" w:rsidRPr="002454C5" w:rsidDel="00F92DFE">
        <w:rPr>
          <w:rFonts w:ascii="Calibri Light" w:hAnsi="Calibri Light" w:cs="Calibri Light"/>
          <w:sz w:val="14"/>
          <w:szCs w:val="14"/>
        </w:rPr>
        <w:t xml:space="preserve"> </w:t>
      </w:r>
    </w:p>
    <w:p w14:paraId="5BB0DB69" w14:textId="0F55F37A" w:rsidR="00691AB8" w:rsidRPr="00901C7B" w:rsidRDefault="00691AB8" w:rsidP="00A067D9">
      <w:pPr>
        <w:pStyle w:val="Caption"/>
        <w:rPr>
          <w:b w:val="0"/>
          <w:bCs/>
          <w:i/>
          <w:iCs w:val="0"/>
          <w:color w:val="75787B" w:themeColor="accent6"/>
        </w:rPr>
      </w:pPr>
      <w:r w:rsidRPr="00901C7B">
        <w:rPr>
          <w:b w:val="0"/>
          <w:bCs/>
          <w:i/>
          <w:iCs w:val="0"/>
          <w:color w:val="75787B" w:themeColor="accent6"/>
        </w:rPr>
        <w:t>Source: Deloitte Stakeholder Survey, Deloitte analysis</w:t>
      </w:r>
    </w:p>
    <w:p w14:paraId="40B5C822" w14:textId="25D7339B" w:rsidR="009D1311" w:rsidRPr="00016436" w:rsidRDefault="009D1311" w:rsidP="00200B12">
      <w:pPr>
        <w:pStyle w:val="BodyCopyNEW"/>
        <w:rPr>
          <w:szCs w:val="18"/>
        </w:rPr>
      </w:pPr>
      <w:r w:rsidRPr="00096BC3">
        <w:rPr>
          <w:szCs w:val="18"/>
        </w:rPr>
        <w:t xml:space="preserve">From our conversations with NOPSEMA, we understand there is also a sentiment amongst the </w:t>
      </w:r>
      <w:r w:rsidR="0022579C" w:rsidRPr="004C6DE4">
        <w:rPr>
          <w:szCs w:val="18"/>
        </w:rPr>
        <w:t xml:space="preserve">NOPSEMA </w:t>
      </w:r>
      <w:r w:rsidRPr="00073514">
        <w:rPr>
          <w:szCs w:val="18"/>
        </w:rPr>
        <w:t xml:space="preserve">inspectors who conduct assessments of permissioning documents that the regulator is being used to identify weaknesses in documents, provide a list of deficiencies, to enable the operator to submit an acceptable document. </w:t>
      </w:r>
      <w:r w:rsidR="00CD30CE" w:rsidRPr="00611BAA">
        <w:rPr>
          <w:szCs w:val="18"/>
        </w:rPr>
        <w:t>I</w:t>
      </w:r>
      <w:r w:rsidRPr="00946300">
        <w:rPr>
          <w:szCs w:val="18"/>
        </w:rPr>
        <w:t xml:space="preserve">t is felt that </w:t>
      </w:r>
      <w:r w:rsidR="00CD30CE" w:rsidRPr="00946300">
        <w:rPr>
          <w:szCs w:val="18"/>
        </w:rPr>
        <w:t>on occasion, some</w:t>
      </w:r>
      <w:r w:rsidRPr="00946300">
        <w:rPr>
          <w:szCs w:val="18"/>
        </w:rPr>
        <w:t xml:space="preserve"> operators have not adequately attempted to ad</w:t>
      </w:r>
      <w:r w:rsidRPr="00F57169">
        <w:rPr>
          <w:szCs w:val="18"/>
        </w:rPr>
        <w:t xml:space="preserve">dress minimum </w:t>
      </w:r>
      <w:r w:rsidR="009D67AC" w:rsidRPr="00F57169">
        <w:rPr>
          <w:szCs w:val="18"/>
        </w:rPr>
        <w:t xml:space="preserve">permissioning document </w:t>
      </w:r>
      <w:r w:rsidRPr="00F57169">
        <w:rPr>
          <w:szCs w:val="18"/>
        </w:rPr>
        <w:t>requirements</w:t>
      </w:r>
      <w:r w:rsidR="00CD30CE" w:rsidRPr="004B6FFA">
        <w:rPr>
          <w:szCs w:val="18"/>
        </w:rPr>
        <w:t xml:space="preserve"> or operators </w:t>
      </w:r>
      <w:r w:rsidR="005F6CA4" w:rsidRPr="004B6FFA">
        <w:rPr>
          <w:szCs w:val="18"/>
        </w:rPr>
        <w:t xml:space="preserve">can </w:t>
      </w:r>
      <w:r w:rsidRPr="00372FB6">
        <w:rPr>
          <w:szCs w:val="18"/>
        </w:rPr>
        <w:t xml:space="preserve">seek to include </w:t>
      </w:r>
      <w:r w:rsidR="00CD30CE" w:rsidRPr="00372FB6">
        <w:rPr>
          <w:szCs w:val="18"/>
        </w:rPr>
        <w:t>‘</w:t>
      </w:r>
      <w:r w:rsidRPr="009013BE">
        <w:rPr>
          <w:szCs w:val="18"/>
        </w:rPr>
        <w:t>all possible details</w:t>
      </w:r>
      <w:r w:rsidR="00CD30CE" w:rsidRPr="009013BE">
        <w:rPr>
          <w:szCs w:val="18"/>
        </w:rPr>
        <w:t>’</w:t>
      </w:r>
      <w:r w:rsidRPr="009013BE">
        <w:rPr>
          <w:szCs w:val="18"/>
        </w:rPr>
        <w:t xml:space="preserve"> in </w:t>
      </w:r>
      <w:r w:rsidRPr="009013BE">
        <w:rPr>
          <w:szCs w:val="18"/>
        </w:rPr>
        <w:lastRenderedPageBreak/>
        <w:t>permissioning documents in an effort to ensure the document is approved, with little consideration given to only focusing on the most salient and i</w:t>
      </w:r>
      <w:r w:rsidRPr="00016436">
        <w:rPr>
          <w:szCs w:val="18"/>
        </w:rPr>
        <w:t>mportant risks.</w:t>
      </w:r>
    </w:p>
    <w:p w14:paraId="37B24A13" w14:textId="180D259C" w:rsidR="00F358B5" w:rsidRPr="003E73F3" w:rsidRDefault="009D1311" w:rsidP="001772EA">
      <w:pPr>
        <w:pStyle w:val="BodyCopyNEW"/>
        <w:rPr>
          <w:rFonts w:cs="Times New Roman"/>
          <w:szCs w:val="18"/>
          <w:highlight w:val="magenta"/>
        </w:rPr>
      </w:pPr>
      <w:r w:rsidRPr="00953CA5">
        <w:rPr>
          <w:szCs w:val="18"/>
        </w:rPr>
        <w:t xml:space="preserve">While the </w:t>
      </w:r>
      <w:r w:rsidR="005A49D1">
        <w:rPr>
          <w:szCs w:val="18"/>
        </w:rPr>
        <w:t>objective-based</w:t>
      </w:r>
      <w:r w:rsidRPr="00953CA5">
        <w:rPr>
          <w:szCs w:val="18"/>
        </w:rPr>
        <w:t xml:space="preserve"> regime and its underlying principles (as applied to </w:t>
      </w:r>
      <w:r w:rsidR="005A49D1">
        <w:rPr>
          <w:szCs w:val="18"/>
        </w:rPr>
        <w:t xml:space="preserve">safety cases, </w:t>
      </w:r>
      <w:r w:rsidRPr="00953CA5">
        <w:rPr>
          <w:szCs w:val="18"/>
        </w:rPr>
        <w:t>WOMPs</w:t>
      </w:r>
      <w:r w:rsidR="005A49D1">
        <w:rPr>
          <w:szCs w:val="18"/>
        </w:rPr>
        <w:t>,</w:t>
      </w:r>
      <w:r w:rsidRPr="00953CA5">
        <w:rPr>
          <w:szCs w:val="18"/>
        </w:rPr>
        <w:t xml:space="preserve"> and EPs)</w:t>
      </w:r>
      <w:r w:rsidR="00851BEB">
        <w:rPr>
          <w:szCs w:val="18"/>
        </w:rPr>
        <w:t xml:space="preserve"> is effective</w:t>
      </w:r>
      <w:r w:rsidRPr="00953CA5">
        <w:rPr>
          <w:szCs w:val="18"/>
        </w:rPr>
        <w:t xml:space="preserve">, </w:t>
      </w:r>
      <w:r w:rsidR="00851BEB">
        <w:rPr>
          <w:szCs w:val="18"/>
        </w:rPr>
        <w:t xml:space="preserve">our analysis shows </w:t>
      </w:r>
      <w:r w:rsidRPr="00953CA5">
        <w:rPr>
          <w:szCs w:val="18"/>
        </w:rPr>
        <w:t xml:space="preserve">there are issues in the way permissioning documents are perceived by industry, which could lead to unintended consequences. </w:t>
      </w:r>
      <w:r w:rsidR="001E5D31">
        <w:rPr>
          <w:szCs w:val="18"/>
        </w:rPr>
        <w:t>T</w:t>
      </w:r>
      <w:r w:rsidRPr="00953CA5">
        <w:rPr>
          <w:szCs w:val="18"/>
        </w:rPr>
        <w:t xml:space="preserve">here is a perception by industry </w:t>
      </w:r>
      <w:r w:rsidR="006B04D8">
        <w:rPr>
          <w:szCs w:val="18"/>
        </w:rPr>
        <w:t xml:space="preserve">that </w:t>
      </w:r>
      <w:r w:rsidRPr="00953CA5">
        <w:rPr>
          <w:szCs w:val="18"/>
        </w:rPr>
        <w:t xml:space="preserve">permissioning documents </w:t>
      </w:r>
      <w:r w:rsidR="00DF711A">
        <w:rPr>
          <w:szCs w:val="18"/>
        </w:rPr>
        <w:t>are</w:t>
      </w:r>
      <w:r w:rsidR="00DF711A" w:rsidRPr="00953CA5">
        <w:rPr>
          <w:szCs w:val="18"/>
        </w:rPr>
        <w:t xml:space="preserve"> </w:t>
      </w:r>
      <w:r w:rsidRPr="00953CA5">
        <w:rPr>
          <w:szCs w:val="18"/>
        </w:rPr>
        <w:t xml:space="preserve">seen as </w:t>
      </w:r>
      <w:r w:rsidR="00113A6D" w:rsidRPr="00171DEA">
        <w:rPr>
          <w:szCs w:val="18"/>
        </w:rPr>
        <w:t>‘</w:t>
      </w:r>
      <w:r w:rsidRPr="00EE5A55">
        <w:rPr>
          <w:szCs w:val="18"/>
        </w:rPr>
        <w:t>document burden</w:t>
      </w:r>
      <w:r w:rsidR="00113A6D" w:rsidRPr="00777C5D">
        <w:rPr>
          <w:szCs w:val="18"/>
        </w:rPr>
        <w:t>’</w:t>
      </w:r>
      <w:r w:rsidRPr="009D5BA8">
        <w:rPr>
          <w:szCs w:val="18"/>
        </w:rPr>
        <w:t xml:space="preserve">, </w:t>
      </w:r>
      <w:r w:rsidR="006F3B00">
        <w:rPr>
          <w:szCs w:val="18"/>
        </w:rPr>
        <w:t xml:space="preserve">which have been </w:t>
      </w:r>
      <w:r w:rsidR="008728CA">
        <w:rPr>
          <w:szCs w:val="18"/>
        </w:rPr>
        <w:t>created</w:t>
      </w:r>
      <w:r w:rsidRPr="009D5BA8">
        <w:rPr>
          <w:szCs w:val="18"/>
        </w:rPr>
        <w:t xml:space="preserve"> by NOPSEMA’s current regulatory approach to assessment and </w:t>
      </w:r>
      <w:r w:rsidRPr="00335DDD">
        <w:rPr>
          <w:szCs w:val="18"/>
        </w:rPr>
        <w:t>acceptance</w:t>
      </w:r>
      <w:r w:rsidRPr="0047319A">
        <w:rPr>
          <w:szCs w:val="18"/>
        </w:rPr>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9D1311" w:rsidRPr="00733441" w14:paraId="632BF759" w14:textId="77777777" w:rsidTr="009D3577">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67AFED35" w14:textId="599FE5F9" w:rsidR="009D1311" w:rsidRPr="00E53183" w:rsidRDefault="009D1311" w:rsidP="00053250">
            <w:pPr>
              <w:pStyle w:val="TableHeadingLeft"/>
            </w:pPr>
            <w:r w:rsidRPr="00E53183">
              <w:t>Recommendation #</w:t>
            </w:r>
            <w:r w:rsidR="000861E3" w:rsidRPr="00E53183">
              <w:t>3</w:t>
            </w:r>
          </w:p>
        </w:tc>
      </w:tr>
      <w:tr w:rsidR="00335845" w:rsidRPr="00777E58" w14:paraId="36676433" w14:textId="77777777" w:rsidTr="009D3577">
        <w:tc>
          <w:tcPr>
            <w:tcW w:w="9864" w:type="dxa"/>
            <w:tcBorders>
              <w:bottom w:val="nil"/>
            </w:tcBorders>
            <w:shd w:val="clear" w:color="auto" w:fill="F2F2F2" w:themeFill="background1" w:themeFillShade="F2"/>
          </w:tcPr>
          <w:p w14:paraId="7F9FF42D" w14:textId="0BA2A116" w:rsidR="00335845" w:rsidRPr="00777E58" w:rsidRDefault="00F3343D" w:rsidP="00200B12">
            <w:pPr>
              <w:pStyle w:val="BodyCopyNEW"/>
            </w:pPr>
            <w:r w:rsidRPr="00777E58">
              <w:rPr>
                <w:szCs w:val="18"/>
              </w:rPr>
              <w:t xml:space="preserve">NOPSEMA should consider establishing an industry working group to understand issues with the safety case regime (including WOMPs and EPs), as currently regulated. The focus should be on the underlying principles associated with the regime, </w:t>
            </w:r>
            <w:r w:rsidRPr="00777E58">
              <w:rPr>
                <w:rFonts w:cs="Times New Roman"/>
                <w:szCs w:val="18"/>
              </w:rPr>
              <w:t>clarify</w:t>
            </w:r>
            <w:r w:rsidR="00BD3D68">
              <w:rPr>
                <w:rFonts w:cs="Times New Roman"/>
                <w:szCs w:val="18"/>
              </w:rPr>
              <w:t>ing</w:t>
            </w:r>
            <w:r w:rsidRPr="00777E58">
              <w:rPr>
                <w:rFonts w:cs="Times New Roman"/>
                <w:szCs w:val="18"/>
              </w:rPr>
              <w:t xml:space="preserve"> the requirements for permissioning documents and the role of guidance in their development, </w:t>
            </w:r>
            <w:r w:rsidRPr="00777E58">
              <w:rPr>
                <w:szCs w:val="18"/>
              </w:rPr>
              <w:t>the accepted ways of working between parties in relation to assessment processes, and what better practice looks like to enable the regulator and industry to w</w:t>
            </w:r>
            <w:r w:rsidRPr="00777E58">
              <w:t xml:space="preserve">ork together in a cooperative manner. </w:t>
            </w:r>
          </w:p>
        </w:tc>
      </w:tr>
    </w:tbl>
    <w:bookmarkEnd w:id="51"/>
    <w:p w14:paraId="3CACED72" w14:textId="77777777" w:rsidR="00024A5C" w:rsidRPr="003E73F3" w:rsidRDefault="00024A5C" w:rsidP="003E73F3">
      <w:pPr>
        <w:pStyle w:val="BodyCopyNEW"/>
        <w:spacing w:before="120"/>
        <w:rPr>
          <w:szCs w:val="18"/>
        </w:rPr>
      </w:pPr>
      <w:r w:rsidRPr="003E73F3">
        <w:rPr>
          <w:szCs w:val="18"/>
        </w:rPr>
        <w:t>Areas to investigate in implementing this recommendation could include:</w:t>
      </w:r>
    </w:p>
    <w:p w14:paraId="511DFF1C" w14:textId="02BAA0A3" w:rsidR="00024A5C" w:rsidRPr="003E73F3" w:rsidRDefault="00024A5C" w:rsidP="000C1F53">
      <w:pPr>
        <w:pStyle w:val="BodycopyNEW0"/>
        <w:numPr>
          <w:ilvl w:val="0"/>
          <w:numId w:val="23"/>
        </w:numPr>
        <w:ind w:left="378"/>
        <w:rPr>
          <w:szCs w:val="18"/>
        </w:rPr>
      </w:pPr>
      <w:r w:rsidRPr="003E73F3">
        <w:rPr>
          <w:szCs w:val="18"/>
        </w:rPr>
        <w:t xml:space="preserve">Pre-submission for alignment between a </w:t>
      </w:r>
      <w:r w:rsidR="00525A65">
        <w:rPr>
          <w:szCs w:val="18"/>
        </w:rPr>
        <w:t>responsible party</w:t>
      </w:r>
      <w:r w:rsidR="00525A65" w:rsidRPr="003E73F3">
        <w:rPr>
          <w:szCs w:val="18"/>
        </w:rPr>
        <w:t xml:space="preserve"> </w:t>
      </w:r>
      <w:r w:rsidRPr="003E73F3">
        <w:rPr>
          <w:szCs w:val="18"/>
        </w:rPr>
        <w:t>and NOPSEMA on key issues associated with an activity, and/or the development of decision criteria</w:t>
      </w:r>
      <w:r w:rsidR="005968AB">
        <w:rPr>
          <w:rStyle w:val="FootnoteReference"/>
          <w:szCs w:val="18"/>
        </w:rPr>
        <w:footnoteReference w:id="15"/>
      </w:r>
      <w:r w:rsidRPr="003E73F3">
        <w:rPr>
          <w:szCs w:val="18"/>
        </w:rPr>
        <w:t xml:space="preserve"> to enable increased transparency in the decisions made by assessment officers as to the topic and greater certainty in the required level of detail in the assessment</w:t>
      </w:r>
    </w:p>
    <w:p w14:paraId="278B1849" w14:textId="3631E3A4" w:rsidR="00024A5C" w:rsidRDefault="00024A5C" w:rsidP="000C1F53">
      <w:pPr>
        <w:pStyle w:val="BodycopyNEW0"/>
        <w:numPr>
          <w:ilvl w:val="0"/>
          <w:numId w:val="23"/>
        </w:numPr>
        <w:ind w:left="378"/>
        <w:rPr>
          <w:szCs w:val="18"/>
        </w:rPr>
      </w:pPr>
      <w:r w:rsidRPr="003E73F3">
        <w:rPr>
          <w:szCs w:val="18"/>
        </w:rPr>
        <w:t>NOPSEMA develop decision criteria that supports and enables consistent decisions between assessment officers as to the topic and level of detail in the assessment and provide more certainty for industry.</w:t>
      </w:r>
    </w:p>
    <w:p w14:paraId="4CEC8F4E" w14:textId="2A427A41" w:rsidR="000843B6" w:rsidRDefault="000843B6" w:rsidP="000843B6">
      <w:pPr>
        <w:pStyle w:val="BodyCopyNEW"/>
        <w:rPr>
          <w:szCs w:val="18"/>
        </w:rPr>
      </w:pPr>
      <w:r w:rsidRPr="0047319A">
        <w:rPr>
          <w:szCs w:val="18"/>
        </w:rPr>
        <w:t>In implementing this recommendation, cooperation and collaboration from the industry will be imperative.</w:t>
      </w:r>
    </w:p>
    <w:p w14:paraId="155F522C" w14:textId="36871F44" w:rsidR="00192F9C" w:rsidRPr="00096BC3" w:rsidRDefault="00192F9C" w:rsidP="00901C7B">
      <w:pPr>
        <w:pStyle w:val="BodyCopyNEW"/>
      </w:pPr>
      <w:r w:rsidRPr="00C9422D">
        <w:rPr>
          <w:szCs w:val="18"/>
        </w:rPr>
        <w:t>A ‘One NOPSEMA’ approach is required to permissioning processes</w:t>
      </w:r>
      <w:r>
        <w:rPr>
          <w:szCs w:val="18"/>
        </w:rPr>
        <w:t>. This is a concept we return to at various points in our report</w:t>
      </w:r>
      <w:r w:rsidR="006F1D1B">
        <w:rPr>
          <w:szCs w:val="18"/>
        </w:rPr>
        <w:t xml:space="preserve"> – that NOPSEMA must apply an internally consistent and externally cohesive approach to regulating</w:t>
      </w:r>
      <w:r w:rsidRPr="00C9422D">
        <w:rPr>
          <w:szCs w:val="18"/>
        </w:rPr>
        <w:t xml:space="preserve">. </w:t>
      </w:r>
      <w:r w:rsidRPr="00F53817">
        <w:rPr>
          <w:szCs w:val="18"/>
        </w:rPr>
        <w:t xml:space="preserve">NOPSEMA acknowledged that assessments of permissioning documents are not sufficiently </w:t>
      </w:r>
      <w:r w:rsidRPr="00B575BF">
        <w:rPr>
          <w:szCs w:val="18"/>
        </w:rPr>
        <w:t>joined up</w:t>
      </w:r>
      <w:r w:rsidRPr="003E4CD6">
        <w:rPr>
          <w:szCs w:val="18"/>
        </w:rPr>
        <w:t xml:space="preserve"> across its </w:t>
      </w:r>
      <w:r w:rsidRPr="00777710">
        <w:rPr>
          <w:szCs w:val="18"/>
        </w:rPr>
        <w:t xml:space="preserve">divisions. </w:t>
      </w:r>
      <w:r w:rsidR="00715195">
        <w:rPr>
          <w:szCs w:val="18"/>
        </w:rPr>
        <w:t>There is</w:t>
      </w:r>
      <w:r w:rsidR="00BC5706">
        <w:rPr>
          <w:szCs w:val="18"/>
        </w:rPr>
        <w:t xml:space="preserve"> </w:t>
      </w:r>
      <w:r w:rsidR="00BC5706" w:rsidRPr="00777710">
        <w:rPr>
          <w:szCs w:val="18"/>
        </w:rPr>
        <w:t>potential</w:t>
      </w:r>
      <w:r w:rsidRPr="00777710">
        <w:rPr>
          <w:szCs w:val="18"/>
        </w:rPr>
        <w:t xml:space="preserve"> for improved safety and environmental outcomes from greater integration of the permissioning document</w:t>
      </w:r>
      <w:r w:rsidR="00DD1A2D">
        <w:rPr>
          <w:szCs w:val="18"/>
        </w:rPr>
        <w:t>s</w:t>
      </w:r>
      <w:r w:rsidR="00AB5DDD" w:rsidRPr="00691D28">
        <w:rPr>
          <w:rStyle w:val="FootnoteReference"/>
          <w:sz w:val="18"/>
          <w:szCs w:val="16"/>
        </w:rPr>
        <w:footnoteReference w:id="16"/>
      </w:r>
      <w:r w:rsidRPr="00777710">
        <w:rPr>
          <w:szCs w:val="18"/>
        </w:rPr>
        <w:t>.</w:t>
      </w:r>
    </w:p>
    <w:p w14:paraId="3DBA9328" w14:textId="3507DA92" w:rsidR="00D030D0" w:rsidRPr="00D030D0" w:rsidRDefault="00D030D0" w:rsidP="00AE2D6E">
      <w:pPr>
        <w:pStyle w:val="Heading2"/>
        <w:numPr>
          <w:ilvl w:val="1"/>
          <w:numId w:val="1"/>
        </w:numPr>
      </w:pPr>
      <w:bookmarkStart w:id="53" w:name="_Ref58592941"/>
      <w:r w:rsidRPr="00D030D0">
        <w:t>NOPSEMA’s approach to inspections and proactive measures</w:t>
      </w:r>
      <w:bookmarkEnd w:id="53"/>
    </w:p>
    <w:p w14:paraId="4EC8B8CD" w14:textId="77777777" w:rsidR="00BB24BF" w:rsidRDefault="00BB24BF" w:rsidP="00200B12">
      <w:pPr>
        <w:pStyle w:val="Heading3NoNumber"/>
      </w:pPr>
      <w:r>
        <w:t>NOPSEMA’s inspections processes and framework appear aligned to better practice but should make more extensive use of risk-based approaches</w:t>
      </w:r>
    </w:p>
    <w:p w14:paraId="4802BD24" w14:textId="2D3EA760" w:rsidR="00D6584A" w:rsidRPr="008F75DC" w:rsidRDefault="00D6584A" w:rsidP="00784E0E">
      <w:pPr>
        <w:pStyle w:val="Heading3"/>
        <w:numPr>
          <w:ilvl w:val="2"/>
          <w:numId w:val="1"/>
        </w:numPr>
      </w:pPr>
      <w:r w:rsidRPr="00786F3B">
        <w:t>Purpose of inspections</w:t>
      </w:r>
    </w:p>
    <w:p w14:paraId="20B66840" w14:textId="1DF800CD" w:rsidR="003017F6" w:rsidRPr="004C6DE4" w:rsidRDefault="003017F6" w:rsidP="00200B12">
      <w:pPr>
        <w:pStyle w:val="BodyCopyNEW"/>
        <w:rPr>
          <w:szCs w:val="18"/>
        </w:rPr>
      </w:pPr>
      <w:r w:rsidRPr="003E73F3">
        <w:rPr>
          <w:i/>
          <w:szCs w:val="18"/>
        </w:rPr>
        <w:t>NOPSEMA’s Inspection Policy</w:t>
      </w:r>
      <w:r w:rsidR="00993A55" w:rsidRPr="00096BC3">
        <w:rPr>
          <w:szCs w:val="18"/>
        </w:rPr>
        <w:t xml:space="preserve"> outlines that </w:t>
      </w:r>
      <w:r w:rsidR="00416F39" w:rsidRPr="003E73F3">
        <w:rPr>
          <w:i/>
          <w:szCs w:val="18"/>
        </w:rPr>
        <w:t>“</w:t>
      </w:r>
      <w:r w:rsidR="00526F1D" w:rsidRPr="003E73F3">
        <w:rPr>
          <w:i/>
          <w:szCs w:val="18"/>
        </w:rPr>
        <w:t>i</w:t>
      </w:r>
      <w:r w:rsidR="00016218" w:rsidRPr="003E73F3">
        <w:rPr>
          <w:i/>
          <w:szCs w:val="18"/>
        </w:rPr>
        <w:t>nspections are</w:t>
      </w:r>
      <w:r w:rsidRPr="003E73F3">
        <w:rPr>
          <w:i/>
          <w:szCs w:val="18"/>
        </w:rPr>
        <w:t xml:space="preserve"> part of NOPSEMA’s function under the OPGGS Act to develop and implement effective monitoring and enforcement strategies to secure compliance by persons with their obligations under the OPGGS Act and supporting regulations</w:t>
      </w:r>
      <w:r w:rsidR="00416F39" w:rsidRPr="003E73F3">
        <w:rPr>
          <w:i/>
          <w:szCs w:val="18"/>
        </w:rPr>
        <w:t>”</w:t>
      </w:r>
      <w:r w:rsidRPr="00096BC3">
        <w:rPr>
          <w:szCs w:val="18"/>
        </w:rPr>
        <w:t>.</w:t>
      </w:r>
    </w:p>
    <w:p w14:paraId="186F8155" w14:textId="7430C046" w:rsidR="00062A14" w:rsidRPr="004B6FFA" w:rsidRDefault="00416F39" w:rsidP="00200B12">
      <w:pPr>
        <w:pStyle w:val="BodyCopyNEW"/>
        <w:rPr>
          <w:szCs w:val="18"/>
        </w:rPr>
      </w:pPr>
      <w:r w:rsidRPr="00073514">
        <w:rPr>
          <w:szCs w:val="18"/>
        </w:rPr>
        <w:t>NOPSEMA</w:t>
      </w:r>
      <w:r w:rsidR="003B1EBA" w:rsidRPr="003E73F3">
        <w:rPr>
          <w:szCs w:val="18"/>
        </w:rPr>
        <w:t>’s processes</w:t>
      </w:r>
      <w:r w:rsidRPr="003E73F3">
        <w:rPr>
          <w:szCs w:val="18"/>
        </w:rPr>
        <w:t xml:space="preserve"> recognise the </w:t>
      </w:r>
      <w:r w:rsidR="00A51A20">
        <w:rPr>
          <w:szCs w:val="18"/>
        </w:rPr>
        <w:t xml:space="preserve">need for </w:t>
      </w:r>
      <w:r w:rsidRPr="003E73F3">
        <w:rPr>
          <w:szCs w:val="18"/>
        </w:rPr>
        <w:t>adoption of a risk-based inspection regime</w:t>
      </w:r>
      <w:r w:rsidR="003F52C5" w:rsidRPr="003E73F3">
        <w:rPr>
          <w:szCs w:val="18"/>
        </w:rPr>
        <w:t xml:space="preserve">. </w:t>
      </w:r>
      <w:r w:rsidR="00062A14" w:rsidRPr="003E73F3">
        <w:rPr>
          <w:szCs w:val="18"/>
        </w:rPr>
        <w:t xml:space="preserve">Inspections </w:t>
      </w:r>
      <w:r w:rsidR="00081430" w:rsidRPr="003E73F3">
        <w:rPr>
          <w:szCs w:val="18"/>
        </w:rPr>
        <w:t>appear to be</w:t>
      </w:r>
      <w:r w:rsidR="00062A14" w:rsidRPr="003E73F3">
        <w:rPr>
          <w:szCs w:val="18"/>
        </w:rPr>
        <w:t xml:space="preserve"> risk</w:t>
      </w:r>
      <w:r w:rsidR="00081430" w:rsidRPr="003E73F3">
        <w:rPr>
          <w:szCs w:val="18"/>
        </w:rPr>
        <w:t>-</w:t>
      </w:r>
      <w:r w:rsidR="00062A14" w:rsidRPr="003E73F3">
        <w:rPr>
          <w:szCs w:val="18"/>
        </w:rPr>
        <w:t>based</w:t>
      </w:r>
      <w:r w:rsidR="003B1EBA" w:rsidRPr="003E73F3">
        <w:rPr>
          <w:szCs w:val="18"/>
        </w:rPr>
        <w:t xml:space="preserve"> </w:t>
      </w:r>
      <w:r w:rsidR="008C7EE5">
        <w:rPr>
          <w:szCs w:val="18"/>
        </w:rPr>
        <w:t>centred</w:t>
      </w:r>
      <w:r w:rsidR="008C7EE5" w:rsidRPr="003E73F3">
        <w:rPr>
          <w:szCs w:val="18"/>
        </w:rPr>
        <w:t xml:space="preserve"> </w:t>
      </w:r>
      <w:r w:rsidR="003B1EBA" w:rsidRPr="003E73F3">
        <w:rPr>
          <w:szCs w:val="18"/>
        </w:rPr>
        <w:t>on the knowledge and research of the inspector</w:t>
      </w:r>
      <w:r w:rsidR="00062A14" w:rsidRPr="00611BAA">
        <w:rPr>
          <w:szCs w:val="18"/>
        </w:rPr>
        <w:t xml:space="preserve">, with a sampling approach to risk control measures and management system elements adopted, taking into account </w:t>
      </w:r>
      <w:r w:rsidR="00324BBC">
        <w:rPr>
          <w:szCs w:val="18"/>
        </w:rPr>
        <w:t xml:space="preserve">other </w:t>
      </w:r>
      <w:r w:rsidR="00062A14" w:rsidRPr="00611BAA">
        <w:rPr>
          <w:szCs w:val="18"/>
        </w:rPr>
        <w:t xml:space="preserve">relevant risk factors </w:t>
      </w:r>
      <w:r w:rsidR="00843F38" w:rsidRPr="00946300">
        <w:rPr>
          <w:szCs w:val="18"/>
        </w:rPr>
        <w:t>(</w:t>
      </w:r>
      <w:r w:rsidR="00081430" w:rsidRPr="00946300">
        <w:rPr>
          <w:szCs w:val="18"/>
        </w:rPr>
        <w:t xml:space="preserve">such as, </w:t>
      </w:r>
      <w:r w:rsidR="00062A14" w:rsidRPr="00946300">
        <w:rPr>
          <w:szCs w:val="18"/>
        </w:rPr>
        <w:t xml:space="preserve">previous performance and compliance history of </w:t>
      </w:r>
      <w:r w:rsidR="008D605D">
        <w:rPr>
          <w:szCs w:val="18"/>
        </w:rPr>
        <w:t>title</w:t>
      </w:r>
      <w:r w:rsidR="00062A14" w:rsidRPr="00946300">
        <w:rPr>
          <w:szCs w:val="18"/>
        </w:rPr>
        <w:t>holders informed by inspections, investigations, incident hi</w:t>
      </w:r>
      <w:r w:rsidR="00062A14" w:rsidRPr="00F57169">
        <w:rPr>
          <w:szCs w:val="18"/>
        </w:rPr>
        <w:t>story and other safety and environmental performance factors, industry incident trends and responses to recommendations from previous inspections</w:t>
      </w:r>
      <w:r w:rsidR="00843F38" w:rsidRPr="00F57169">
        <w:rPr>
          <w:szCs w:val="18"/>
        </w:rPr>
        <w:t>)</w:t>
      </w:r>
      <w:r w:rsidR="00081430" w:rsidRPr="00F57169">
        <w:rPr>
          <w:szCs w:val="18"/>
        </w:rPr>
        <w:t xml:space="preserve">. The philosophy of </w:t>
      </w:r>
      <w:r w:rsidR="00E0163D">
        <w:rPr>
          <w:szCs w:val="18"/>
        </w:rPr>
        <w:t>“</w:t>
      </w:r>
      <w:r w:rsidR="00081430" w:rsidRPr="00F57169">
        <w:rPr>
          <w:szCs w:val="18"/>
        </w:rPr>
        <w:t xml:space="preserve">find one, fix many” is a key tenant of the inspection regime. </w:t>
      </w:r>
    </w:p>
    <w:p w14:paraId="1622C0F5" w14:textId="21424E15" w:rsidR="003F52C5" w:rsidRPr="00171DEA" w:rsidRDefault="003F52C5" w:rsidP="00200B12">
      <w:pPr>
        <w:pStyle w:val="BodyCopyNEW"/>
        <w:rPr>
          <w:szCs w:val="18"/>
        </w:rPr>
      </w:pPr>
      <w:r w:rsidRPr="00372FB6">
        <w:rPr>
          <w:szCs w:val="18"/>
        </w:rPr>
        <w:t>NOPSEMA’s inspections do not physically inspect every element of a facility, offshore premise, pipeline or diving activity</w:t>
      </w:r>
      <w:r w:rsidR="00EE5E35" w:rsidRPr="009013BE">
        <w:rPr>
          <w:szCs w:val="18"/>
        </w:rPr>
        <w:t xml:space="preserve">, </w:t>
      </w:r>
      <w:r w:rsidR="00347A84" w:rsidRPr="009013BE">
        <w:rPr>
          <w:szCs w:val="18"/>
        </w:rPr>
        <w:t>r</w:t>
      </w:r>
      <w:r w:rsidRPr="00016436">
        <w:rPr>
          <w:szCs w:val="18"/>
        </w:rPr>
        <w:t xml:space="preserve">ather they operate on a quality assurance basis. Inspections are a </w:t>
      </w:r>
      <w:r w:rsidR="0C11D3DC" w:rsidRPr="00953CA5">
        <w:rPr>
          <w:szCs w:val="18"/>
        </w:rPr>
        <w:t>sample</w:t>
      </w:r>
      <w:r w:rsidRPr="00953CA5">
        <w:rPr>
          <w:szCs w:val="18"/>
        </w:rPr>
        <w:t xml:space="preserve"> </w:t>
      </w:r>
      <w:r w:rsidR="008E69A4" w:rsidRPr="00953CA5">
        <w:rPr>
          <w:szCs w:val="18"/>
        </w:rPr>
        <w:t>evaluation</w:t>
      </w:r>
      <w:r w:rsidRPr="00953CA5">
        <w:rPr>
          <w:szCs w:val="18"/>
        </w:rPr>
        <w:t xml:space="preserve"> of the controls and management systems of the responsible party in manag</w:t>
      </w:r>
      <w:r w:rsidRPr="00171DEA">
        <w:rPr>
          <w:szCs w:val="18"/>
        </w:rPr>
        <w:t>ing impacts and risks to a level that is ALARP.</w:t>
      </w:r>
    </w:p>
    <w:p w14:paraId="22062F21" w14:textId="16EC4F0B" w:rsidR="006E6E02" w:rsidRPr="009D5BA8" w:rsidRDefault="00A464B1" w:rsidP="00200B12">
      <w:pPr>
        <w:pStyle w:val="BodyCopyNEW"/>
        <w:rPr>
          <w:szCs w:val="18"/>
        </w:rPr>
      </w:pPr>
      <w:r w:rsidRPr="00EE5A55">
        <w:rPr>
          <w:szCs w:val="18"/>
        </w:rPr>
        <w:t xml:space="preserve">In summary, </w:t>
      </w:r>
      <w:r w:rsidR="002223A6">
        <w:rPr>
          <w:szCs w:val="18"/>
        </w:rPr>
        <w:t>our analysis shows</w:t>
      </w:r>
      <w:r w:rsidR="006E6E02" w:rsidRPr="006C6606">
        <w:rPr>
          <w:szCs w:val="18"/>
        </w:rPr>
        <w:t xml:space="preserve"> </w:t>
      </w:r>
      <w:r w:rsidR="003F52C5" w:rsidRPr="009D5BA8">
        <w:rPr>
          <w:szCs w:val="18"/>
        </w:rPr>
        <w:t>NOPSEMA’s inspections processes</w:t>
      </w:r>
      <w:r w:rsidR="006E6E02" w:rsidRPr="009D5BA8">
        <w:rPr>
          <w:szCs w:val="18"/>
        </w:rPr>
        <w:t>:</w:t>
      </w:r>
    </w:p>
    <w:p w14:paraId="5B6F3A3B" w14:textId="4752D5F8" w:rsidR="003F52C5" w:rsidRPr="00C9422D" w:rsidRDefault="006E6E02" w:rsidP="000C1F53">
      <w:pPr>
        <w:pStyle w:val="BodycopyNEW0"/>
        <w:numPr>
          <w:ilvl w:val="0"/>
          <w:numId w:val="23"/>
        </w:numPr>
        <w:ind w:left="378"/>
        <w:rPr>
          <w:szCs w:val="18"/>
        </w:rPr>
      </w:pPr>
      <w:r w:rsidRPr="007F74D3">
        <w:rPr>
          <w:szCs w:val="18"/>
        </w:rPr>
        <w:t>A</w:t>
      </w:r>
      <w:r w:rsidR="003F52C5" w:rsidRPr="00335DDD">
        <w:rPr>
          <w:szCs w:val="18"/>
        </w:rPr>
        <w:t xml:space="preserve">re sufficiently broad to capture </w:t>
      </w:r>
      <w:r w:rsidR="5D9C3461" w:rsidRPr="0016575B">
        <w:rPr>
          <w:szCs w:val="18"/>
        </w:rPr>
        <w:t>the different</w:t>
      </w:r>
      <w:r w:rsidR="003F52C5" w:rsidRPr="0047319A">
        <w:rPr>
          <w:szCs w:val="18"/>
        </w:rPr>
        <w:t xml:space="preserve"> types of inspections provided by schedule 2A (environmental management), schedule 2B (well integrity), and schedule 3 (OHS) of the OPGGS Act</w:t>
      </w:r>
      <w:r w:rsidR="000E5878" w:rsidRPr="00B239FE">
        <w:rPr>
          <w:szCs w:val="18"/>
        </w:rPr>
        <w:t xml:space="preserve"> </w:t>
      </w:r>
    </w:p>
    <w:p w14:paraId="026B49E4" w14:textId="76C756DE" w:rsidR="006E6E02" w:rsidRPr="00E9351C" w:rsidRDefault="006E6E02" w:rsidP="000C1F53">
      <w:pPr>
        <w:pStyle w:val="BodycopyNEW0"/>
        <w:numPr>
          <w:ilvl w:val="0"/>
          <w:numId w:val="23"/>
        </w:numPr>
        <w:ind w:left="378"/>
        <w:rPr>
          <w:rFonts w:cstheme="minorHAnsi"/>
          <w:szCs w:val="18"/>
        </w:rPr>
      </w:pPr>
      <w:r w:rsidRPr="00F53817">
        <w:rPr>
          <w:rFonts w:cstheme="minorHAnsi"/>
          <w:szCs w:val="18"/>
        </w:rPr>
        <w:lastRenderedPageBreak/>
        <w:t xml:space="preserve">Properly focus </w:t>
      </w:r>
      <w:r w:rsidR="00A464B1" w:rsidRPr="00A32AAE">
        <w:rPr>
          <w:rFonts w:cstheme="minorHAnsi"/>
          <w:szCs w:val="18"/>
        </w:rPr>
        <w:t xml:space="preserve">on </w:t>
      </w:r>
      <w:r w:rsidR="008D605D" w:rsidRPr="00901C7B">
        <w:rPr>
          <w:rFonts w:cstheme="minorHAnsi"/>
          <w:szCs w:val="18"/>
        </w:rPr>
        <w:t>title</w:t>
      </w:r>
      <w:r w:rsidR="001003B9" w:rsidRPr="00901C7B">
        <w:rPr>
          <w:rFonts w:cstheme="minorHAnsi"/>
          <w:szCs w:val="18"/>
        </w:rPr>
        <w:t>holder</w:t>
      </w:r>
      <w:r w:rsidRPr="00901C7B">
        <w:rPr>
          <w:rFonts w:cstheme="minorHAnsi"/>
          <w:szCs w:val="18"/>
        </w:rPr>
        <w:t>’s</w:t>
      </w:r>
      <w:r w:rsidRPr="008D605D">
        <w:rPr>
          <w:rFonts w:cstheme="minorHAnsi"/>
          <w:szCs w:val="18"/>
        </w:rPr>
        <w:t xml:space="preserve"> compliance</w:t>
      </w:r>
      <w:r w:rsidRPr="00096BC3">
        <w:rPr>
          <w:rFonts w:cstheme="minorHAnsi"/>
          <w:szCs w:val="18"/>
        </w:rPr>
        <w:t xml:space="preserve"> with risk management systems mandated by the OPGGS Act such as safety cases, </w:t>
      </w:r>
      <w:r w:rsidR="006761C4" w:rsidRPr="004C6DE4">
        <w:rPr>
          <w:rFonts w:cstheme="minorHAnsi"/>
          <w:szCs w:val="18"/>
        </w:rPr>
        <w:t>WOMPs</w:t>
      </w:r>
      <w:r w:rsidRPr="00073514">
        <w:rPr>
          <w:rFonts w:cstheme="minorHAnsi"/>
          <w:szCs w:val="18"/>
        </w:rPr>
        <w:t xml:space="preserve">, diving safety management </w:t>
      </w:r>
      <w:r w:rsidR="00C73B5F">
        <w:rPr>
          <w:rFonts w:cstheme="minorHAnsi"/>
          <w:szCs w:val="18"/>
        </w:rPr>
        <w:t>systems</w:t>
      </w:r>
      <w:r w:rsidR="00A464B1" w:rsidRPr="003E73F3">
        <w:rPr>
          <w:rFonts w:cstheme="minorHAnsi"/>
          <w:szCs w:val="18"/>
        </w:rPr>
        <w:t>,</w:t>
      </w:r>
      <w:r w:rsidRPr="00E9351C">
        <w:rPr>
          <w:rFonts w:cstheme="minorHAnsi"/>
          <w:szCs w:val="18"/>
        </w:rPr>
        <w:t xml:space="preserve"> and </w:t>
      </w:r>
      <w:r w:rsidR="006761C4" w:rsidRPr="00E9351C">
        <w:rPr>
          <w:rFonts w:cstheme="minorHAnsi"/>
          <w:szCs w:val="18"/>
        </w:rPr>
        <w:t>EPs</w:t>
      </w:r>
      <w:r w:rsidR="00A464B1" w:rsidRPr="00E9351C">
        <w:rPr>
          <w:rFonts w:cstheme="minorHAnsi"/>
          <w:szCs w:val="18"/>
        </w:rPr>
        <w:t>.</w:t>
      </w:r>
    </w:p>
    <w:p w14:paraId="26412769" w14:textId="77777777" w:rsidR="00157CCB" w:rsidRPr="00BD10B5" w:rsidRDefault="00157CCB" w:rsidP="00784E0E">
      <w:pPr>
        <w:pStyle w:val="Heading3"/>
        <w:numPr>
          <w:ilvl w:val="2"/>
          <w:numId w:val="1"/>
        </w:numPr>
      </w:pPr>
      <w:r w:rsidRPr="00BD10B5">
        <w:t xml:space="preserve">The </w:t>
      </w:r>
      <w:r w:rsidRPr="00A14874">
        <w:t xml:space="preserve">NOPSEMA </w:t>
      </w:r>
      <w:r>
        <w:t>Inspection</w:t>
      </w:r>
      <w:r w:rsidRPr="00A14874">
        <w:t xml:space="preserve"> Framework and underpinning principles</w:t>
      </w:r>
    </w:p>
    <w:p w14:paraId="2DBAFBB3" w14:textId="2C43FCCB" w:rsidR="00F80FE8" w:rsidRDefault="00157CCB" w:rsidP="00200B12">
      <w:pPr>
        <w:pStyle w:val="BodyCopyNEW"/>
      </w:pPr>
      <w:r w:rsidRPr="00786F3B">
        <w:t xml:space="preserve">The NOPSEMA inspection framework (the </w:t>
      </w:r>
      <w:r w:rsidR="001817EB" w:rsidRPr="00786F3B">
        <w:rPr>
          <w:b/>
          <w:bCs/>
        </w:rPr>
        <w:t>I</w:t>
      </w:r>
      <w:r w:rsidRPr="00786F3B">
        <w:rPr>
          <w:b/>
          <w:bCs/>
        </w:rPr>
        <w:t xml:space="preserve">nspection </w:t>
      </w:r>
      <w:r w:rsidR="001817EB" w:rsidRPr="00786F3B">
        <w:rPr>
          <w:b/>
          <w:bCs/>
        </w:rPr>
        <w:t>F</w:t>
      </w:r>
      <w:r w:rsidRPr="00786F3B">
        <w:rPr>
          <w:b/>
          <w:bCs/>
        </w:rPr>
        <w:t>ramework</w:t>
      </w:r>
      <w:r w:rsidRPr="00786F3B">
        <w:t xml:space="preserve">) comprises an overarching </w:t>
      </w:r>
      <w:r w:rsidRPr="00901C7B">
        <w:rPr>
          <w:i/>
          <w:iCs/>
        </w:rPr>
        <w:t>NOPSEMA Inspection Policy</w:t>
      </w:r>
      <w:r w:rsidRPr="00786F3B">
        <w:t xml:space="preserve"> that applies to all types of inspections – environmental, well integrity</w:t>
      </w:r>
      <w:r w:rsidR="001817EB">
        <w:t>,</w:t>
      </w:r>
      <w:r w:rsidRPr="00786F3B">
        <w:t xml:space="preserve"> and OHS. The policy is supported by a further </w:t>
      </w:r>
      <w:r w:rsidR="002346D5">
        <w:t xml:space="preserve">set of </w:t>
      </w:r>
      <w:r w:rsidRPr="00786F3B">
        <w:t>environmental, well integrity</w:t>
      </w:r>
      <w:r w:rsidR="002346D5">
        <w:t>,</w:t>
      </w:r>
      <w:r w:rsidRPr="00786F3B">
        <w:t xml:space="preserve"> and OHS inspection policies</w:t>
      </w:r>
      <w:r w:rsidR="001817EB">
        <w:t>,</w:t>
      </w:r>
      <w:r w:rsidRPr="00786F3B">
        <w:t xml:space="preserve"> which are given effect by </w:t>
      </w:r>
      <w:r w:rsidR="002346D5">
        <w:t>content-</w:t>
      </w:r>
      <w:r w:rsidRPr="00786F3B">
        <w:t xml:space="preserve">specific procedures, guidelines, tools, forms and templates (the </w:t>
      </w:r>
      <w:r w:rsidRPr="00786F3B">
        <w:rPr>
          <w:b/>
          <w:bCs/>
        </w:rPr>
        <w:t>regimes</w:t>
      </w:r>
      <w:r w:rsidRPr="00786F3B">
        <w:t>).</w:t>
      </w:r>
      <w:r w:rsidR="00AE27FD">
        <w:t xml:space="preserve"> </w:t>
      </w:r>
    </w:p>
    <w:p w14:paraId="581D66D2" w14:textId="1A7CC817" w:rsidR="00F80FE8" w:rsidRDefault="006A11F9" w:rsidP="00200B12">
      <w:pPr>
        <w:pStyle w:val="BodyCopyNEW"/>
      </w:pPr>
      <w:r>
        <w:t>From o</w:t>
      </w:r>
      <w:r w:rsidR="007F72B3">
        <w:t xml:space="preserve">ur </w:t>
      </w:r>
      <w:r w:rsidR="00B52AD2">
        <w:t>analysis, the</w:t>
      </w:r>
      <w:r w:rsidR="00F80FE8">
        <w:t>:</w:t>
      </w:r>
    </w:p>
    <w:p w14:paraId="3947725D" w14:textId="3BD035D4" w:rsidR="007B1C74" w:rsidRPr="00786F3B" w:rsidRDefault="00F80FE8" w:rsidP="000C1F53">
      <w:pPr>
        <w:pStyle w:val="BodycopyNEW0"/>
        <w:numPr>
          <w:ilvl w:val="0"/>
          <w:numId w:val="23"/>
        </w:numPr>
        <w:ind w:left="378"/>
      </w:pPr>
      <w:r>
        <w:t>I</w:t>
      </w:r>
      <w:r w:rsidR="007B1C74" w:rsidRPr="00786F3B">
        <w:t xml:space="preserve">nspection framework is aligned with provisions of Schedule 2A (environmental management), Schedule 2B (well integrity) and Schedule 3 (OHS) of the </w:t>
      </w:r>
      <w:r w:rsidR="003646D4" w:rsidRPr="00786F3B">
        <w:t>OPGG</w:t>
      </w:r>
      <w:r w:rsidR="003646D4">
        <w:t>S</w:t>
      </w:r>
      <w:r w:rsidR="003646D4" w:rsidRPr="00786F3B">
        <w:t xml:space="preserve"> </w:t>
      </w:r>
      <w:r w:rsidR="007B1C74" w:rsidRPr="00786F3B">
        <w:t>Act and procedures operationalise coercive investigative powers of entry and powers available upon entry conferred by those schedules</w:t>
      </w:r>
      <w:r w:rsidR="00AD4D17">
        <w:t xml:space="preserve"> to inspectors</w:t>
      </w:r>
    </w:p>
    <w:p w14:paraId="6BA8B79E" w14:textId="59A0BEDD" w:rsidR="00157CCB" w:rsidRDefault="00F80FE8" w:rsidP="000C1F53">
      <w:pPr>
        <w:pStyle w:val="BodycopyNEW0"/>
        <w:numPr>
          <w:ilvl w:val="0"/>
          <w:numId w:val="23"/>
        </w:numPr>
        <w:ind w:left="378"/>
      </w:pPr>
      <w:r>
        <w:t>I</w:t>
      </w:r>
      <w:r w:rsidR="00157CCB" w:rsidRPr="00786F3B">
        <w:t xml:space="preserve">nspection methodology and approach provided by the inspection framework is aligned with principles of the </w:t>
      </w:r>
      <w:r w:rsidR="00157CCB" w:rsidRPr="007B16E0">
        <w:rPr>
          <w:rFonts w:cs="Calibri Light"/>
        </w:rPr>
        <w:t>NOPSEMA Enforcement Policy</w:t>
      </w:r>
      <w:r w:rsidR="00157CCB" w:rsidRPr="00786F3B">
        <w:t xml:space="preserve"> –</w:t>
      </w:r>
      <w:r w:rsidR="00664BA0">
        <w:t xml:space="preserve"> </w:t>
      </w:r>
      <w:r w:rsidR="00157CCB" w:rsidRPr="00786F3B">
        <w:t>it is outcome</w:t>
      </w:r>
      <w:r w:rsidR="00AE27FD">
        <w:t>-</w:t>
      </w:r>
      <w:r w:rsidR="00157CCB" w:rsidRPr="00786F3B">
        <w:t>focused, proportionate and responsive, informed, transparent, consistent, targeted and aligned with the principles of procedural fairness</w:t>
      </w:r>
    </w:p>
    <w:p w14:paraId="36CA0104" w14:textId="1B8E5D9C" w:rsidR="003F52C5" w:rsidRPr="002D776D" w:rsidRDefault="00F80FE8" w:rsidP="000C1F53">
      <w:pPr>
        <w:pStyle w:val="BodycopyNEW0"/>
        <w:numPr>
          <w:ilvl w:val="0"/>
          <w:numId w:val="23"/>
        </w:numPr>
        <w:ind w:left="378"/>
      </w:pPr>
      <w:r>
        <w:t>P</w:t>
      </w:r>
      <w:r w:rsidR="003F52C5" w:rsidRPr="002D776D">
        <w:t xml:space="preserve">urpose of the inspection framework is </w:t>
      </w:r>
      <w:r w:rsidR="006E6E02">
        <w:t xml:space="preserve">aligned to better practice, as well as being </w:t>
      </w:r>
      <w:r w:rsidR="003F52C5" w:rsidRPr="002D776D">
        <w:t>clear and appropriate</w:t>
      </w:r>
      <w:r w:rsidR="006E6E02">
        <w:t xml:space="preserve">. The Inspection Framework </w:t>
      </w:r>
      <w:r w:rsidR="00B420DE">
        <w:t xml:space="preserve">drives the </w:t>
      </w:r>
      <w:r w:rsidR="003F52C5" w:rsidRPr="002D776D">
        <w:t xml:space="preserve">development </w:t>
      </w:r>
      <w:r w:rsidR="003F52C5">
        <w:t xml:space="preserve">and </w:t>
      </w:r>
      <w:r w:rsidR="003F52C5" w:rsidRPr="002D776D">
        <w:t>implementation of effective monitoring and enforcement strategies to secure compliance with the OPGGS Act and regulations</w:t>
      </w:r>
      <w:r w:rsidR="003F52C5">
        <w:t>.</w:t>
      </w:r>
    </w:p>
    <w:p w14:paraId="125DCC4B" w14:textId="336AA835" w:rsidR="00461266" w:rsidRDefault="00024EDB" w:rsidP="00784E0E">
      <w:pPr>
        <w:pStyle w:val="Heading3"/>
        <w:numPr>
          <w:ilvl w:val="2"/>
          <w:numId w:val="1"/>
        </w:numPr>
      </w:pPr>
      <w:r w:rsidRPr="00786F3B">
        <w:t>The inspection process</w:t>
      </w:r>
    </w:p>
    <w:p w14:paraId="05B8CF96" w14:textId="701A8D9C" w:rsidR="00461266" w:rsidRPr="00786F3B" w:rsidRDefault="00461266" w:rsidP="00200B12">
      <w:pPr>
        <w:pStyle w:val="BodyCopyNEW"/>
      </w:pPr>
      <w:r w:rsidRPr="00786F3B">
        <w:t>Objectively viewed</w:t>
      </w:r>
      <w:r w:rsidR="00EC726C">
        <w:t>,</w:t>
      </w:r>
      <w:r w:rsidRPr="00786F3B">
        <w:t xml:space="preserve"> each </w:t>
      </w:r>
      <w:r w:rsidR="00EC726C">
        <w:t xml:space="preserve">of the </w:t>
      </w:r>
      <w:r w:rsidRPr="00786F3B">
        <w:t>OHS, environmental management</w:t>
      </w:r>
      <w:r w:rsidR="00EC726C">
        <w:t>,</w:t>
      </w:r>
      <w:r w:rsidRPr="00786F3B">
        <w:t xml:space="preserve"> and well integrity specific inspection regimes are </w:t>
      </w:r>
      <w:r w:rsidR="00A538EE">
        <w:t>suitably</w:t>
      </w:r>
      <w:r w:rsidR="00736026">
        <w:t xml:space="preserve"> </w:t>
      </w:r>
      <w:r w:rsidRPr="00786F3B">
        <w:t>designed and internally cohesive with their various documents</w:t>
      </w:r>
      <w:r w:rsidR="00EC726C">
        <w:t xml:space="preserve"> and are </w:t>
      </w:r>
      <w:r w:rsidRPr="00786F3B">
        <w:t>clear and understandable with accountability, responsibility</w:t>
      </w:r>
      <w:r w:rsidR="00AF2599">
        <w:t>,</w:t>
      </w:r>
      <w:r w:rsidRPr="00786F3B">
        <w:t xml:space="preserve"> and authority clearly articulated and assigned</w:t>
      </w:r>
      <w:r w:rsidR="00EC726C">
        <w:t xml:space="preserve">. </w:t>
      </w:r>
      <w:r w:rsidR="00772C21">
        <w:t>E</w:t>
      </w:r>
      <w:r w:rsidR="00EC726C">
        <w:t xml:space="preserve">ach </w:t>
      </w:r>
      <w:r w:rsidRPr="00786F3B">
        <w:t>of the regimes provide</w:t>
      </w:r>
      <w:r w:rsidR="00EC726C">
        <w:t xml:space="preserve"> </w:t>
      </w:r>
      <w:r w:rsidRPr="00786F3B">
        <w:t>a systematic, thorough</w:t>
      </w:r>
      <w:r w:rsidR="00AF2599">
        <w:t>,</w:t>
      </w:r>
      <w:r w:rsidRPr="00786F3B">
        <w:t xml:space="preserve"> and consistent approach to the execution of inspections that removes reliance or dependency upon corporate knowledge vested within individual NOPSEMA Inspectors</w:t>
      </w:r>
      <w:r w:rsidR="00EC726C">
        <w:t>.</w:t>
      </w:r>
    </w:p>
    <w:p w14:paraId="09296A17" w14:textId="19B75B01" w:rsidR="00461266" w:rsidRPr="00786F3B" w:rsidRDefault="009B2366" w:rsidP="00200B12">
      <w:pPr>
        <w:pStyle w:val="BodyCopyNEW"/>
      </w:pPr>
      <w:r>
        <w:t xml:space="preserve">From our </w:t>
      </w:r>
      <w:r w:rsidR="00B52AD2">
        <w:t>analysis, the</w:t>
      </w:r>
      <w:r w:rsidR="00722E30">
        <w:t xml:space="preserve"> current </w:t>
      </w:r>
      <w:r w:rsidR="00461266" w:rsidRPr="00786F3B">
        <w:t xml:space="preserve">inspection methodology and approach is </w:t>
      </w:r>
      <w:r w:rsidR="0020699E">
        <w:t>adequate for their purpose</w:t>
      </w:r>
      <w:r w:rsidR="2670B6E6" w:rsidRPr="4614AA0F">
        <w:t>.</w:t>
      </w:r>
      <w:r w:rsidR="00475783">
        <w:t xml:space="preserve"> </w:t>
      </w:r>
      <w:r w:rsidR="2670B6E6" w:rsidRPr="4614AA0F">
        <w:t>In particular</w:t>
      </w:r>
      <w:r w:rsidR="00461266" w:rsidRPr="00786F3B">
        <w:t>:</w:t>
      </w:r>
    </w:p>
    <w:p w14:paraId="30E10175" w14:textId="77777777" w:rsidR="00461266" w:rsidRPr="00786F3B" w:rsidRDefault="00461266" w:rsidP="000C1F53">
      <w:pPr>
        <w:pStyle w:val="BodycopyNEW0"/>
        <w:numPr>
          <w:ilvl w:val="0"/>
          <w:numId w:val="23"/>
        </w:numPr>
        <w:ind w:left="378"/>
      </w:pPr>
      <w:r w:rsidRPr="00786F3B">
        <w:t>Inspection schedules are developed in consultation with responsible parties</w:t>
      </w:r>
    </w:p>
    <w:p w14:paraId="4301AC89" w14:textId="3794BDB0" w:rsidR="00461266" w:rsidRPr="00786F3B" w:rsidRDefault="00461266" w:rsidP="000C1F53">
      <w:pPr>
        <w:pStyle w:val="BodycopyNEW0"/>
        <w:numPr>
          <w:ilvl w:val="0"/>
          <w:numId w:val="23"/>
        </w:numPr>
        <w:ind w:left="378"/>
      </w:pPr>
      <w:r w:rsidRPr="00786F3B">
        <w:t>A scope is developed by reference to risk-based factors</w:t>
      </w:r>
    </w:p>
    <w:p w14:paraId="3244E51A" w14:textId="77777777" w:rsidR="00461266" w:rsidRPr="00786F3B" w:rsidRDefault="00461266" w:rsidP="000C1F53">
      <w:pPr>
        <w:pStyle w:val="BodycopyNEW0"/>
        <w:numPr>
          <w:ilvl w:val="0"/>
          <w:numId w:val="23"/>
        </w:numPr>
        <w:ind w:left="378"/>
      </w:pPr>
      <w:r w:rsidRPr="00786F3B">
        <w:t xml:space="preserve">An inspection brief is issued and, where appropriate, a meeting is convened with the responsible party’s onshore management </w:t>
      </w:r>
    </w:p>
    <w:p w14:paraId="1815EE6A" w14:textId="77777777" w:rsidR="00461266" w:rsidRPr="00786F3B" w:rsidRDefault="00461266" w:rsidP="000C1F53">
      <w:pPr>
        <w:pStyle w:val="BodycopyNEW0"/>
        <w:numPr>
          <w:ilvl w:val="0"/>
          <w:numId w:val="23"/>
        </w:numPr>
        <w:ind w:left="378"/>
      </w:pPr>
      <w:r w:rsidRPr="00786F3B">
        <w:t>Inspection planning activities are undertaken by the NOPSEMA Inspector(s)</w:t>
      </w:r>
    </w:p>
    <w:p w14:paraId="1C68156D" w14:textId="77777777" w:rsidR="00461266" w:rsidRPr="00786F3B" w:rsidRDefault="00461266" w:rsidP="000C1F53">
      <w:pPr>
        <w:pStyle w:val="BodycopyNEW0"/>
        <w:numPr>
          <w:ilvl w:val="0"/>
          <w:numId w:val="23"/>
        </w:numPr>
        <w:ind w:left="378"/>
      </w:pPr>
      <w:r w:rsidRPr="00786F3B">
        <w:t xml:space="preserve">An offshore entry meeting with the responsible party and other personnel is convened </w:t>
      </w:r>
    </w:p>
    <w:p w14:paraId="600AC3EC" w14:textId="0CBA8ADA" w:rsidR="00461266" w:rsidRPr="00786F3B" w:rsidRDefault="00461266" w:rsidP="000C1F53">
      <w:pPr>
        <w:pStyle w:val="BodycopyNEW0"/>
        <w:numPr>
          <w:ilvl w:val="0"/>
          <w:numId w:val="23"/>
        </w:numPr>
        <w:ind w:left="378"/>
      </w:pPr>
      <w:r w:rsidRPr="00786F3B">
        <w:t>Inspections are undertaken within boundaries of legislation and NOPSEMA policies and procedures</w:t>
      </w:r>
      <w:r w:rsidR="00B44D3C">
        <w:t xml:space="preserve"> </w:t>
      </w:r>
    </w:p>
    <w:p w14:paraId="180B1FF6" w14:textId="30ADAB0F" w:rsidR="00461266" w:rsidRPr="00786F3B" w:rsidRDefault="00461266" w:rsidP="000C1F53">
      <w:pPr>
        <w:pStyle w:val="BodycopyNEW0"/>
        <w:numPr>
          <w:ilvl w:val="0"/>
          <w:numId w:val="23"/>
        </w:numPr>
        <w:ind w:left="378"/>
      </w:pPr>
      <w:r w:rsidRPr="00786F3B">
        <w:t>Inspection findings are evidence based and documented (incl</w:t>
      </w:r>
      <w:r w:rsidR="00105CBB">
        <w:t>uding</w:t>
      </w:r>
      <w:r w:rsidRPr="00786F3B">
        <w:t xml:space="preserve"> within the NOPSEMA RMS) </w:t>
      </w:r>
    </w:p>
    <w:p w14:paraId="7DD5D111" w14:textId="617B48D6" w:rsidR="00461266" w:rsidRPr="00786F3B" w:rsidRDefault="00461266" w:rsidP="000C1F53">
      <w:pPr>
        <w:pStyle w:val="BodycopyNEW0"/>
        <w:numPr>
          <w:ilvl w:val="0"/>
          <w:numId w:val="23"/>
        </w:numPr>
        <w:ind w:left="378"/>
      </w:pPr>
      <w:r w:rsidRPr="00786F3B">
        <w:t>A closing meeting is convened with the responsible party and other personnel to discuss findings</w:t>
      </w:r>
      <w:r w:rsidR="00B44D3C">
        <w:t xml:space="preserve"> </w:t>
      </w:r>
    </w:p>
    <w:p w14:paraId="0EC27BEE" w14:textId="77777777" w:rsidR="00461266" w:rsidRPr="00786F3B" w:rsidRDefault="00461266" w:rsidP="000C1F53">
      <w:pPr>
        <w:pStyle w:val="BodycopyNEW0"/>
        <w:numPr>
          <w:ilvl w:val="0"/>
          <w:numId w:val="23"/>
        </w:numPr>
        <w:ind w:left="378"/>
      </w:pPr>
      <w:r w:rsidRPr="00786F3B">
        <w:t>A report is provided to the responsible party detailing inspection findings, conclusion, recommendations and the reasons for conclusions and recommendations consistent with requirements of the OPGGS Act</w:t>
      </w:r>
    </w:p>
    <w:p w14:paraId="56190B96" w14:textId="77777777" w:rsidR="00461266" w:rsidRPr="00786F3B" w:rsidRDefault="00461266" w:rsidP="000C1F53">
      <w:pPr>
        <w:pStyle w:val="BodycopyNEW0"/>
        <w:numPr>
          <w:ilvl w:val="0"/>
          <w:numId w:val="23"/>
        </w:numPr>
        <w:ind w:left="378"/>
      </w:pPr>
      <w:r w:rsidRPr="00786F3B">
        <w:t xml:space="preserve">Proposed action to be taken by the responsible party in inspection report conclusions and recommendations may be required by NOPSEMA </w:t>
      </w:r>
    </w:p>
    <w:p w14:paraId="19DE6731" w14:textId="227BE3FB" w:rsidR="00461266" w:rsidRPr="00786F3B" w:rsidRDefault="00461266" w:rsidP="000C1F53">
      <w:pPr>
        <w:pStyle w:val="BodycopyNEW0"/>
        <w:numPr>
          <w:ilvl w:val="0"/>
          <w:numId w:val="23"/>
        </w:numPr>
        <w:ind w:left="378"/>
      </w:pPr>
      <w:r w:rsidRPr="00786F3B">
        <w:t>Recommendations are entered in RMS and tracked to closure within due date in RMS</w:t>
      </w:r>
    </w:p>
    <w:p w14:paraId="65FB0B8A" w14:textId="1B24AB98" w:rsidR="00CF138E" w:rsidRDefault="00461266" w:rsidP="00CF138E">
      <w:pPr>
        <w:pStyle w:val="BodycopyNEW0"/>
        <w:numPr>
          <w:ilvl w:val="0"/>
          <w:numId w:val="23"/>
        </w:numPr>
        <w:ind w:left="378"/>
      </w:pPr>
      <w:r w:rsidRPr="004D29C1">
        <w:t>Significant inspection issues are referred to the NOPSEMA Compliance Committee</w:t>
      </w:r>
      <w:r w:rsidR="00FA4999" w:rsidRPr="00E0163D">
        <w:rPr>
          <w:rFonts w:cs="Calibri Light"/>
          <w:vertAlign w:val="superscript"/>
        </w:rPr>
        <w:footnoteReference w:id="17"/>
      </w:r>
      <w:r w:rsidR="004D29C1" w:rsidRPr="004D29C1">
        <w:t xml:space="preserve"> for discussion and resolution. </w:t>
      </w:r>
      <w:r w:rsidR="006E1CCA" w:rsidRPr="004D29C1">
        <w:t>Regulatory non-compliance or opportunit</w:t>
      </w:r>
      <w:r w:rsidR="004D29C1">
        <w:t>ies</w:t>
      </w:r>
      <w:r w:rsidR="006E1CCA" w:rsidRPr="004D29C1">
        <w:t xml:space="preserve"> for improvement are secured by recommendations or enforcement action</w:t>
      </w:r>
      <w:r w:rsidR="003A393D">
        <w:t>s</w:t>
      </w:r>
      <w:r w:rsidR="006E1CCA" w:rsidRPr="004D29C1">
        <w:t xml:space="preserve"> that are </w:t>
      </w:r>
      <w:r w:rsidR="004D29C1">
        <w:t>documented in</w:t>
      </w:r>
      <w:r w:rsidR="006E1CCA" w:rsidRPr="004D29C1">
        <w:t xml:space="preserve"> RMS</w:t>
      </w:r>
      <w:r w:rsidR="00BA10F4">
        <w:t>.</w:t>
      </w:r>
    </w:p>
    <w:p w14:paraId="76BC4257" w14:textId="224B462E" w:rsidR="009D3913" w:rsidRDefault="00BA10F4" w:rsidP="00200B12">
      <w:pPr>
        <w:pStyle w:val="BodyCopyNEW"/>
      </w:pPr>
      <w:r>
        <w:lastRenderedPageBreak/>
        <w:t xml:space="preserve">However, while we found the inspection process and approach </w:t>
      </w:r>
      <w:r w:rsidR="00A51A20">
        <w:t>adequate</w:t>
      </w:r>
      <w:r>
        <w:t xml:space="preserve">, </w:t>
      </w:r>
      <w:r w:rsidR="00BF00EC">
        <w:t>its</w:t>
      </w:r>
      <w:r>
        <w:t xml:space="preserve"> ability to be </w:t>
      </w:r>
      <w:r w:rsidR="00A51A20">
        <w:t xml:space="preserve">fully </w:t>
      </w:r>
      <w:r>
        <w:t xml:space="preserve">“risk-based” is limited. </w:t>
      </w:r>
      <w:r w:rsidR="00421BA3">
        <w:t xml:space="preserve">RMS is the in-house </w:t>
      </w:r>
      <w:r w:rsidR="00034747">
        <w:t>built corporate regulatory s</w:t>
      </w:r>
      <w:r w:rsidR="000422C5">
        <w:t>ystem used by</w:t>
      </w:r>
      <w:r w:rsidR="00034747">
        <w:t xml:space="preserve"> </w:t>
      </w:r>
      <w:r w:rsidR="00421BA3">
        <w:t xml:space="preserve">NOPSEMA to manage its regulatory assessment, inspection, and enforcement </w:t>
      </w:r>
      <w:r w:rsidR="00072A83">
        <w:t>processes.</w:t>
      </w:r>
      <w:r w:rsidR="00EF18CC">
        <w:t xml:space="preserve"> Based on </w:t>
      </w:r>
      <w:r w:rsidR="000422C5">
        <w:t>a</w:t>
      </w:r>
      <w:r w:rsidR="00EF18CC">
        <w:t xml:space="preserve"> walkthrough of RMS</w:t>
      </w:r>
      <w:r w:rsidR="00A44A5F">
        <w:t>,</w:t>
      </w:r>
      <w:r w:rsidR="00072A83">
        <w:t xml:space="preserve"> </w:t>
      </w:r>
      <w:r w:rsidR="000422C5">
        <w:t>we note</w:t>
      </w:r>
      <w:r w:rsidR="00034747">
        <w:t xml:space="preserve"> </w:t>
      </w:r>
      <w:r w:rsidR="009238DC">
        <w:t xml:space="preserve">it </w:t>
      </w:r>
      <w:r w:rsidR="00034747">
        <w:t xml:space="preserve">is a highly </w:t>
      </w:r>
      <w:r w:rsidR="000422C5">
        <w:t>useful</w:t>
      </w:r>
      <w:r w:rsidR="00034747">
        <w:t xml:space="preserve"> </w:t>
      </w:r>
      <w:r w:rsidR="00E85C2A">
        <w:t xml:space="preserve">workflow management </w:t>
      </w:r>
      <w:r w:rsidR="00034747">
        <w:t xml:space="preserve">tool, but </w:t>
      </w:r>
      <w:r w:rsidR="000422C5">
        <w:t>it</w:t>
      </w:r>
      <w:r w:rsidR="00E85C2A">
        <w:t xml:space="preserve">s ability to </w:t>
      </w:r>
      <w:r w:rsidR="00EC3258">
        <w:t>provide insight is limited (note, this does not</w:t>
      </w:r>
      <w:r w:rsidR="00C42D80">
        <w:t xml:space="preserve"> diminish the credibility of the system</w:t>
      </w:r>
      <w:r w:rsidR="00EC3258">
        <w:t>)</w:t>
      </w:r>
      <w:r w:rsidR="00C42D80">
        <w:t xml:space="preserve">. We </w:t>
      </w:r>
      <w:r w:rsidR="00CD43CD">
        <w:t xml:space="preserve">have noted </w:t>
      </w:r>
      <w:r w:rsidR="00C42D80">
        <w:t>the work done by NOPSEMA in its development, but</w:t>
      </w:r>
      <w:r w:rsidR="00DD6C36">
        <w:t xml:space="preserve"> our analysis demonstrates that </w:t>
      </w:r>
      <w:r w:rsidR="00C42D80">
        <w:t xml:space="preserve">now is the time to take it to the next level to direct effort in the right places. </w:t>
      </w:r>
      <w:r w:rsidR="009D3913">
        <w:t xml:space="preserve">We acknowledge NOPSEMA is aware of </w:t>
      </w:r>
      <w:r w:rsidR="004228CA">
        <w:t>RMS’s</w:t>
      </w:r>
      <w:r w:rsidR="009D3913">
        <w:t xml:space="preserve"> limitations and is still in the process of enhancing and digitising </w:t>
      </w:r>
      <w:r w:rsidR="0000514C">
        <w:t>its approach to be increasingly insightful</w:t>
      </w:r>
      <w:r w:rsidR="009D3913">
        <w:t>.</w:t>
      </w:r>
    </w:p>
    <w:p w14:paraId="27D3D03C" w14:textId="6FCAB460" w:rsidR="009D3913" w:rsidRDefault="008E6053" w:rsidP="00200B12">
      <w:pPr>
        <w:pStyle w:val="BodyCopyNEW"/>
      </w:pPr>
      <w:r>
        <w:t>I</w:t>
      </w:r>
      <w:r w:rsidR="009D3913">
        <w:t xml:space="preserve">nspection processes, while risk-based, rely on the best efforts of the Inspectors. </w:t>
      </w:r>
      <w:r w:rsidR="00F4557C">
        <w:t>While planning an inspection, i</w:t>
      </w:r>
      <w:r w:rsidR="009D3913">
        <w:t>nspectors</w:t>
      </w:r>
      <w:r w:rsidR="00F4557C">
        <w:t xml:space="preserve"> </w:t>
      </w:r>
      <w:r w:rsidR="009D3913">
        <w:t xml:space="preserve">are required to undertake a range of research </w:t>
      </w:r>
      <w:r w:rsidR="604BFBA3" w:rsidRPr="5C0D9327">
        <w:t xml:space="preserve">activity </w:t>
      </w:r>
      <w:r w:rsidR="009D3913">
        <w:t xml:space="preserve">to identify areas of </w:t>
      </w:r>
      <w:r w:rsidR="00F4557C">
        <w:t>regulatory interest and plan a scope of inspection accordingly. This requires the manual review of a safety case, WOMP, or EP</w:t>
      </w:r>
      <w:r w:rsidR="004B4524">
        <w:t xml:space="preserve">, examination of previous history, as well as examining any compliance issues with </w:t>
      </w:r>
      <w:r w:rsidR="008D605D">
        <w:t>title</w:t>
      </w:r>
      <w:r w:rsidR="004B4524">
        <w:t xml:space="preserve">holder. </w:t>
      </w:r>
      <w:r w:rsidR="00C42D80">
        <w:t xml:space="preserve">RMS </w:t>
      </w:r>
      <w:r w:rsidR="00BC35B4">
        <w:t xml:space="preserve">houses incredible volumes of information, but at its core </w:t>
      </w:r>
      <w:r w:rsidR="69438758" w:rsidRPr="5C0D9327">
        <w:t xml:space="preserve">the system </w:t>
      </w:r>
      <w:r w:rsidR="00BC35B4">
        <w:t xml:space="preserve">links to </w:t>
      </w:r>
      <w:r w:rsidR="00F07EFC">
        <w:t xml:space="preserve">PDF or Word </w:t>
      </w:r>
      <w:r w:rsidR="00BC35B4">
        <w:t>documents (e.g. the safety case, WOMP, EP). As</w:t>
      </w:r>
      <w:r w:rsidR="00F07EFC">
        <w:t xml:space="preserve"> such, the ability to identify MAEs and map against incident history and compliance issues is limited. </w:t>
      </w:r>
    </w:p>
    <w:p w14:paraId="3FEFA81C" w14:textId="64328F9C" w:rsidR="00F07EFC" w:rsidRDefault="00F07EFC" w:rsidP="00200B12">
      <w:pPr>
        <w:pStyle w:val="BodyCopyNEW"/>
      </w:pPr>
      <w:r>
        <w:t>There can be a one</w:t>
      </w:r>
      <w:r w:rsidR="007B58F3">
        <w:t>-</w:t>
      </w:r>
      <w:r>
        <w:t>to</w:t>
      </w:r>
      <w:r w:rsidR="007B58F3">
        <w:t>-</w:t>
      </w:r>
      <w:r>
        <w:t xml:space="preserve">one relationship for the safety case, WOMP, and EP to the facility/well/operation. There can also be a one to many relationship (e.g. multiple safety cases for multiple sites). </w:t>
      </w:r>
      <w:r w:rsidR="00A76985">
        <w:t xml:space="preserve">At present RMS can only pull information through based on </w:t>
      </w:r>
      <w:r w:rsidR="00547FBC">
        <w:t>workflow</w:t>
      </w:r>
      <w:r w:rsidR="00A76985">
        <w:t xml:space="preserve"> (e.g. the one safety case for the one asset). It is unable to aggregate</w:t>
      </w:r>
      <w:r w:rsidR="004A1383">
        <w:t xml:space="preserve"> information to represent a clear picture </w:t>
      </w:r>
      <w:r w:rsidR="00AE3262">
        <w:t xml:space="preserve">of </w:t>
      </w:r>
      <w:r w:rsidR="004A1383">
        <w:t xml:space="preserve">OHS, well integrity, and environment for a </w:t>
      </w:r>
      <w:r w:rsidR="00EA06AF">
        <w:t>title</w:t>
      </w:r>
      <w:r w:rsidR="00804173">
        <w:t>holder</w:t>
      </w:r>
      <w:r w:rsidR="004A1383">
        <w:t>, which can then be interrogated down to a facility</w:t>
      </w:r>
      <w:r w:rsidR="00B37D47">
        <w:t>-level</w:t>
      </w:r>
      <w:r w:rsidR="004A1383">
        <w:t xml:space="preserve">. </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4A1383" w:rsidRPr="004714A6" w14:paraId="4FC5A2B7" w14:textId="77777777" w:rsidTr="009D3577">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160B6F9D" w14:textId="1853D598" w:rsidR="004A1383" w:rsidRPr="00A470B1" w:rsidRDefault="004A1383" w:rsidP="00053250">
            <w:pPr>
              <w:pStyle w:val="TableHeadingLeft"/>
              <w:rPr>
                <w:bCs/>
              </w:rPr>
            </w:pPr>
            <w:r w:rsidRPr="00A470B1">
              <w:rPr>
                <w:bCs/>
              </w:rPr>
              <w:t>Recommendation</w:t>
            </w:r>
            <w:r w:rsidR="00083FA9" w:rsidRPr="00A470B1">
              <w:rPr>
                <w:bCs/>
              </w:rPr>
              <w:t xml:space="preserve"> #</w:t>
            </w:r>
            <w:r w:rsidR="00A223AE" w:rsidRPr="00A470B1">
              <w:rPr>
                <w:bCs/>
              </w:rPr>
              <w:t>4</w:t>
            </w:r>
          </w:p>
        </w:tc>
      </w:tr>
      <w:tr w:rsidR="004714A6" w:rsidRPr="004714A6" w14:paraId="4A3AA113" w14:textId="77777777" w:rsidTr="009D3577">
        <w:tc>
          <w:tcPr>
            <w:tcW w:w="9864" w:type="dxa"/>
            <w:tcBorders>
              <w:bottom w:val="nil"/>
            </w:tcBorders>
            <w:shd w:val="clear" w:color="auto" w:fill="F2F2F2" w:themeFill="background1" w:themeFillShade="F2"/>
          </w:tcPr>
          <w:p w14:paraId="27ED008B" w14:textId="3908D254" w:rsidR="009E3D63" w:rsidRPr="004714A6" w:rsidRDefault="005457A0" w:rsidP="00200B12">
            <w:pPr>
              <w:pStyle w:val="BodyCopyNEW"/>
            </w:pPr>
            <w:r w:rsidRPr="004714A6">
              <w:rPr>
                <w:szCs w:val="18"/>
              </w:rPr>
              <w:t xml:space="preserve">NOPSEMA should continue to invest in the development of RMS, leveraging its data to provide meaningful, risk-based information of </w:t>
            </w:r>
            <w:r w:rsidR="003A32C6">
              <w:t>responsible parties</w:t>
            </w:r>
            <w:r w:rsidR="003A32C6" w:rsidRPr="004714A6">
              <w:rPr>
                <w:szCs w:val="18"/>
              </w:rPr>
              <w:t xml:space="preserve"> </w:t>
            </w:r>
            <w:r w:rsidRPr="004714A6">
              <w:rPr>
                <w:szCs w:val="18"/>
              </w:rPr>
              <w:t>and their facilities at an aggregate level, while also enabling interrogation at a facility level. This should also consider the ability for greater digitisation of information contained in safety cases, WOMPs, and EPs.</w:t>
            </w:r>
          </w:p>
        </w:tc>
      </w:tr>
    </w:tbl>
    <w:p w14:paraId="7A56B42F" w14:textId="2ECBDE28" w:rsidR="005B6D2C" w:rsidRDefault="005B6D2C" w:rsidP="00901C7B">
      <w:pPr>
        <w:pStyle w:val="BodyCopyNEW"/>
        <w:spacing w:before="120"/>
        <w:rPr>
          <w:rFonts w:cstheme="minorHAnsi"/>
          <w:b/>
          <w:bCs/>
          <w:iCs/>
        </w:rPr>
      </w:pPr>
      <w:r>
        <w:t xml:space="preserve">Importantly, the enhancement of RMS’ functionality would help address </w:t>
      </w:r>
      <w:r w:rsidR="00B65A6C">
        <w:t xml:space="preserve">the finding of the </w:t>
      </w:r>
      <w:r w:rsidR="00A50236" w:rsidRPr="00901C7B">
        <w:t xml:space="preserve">Walker </w:t>
      </w:r>
      <w:r w:rsidR="00562705" w:rsidRPr="00901C7B">
        <w:t>Review</w:t>
      </w:r>
      <w:r w:rsidR="0046560D">
        <w:t>,</w:t>
      </w:r>
      <w:r w:rsidR="00B65A6C">
        <w:t xml:space="preserve"> which recommended NOPSEMA take a more strategic approach to </w:t>
      </w:r>
      <w:r w:rsidR="003B7FE0">
        <w:t xml:space="preserve">interventions at a facility level by having greater </w:t>
      </w:r>
      <w:r w:rsidR="003B7FE0" w:rsidRPr="00901C7B">
        <w:rPr>
          <w:i/>
          <w:iCs/>
        </w:rPr>
        <w:t>“c</w:t>
      </w:r>
      <w:r w:rsidRPr="00901C7B">
        <w:rPr>
          <w:i/>
          <w:iCs/>
        </w:rPr>
        <w:t xml:space="preserve">onsideration with regard to </w:t>
      </w:r>
      <w:r w:rsidR="00EA06AF" w:rsidRPr="00901C7B">
        <w:rPr>
          <w:i/>
          <w:iCs/>
        </w:rPr>
        <w:t>title</w:t>
      </w:r>
      <w:r w:rsidRPr="00901C7B">
        <w:rPr>
          <w:i/>
          <w:iCs/>
        </w:rPr>
        <w:t>holders’ previous performance, the type and condition of facility, and company-related factors need to be identified in developing such plans</w:t>
      </w:r>
      <w:r w:rsidR="00AB5DDD" w:rsidRPr="001C5881">
        <w:rPr>
          <w:rStyle w:val="FootnoteReference"/>
          <w:sz w:val="18"/>
          <w:szCs w:val="18"/>
        </w:rPr>
        <w:footnoteReference w:id="18"/>
      </w:r>
      <w:r w:rsidRPr="00901C7B">
        <w:rPr>
          <w:i/>
          <w:iCs/>
        </w:rPr>
        <w:t>.</w:t>
      </w:r>
      <w:r w:rsidR="003B7FE0" w:rsidRPr="00901C7B">
        <w:rPr>
          <w:i/>
          <w:iCs/>
        </w:rPr>
        <w:t>”</w:t>
      </w:r>
    </w:p>
    <w:p w14:paraId="59CB4B42" w14:textId="0C177100" w:rsidR="006B43DC" w:rsidRPr="006B43DC" w:rsidRDefault="006B43DC" w:rsidP="00200B12">
      <w:pPr>
        <w:pStyle w:val="Heading3NoNumber"/>
      </w:pPr>
      <w:r>
        <w:t xml:space="preserve">There is </w:t>
      </w:r>
      <w:r w:rsidR="00480081">
        <w:t>risk</w:t>
      </w:r>
      <w:r>
        <w:t xml:space="preserve"> of </w:t>
      </w:r>
      <w:r w:rsidR="00480081">
        <w:t xml:space="preserve">a </w:t>
      </w:r>
      <w:r>
        <w:t xml:space="preserve">siloed and disparate </w:t>
      </w:r>
      <w:r w:rsidR="00480081">
        <w:t>inspection framework</w:t>
      </w:r>
    </w:p>
    <w:p w14:paraId="6264709A" w14:textId="02BC5022" w:rsidR="00C4067F" w:rsidRDefault="00B6130D" w:rsidP="00200B12">
      <w:pPr>
        <w:pStyle w:val="BodyCopyNEW"/>
      </w:pPr>
      <w:r w:rsidRPr="00786F3B">
        <w:t>The discrete OHS, environmental</w:t>
      </w:r>
      <w:r w:rsidR="00774CFB">
        <w:t>,</w:t>
      </w:r>
      <w:r w:rsidRPr="00786F3B">
        <w:t xml:space="preserve"> and well integrity specific inspection regimes, each governed by its own policy and procedures supported by its own guidelines, tools, forms and templates, results in a siloed and disparate inspection framework with increased risk of duplication, inefficiency, inconsistency</w:t>
      </w:r>
      <w:r w:rsidR="00774CFB">
        <w:t>,</w:t>
      </w:r>
      <w:r w:rsidRPr="00786F3B">
        <w:t xml:space="preserve"> and </w:t>
      </w:r>
      <w:r w:rsidR="00774CFB">
        <w:t>variability</w:t>
      </w:r>
      <w:r w:rsidR="001A55EA">
        <w:t xml:space="preserve"> in</w:t>
      </w:r>
      <w:r w:rsidR="00774CFB" w:rsidRPr="00786F3B">
        <w:t xml:space="preserve"> </w:t>
      </w:r>
      <w:r w:rsidRPr="00786F3B">
        <w:t>standard</w:t>
      </w:r>
      <w:r w:rsidR="001A55EA">
        <w:t>s</w:t>
      </w:r>
      <w:r w:rsidRPr="00786F3B">
        <w:t xml:space="preserve"> across the </w:t>
      </w:r>
      <w:r w:rsidR="001A55EA">
        <w:t>inspectorate</w:t>
      </w:r>
      <w:r w:rsidRPr="00786F3B">
        <w:t xml:space="preserve">. </w:t>
      </w:r>
    </w:p>
    <w:p w14:paraId="613E7609" w14:textId="77777777" w:rsidR="00B76210" w:rsidRDefault="00B6130D" w:rsidP="00200B12">
      <w:pPr>
        <w:pStyle w:val="BodyCopyNEW"/>
      </w:pPr>
      <w:r w:rsidRPr="00786F3B">
        <w:t>There appears no reasonable justification for this position in circumstances where, putting aside the different subject matter, the</w:t>
      </w:r>
      <w:r w:rsidR="00B76210">
        <w:t>:</w:t>
      </w:r>
    </w:p>
    <w:p w14:paraId="56E043B6" w14:textId="724516E4" w:rsidR="00B76210" w:rsidRDefault="00B76210" w:rsidP="000C1F53">
      <w:pPr>
        <w:pStyle w:val="BodycopyNEW0"/>
        <w:numPr>
          <w:ilvl w:val="0"/>
          <w:numId w:val="23"/>
        </w:numPr>
        <w:ind w:left="378"/>
      </w:pPr>
      <w:r>
        <w:t>L</w:t>
      </w:r>
      <w:r w:rsidR="00B6130D" w:rsidRPr="00786F3B">
        <w:t>egislative inspection process (incl</w:t>
      </w:r>
      <w:r w:rsidR="001A55EA">
        <w:t>uding</w:t>
      </w:r>
      <w:r w:rsidR="00B6130D" w:rsidRPr="00786F3B">
        <w:t xml:space="preserve"> powers of entry and powers upon entry) provided by Schedule 2A (environmental management), 2B (well integrity) and 3 (OHS) of the OPGGS Act are identical, each of the regimes operates under the same </w:t>
      </w:r>
      <w:r w:rsidR="00B6130D" w:rsidRPr="007B16E0">
        <w:rPr>
          <w:rFonts w:cs="Calibri Light"/>
        </w:rPr>
        <w:t>NOPSEMA Inspection Policy</w:t>
      </w:r>
      <w:r w:rsidR="00B6130D" w:rsidRPr="00786F3B">
        <w:t xml:space="preserve"> and </w:t>
      </w:r>
      <w:r w:rsidR="00B6130D" w:rsidRPr="007B16E0">
        <w:rPr>
          <w:rFonts w:cs="Calibri Light"/>
        </w:rPr>
        <w:t xml:space="preserve">Enforcement Policy </w:t>
      </w:r>
    </w:p>
    <w:p w14:paraId="76497A18" w14:textId="5F8C261B" w:rsidR="00B6130D" w:rsidRDefault="00B76210" w:rsidP="000C1F53">
      <w:pPr>
        <w:pStyle w:val="BodycopyNEW0"/>
        <w:numPr>
          <w:ilvl w:val="0"/>
          <w:numId w:val="23"/>
        </w:numPr>
        <w:ind w:left="378"/>
      </w:pPr>
      <w:r>
        <w:t>B</w:t>
      </w:r>
      <w:r w:rsidR="00B6130D" w:rsidRPr="00786F3B">
        <w:t>etter practice inspection principles dictate that the same processes for inspection planning, approach, methodology, execution, recording, reporting, corrective action management</w:t>
      </w:r>
      <w:r w:rsidR="00D76B6F">
        <w:t>,</w:t>
      </w:r>
      <w:r w:rsidR="00B6130D" w:rsidRPr="00786F3B">
        <w:t xml:space="preserve"> and tracking to closure apply regardless of the inspection subject matter</w:t>
      </w:r>
      <w:r w:rsidR="00B6130D">
        <w:t>.</w:t>
      </w:r>
    </w:p>
    <w:p w14:paraId="7D4DCF8F" w14:textId="1D91EBF5" w:rsidR="00C6161B" w:rsidRDefault="0076376A" w:rsidP="00200B12">
      <w:pPr>
        <w:pStyle w:val="BodyCopyNEW"/>
      </w:pPr>
      <w:r>
        <w:t xml:space="preserve">A ‘One NOPSEMA’ approach is required for inspections. </w:t>
      </w:r>
      <w:r w:rsidR="00072212">
        <w:t xml:space="preserve">We recognise NOPSEMA understands this current issue and has commenced cross-disciplinary inspection processes, whereby OHS, well integrity, and environment inspections may form one inspection team and conduct a site visit at the same time. </w:t>
      </w:r>
      <w:r w:rsidR="00C6161B">
        <w:t>However,</w:t>
      </w:r>
      <w:r w:rsidR="009F0E4E">
        <w:t xml:space="preserve"> industry feedback, as categorised by the following quote</w:t>
      </w:r>
      <w:r w:rsidR="00CA6743">
        <w:t>s</w:t>
      </w:r>
      <w:r w:rsidR="009F0E4E">
        <w:t xml:space="preserve">, demonstrate </w:t>
      </w:r>
      <w:r w:rsidR="00382644">
        <w:t>greater work is still required</w:t>
      </w:r>
      <w:r w:rsidR="00AB5DDD" w:rsidRPr="001C5881">
        <w:rPr>
          <w:rStyle w:val="FootnoteReference"/>
          <w:sz w:val="18"/>
          <w:szCs w:val="18"/>
        </w:rPr>
        <w:footnoteReference w:id="19"/>
      </w:r>
      <w:r w:rsidR="00C6161B">
        <w:t>:</w:t>
      </w:r>
      <w:r w:rsidR="00782574">
        <w:tab/>
      </w:r>
    </w:p>
    <w:p w14:paraId="604EA36D" w14:textId="21059F41" w:rsidR="00C6161B" w:rsidRPr="00EA06AF" w:rsidRDefault="00382644" w:rsidP="007B16E0">
      <w:pPr>
        <w:pStyle w:val="BodyBullet1"/>
        <w:ind w:left="378"/>
        <w:rPr>
          <w:b/>
          <w:bCs/>
        </w:rPr>
      </w:pPr>
      <w:r w:rsidRPr="00901C7B">
        <w:rPr>
          <w:i/>
          <w:iCs/>
        </w:rPr>
        <w:t>“In the Safety and Integrity Division, we have experienced inconsistent behaviours and application of the regulations between inspectors”</w:t>
      </w:r>
      <w:r w:rsidRPr="00EA06AF">
        <w:t xml:space="preserve"> (</w:t>
      </w:r>
      <w:r w:rsidR="00EA06AF" w:rsidRPr="00901C7B">
        <w:t>title</w:t>
      </w:r>
      <w:r w:rsidR="00327ACB" w:rsidRPr="00901C7B">
        <w:t>holder</w:t>
      </w:r>
      <w:r w:rsidR="00B52AD2">
        <w:t>/operator</w:t>
      </w:r>
      <w:r w:rsidRPr="00EA06AF">
        <w:t>)</w:t>
      </w:r>
    </w:p>
    <w:p w14:paraId="30510C9E" w14:textId="380A189A" w:rsidR="00072212" w:rsidRPr="00EA06AF" w:rsidRDefault="00CA6743" w:rsidP="007B16E0">
      <w:pPr>
        <w:pStyle w:val="BodyBullet1"/>
        <w:ind w:left="378"/>
        <w:rPr>
          <w:b/>
          <w:bCs/>
        </w:rPr>
      </w:pPr>
      <w:r w:rsidRPr="00901C7B">
        <w:rPr>
          <w:i/>
          <w:iCs/>
        </w:rPr>
        <w:t xml:space="preserve">“We have witnessed different </w:t>
      </w:r>
      <w:r w:rsidR="00685502" w:rsidRPr="00901C7B">
        <w:t>[NOPSEMA]</w:t>
      </w:r>
      <w:r w:rsidR="00685502">
        <w:rPr>
          <w:i/>
          <w:iCs/>
        </w:rPr>
        <w:t xml:space="preserve"> </w:t>
      </w:r>
      <w:r w:rsidRPr="00901C7B">
        <w:rPr>
          <w:i/>
          <w:iCs/>
        </w:rPr>
        <w:t>Inspectors issuing inconsistent responses to identical situations”</w:t>
      </w:r>
      <w:r w:rsidRPr="00EA06AF">
        <w:t xml:space="preserve"> (</w:t>
      </w:r>
      <w:r w:rsidR="00327ACB" w:rsidRPr="00EA06AF">
        <w:t>o</w:t>
      </w:r>
      <w:r w:rsidRPr="00EA06AF">
        <w:t xml:space="preserve">ther </w:t>
      </w:r>
      <w:r w:rsidRPr="00901C7B">
        <w:t>industry stakeholder</w:t>
      </w:r>
      <w:r w:rsidRPr="00EA06AF">
        <w:t>)</w:t>
      </w:r>
    </w:p>
    <w:p w14:paraId="79A11DED" w14:textId="73C9F4EF" w:rsidR="00347A84" w:rsidRPr="00F849ED" w:rsidRDefault="00685502" w:rsidP="007B16E0">
      <w:pPr>
        <w:pStyle w:val="BodyBullet1"/>
        <w:ind w:left="378"/>
        <w:rPr>
          <w:rFonts w:asciiTheme="majorHAnsi" w:hAnsiTheme="majorHAnsi" w:cstheme="minorHAnsi"/>
          <w:b/>
          <w:bCs/>
        </w:rPr>
      </w:pPr>
      <w:r>
        <w:t xml:space="preserve">We have </w:t>
      </w:r>
      <w:r w:rsidR="00C6161B" w:rsidRPr="00901C7B">
        <w:rPr>
          <w:i/>
          <w:iCs/>
        </w:rPr>
        <w:t>“</w:t>
      </w:r>
      <w:r w:rsidRPr="00901C7B">
        <w:rPr>
          <w:i/>
          <w:iCs/>
        </w:rPr>
        <w:t>…c</w:t>
      </w:r>
      <w:r w:rsidR="00C6161B" w:rsidRPr="00901C7B">
        <w:rPr>
          <w:i/>
          <w:iCs/>
        </w:rPr>
        <w:t>oncerns that there is an inconsistent approach to inspections and behaviours</w:t>
      </w:r>
      <w:r>
        <w:t xml:space="preserve"> [by NOPSEMA]</w:t>
      </w:r>
      <w:r w:rsidRPr="00901C7B">
        <w:rPr>
          <w:i/>
          <w:iCs/>
        </w:rPr>
        <w:t>”</w:t>
      </w:r>
      <w:r w:rsidR="00C6161B" w:rsidRPr="00EA06AF">
        <w:t xml:space="preserve"> (</w:t>
      </w:r>
      <w:r w:rsidR="00EA06AF" w:rsidRPr="00901C7B">
        <w:t>title</w:t>
      </w:r>
      <w:r w:rsidR="00327ACB" w:rsidRPr="00901C7B">
        <w:t>holder</w:t>
      </w:r>
      <w:r w:rsidR="00B52AD2">
        <w:t>/operator</w:t>
      </w:r>
      <w:r w:rsidR="00C6161B" w:rsidRPr="00EA06AF">
        <w:t>)</w:t>
      </w:r>
      <w:r w:rsidR="00287F79" w:rsidRPr="00EA06AF">
        <w:t>.</w:t>
      </w:r>
    </w:p>
    <w:p w14:paraId="25C667C4" w14:textId="77777777" w:rsidR="00F849ED" w:rsidRPr="00287F79" w:rsidRDefault="00F849ED" w:rsidP="00F849ED">
      <w:pPr>
        <w:pStyle w:val="BodyBullet1"/>
        <w:numPr>
          <w:ilvl w:val="0"/>
          <w:numId w:val="0"/>
        </w:numPr>
        <w:ind w:left="378"/>
        <w:rPr>
          <w:rFonts w:asciiTheme="majorHAnsi" w:hAnsiTheme="majorHAnsi" w:cstheme="minorHAnsi"/>
          <w:b/>
          <w:bCs/>
        </w:rPr>
      </w:pP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287F79" w:rsidRPr="004714A6" w14:paraId="05590E43" w14:textId="77777777" w:rsidTr="009D3577">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49EF889F" w14:textId="340027E1" w:rsidR="00287F79" w:rsidRPr="00A470B1" w:rsidRDefault="00287F79" w:rsidP="00053250">
            <w:pPr>
              <w:pStyle w:val="TableHeadingLeft"/>
              <w:rPr>
                <w:bCs/>
              </w:rPr>
            </w:pPr>
            <w:r w:rsidRPr="00A470B1">
              <w:rPr>
                <w:bCs/>
              </w:rPr>
              <w:lastRenderedPageBreak/>
              <w:t>Recommendation</w:t>
            </w:r>
            <w:r w:rsidR="00410AFA" w:rsidRPr="00A470B1">
              <w:rPr>
                <w:bCs/>
              </w:rPr>
              <w:t xml:space="preserve"> #</w:t>
            </w:r>
            <w:r w:rsidR="00076DCC" w:rsidRPr="00A470B1">
              <w:rPr>
                <w:bCs/>
              </w:rPr>
              <w:t>5</w:t>
            </w:r>
          </w:p>
        </w:tc>
      </w:tr>
      <w:tr w:rsidR="004714A6" w:rsidRPr="004714A6" w14:paraId="3C6D7543" w14:textId="77777777" w:rsidTr="009D3577">
        <w:tc>
          <w:tcPr>
            <w:tcW w:w="9864" w:type="dxa"/>
            <w:tcBorders>
              <w:bottom w:val="nil"/>
            </w:tcBorders>
            <w:shd w:val="clear" w:color="auto" w:fill="F2F2F2" w:themeFill="background1" w:themeFillShade="F2"/>
          </w:tcPr>
          <w:p w14:paraId="69966671" w14:textId="77777777" w:rsidR="00C75BED" w:rsidRPr="004714A6" w:rsidRDefault="00C75BED" w:rsidP="00C75BED">
            <w:pPr>
              <w:pStyle w:val="BodyCopyNEW"/>
              <w:rPr>
                <w:szCs w:val="18"/>
              </w:rPr>
            </w:pPr>
            <w:r w:rsidRPr="004714A6">
              <w:rPr>
                <w:szCs w:val="18"/>
              </w:rPr>
              <w:t>NOPSEMA should consider the feasibility of:</w:t>
            </w:r>
          </w:p>
          <w:p w14:paraId="49E4F5FC" w14:textId="77777777" w:rsidR="00C75BED" w:rsidRPr="00777E58" w:rsidRDefault="00C75BED" w:rsidP="000C1F53">
            <w:pPr>
              <w:pStyle w:val="BodycopyNEW0"/>
              <w:numPr>
                <w:ilvl w:val="0"/>
                <w:numId w:val="23"/>
              </w:numPr>
              <w:ind w:left="378"/>
            </w:pPr>
            <w:r w:rsidRPr="00777E58">
              <w:t>Redesigning its inspection regime to be a single regime of inspection procedures and supporting guidelines, tools, forms and templates, drawing upon, leveraging and building upon the ‘top of class’ documents that currently exist across the (3) regimes with particular nuances of the (3) subject matters accommodated as required, to give effect to the NOPSEMA Inspection Policy and Enforcement Policy in the OHS, environmental management and well integrity context</w:t>
            </w:r>
          </w:p>
          <w:p w14:paraId="4C8243BD" w14:textId="6FBDA4D4" w:rsidR="00C75BED" w:rsidRPr="004714A6" w:rsidRDefault="00C75BED" w:rsidP="000C1F53">
            <w:pPr>
              <w:pStyle w:val="BodycopyNEW0"/>
              <w:numPr>
                <w:ilvl w:val="0"/>
                <w:numId w:val="23"/>
              </w:numPr>
              <w:ind w:left="378"/>
            </w:pPr>
            <w:r w:rsidRPr="00777E58">
              <w:t>Driving the combined OHS, environmental and well integrity inspections performed at the same time by multi-disciplinary teams.</w:t>
            </w:r>
          </w:p>
        </w:tc>
      </w:tr>
    </w:tbl>
    <w:p w14:paraId="685D67C9" w14:textId="2228E582" w:rsidR="00E82FD5" w:rsidRDefault="006E1CCA" w:rsidP="00901C7B">
      <w:pPr>
        <w:pStyle w:val="BodyCopyNEW"/>
        <w:spacing w:before="120"/>
      </w:pPr>
      <w:r w:rsidRPr="00786F3B">
        <w:t xml:space="preserve">Safeguards are built into the </w:t>
      </w:r>
      <w:r w:rsidR="005A3A24">
        <w:t>I</w:t>
      </w:r>
      <w:r w:rsidRPr="00786F3B">
        <w:t xml:space="preserve">nspection </w:t>
      </w:r>
      <w:r w:rsidR="005A3A24">
        <w:t>F</w:t>
      </w:r>
      <w:r w:rsidRPr="00786F3B">
        <w:t>ramework by means of oversight and assurance at important decision points by the Team Manager/</w:t>
      </w:r>
      <w:r w:rsidR="0078539B">
        <w:t>RON</w:t>
      </w:r>
      <w:r w:rsidR="00E82FD5">
        <w:t>,</w:t>
      </w:r>
      <w:r w:rsidRPr="00786F3B">
        <w:t xml:space="preserve"> including:</w:t>
      </w:r>
    </w:p>
    <w:p w14:paraId="4DF8F408" w14:textId="24A79C7C" w:rsidR="00E82FD5" w:rsidRPr="00A90D04" w:rsidRDefault="00E82FD5" w:rsidP="000C1F53">
      <w:pPr>
        <w:pStyle w:val="BodycopyNEW0"/>
        <w:numPr>
          <w:ilvl w:val="0"/>
          <w:numId w:val="23"/>
        </w:numPr>
        <w:ind w:left="378"/>
      </w:pPr>
      <w:r w:rsidRPr="00A90D04">
        <w:t>R</w:t>
      </w:r>
      <w:r w:rsidR="006E1CCA" w:rsidRPr="00A90D04">
        <w:t>eview and approval of the inspection brief (inspection team, scope of inspection, inspection justification and formal requirement relying upon coercive power pursuant to legislation) within RMS</w:t>
      </w:r>
      <w:r w:rsidR="004760DE" w:rsidRPr="00A90D04">
        <w:t>, including the variation to an inspection scope</w:t>
      </w:r>
    </w:p>
    <w:p w14:paraId="241EAFDC" w14:textId="77777777" w:rsidR="004760DE" w:rsidRPr="00A90D04" w:rsidRDefault="00E82FD5" w:rsidP="000C1F53">
      <w:pPr>
        <w:pStyle w:val="BodycopyNEW0"/>
        <w:numPr>
          <w:ilvl w:val="0"/>
          <w:numId w:val="23"/>
        </w:numPr>
        <w:ind w:left="378"/>
      </w:pPr>
      <w:r w:rsidRPr="00A90D04">
        <w:t>I</w:t>
      </w:r>
      <w:r w:rsidR="006E1CCA" w:rsidRPr="00A90D04">
        <w:t>nvolvement in decisions concerning use of a monitoring warrant for the purpose of an inspection</w:t>
      </w:r>
    </w:p>
    <w:p w14:paraId="0C1626D0" w14:textId="227B1D6F" w:rsidR="00A90D04" w:rsidRPr="00A90D04" w:rsidRDefault="004760DE" w:rsidP="000C1F53">
      <w:pPr>
        <w:pStyle w:val="BodycopyNEW0"/>
        <w:numPr>
          <w:ilvl w:val="0"/>
          <w:numId w:val="23"/>
        </w:numPr>
        <w:ind w:left="378"/>
      </w:pPr>
      <w:r w:rsidRPr="00A90D04">
        <w:t>I</w:t>
      </w:r>
      <w:r w:rsidR="006E1CCA" w:rsidRPr="00A90D04">
        <w:t>ssuing of notices</w:t>
      </w:r>
      <w:r w:rsidR="00A90D04" w:rsidRPr="00A90D04">
        <w:t xml:space="preserve"> and determination of corrective action</w:t>
      </w:r>
    </w:p>
    <w:p w14:paraId="7B7D4757" w14:textId="056FB09D" w:rsidR="00A90D04" w:rsidRPr="00A90D04" w:rsidRDefault="00A90D04" w:rsidP="000C1F53">
      <w:pPr>
        <w:pStyle w:val="BodycopyNEW0"/>
        <w:numPr>
          <w:ilvl w:val="0"/>
          <w:numId w:val="23"/>
        </w:numPr>
        <w:ind w:left="378"/>
      </w:pPr>
      <w:r w:rsidRPr="00A90D04">
        <w:t>A</w:t>
      </w:r>
      <w:r w:rsidR="006E1CCA" w:rsidRPr="00A90D04">
        <w:t xml:space="preserve">pproval to compel answers to questions or production of documents or things by person not at </w:t>
      </w:r>
      <w:r w:rsidR="00297196">
        <w:t xml:space="preserve">the </w:t>
      </w:r>
      <w:r w:rsidR="006E1CCA" w:rsidRPr="00A90D04">
        <w:t>premises</w:t>
      </w:r>
    </w:p>
    <w:p w14:paraId="775D3C8D" w14:textId="0506B623" w:rsidR="006E1CCA" w:rsidRPr="00A90D04" w:rsidRDefault="00A90D04" w:rsidP="000C1F53">
      <w:pPr>
        <w:pStyle w:val="BodycopyNEW0"/>
        <w:numPr>
          <w:ilvl w:val="0"/>
          <w:numId w:val="23"/>
        </w:numPr>
        <w:ind w:left="378"/>
      </w:pPr>
      <w:r w:rsidRPr="00A90D04">
        <w:t>R</w:t>
      </w:r>
      <w:r w:rsidR="006E1CCA" w:rsidRPr="00A90D04">
        <w:t xml:space="preserve">eview and approval of reports and involvement in onshore </w:t>
      </w:r>
      <w:r w:rsidR="00EA06AF">
        <w:t>title</w:t>
      </w:r>
      <w:r w:rsidR="00327ACB">
        <w:t>holder</w:t>
      </w:r>
      <w:r w:rsidR="006E1CCA" w:rsidRPr="00A90D04">
        <w:t xml:space="preserve"> feedback meetings.</w:t>
      </w:r>
    </w:p>
    <w:p w14:paraId="02552F9E" w14:textId="2B2BCB07" w:rsidR="009B4420" w:rsidRPr="00055CB5" w:rsidRDefault="00AF585D" w:rsidP="00200B12">
      <w:pPr>
        <w:pStyle w:val="BodyCopyNEW"/>
      </w:pPr>
      <w:r>
        <w:t>Based on our examination, these safeguards deliver consistency and quality</w:t>
      </w:r>
      <w:r w:rsidR="00E85D44">
        <w:t xml:space="preserve"> to the overall Inspection Framework, ensuring appropriate oversight </w:t>
      </w:r>
      <w:r w:rsidR="0042647F">
        <w:t xml:space="preserve">and input into key decisions. </w:t>
      </w:r>
    </w:p>
    <w:p w14:paraId="1A217336" w14:textId="5D520A79" w:rsidR="00CD430D" w:rsidRPr="00CD430D" w:rsidRDefault="00CD430D" w:rsidP="00AE2D6E">
      <w:pPr>
        <w:pStyle w:val="Heading2"/>
        <w:numPr>
          <w:ilvl w:val="1"/>
          <w:numId w:val="1"/>
        </w:numPr>
      </w:pPr>
      <w:bookmarkStart w:id="54" w:name="_Ref58592948"/>
      <w:r w:rsidRPr="00CD430D">
        <w:t>NOPSEMA’s approach to investigations</w:t>
      </w:r>
      <w:bookmarkEnd w:id="54"/>
    </w:p>
    <w:p w14:paraId="5EAC7766" w14:textId="77777777" w:rsidR="00BD10B5" w:rsidRPr="00BD10B5" w:rsidRDefault="00BD10B5" w:rsidP="00784E0E">
      <w:pPr>
        <w:pStyle w:val="Heading3"/>
        <w:numPr>
          <w:ilvl w:val="2"/>
          <w:numId w:val="1"/>
        </w:numPr>
      </w:pPr>
      <w:r w:rsidRPr="00BD10B5">
        <w:t xml:space="preserve">The </w:t>
      </w:r>
      <w:r w:rsidRPr="00A14874">
        <w:t>NOPSEMA Investigation Framework and underpinning principles</w:t>
      </w:r>
    </w:p>
    <w:p w14:paraId="0FB33B2D" w14:textId="05E68329" w:rsidR="00887309" w:rsidRPr="001F33A3" w:rsidRDefault="001F33A3" w:rsidP="00200B12">
      <w:pPr>
        <w:pStyle w:val="Heading3NoNumber"/>
      </w:pPr>
      <w:r w:rsidRPr="001F33A3">
        <w:t>NOPSEMA’s investigative framework is aligned with better practice incident investigation frameworks</w:t>
      </w:r>
    </w:p>
    <w:p w14:paraId="55A16D16" w14:textId="4FBEF8CA" w:rsidR="00A14874" w:rsidRDefault="00A14874" w:rsidP="00200B12">
      <w:pPr>
        <w:pStyle w:val="BodyCopyNEW"/>
      </w:pPr>
      <w:r w:rsidRPr="00A14874">
        <w:t>In response to a request by the NOPSEMA Compliance Committee</w:t>
      </w:r>
      <w:r w:rsidR="00A82952">
        <w:t>,</w:t>
      </w:r>
      <w:r w:rsidRPr="00A14874">
        <w:t xml:space="preserve"> a review of </w:t>
      </w:r>
      <w:r w:rsidR="00B345E7">
        <w:t>its</w:t>
      </w:r>
      <w:r w:rsidRPr="00A14874">
        <w:t xml:space="preserve"> investigative practices was undertaken</w:t>
      </w:r>
      <w:r w:rsidR="00A70D5A">
        <w:t xml:space="preserve"> internally</w:t>
      </w:r>
      <w:r w:rsidR="00B345E7">
        <w:t xml:space="preserve">, including an analysis of other </w:t>
      </w:r>
      <w:r w:rsidRPr="00A14874">
        <w:t>regulatory bodies</w:t>
      </w:r>
      <w:r w:rsidR="00A70D5A">
        <w:t xml:space="preserve"> approaches to investigations</w:t>
      </w:r>
      <w:r w:rsidR="00B345E7">
        <w:t xml:space="preserve">. The </w:t>
      </w:r>
      <w:r w:rsidR="003607AB">
        <w:t xml:space="preserve">review led to the new </w:t>
      </w:r>
      <w:r w:rsidRPr="00A14874">
        <w:t>NOPSEMA Investigation Framework 2019 (</w:t>
      </w:r>
      <w:r w:rsidRPr="001018AF">
        <w:t>the</w:t>
      </w:r>
      <w:r w:rsidRPr="00A14874">
        <w:rPr>
          <w:b/>
          <w:bCs/>
        </w:rPr>
        <w:t xml:space="preserve"> </w:t>
      </w:r>
      <w:r w:rsidR="00EA06AD">
        <w:rPr>
          <w:b/>
          <w:bCs/>
        </w:rPr>
        <w:t xml:space="preserve">investigation </w:t>
      </w:r>
      <w:r w:rsidRPr="00A14874">
        <w:rPr>
          <w:b/>
          <w:bCs/>
        </w:rPr>
        <w:t>framework</w:t>
      </w:r>
      <w:r w:rsidR="001018AF" w:rsidRPr="001018AF">
        <w:t>)</w:t>
      </w:r>
      <w:r w:rsidRPr="00A14874">
        <w:t>.</w:t>
      </w:r>
    </w:p>
    <w:p w14:paraId="43DFC7C2" w14:textId="774266E6" w:rsidR="00AF2651" w:rsidRPr="00CC7E86" w:rsidRDefault="00FD1DDC" w:rsidP="00200B12">
      <w:pPr>
        <w:pStyle w:val="BodyCopyNEW"/>
      </w:pPr>
      <w:r>
        <w:t>Based on our examination, t</w:t>
      </w:r>
      <w:r w:rsidR="00DA33F4" w:rsidRPr="00DA33F4">
        <w:t xml:space="preserve">he </w:t>
      </w:r>
      <w:r w:rsidR="00EA06AD">
        <w:t>investigation</w:t>
      </w:r>
      <w:r w:rsidR="00DA33F4" w:rsidRPr="00DA33F4">
        <w:t xml:space="preserve"> framework is aligned with the provisions of </w:t>
      </w:r>
      <w:r w:rsidR="00DA33F4" w:rsidRPr="00DA33F4">
        <w:rPr>
          <w:i/>
          <w:iCs/>
        </w:rPr>
        <w:t xml:space="preserve">Division 1 Chapter 6.5 ‘Compliance and Enforcement’ </w:t>
      </w:r>
      <w:r w:rsidR="00DA33F4" w:rsidRPr="00DA33F4">
        <w:t xml:space="preserve">of the OPGGS Act that expressly provides for the application (with suitable modifications) of </w:t>
      </w:r>
      <w:r w:rsidR="00DA33F4" w:rsidRPr="00DA33F4">
        <w:rPr>
          <w:i/>
          <w:iCs/>
        </w:rPr>
        <w:t xml:space="preserve">Part 2 (monitoring compliance) and Part 3 (investigation) of </w:t>
      </w:r>
      <w:r w:rsidR="00DA33F4" w:rsidRPr="00786F3B">
        <w:t>the</w:t>
      </w:r>
      <w:r w:rsidR="00DA33F4" w:rsidRPr="00DA33F4">
        <w:rPr>
          <w:b/>
        </w:rPr>
        <w:t xml:space="preserve"> </w:t>
      </w:r>
      <w:r w:rsidR="00DA33F4" w:rsidRPr="00820E75">
        <w:t>Regulatory Powers Act</w:t>
      </w:r>
      <w:r w:rsidR="00DA33F4" w:rsidRPr="00DA33F4">
        <w:t xml:space="preserve"> as well as </w:t>
      </w:r>
      <w:r w:rsidR="00DA33F4" w:rsidRPr="00901C7B">
        <w:t xml:space="preserve">Schedule 2A (environmental management), Schedule 2B (well integrity) and Schedule 3 (OHS) </w:t>
      </w:r>
      <w:r w:rsidR="00DA33F4" w:rsidRPr="0077754A">
        <w:t xml:space="preserve">of </w:t>
      </w:r>
      <w:r w:rsidR="00DA33F4" w:rsidRPr="00DA33F4">
        <w:t>the OPGGS Act</w:t>
      </w:r>
      <w:r>
        <w:t>.</w:t>
      </w:r>
      <w:r w:rsidR="00AF2651">
        <w:t xml:space="preserve"> </w:t>
      </w:r>
      <w:r w:rsidR="00AF2651" w:rsidRPr="00CC7E86">
        <w:t xml:space="preserve">NOPSEMA’s investigative framework is aligned with better practice incident investigation frameworks. The purpose of the </w:t>
      </w:r>
      <w:r w:rsidR="00EA06AD">
        <w:t>investigation</w:t>
      </w:r>
      <w:r w:rsidR="00AF2651" w:rsidRPr="00CC7E86">
        <w:t xml:space="preserve"> framework is </w:t>
      </w:r>
      <w:r w:rsidR="001C0F7A">
        <w:t>appropriate</w:t>
      </w:r>
      <w:r w:rsidR="001C0F7A" w:rsidRPr="00CC7E86">
        <w:t xml:space="preserve"> </w:t>
      </w:r>
      <w:r w:rsidR="00AF2651" w:rsidRPr="00CC7E86">
        <w:t xml:space="preserve">– to establish facts of an incident, identify immediate and underlying causes as well as lessons to be learnt, determine action to prevent a recurrence, detect breaches of legislation and establish whether to take further action including formal enforcement. </w:t>
      </w:r>
    </w:p>
    <w:p w14:paraId="341395BE" w14:textId="20F1E0D4" w:rsidR="00A14874" w:rsidRPr="00A14874" w:rsidRDefault="00A14874" w:rsidP="00200B12">
      <w:pPr>
        <w:pStyle w:val="BodyCopyNEW"/>
      </w:pPr>
      <w:r w:rsidRPr="00FD1DDC">
        <w:t xml:space="preserve">The </w:t>
      </w:r>
      <w:r w:rsidR="00EA06AD">
        <w:t>investigation</w:t>
      </w:r>
      <w:r w:rsidRPr="00FD1DDC">
        <w:t xml:space="preserve"> framework comprises an overarching </w:t>
      </w:r>
      <w:r w:rsidRPr="00E94BB2">
        <w:rPr>
          <w:i/>
        </w:rPr>
        <w:t>NOPSEMA Investigation Policy</w:t>
      </w:r>
      <w:r w:rsidRPr="00FD1DDC">
        <w:t xml:space="preserve"> that is given effect by detailed Notification Receipt and Processing, Level 1 Investigation, Level 2 Investigation, Level 3 Investigation, Level 4 Investigation, </w:t>
      </w:r>
      <w:r w:rsidR="005804D3">
        <w:t xml:space="preserve">and </w:t>
      </w:r>
      <w:r w:rsidRPr="00FD1DDC">
        <w:t xml:space="preserve">Information &amp; Complaint Handling procedures </w:t>
      </w:r>
      <w:r w:rsidR="005804D3">
        <w:t>together with</w:t>
      </w:r>
      <w:r w:rsidRPr="00FD1DDC">
        <w:t xml:space="preserve"> an Investigation Level Determination Tool</w:t>
      </w:r>
      <w:r w:rsidRPr="00A14874">
        <w:rPr>
          <w:i/>
          <w:iCs/>
        </w:rPr>
        <w:t xml:space="preserve"> </w:t>
      </w:r>
      <w:r w:rsidRPr="00A14874">
        <w:t>(</w:t>
      </w:r>
      <w:r w:rsidR="00EA06AD">
        <w:t xml:space="preserve">collectively, </w:t>
      </w:r>
      <w:r w:rsidRPr="00867BEC">
        <w:t>the</w:t>
      </w:r>
      <w:r w:rsidRPr="00A14874">
        <w:rPr>
          <w:b/>
          <w:bCs/>
        </w:rPr>
        <w:t xml:space="preserve"> </w:t>
      </w:r>
      <w:r w:rsidR="00EA06AD">
        <w:rPr>
          <w:b/>
          <w:bCs/>
        </w:rPr>
        <w:t xml:space="preserve">investigation </w:t>
      </w:r>
      <w:r w:rsidRPr="00A14874">
        <w:rPr>
          <w:b/>
          <w:bCs/>
        </w:rPr>
        <w:t>procedures</w:t>
      </w:r>
      <w:r w:rsidRPr="00A14874">
        <w:t>).</w:t>
      </w:r>
    </w:p>
    <w:p w14:paraId="6E6475A9" w14:textId="383F0E4F" w:rsidR="00A14874" w:rsidRPr="00A14874" w:rsidRDefault="00A14874" w:rsidP="00200B12">
      <w:pPr>
        <w:pStyle w:val="BodyCopyNEW"/>
      </w:pPr>
      <w:r w:rsidRPr="00A14874">
        <w:t xml:space="preserve">Implementation of the </w:t>
      </w:r>
      <w:r w:rsidR="00EA06AD">
        <w:t>investigation</w:t>
      </w:r>
      <w:r w:rsidRPr="00A14874">
        <w:t xml:space="preserve"> procedures is supported by further detailed procedures, work instructions, guidelines, forms and templates that translate or operationalise coercive investigative powers of entry and powers available upon entry that are conferred upon NOPSEMA Inspectors by legislation.</w:t>
      </w:r>
    </w:p>
    <w:p w14:paraId="1F02B3DB" w14:textId="4C1C4E7B" w:rsidR="00A14874" w:rsidRPr="00A14874" w:rsidRDefault="00D24DF9" w:rsidP="00200B12">
      <w:pPr>
        <w:pStyle w:val="BodyCopyNEW"/>
      </w:pPr>
      <w:r w:rsidRPr="00E94BB2">
        <w:rPr>
          <w:i/>
        </w:rPr>
        <w:t>NOPSEMA’s</w:t>
      </w:r>
      <w:r w:rsidR="00A14874" w:rsidRPr="00E94BB2">
        <w:rPr>
          <w:i/>
        </w:rPr>
        <w:t xml:space="preserve"> Enforcement Management Model</w:t>
      </w:r>
      <w:r w:rsidR="00A14874" w:rsidRPr="00A14874">
        <w:t xml:space="preserve"> (</w:t>
      </w:r>
      <w:r w:rsidR="00A14874" w:rsidRPr="00867BEC">
        <w:t>the</w:t>
      </w:r>
      <w:r w:rsidR="00A14874" w:rsidRPr="00A14874">
        <w:rPr>
          <w:b/>
          <w:bCs/>
        </w:rPr>
        <w:t xml:space="preserve"> EMM</w:t>
      </w:r>
      <w:r w:rsidR="00A14874" w:rsidRPr="00A14874">
        <w:t xml:space="preserve">) provides guidance to a NOPSEMA Inspector </w:t>
      </w:r>
      <w:r w:rsidR="009D2953">
        <w:t xml:space="preserve">for </w:t>
      </w:r>
      <w:r w:rsidR="00A14874" w:rsidRPr="00A14874">
        <w:t xml:space="preserve">specific enforcement considerations arising from </w:t>
      </w:r>
      <w:r w:rsidR="00C01607">
        <w:t>l</w:t>
      </w:r>
      <w:r w:rsidR="00A14874" w:rsidRPr="00A14874">
        <w:t xml:space="preserve">evel </w:t>
      </w:r>
      <w:r w:rsidR="009D2953">
        <w:t xml:space="preserve">two </w:t>
      </w:r>
      <w:r w:rsidR="00A14874" w:rsidRPr="00A14874">
        <w:t xml:space="preserve">to </w:t>
      </w:r>
      <w:r w:rsidR="009D2953">
        <w:t xml:space="preserve">four </w:t>
      </w:r>
      <w:r w:rsidR="00A14874" w:rsidRPr="00A14874">
        <w:t xml:space="preserve">investigations with other enforcement actions or strategic considerations, not covered by the EMM, available to be considered separately by the NOPSEMA Compliance Committee. There is also </w:t>
      </w:r>
      <w:r w:rsidR="009D2953">
        <w:t xml:space="preserve">a </w:t>
      </w:r>
      <w:r w:rsidR="00A14874" w:rsidRPr="00A14874">
        <w:t>process for the sharing of lessons learned with Industry</w:t>
      </w:r>
      <w:r w:rsidR="00010281">
        <w:t>, which is</w:t>
      </w:r>
      <w:r w:rsidR="009D2953">
        <w:t xml:space="preserve"> </w:t>
      </w:r>
      <w:r w:rsidR="0056768F">
        <w:t>helps underpin</w:t>
      </w:r>
      <w:r w:rsidR="009D2953">
        <w:t xml:space="preserve"> NOPSEMA’s philosophy of “find one, fix many”.</w:t>
      </w:r>
    </w:p>
    <w:p w14:paraId="45BA9BEB" w14:textId="25485306" w:rsidR="00A14874" w:rsidRPr="00A14874" w:rsidRDefault="00A14874" w:rsidP="00200B12">
      <w:pPr>
        <w:pStyle w:val="BodyCopyNEW"/>
      </w:pPr>
      <w:r w:rsidRPr="00A14874">
        <w:t xml:space="preserve">The </w:t>
      </w:r>
      <w:r w:rsidR="002C2A7D">
        <w:t>investigation</w:t>
      </w:r>
      <w:r w:rsidRPr="00A14874">
        <w:t xml:space="preserve"> framework </w:t>
      </w:r>
      <w:r w:rsidR="00AC5AD8">
        <w:t xml:space="preserve">is built on the </w:t>
      </w:r>
      <w:r w:rsidRPr="00A14874">
        <w:t>following underpinning principles:</w:t>
      </w:r>
    </w:p>
    <w:p w14:paraId="22FC6B87" w14:textId="577396C0" w:rsidR="00A14874" w:rsidRPr="00A14874" w:rsidRDefault="00406134" w:rsidP="000C1F53">
      <w:pPr>
        <w:pStyle w:val="BodycopyNEW0"/>
        <w:numPr>
          <w:ilvl w:val="0"/>
          <w:numId w:val="23"/>
        </w:numPr>
        <w:ind w:left="378"/>
      </w:pPr>
      <w:r>
        <w:t>Four</w:t>
      </w:r>
      <w:r w:rsidR="00A14874" w:rsidRPr="00A14874">
        <w:t xml:space="preserve"> levels of investigation, replacing the (former) </w:t>
      </w:r>
      <w:r w:rsidR="00010281">
        <w:t>two</w:t>
      </w:r>
      <w:r w:rsidR="00010281" w:rsidRPr="00A14874">
        <w:t xml:space="preserve"> </w:t>
      </w:r>
      <w:r w:rsidR="00A14874" w:rsidRPr="00A14874">
        <w:t xml:space="preserve">categories </w:t>
      </w:r>
      <w:r w:rsidR="00010281">
        <w:t>of</w:t>
      </w:r>
      <w:r w:rsidR="00010281" w:rsidRPr="00A14874">
        <w:t xml:space="preserve"> </w:t>
      </w:r>
      <w:r w:rsidR="00A14874" w:rsidRPr="00A14874">
        <w:t>‘major’ and ‘non-major’, each with its own methodology, outcomes, resourcing model</w:t>
      </w:r>
      <w:r>
        <w:t>,</w:t>
      </w:r>
      <w:r w:rsidR="00A14874" w:rsidRPr="00A14874">
        <w:t xml:space="preserve"> and </w:t>
      </w:r>
      <w:r>
        <w:t xml:space="preserve">expected </w:t>
      </w:r>
      <w:r w:rsidR="00A14874" w:rsidRPr="00A14874">
        <w:t>timeframe</w:t>
      </w:r>
    </w:p>
    <w:p w14:paraId="48B5D5C3" w14:textId="5F47A882" w:rsidR="00A14874" w:rsidRPr="00A14874" w:rsidRDefault="00A14874" w:rsidP="000C1F53">
      <w:pPr>
        <w:pStyle w:val="BodycopyNEW0"/>
        <w:numPr>
          <w:ilvl w:val="0"/>
          <w:numId w:val="23"/>
        </w:numPr>
        <w:ind w:left="378"/>
      </w:pPr>
      <w:r w:rsidRPr="00A14874">
        <w:t>Definition of roles &amp; responsibilities and boundaries</w:t>
      </w:r>
    </w:p>
    <w:p w14:paraId="02D66AC4" w14:textId="5ABEC985" w:rsidR="00A14874" w:rsidRPr="00A14874" w:rsidRDefault="00A14874" w:rsidP="000C1F53">
      <w:pPr>
        <w:pStyle w:val="BodycopyNEW0"/>
        <w:numPr>
          <w:ilvl w:val="0"/>
          <w:numId w:val="23"/>
        </w:numPr>
        <w:ind w:left="378"/>
      </w:pPr>
      <w:r w:rsidRPr="00A14874">
        <w:lastRenderedPageBreak/>
        <w:t>Triggers for escalation between investigation levels</w:t>
      </w:r>
      <w:r w:rsidR="00406134">
        <w:t xml:space="preserve"> one to four</w:t>
      </w:r>
    </w:p>
    <w:p w14:paraId="76CA9B45" w14:textId="4BB54202" w:rsidR="00A14874" w:rsidRPr="00A14874" w:rsidRDefault="00A14874" w:rsidP="000C1F53">
      <w:pPr>
        <w:pStyle w:val="BodycopyNEW0"/>
        <w:numPr>
          <w:ilvl w:val="0"/>
          <w:numId w:val="23"/>
        </w:numPr>
        <w:ind w:left="378"/>
      </w:pPr>
      <w:r w:rsidRPr="00A14874">
        <w:t>A more collaborative and collegiate approach to investigations across NOPSEMA</w:t>
      </w:r>
      <w:r w:rsidR="00DA7668">
        <w:t>, including the role of the Compliance Committee</w:t>
      </w:r>
    </w:p>
    <w:p w14:paraId="554F5903" w14:textId="758784DE" w:rsidR="00D030D0" w:rsidRDefault="00A14874" w:rsidP="000C1F53">
      <w:pPr>
        <w:pStyle w:val="BodycopyNEW0"/>
        <w:numPr>
          <w:ilvl w:val="0"/>
          <w:numId w:val="23"/>
        </w:numPr>
        <w:ind w:left="378"/>
      </w:pPr>
      <w:r w:rsidRPr="00A14874">
        <w:t xml:space="preserve">Development of an </w:t>
      </w:r>
      <w:r w:rsidRPr="00A14874">
        <w:rPr>
          <w:i/>
          <w:iCs/>
        </w:rPr>
        <w:t xml:space="preserve">Information and </w:t>
      </w:r>
      <w:r w:rsidRPr="00A14874">
        <w:rPr>
          <w:i/>
        </w:rPr>
        <w:t>complaint</w:t>
      </w:r>
      <w:r w:rsidRPr="00A14874">
        <w:rPr>
          <w:i/>
          <w:iCs/>
        </w:rPr>
        <w:t xml:space="preserve"> handling procedure</w:t>
      </w:r>
      <w:r w:rsidRPr="00A14874">
        <w:t xml:space="preserve"> for specifically dealing with </w:t>
      </w:r>
      <w:r w:rsidRPr="00E94BB2">
        <w:t>‘information’</w:t>
      </w:r>
      <w:r w:rsidRPr="00A14874">
        <w:t xml:space="preserve"> and </w:t>
      </w:r>
      <w:r w:rsidRPr="00E94BB2">
        <w:t>‘complaint’</w:t>
      </w:r>
      <w:r w:rsidRPr="00A14874">
        <w:t xml:space="preserve"> notifications to introduce a consistent approach to their management</w:t>
      </w:r>
      <w:r w:rsidR="001018AF">
        <w:t>.</w:t>
      </w:r>
    </w:p>
    <w:p w14:paraId="606C93A8" w14:textId="45EE5976" w:rsidR="00974263" w:rsidRDefault="00974263" w:rsidP="00200B12">
      <w:pPr>
        <w:pStyle w:val="BodyCopyNEW"/>
      </w:pPr>
      <w:r w:rsidRPr="00974263">
        <w:t xml:space="preserve">Objectively viewed, the </w:t>
      </w:r>
      <w:r w:rsidR="00A93FA4">
        <w:t>investigation</w:t>
      </w:r>
      <w:r w:rsidRPr="00974263">
        <w:t xml:space="preserve"> framework is well designed and cohesive with its various documents properly aligned, interfacing, sufficiently detailed, clear and understandable with accountability, responsibility and authority clearly articulated and assigned to individuals or bodies (e.g. NOPSEMA Compliance Committee)</w:t>
      </w:r>
      <w:r w:rsidR="00A93FA4">
        <w:t>. T</w:t>
      </w:r>
      <w:r w:rsidRPr="00974263">
        <w:t>he framework provides a systematic, thorough and consistent approach to the execution of NOPSEMA-wide investigations</w:t>
      </w:r>
      <w:r w:rsidR="00A93FA4">
        <w:t xml:space="preserve">, </w:t>
      </w:r>
      <w:r w:rsidRPr="00974263">
        <w:t>remov</w:t>
      </w:r>
      <w:r w:rsidR="00A93FA4">
        <w:t>ing</w:t>
      </w:r>
      <w:r w:rsidRPr="00974263">
        <w:t xml:space="preserve"> reliance or dependency upon corporate knowledge vested within individual NOPSEMA Inspectors.</w:t>
      </w:r>
    </w:p>
    <w:p w14:paraId="4D9EFEF5" w14:textId="77777777" w:rsidR="00CC6932" w:rsidRPr="00D07FB5" w:rsidRDefault="00CC6932" w:rsidP="00CC6932">
      <w:pPr>
        <w:pStyle w:val="Heading3NoNumber"/>
        <w:rPr>
          <w:rFonts w:cstheme="minorHAnsi"/>
        </w:rPr>
      </w:pPr>
      <w:r w:rsidRPr="00D07FB5">
        <w:t>The NOPSEMA Investigation Framework does not include a Causal Investigation Policy or similar</w:t>
      </w:r>
    </w:p>
    <w:p w14:paraId="199A600A" w14:textId="3E07E42D" w:rsidR="00CA2B4E" w:rsidRDefault="00AF2651" w:rsidP="00200B12">
      <w:pPr>
        <w:pStyle w:val="BodyCopyNEW"/>
      </w:pPr>
      <w:r w:rsidRPr="00AF2651">
        <w:t>However, t</w:t>
      </w:r>
      <w:r w:rsidR="00F87AE3" w:rsidRPr="00F87AE3">
        <w:t xml:space="preserve">he </w:t>
      </w:r>
      <w:r w:rsidR="005D4E4C">
        <w:t>i</w:t>
      </w:r>
      <w:r w:rsidR="00F87AE3" w:rsidRPr="00F87AE3">
        <w:t>nvestigation</w:t>
      </w:r>
      <w:r w:rsidR="00F87AE3" w:rsidRPr="00F87AE3" w:rsidDel="005D4E4C">
        <w:t xml:space="preserve"> </w:t>
      </w:r>
      <w:r w:rsidR="005D4E4C">
        <w:t>f</w:t>
      </w:r>
      <w:r w:rsidR="005D4E4C" w:rsidRPr="00F87AE3">
        <w:t>ramework</w:t>
      </w:r>
      <w:r w:rsidR="00F87AE3" w:rsidRPr="00F87AE3">
        <w:t xml:space="preserve"> does not include a </w:t>
      </w:r>
      <w:r w:rsidR="00F87AE3" w:rsidRPr="00F87AE3">
        <w:rPr>
          <w:i/>
          <w:iCs/>
        </w:rPr>
        <w:t>Causal Investigation Policy</w:t>
      </w:r>
      <w:r w:rsidR="00F87AE3" w:rsidRPr="00F87AE3">
        <w:t xml:space="preserve"> or similar, governing investigations directed toward identifying the causal factors of incidents, the effectiveness of the controls being used and what factors may have contributed to the failure of the controls, as distinct from investigations directed toward obtaining evidence for a prosecution – </w:t>
      </w:r>
      <w:r w:rsidR="5BE6845F">
        <w:t xml:space="preserve">whilst any compliance investigation with a potential for prosecution will need to consider causal factors contributing to a risk, in addition </w:t>
      </w:r>
      <w:r w:rsidR="00F87AE3" w:rsidRPr="00F87AE3">
        <w:t xml:space="preserve">such a policy is adopted by mature regulators to provide a clear and transparent distinction between collaborative investigations involving regulators and </w:t>
      </w:r>
      <w:r w:rsidR="00EA06AF">
        <w:t>title</w:t>
      </w:r>
      <w:r w:rsidR="00F87AE3" w:rsidRPr="00F87AE3">
        <w:t xml:space="preserve">holders to deliver fast and efficient lessons learnt for the benefit of industry, premised on trust that enforcement action will not be taken, and investigations directed toward prosecution (see </w:t>
      </w:r>
      <w:r w:rsidR="00F87AE3" w:rsidRPr="00F87AE3">
        <w:rPr>
          <w:i/>
          <w:iCs/>
        </w:rPr>
        <w:t>NSW Resources Regulator Causal Investigation Policy</w:t>
      </w:r>
      <w:r w:rsidR="00F87AE3" w:rsidRPr="00F87AE3">
        <w:t>)</w:t>
      </w:r>
      <w:r>
        <w:t>.</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A2548B" w:rsidRPr="004714A6" w14:paraId="16A28A95" w14:textId="77777777" w:rsidTr="003477BE">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0E7AC349" w14:textId="77777777" w:rsidR="00A2548B" w:rsidRPr="00726081" w:rsidRDefault="00A2548B" w:rsidP="003477BE">
            <w:pPr>
              <w:pStyle w:val="TableHeadingLeft"/>
              <w:rPr>
                <w:bCs/>
              </w:rPr>
            </w:pPr>
            <w:r w:rsidRPr="00726081">
              <w:rPr>
                <w:bCs/>
              </w:rPr>
              <w:t>Opportunity #1</w:t>
            </w:r>
          </w:p>
        </w:tc>
      </w:tr>
      <w:tr w:rsidR="00A2548B" w:rsidRPr="004714A6" w14:paraId="68AC6B58" w14:textId="77777777" w:rsidTr="003477BE">
        <w:tc>
          <w:tcPr>
            <w:tcW w:w="5000" w:type="pct"/>
            <w:tcBorders>
              <w:bottom w:val="nil"/>
            </w:tcBorders>
            <w:shd w:val="clear" w:color="auto" w:fill="F2F2F2" w:themeFill="background1" w:themeFillShade="F2"/>
          </w:tcPr>
          <w:p w14:paraId="74AB3F68" w14:textId="3DC9DD82" w:rsidR="00A2548B" w:rsidRPr="004714A6" w:rsidRDefault="00A2548B" w:rsidP="003477BE">
            <w:pPr>
              <w:pStyle w:val="BodyCopyNEW"/>
            </w:pPr>
            <w:r w:rsidRPr="00A2548B">
              <w:rPr>
                <w:szCs w:val="18"/>
              </w:rPr>
              <w:t xml:space="preserve">NOPSEMA is encouraged to develop and implement a ‘Causal Investigation Policy’, considering the substance of the NSW Resources Regulator </w:t>
            </w:r>
            <w:r w:rsidRPr="00A2548B">
              <w:rPr>
                <w:i/>
                <w:szCs w:val="18"/>
              </w:rPr>
              <w:t xml:space="preserve">Causal Investigation Policy </w:t>
            </w:r>
            <w:r w:rsidRPr="00A2548B">
              <w:rPr>
                <w:szCs w:val="18"/>
              </w:rPr>
              <w:t>as a starting point.</w:t>
            </w:r>
          </w:p>
        </w:tc>
      </w:tr>
    </w:tbl>
    <w:p w14:paraId="23C494F6" w14:textId="66B792FB" w:rsidR="00AC5AD8" w:rsidRDefault="00A44E6B" w:rsidP="00784E0E">
      <w:pPr>
        <w:pStyle w:val="Heading3"/>
        <w:numPr>
          <w:ilvl w:val="2"/>
          <w:numId w:val="1"/>
        </w:numPr>
      </w:pPr>
      <w:r>
        <w:t>I</w:t>
      </w:r>
      <w:r w:rsidR="00AC5AD8">
        <w:t>nvestigation categories</w:t>
      </w:r>
    </w:p>
    <w:p w14:paraId="67A7D02C" w14:textId="481EA585" w:rsidR="00CC6932" w:rsidRPr="00D07FB5" w:rsidRDefault="00CC6932" w:rsidP="00CC6932">
      <w:pPr>
        <w:pStyle w:val="Heading3NoNumber"/>
        <w:rPr>
          <w:rFonts w:cstheme="minorHAnsi"/>
        </w:rPr>
      </w:pPr>
      <w:r w:rsidRPr="00D07FB5">
        <w:t xml:space="preserve">The </w:t>
      </w:r>
      <w:r>
        <w:t xml:space="preserve">incidents ‘in scope’ of </w:t>
      </w:r>
      <w:r w:rsidRPr="00D07FB5">
        <w:t>NOPSEMA</w:t>
      </w:r>
      <w:r>
        <w:t>’s</w:t>
      </w:r>
      <w:r w:rsidRPr="00D07FB5">
        <w:t xml:space="preserve"> Investigation Framework </w:t>
      </w:r>
      <w:r>
        <w:t>are appropriately broad</w:t>
      </w:r>
    </w:p>
    <w:p w14:paraId="2E233AE4" w14:textId="363DC41B" w:rsidR="005C650B" w:rsidRPr="005C650B" w:rsidRDefault="005C650B" w:rsidP="00200B12">
      <w:pPr>
        <w:pStyle w:val="BodyCopyNEW"/>
      </w:pPr>
      <w:r w:rsidRPr="005C650B">
        <w:t xml:space="preserve">The type of incidents falling within the ambit of the </w:t>
      </w:r>
      <w:r w:rsidR="005D4E4C">
        <w:t xml:space="preserve">investigation </w:t>
      </w:r>
      <w:r w:rsidRPr="005C650B">
        <w:t>framework are appropriately broad. We found the following are ‘in scope’:</w:t>
      </w:r>
    </w:p>
    <w:p w14:paraId="18971180" w14:textId="77777777" w:rsidR="005C650B" w:rsidRPr="00AF7D9B" w:rsidRDefault="005C650B" w:rsidP="000C1F53">
      <w:pPr>
        <w:pStyle w:val="BodycopyNEW0"/>
        <w:numPr>
          <w:ilvl w:val="0"/>
          <w:numId w:val="23"/>
        </w:numPr>
        <w:ind w:left="378"/>
      </w:pPr>
      <w:r w:rsidRPr="00A14874">
        <w:t>All notifiable OHS accidents and dangerous occurrences, well integrity incidents</w:t>
      </w:r>
      <w:r>
        <w:t>,</w:t>
      </w:r>
      <w:r w:rsidRPr="00A14874">
        <w:t xml:space="preserve"> and reportable environmental management incidents</w:t>
      </w:r>
    </w:p>
    <w:p w14:paraId="768718B7" w14:textId="1F31BC04" w:rsidR="005C650B" w:rsidRPr="00A14874" w:rsidRDefault="005C650B" w:rsidP="000C1F53">
      <w:pPr>
        <w:pStyle w:val="BodycopyNEW0"/>
        <w:numPr>
          <w:ilvl w:val="0"/>
          <w:numId w:val="23"/>
        </w:numPr>
        <w:ind w:left="378"/>
      </w:pPr>
      <w:r w:rsidRPr="00A14874">
        <w:t xml:space="preserve">Complaints and information received in relation to a perceived shortfall of OHS, environmental management and/or well integrity performance of </w:t>
      </w:r>
      <w:r w:rsidR="00EA06AF">
        <w:t>title</w:t>
      </w:r>
      <w:r w:rsidRPr="00A14874">
        <w:t>holders</w:t>
      </w:r>
    </w:p>
    <w:p w14:paraId="37CC0DAE" w14:textId="2358D96F" w:rsidR="005C650B" w:rsidRDefault="005C650B" w:rsidP="000C1F53">
      <w:pPr>
        <w:pStyle w:val="BodycopyNEW0"/>
        <w:numPr>
          <w:ilvl w:val="0"/>
          <w:numId w:val="23"/>
        </w:numPr>
        <w:ind w:left="378"/>
      </w:pPr>
      <w:r w:rsidRPr="00A14874">
        <w:t>Where relevant</w:t>
      </w:r>
      <w:r>
        <w:t>,</w:t>
      </w:r>
      <w:r w:rsidRPr="00A14874">
        <w:t xml:space="preserve"> information is obtained by NOPSEMA by any other means suggesting there may be harm or non-compliance occurring within the industry.</w:t>
      </w:r>
    </w:p>
    <w:p w14:paraId="229A30DF" w14:textId="5E6B6413" w:rsidR="004D3E38" w:rsidRDefault="004D3E38" w:rsidP="00200B12">
      <w:pPr>
        <w:pStyle w:val="BodyCopyNEW"/>
      </w:pPr>
      <w:r>
        <w:t>The</w:t>
      </w:r>
      <w:r w:rsidR="00F660FF">
        <w:t>re are</w:t>
      </w:r>
      <w:r>
        <w:t xml:space="preserve"> four levels of incident investigation</w:t>
      </w:r>
      <w:r w:rsidR="005D4E4C">
        <w:t>,</w:t>
      </w:r>
      <w:r>
        <w:t xml:space="preserve"> </w:t>
      </w:r>
      <w:r w:rsidR="00F660FF">
        <w:t>as detailed in</w:t>
      </w:r>
      <w:r w:rsidR="00EC0233">
        <w:rPr>
          <w:b/>
          <w:bCs/>
        </w:rPr>
        <w:t xml:space="preserve"> </w:t>
      </w:r>
      <w:r w:rsidR="00EC0233" w:rsidRPr="00EC0233">
        <w:rPr>
          <w:b/>
          <w:bCs/>
        </w:rPr>
        <w:fldChar w:fldCharType="begin"/>
      </w:r>
      <w:r w:rsidR="00EC0233" w:rsidRPr="00EC0233">
        <w:rPr>
          <w:b/>
          <w:bCs/>
        </w:rPr>
        <w:instrText xml:space="preserve"> REF _Ref58445577 \h  \* MERGEFORMAT </w:instrText>
      </w:r>
      <w:r w:rsidR="00EC0233" w:rsidRPr="00EC0233">
        <w:rPr>
          <w:b/>
          <w:bCs/>
        </w:rPr>
      </w:r>
      <w:r w:rsidR="00EC0233" w:rsidRPr="00EC0233">
        <w:rPr>
          <w:b/>
          <w:bCs/>
        </w:rPr>
        <w:fldChar w:fldCharType="separate"/>
      </w:r>
      <w:r w:rsidR="00E816B8" w:rsidRPr="00E816B8">
        <w:rPr>
          <w:b/>
          <w:bCs/>
        </w:rPr>
        <w:t xml:space="preserve">Table </w:t>
      </w:r>
      <w:r w:rsidR="00E816B8" w:rsidRPr="00E816B8">
        <w:rPr>
          <w:b/>
          <w:bCs/>
          <w:noProof/>
        </w:rPr>
        <w:t>6.2</w:t>
      </w:r>
      <w:r w:rsidR="00EC0233" w:rsidRPr="00EC0233">
        <w:rPr>
          <w:b/>
          <w:bCs/>
        </w:rPr>
        <w:fldChar w:fldCharType="end"/>
      </w:r>
      <w:r w:rsidR="00F660FF">
        <w:t>.</w:t>
      </w:r>
    </w:p>
    <w:p w14:paraId="47BB242B" w14:textId="5F249674" w:rsidR="00F660FF" w:rsidRDefault="00EC0233" w:rsidP="00E25B4F">
      <w:pPr>
        <w:pStyle w:val="Caption"/>
        <w:keepNext/>
      </w:pPr>
      <w:bookmarkStart w:id="55" w:name="_Ref58445577"/>
      <w:r>
        <w:t xml:space="preserve">Table </w:t>
      </w:r>
      <w:r w:rsidR="00F8476B">
        <w:fldChar w:fldCharType="begin"/>
      </w:r>
      <w:r w:rsidR="00F8476B">
        <w:instrText xml:space="preserve"> STYLEREF 1 \s </w:instrText>
      </w:r>
      <w:r w:rsidR="00F8476B">
        <w:fldChar w:fldCharType="separate"/>
      </w:r>
      <w:r w:rsidR="00E816B8">
        <w:rPr>
          <w:noProof/>
        </w:rPr>
        <w:t>6</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2</w:t>
      </w:r>
      <w:r w:rsidR="00F8476B">
        <w:fldChar w:fldCharType="end"/>
      </w:r>
      <w:bookmarkEnd w:id="55"/>
      <w:r>
        <w:t>: NOPSEMA’s four levels of incident investigation</w:t>
      </w:r>
    </w:p>
    <w:tbl>
      <w:tblPr>
        <w:tblStyle w:val="ListTable3-Accent3"/>
        <w:tblW w:w="9918"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846"/>
        <w:gridCol w:w="9072"/>
      </w:tblGrid>
      <w:tr w:rsidR="004D3E38" w14:paraId="77DC8E1B" w14:textId="77777777" w:rsidTr="00DC03D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846" w:type="dxa"/>
            <w:tcBorders>
              <w:top w:val="single" w:sz="8" w:space="0" w:color="007680"/>
              <w:bottom w:val="single" w:sz="8" w:space="0" w:color="007680"/>
            </w:tcBorders>
            <w:shd w:val="clear" w:color="auto" w:fill="auto"/>
          </w:tcPr>
          <w:p w14:paraId="4FC55B9E" w14:textId="43BAF079" w:rsidR="004D3E38" w:rsidRPr="00DC03D5" w:rsidRDefault="004D3E38" w:rsidP="00DC03D5">
            <w:pPr>
              <w:pStyle w:val="Tableheader"/>
              <w:rPr>
                <w:b/>
                <w:bCs/>
              </w:rPr>
            </w:pPr>
            <w:r w:rsidRPr="00DC03D5">
              <w:rPr>
                <w:b/>
                <w:bCs/>
              </w:rPr>
              <w:t>Level</w:t>
            </w:r>
          </w:p>
        </w:tc>
        <w:tc>
          <w:tcPr>
            <w:tcW w:w="9072" w:type="dxa"/>
            <w:tcBorders>
              <w:top w:val="single" w:sz="8" w:space="0" w:color="007680"/>
              <w:bottom w:val="single" w:sz="8" w:space="0" w:color="007680"/>
            </w:tcBorders>
            <w:shd w:val="clear" w:color="auto" w:fill="auto"/>
          </w:tcPr>
          <w:p w14:paraId="1DE1BB56" w14:textId="746A23DD" w:rsidR="004D3E38" w:rsidRPr="00DC03D5" w:rsidRDefault="00030CDE" w:rsidP="00DC03D5">
            <w:pPr>
              <w:pStyle w:val="Tableheader"/>
              <w:cnfStyle w:val="100000000000" w:firstRow="1" w:lastRow="0" w:firstColumn="0" w:lastColumn="0" w:oddVBand="0" w:evenVBand="0" w:oddHBand="0" w:evenHBand="0" w:firstRowFirstColumn="0" w:firstRowLastColumn="0" w:lastRowFirstColumn="0" w:lastRowLastColumn="0"/>
              <w:rPr>
                <w:b/>
                <w:bCs/>
              </w:rPr>
            </w:pPr>
            <w:r w:rsidRPr="00DC03D5">
              <w:rPr>
                <w:b/>
                <w:bCs/>
              </w:rPr>
              <w:t>Trigger</w:t>
            </w:r>
          </w:p>
        </w:tc>
      </w:tr>
      <w:tr w:rsidR="004D3E38" w14:paraId="4B158F06" w14:textId="77777777" w:rsidTr="00DC0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8" w:space="0" w:color="007680"/>
              <w:bottom w:val="single" w:sz="4" w:space="0" w:color="BFBFBF" w:themeColor="background1" w:themeShade="BF"/>
            </w:tcBorders>
            <w:shd w:val="clear" w:color="auto" w:fill="auto"/>
          </w:tcPr>
          <w:p w14:paraId="6344A707" w14:textId="47516D15" w:rsidR="004D3E38" w:rsidRPr="00E94BB2" w:rsidRDefault="00030CDE" w:rsidP="00DC03D5">
            <w:pPr>
              <w:pStyle w:val="BodyCopyNEW"/>
            </w:pPr>
            <w:r w:rsidRPr="005D4E4C">
              <w:t>1</w:t>
            </w:r>
          </w:p>
        </w:tc>
        <w:tc>
          <w:tcPr>
            <w:tcW w:w="9072" w:type="dxa"/>
            <w:tcBorders>
              <w:top w:val="single" w:sz="8" w:space="0" w:color="007680"/>
              <w:bottom w:val="single" w:sz="4" w:space="0" w:color="BFBFBF" w:themeColor="background1" w:themeShade="BF"/>
            </w:tcBorders>
            <w:shd w:val="clear" w:color="auto" w:fill="auto"/>
          </w:tcPr>
          <w:p w14:paraId="12A7A58C" w14:textId="77777777" w:rsidR="008B2760" w:rsidRDefault="002B47D6" w:rsidP="00DC03D5">
            <w:pPr>
              <w:pStyle w:val="BodyCopyNEW"/>
              <w:cnfStyle w:val="000000100000" w:firstRow="0" w:lastRow="0" w:firstColumn="0" w:lastColumn="0" w:oddVBand="0" w:evenVBand="0" w:oddHBand="1" w:evenHBand="0" w:firstRowFirstColumn="0" w:firstRowLastColumn="0" w:lastRowFirstColumn="0" w:lastRowLastColumn="0"/>
              <w:rPr>
                <w:rFonts w:cstheme="minorHAnsi"/>
              </w:rPr>
            </w:pPr>
            <w:r w:rsidRPr="000F3029">
              <w:rPr>
                <w:rFonts w:cstheme="minorHAnsi"/>
              </w:rPr>
              <w:t>A Level 1 Investigation will be conducted for</w:t>
            </w:r>
            <w:r w:rsidR="001C2472">
              <w:rPr>
                <w:rFonts w:cstheme="minorHAnsi"/>
              </w:rPr>
              <w:t xml:space="preserve"> all </w:t>
            </w:r>
            <w:r w:rsidRPr="00B43E43">
              <w:rPr>
                <w:rFonts w:cstheme="minorHAnsi"/>
              </w:rPr>
              <w:t>incidents.</w:t>
            </w:r>
            <w:r w:rsidR="00DF2325">
              <w:rPr>
                <w:rFonts w:cstheme="minorHAnsi"/>
              </w:rPr>
              <w:t xml:space="preserve"> </w:t>
            </w:r>
          </w:p>
          <w:p w14:paraId="5A10C550" w14:textId="3BB4ACCE" w:rsidR="004D3E38" w:rsidRDefault="00DF2325" w:rsidP="00DC03D5">
            <w:pPr>
              <w:pStyle w:val="BodyCopyNEW"/>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inspector will r</w:t>
            </w:r>
            <w:r w:rsidRPr="00DF2325">
              <w:rPr>
                <w:rFonts w:cstheme="minorHAnsi"/>
              </w:rPr>
              <w:t xml:space="preserve">eview intelligence gathered by or information provided to NOPSEMA to determine the consequence (actual or potential) of the incident or circumstances and determine whether appropriate action is terms of a response is being taken by the </w:t>
            </w:r>
            <w:r w:rsidR="00EA06AF">
              <w:rPr>
                <w:rFonts w:cstheme="minorHAnsi"/>
              </w:rPr>
              <w:t>title</w:t>
            </w:r>
            <w:r w:rsidRPr="00DF2325">
              <w:rPr>
                <w:rFonts w:cstheme="minorHAnsi"/>
              </w:rPr>
              <w:t>holder</w:t>
            </w:r>
            <w:r>
              <w:rPr>
                <w:rFonts w:cstheme="minorHAnsi"/>
              </w:rPr>
              <w:t>.</w:t>
            </w:r>
          </w:p>
          <w:p w14:paraId="3E046EA5" w14:textId="0D5AD084" w:rsidR="00EA5CCE" w:rsidRPr="002748C8" w:rsidRDefault="00EA5CCE" w:rsidP="00DC03D5">
            <w:pPr>
              <w:pStyle w:val="BodyCopyNEW"/>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 xml:space="preserve">The investigation is coordinated by an inspector with support from a RON. If there is not enough information, it will automatically </w:t>
            </w:r>
            <w:r w:rsidR="002666CB">
              <w:rPr>
                <w:rFonts w:cstheme="minorHAnsi"/>
              </w:rPr>
              <w:t xml:space="preserve">be </w:t>
            </w:r>
            <w:r>
              <w:rPr>
                <w:rFonts w:cstheme="minorHAnsi"/>
              </w:rPr>
              <w:t xml:space="preserve">escalated to a </w:t>
            </w:r>
            <w:r w:rsidR="0072665F">
              <w:rPr>
                <w:rFonts w:cstheme="minorHAnsi"/>
              </w:rPr>
              <w:t>L</w:t>
            </w:r>
            <w:r>
              <w:rPr>
                <w:rFonts w:cstheme="minorHAnsi"/>
              </w:rPr>
              <w:t>evel 2.</w:t>
            </w:r>
            <w:r w:rsidR="00A90FC7">
              <w:rPr>
                <w:rFonts w:cstheme="minorHAnsi"/>
              </w:rPr>
              <w:t xml:space="preserve"> No report is required.</w:t>
            </w:r>
          </w:p>
        </w:tc>
      </w:tr>
      <w:tr w:rsidR="004D3E38" w14:paraId="445426CF" w14:textId="77777777" w:rsidTr="00DC03D5">
        <w:trPr>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shd w:val="clear" w:color="auto" w:fill="auto"/>
          </w:tcPr>
          <w:p w14:paraId="151CC647" w14:textId="19D29CAB" w:rsidR="004D3E38" w:rsidRPr="00E94BB2" w:rsidRDefault="00030CDE" w:rsidP="00DC03D5">
            <w:pPr>
              <w:pStyle w:val="BodyCopyNEW"/>
            </w:pPr>
            <w:r w:rsidRPr="005D4E4C">
              <w:lastRenderedPageBreak/>
              <w:t>2</w:t>
            </w:r>
          </w:p>
        </w:tc>
        <w:tc>
          <w:tcPr>
            <w:tcW w:w="9072" w:type="dxa"/>
            <w:tcBorders>
              <w:top w:val="single" w:sz="4" w:space="0" w:color="BFBFBF" w:themeColor="background1" w:themeShade="BF"/>
              <w:bottom w:val="single" w:sz="4" w:space="0" w:color="BFBFBF" w:themeColor="background1" w:themeShade="BF"/>
            </w:tcBorders>
            <w:shd w:val="clear" w:color="auto" w:fill="auto"/>
          </w:tcPr>
          <w:p w14:paraId="2BD4B4CB" w14:textId="6FFE1937" w:rsidR="004D3E38" w:rsidRDefault="002B47D6" w:rsidP="00DC03D5">
            <w:pPr>
              <w:pStyle w:val="BodyCopyNEW"/>
              <w:cnfStyle w:val="000000000000" w:firstRow="0" w:lastRow="0" w:firstColumn="0" w:lastColumn="0" w:oddVBand="0" w:evenVBand="0" w:oddHBand="0" w:evenHBand="0" w:firstRowFirstColumn="0" w:firstRowLastColumn="0" w:lastRowFirstColumn="0" w:lastRowLastColumn="0"/>
              <w:rPr>
                <w:rFonts w:cstheme="minorHAnsi"/>
              </w:rPr>
            </w:pPr>
            <w:r w:rsidRPr="00503491">
              <w:rPr>
                <w:rFonts w:cstheme="minorHAnsi"/>
              </w:rPr>
              <w:t xml:space="preserve">A </w:t>
            </w:r>
            <w:r w:rsidR="000E7AFA">
              <w:rPr>
                <w:rFonts w:cstheme="minorHAnsi"/>
              </w:rPr>
              <w:t>L</w:t>
            </w:r>
            <w:r w:rsidRPr="00503491">
              <w:rPr>
                <w:rFonts w:cstheme="minorHAnsi"/>
              </w:rPr>
              <w:t xml:space="preserve">evel 2 Investigation will be initiated by a RON </w:t>
            </w:r>
            <w:r w:rsidR="00740CB5">
              <w:rPr>
                <w:rFonts w:cstheme="minorHAnsi"/>
              </w:rPr>
              <w:t xml:space="preserve">upon </w:t>
            </w:r>
            <w:r w:rsidRPr="00503491">
              <w:rPr>
                <w:rFonts w:cstheme="minorHAnsi"/>
              </w:rPr>
              <w:t>endorsement of a recommendation as an outcome of a Level 1 Investigation or as a direction from the NOPSEMA CEO (via the NOPSEMA Compliance Committee).</w:t>
            </w:r>
          </w:p>
          <w:p w14:paraId="225AE975" w14:textId="26FF110C" w:rsidR="002666CB" w:rsidRPr="002666CB" w:rsidRDefault="002666CB" w:rsidP="00DC03D5">
            <w:pPr>
              <w:pStyle w:val="BodyCopyNEW"/>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inspector is to c</w:t>
            </w:r>
            <w:r w:rsidRPr="002666CB">
              <w:rPr>
                <w:rFonts w:cstheme="minorHAnsi"/>
              </w:rPr>
              <w:t xml:space="preserve">ollect first-hand information to quickly understand the consequence and immediate risks of the incident/circumstances and determine if appropriate actions are being taken to return </w:t>
            </w:r>
            <w:r w:rsidR="00EA06AF">
              <w:rPr>
                <w:rFonts w:cstheme="minorHAnsi"/>
              </w:rPr>
              <w:t>title</w:t>
            </w:r>
            <w:r w:rsidRPr="002666CB">
              <w:rPr>
                <w:rFonts w:cstheme="minorHAnsi"/>
              </w:rPr>
              <w:t xml:space="preserve">holder to compliance and prevent reoccurrence based on the information available to the </w:t>
            </w:r>
            <w:r w:rsidR="00EA06AF">
              <w:rPr>
                <w:rFonts w:cstheme="minorHAnsi"/>
              </w:rPr>
              <w:t>titleh</w:t>
            </w:r>
            <w:r w:rsidRPr="002666CB">
              <w:rPr>
                <w:rFonts w:cstheme="minorHAnsi"/>
              </w:rPr>
              <w:t xml:space="preserve">older at that point in time. </w:t>
            </w:r>
          </w:p>
          <w:p w14:paraId="77F31AB2" w14:textId="4AA9FB3F" w:rsidR="002666CB" w:rsidRPr="00503491" w:rsidRDefault="00181866" w:rsidP="00DC03D5">
            <w:pPr>
              <w:pStyle w:val="BodyCopyNEW"/>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A scope for investigation is required, and typically requires up to five days of inspector effort. A </w:t>
            </w:r>
            <w:r w:rsidR="003145CC">
              <w:rPr>
                <w:rFonts w:cstheme="minorHAnsi"/>
              </w:rPr>
              <w:t>one-page</w:t>
            </w:r>
            <w:r>
              <w:rPr>
                <w:rFonts w:cstheme="minorHAnsi"/>
              </w:rPr>
              <w:t xml:space="preserve"> report is required, with recommendations </w:t>
            </w:r>
            <w:r w:rsidR="003145CC">
              <w:rPr>
                <w:rFonts w:cstheme="minorHAnsi"/>
              </w:rPr>
              <w:t>made to escalate. Enforcement actions may be required.</w:t>
            </w:r>
          </w:p>
        </w:tc>
      </w:tr>
      <w:tr w:rsidR="004D3E38" w14:paraId="1E125142" w14:textId="77777777" w:rsidTr="00DC03D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shd w:val="clear" w:color="auto" w:fill="auto"/>
          </w:tcPr>
          <w:p w14:paraId="6B61AEAF" w14:textId="3FD0FE06" w:rsidR="004D3E38" w:rsidRPr="00E94BB2" w:rsidRDefault="00030CDE" w:rsidP="00DC03D5">
            <w:pPr>
              <w:pStyle w:val="BodyCopyNEW"/>
            </w:pPr>
            <w:r w:rsidRPr="005D4E4C">
              <w:t>3</w:t>
            </w:r>
          </w:p>
        </w:tc>
        <w:tc>
          <w:tcPr>
            <w:tcW w:w="9072" w:type="dxa"/>
            <w:tcBorders>
              <w:top w:val="single" w:sz="4" w:space="0" w:color="BFBFBF" w:themeColor="background1" w:themeShade="BF"/>
              <w:bottom w:val="single" w:sz="4" w:space="0" w:color="BFBFBF" w:themeColor="background1" w:themeShade="BF"/>
            </w:tcBorders>
            <w:shd w:val="clear" w:color="auto" w:fill="auto"/>
          </w:tcPr>
          <w:p w14:paraId="69CE6F8C" w14:textId="77777777" w:rsidR="004D3E38" w:rsidRDefault="002B47D6" w:rsidP="00DC03D5">
            <w:pPr>
              <w:pStyle w:val="BodyCopyNEW"/>
              <w:cnfStyle w:val="000000100000" w:firstRow="0" w:lastRow="0" w:firstColumn="0" w:lastColumn="0" w:oddVBand="0" w:evenVBand="0" w:oddHBand="1" w:evenHBand="0" w:firstRowFirstColumn="0" w:firstRowLastColumn="0" w:lastRowFirstColumn="0" w:lastRowLastColumn="0"/>
              <w:rPr>
                <w:rFonts w:cstheme="minorHAnsi"/>
              </w:rPr>
            </w:pPr>
            <w:r w:rsidRPr="002748C8">
              <w:rPr>
                <w:rFonts w:cstheme="minorHAnsi"/>
              </w:rPr>
              <w:t xml:space="preserve">A Level 3 Investigation will be initiated by </w:t>
            </w:r>
            <w:r w:rsidR="003C204B">
              <w:rPr>
                <w:rFonts w:cstheme="minorHAnsi"/>
              </w:rPr>
              <w:t>a RON upon endorsement of</w:t>
            </w:r>
            <w:r w:rsidRPr="002748C8">
              <w:rPr>
                <w:rFonts w:cstheme="minorHAnsi"/>
              </w:rPr>
              <w:t xml:space="preserve"> </w:t>
            </w:r>
            <w:r w:rsidR="003C204B">
              <w:rPr>
                <w:rFonts w:cstheme="minorHAnsi"/>
              </w:rPr>
              <w:t xml:space="preserve">a </w:t>
            </w:r>
            <w:r w:rsidRPr="002748C8">
              <w:rPr>
                <w:rFonts w:cstheme="minorHAnsi"/>
              </w:rPr>
              <w:t xml:space="preserve">recommendation </w:t>
            </w:r>
            <w:r w:rsidR="003C204B">
              <w:rPr>
                <w:rFonts w:cstheme="minorHAnsi"/>
              </w:rPr>
              <w:t>as an outcome</w:t>
            </w:r>
            <w:r w:rsidRPr="002748C8">
              <w:rPr>
                <w:rFonts w:cstheme="minorHAnsi"/>
              </w:rPr>
              <w:t xml:space="preserve"> from a Level 1 or Level 2 Investigation or as a direction from the CEO (via the Compliance Committee).</w:t>
            </w:r>
          </w:p>
          <w:p w14:paraId="7655F1ED" w14:textId="3EF2F592" w:rsidR="009330B3" w:rsidRPr="009330B3" w:rsidRDefault="009330B3" w:rsidP="00DC03D5">
            <w:pPr>
              <w:pStyle w:val="BodyCopyNEW"/>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purpose is t</w:t>
            </w:r>
            <w:r w:rsidRPr="009330B3">
              <w:rPr>
                <w:rFonts w:cstheme="minorHAnsi"/>
              </w:rPr>
              <w:t xml:space="preserve">o understand, in detail, the factors leading to the incident/circumstances and response actions taken by a </w:t>
            </w:r>
            <w:r w:rsidR="00EA06AF">
              <w:rPr>
                <w:rFonts w:cstheme="minorHAnsi"/>
              </w:rPr>
              <w:t>title</w:t>
            </w:r>
            <w:r w:rsidRPr="009330B3">
              <w:rPr>
                <w:rFonts w:cstheme="minorHAnsi"/>
              </w:rPr>
              <w:t>holder.</w:t>
            </w:r>
            <w:r>
              <w:rPr>
                <w:rFonts w:cstheme="minorHAnsi"/>
              </w:rPr>
              <w:t xml:space="preserve"> The inspector is to d</w:t>
            </w:r>
            <w:r w:rsidRPr="009330B3">
              <w:rPr>
                <w:rFonts w:cstheme="minorHAnsi"/>
              </w:rPr>
              <w:t xml:space="preserve">etermine if the actions undertaken by the </w:t>
            </w:r>
            <w:r w:rsidR="00EA06AF">
              <w:rPr>
                <w:rFonts w:cstheme="minorHAnsi"/>
              </w:rPr>
              <w:t>title</w:t>
            </w:r>
            <w:r w:rsidRPr="009330B3">
              <w:rPr>
                <w:rFonts w:cstheme="minorHAnsi"/>
              </w:rPr>
              <w:t>holder in responding to the incident/circumstances (both immediate and to prevent reoccurrence) were appropriate and what lessons might be shared with industry more broadly.</w:t>
            </w:r>
          </w:p>
          <w:p w14:paraId="5A2EF62D" w14:textId="354AAF58" w:rsidR="009330B3" w:rsidRPr="009330B3" w:rsidRDefault="009330B3" w:rsidP="00DC03D5">
            <w:pPr>
              <w:pStyle w:val="BodyCopyNEW"/>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The inspector must</w:t>
            </w:r>
            <w:r w:rsidRPr="009330B3">
              <w:rPr>
                <w:rFonts w:cstheme="minorHAnsi"/>
              </w:rPr>
              <w:t xml:space="preserve"> gather sufficient evidence to establish whether or not an offence has been committed against relevant legislation.</w:t>
            </w:r>
          </w:p>
          <w:p w14:paraId="08C8E553" w14:textId="67A617DE" w:rsidR="009330B3" w:rsidRPr="002748C8" w:rsidRDefault="00B17C34" w:rsidP="00DC03D5">
            <w:pPr>
              <w:pStyle w:val="BodyCopyNEW"/>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 scope for investigation is required and will require significant investigator effort. A report is required. Enforcement actions may be required.</w:t>
            </w:r>
          </w:p>
        </w:tc>
      </w:tr>
      <w:tr w:rsidR="004D3E38" w14:paraId="5FB25188" w14:textId="77777777" w:rsidTr="00DC03D5">
        <w:trPr>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shd w:val="clear" w:color="auto" w:fill="auto"/>
          </w:tcPr>
          <w:p w14:paraId="3FC41BFB" w14:textId="4FAE04F8" w:rsidR="004D3E38" w:rsidRPr="00E94BB2" w:rsidRDefault="00030CDE" w:rsidP="00DC03D5">
            <w:pPr>
              <w:pStyle w:val="BodyCopyNEW"/>
            </w:pPr>
            <w:r w:rsidRPr="005D4E4C">
              <w:t>4</w:t>
            </w:r>
          </w:p>
        </w:tc>
        <w:tc>
          <w:tcPr>
            <w:tcW w:w="9072" w:type="dxa"/>
            <w:tcBorders>
              <w:top w:val="single" w:sz="4" w:space="0" w:color="BFBFBF" w:themeColor="background1" w:themeShade="BF"/>
              <w:bottom w:val="single" w:sz="4" w:space="0" w:color="BFBFBF" w:themeColor="background1" w:themeShade="BF"/>
            </w:tcBorders>
            <w:shd w:val="clear" w:color="auto" w:fill="auto"/>
          </w:tcPr>
          <w:p w14:paraId="603676EE" w14:textId="77777777" w:rsidR="004D3E38" w:rsidRDefault="002B47D6" w:rsidP="00DC03D5">
            <w:pPr>
              <w:pStyle w:val="BodyCopyNEW"/>
              <w:cnfStyle w:val="000000000000" w:firstRow="0" w:lastRow="0" w:firstColumn="0" w:lastColumn="0" w:oddVBand="0" w:evenVBand="0" w:oddHBand="0" w:evenHBand="0" w:firstRowFirstColumn="0" w:firstRowLastColumn="0" w:lastRowFirstColumn="0" w:lastRowLastColumn="0"/>
              <w:rPr>
                <w:rFonts w:cstheme="minorHAnsi"/>
              </w:rPr>
            </w:pPr>
            <w:r w:rsidRPr="002748C8">
              <w:rPr>
                <w:rFonts w:cstheme="minorHAnsi"/>
              </w:rPr>
              <w:t>A Level 4 Investigation will be conducted as a result of a recommendation from a Level 1, Level 2 or Level 3 Investigation being approved by the CEO or when initiated as a direction from the CEO (in both cases via the NOPSEMA Compliance Committee).</w:t>
            </w:r>
          </w:p>
          <w:p w14:paraId="76EF919E" w14:textId="14ADEB4D" w:rsidR="00C61FCC" w:rsidRPr="002748C8" w:rsidRDefault="00C61FCC" w:rsidP="00DC03D5">
            <w:pPr>
              <w:pStyle w:val="BodyCopyNEW"/>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The most detailed and significant form of investigation. The inspector, h</w:t>
            </w:r>
            <w:r w:rsidRPr="00C61FCC">
              <w:rPr>
                <w:rFonts w:cstheme="minorHAnsi"/>
              </w:rPr>
              <w:t>aving determined the detailed facts of an incident/circumstances, including the impact on all parties and associated culpabilities (organisations and individuals), gather additional evidence (if required) to support and prove a breach of specific legislation has occurred and compile civil or criminal prosecution briefs (where applicable)</w:t>
            </w:r>
            <w:r w:rsidR="0075317F">
              <w:rPr>
                <w:rFonts w:cstheme="minorHAnsi"/>
              </w:rPr>
              <w:t>.</w:t>
            </w:r>
          </w:p>
        </w:tc>
      </w:tr>
    </w:tbl>
    <w:p w14:paraId="7FA995F0" w14:textId="567F4B17" w:rsidR="002722B8" w:rsidRPr="002722B8" w:rsidRDefault="002722B8" w:rsidP="004D5426">
      <w:pPr>
        <w:pStyle w:val="Caption"/>
        <w:rPr>
          <w:b w:val="0"/>
          <w:bCs/>
          <w:i/>
          <w:iCs w:val="0"/>
          <w:color w:val="75787B" w:themeColor="accent6"/>
        </w:rPr>
      </w:pPr>
      <w:r w:rsidRPr="002722B8">
        <w:rPr>
          <w:b w:val="0"/>
          <w:bCs/>
          <w:i/>
          <w:iCs w:val="0"/>
          <w:color w:val="75787B" w:themeColor="accent6"/>
        </w:rPr>
        <w:t xml:space="preserve">Source: </w:t>
      </w:r>
      <w:r w:rsidR="00300717" w:rsidRPr="00300717">
        <w:rPr>
          <w:b w:val="0"/>
          <w:bCs/>
          <w:i/>
          <w:iCs w:val="0"/>
          <w:color w:val="75787B" w:themeColor="accent6"/>
        </w:rPr>
        <w:t>Deloitte analysis adapted from NOPSEMA data</w:t>
      </w:r>
    </w:p>
    <w:p w14:paraId="41D1318A" w14:textId="1B50A3D3" w:rsidR="00D85868" w:rsidRPr="00D85868" w:rsidRDefault="0075317F" w:rsidP="00D4602F">
      <w:pPr>
        <w:pStyle w:val="BodyCopyNEW"/>
        <w:spacing w:before="120"/>
      </w:pPr>
      <w:r>
        <w:t xml:space="preserve">NOPSEMA analysed </w:t>
      </w:r>
      <w:r w:rsidR="00A11FB2">
        <w:t>its</w:t>
      </w:r>
      <w:r>
        <w:t xml:space="preserve"> investigations against the new investigation model above for the 2019 calendar year and re-categorised </w:t>
      </w:r>
      <w:r w:rsidR="00407354">
        <w:t>the investigations. In total</w:t>
      </w:r>
      <w:r w:rsidR="00654EE3">
        <w:t>,</w:t>
      </w:r>
      <w:r w:rsidR="00407354">
        <w:t xml:space="preserve"> 577 notifications were received by industry</w:t>
      </w:r>
      <w:r w:rsidR="00A11FB2">
        <w:t>, with only one level four investigation triggered.</w:t>
      </w:r>
    </w:p>
    <w:p w14:paraId="62A6C7AB" w14:textId="29E3137F" w:rsidR="002D66BE" w:rsidRPr="002D66BE" w:rsidRDefault="002D66BE" w:rsidP="00DC03D5">
      <w:pPr>
        <w:pStyle w:val="BodyCopyNEW"/>
      </w:pPr>
      <w:r w:rsidRPr="002D66BE">
        <w:t xml:space="preserve">The </w:t>
      </w:r>
      <w:r w:rsidR="00030CDE">
        <w:t>four incident investigation</w:t>
      </w:r>
      <w:r w:rsidRPr="002D66BE">
        <w:t xml:space="preserve"> levels, each with variable effort in terms of response</w:t>
      </w:r>
      <w:r w:rsidR="00233AA3">
        <w:t xml:space="preserve">, </w:t>
      </w:r>
      <w:r w:rsidRPr="002D66BE">
        <w:t>resource allocation, timeframes</w:t>
      </w:r>
      <w:r w:rsidR="00233AA3">
        <w:t>,</w:t>
      </w:r>
      <w:r w:rsidRPr="002D66BE">
        <w:t xml:space="preserve"> and outcomes, delivers a </w:t>
      </w:r>
      <w:r w:rsidR="00233AA3" w:rsidRPr="002D66BE">
        <w:t>practical</w:t>
      </w:r>
      <w:r w:rsidRPr="002D66BE">
        <w:t xml:space="preserve"> ‘real world’ approach to the allocation of finite resources (</w:t>
      </w:r>
      <w:r w:rsidR="00E64423">
        <w:t xml:space="preserve">i.e. </w:t>
      </w:r>
      <w:r w:rsidRPr="002D66BE">
        <w:t xml:space="preserve">NOPSEMA Inspectors) with decision-making informed by appropriate factors. </w:t>
      </w:r>
      <w:r w:rsidR="00695F6B">
        <w:t xml:space="preserve">The model is supported by the </w:t>
      </w:r>
      <w:r w:rsidRPr="00E94BB2">
        <w:rPr>
          <w:i/>
        </w:rPr>
        <w:t>NOPSEMA Investigation Level Determination Tool</w:t>
      </w:r>
      <w:r w:rsidR="00695F6B">
        <w:t xml:space="preserve">, which </w:t>
      </w:r>
      <w:r w:rsidRPr="002D66BE">
        <w:t xml:space="preserve">adopts a risk-based approach, with both actual and potential consequence and likelihood of an incident considered (i.e. risk as well as outcome connected to an incident). There is also consideration of ‘responsible party’ factors regardless of an incident – enforcement </w:t>
      </w:r>
      <w:r w:rsidR="00695F6B">
        <w:t xml:space="preserve">and </w:t>
      </w:r>
      <w:r w:rsidRPr="002D66BE">
        <w:t>compliance history, relevant incident history</w:t>
      </w:r>
      <w:r w:rsidR="00695F6B">
        <w:t>,</w:t>
      </w:r>
      <w:r w:rsidRPr="002D66BE">
        <w:t xml:space="preserve"> and level of co-operation in general with NOPSEMA by </w:t>
      </w:r>
      <w:r w:rsidR="00EA06AF">
        <w:t>title</w:t>
      </w:r>
      <w:r w:rsidRPr="002D66BE">
        <w:t>holders</w:t>
      </w:r>
      <w:r w:rsidR="00695F6B">
        <w:t>. All of these factors lead to the investigation determination.</w:t>
      </w:r>
    </w:p>
    <w:p w14:paraId="1429F739" w14:textId="196CD0CF" w:rsidR="00065122" w:rsidRPr="00A14874" w:rsidRDefault="00065122" w:rsidP="00DC03D5">
      <w:pPr>
        <w:pStyle w:val="BodyCopyNEW"/>
      </w:pPr>
      <w:r w:rsidRPr="00A14874">
        <w:t xml:space="preserve">It is observed, by way of context, that NOPSEMA has historically not undertaken many comprehensive investigations for breaches of the OHS, environmental or well integrity laws. </w:t>
      </w:r>
      <w:r>
        <w:t>For example, i</w:t>
      </w:r>
      <w:r w:rsidRPr="00A14874">
        <w:t>n 2019</w:t>
      </w:r>
      <w:r>
        <w:t>,</w:t>
      </w:r>
      <w:r w:rsidRPr="00A14874">
        <w:t xml:space="preserve"> </w:t>
      </w:r>
      <w:r>
        <w:t xml:space="preserve">NOPSEMA received </w:t>
      </w:r>
      <w:r w:rsidRPr="00A14874">
        <w:t>577 notifications</w:t>
      </w:r>
      <w:r w:rsidR="27041578">
        <w:t xml:space="preserve">, with </w:t>
      </w:r>
      <w:r>
        <w:t xml:space="preserve">six </w:t>
      </w:r>
      <w:r w:rsidR="543ABDCA">
        <w:t>of those</w:t>
      </w:r>
      <w:r w:rsidR="5610ED22">
        <w:t xml:space="preserve"> </w:t>
      </w:r>
      <w:r w:rsidRPr="00A14874">
        <w:t>(</w:t>
      </w:r>
      <w:r>
        <w:t>plus</w:t>
      </w:r>
      <w:r w:rsidRPr="00A14874">
        <w:t xml:space="preserve"> </w:t>
      </w:r>
      <w:r>
        <w:t>two</w:t>
      </w:r>
      <w:r w:rsidRPr="00A14874">
        <w:t xml:space="preserve"> legacy </w:t>
      </w:r>
      <w:r w:rsidR="00660BDC">
        <w:t xml:space="preserve">in </w:t>
      </w:r>
      <w:r w:rsidRPr="00A14874">
        <w:t>2018) comprehensive investigations undertaken.</w:t>
      </w:r>
    </w:p>
    <w:p w14:paraId="2F64916A" w14:textId="364190A3" w:rsidR="00777E58" w:rsidRDefault="002A3D0E" w:rsidP="00BF5A95">
      <w:pPr>
        <w:pStyle w:val="BodyCopyNEW"/>
      </w:pPr>
      <w:r>
        <w:t>B</w:t>
      </w:r>
      <w:r w:rsidR="00EC2489">
        <w:t xml:space="preserve">ased on our examination of the framework and the </w:t>
      </w:r>
      <w:r w:rsidR="00E51EE6" w:rsidRPr="00E51EE6">
        <w:rPr>
          <w:i/>
          <w:iCs/>
        </w:rPr>
        <w:t>Investigation Level Determination Tool</w:t>
      </w:r>
      <w:r w:rsidR="00EC2489" w:rsidRPr="00EC2489">
        <w:t>, it</w:t>
      </w:r>
      <w:r w:rsidR="00E51EE6" w:rsidRPr="00EC2489">
        <w:t xml:space="preserve"> does not </w:t>
      </w:r>
      <w:r w:rsidR="00E51EE6" w:rsidRPr="00E51EE6">
        <w:t xml:space="preserve">include discretion </w:t>
      </w:r>
      <w:r w:rsidR="00853914">
        <w:t xml:space="preserve">for exceptional circumstances </w:t>
      </w:r>
      <w:r w:rsidR="00E51EE6" w:rsidRPr="00E51EE6">
        <w:t xml:space="preserve">based upon public interest factors to justifiably avoid, at an early point, a </w:t>
      </w:r>
      <w:r w:rsidR="000C271F">
        <w:t>L</w:t>
      </w:r>
      <w:r w:rsidR="00E51EE6" w:rsidRPr="00E51EE6">
        <w:t xml:space="preserve">evel </w:t>
      </w:r>
      <w:r w:rsidR="00383C91">
        <w:t>3</w:t>
      </w:r>
      <w:r w:rsidR="00EC2489">
        <w:t xml:space="preserve"> </w:t>
      </w:r>
      <w:r w:rsidR="00E51EE6" w:rsidRPr="00E51EE6">
        <w:t xml:space="preserve">or </w:t>
      </w:r>
      <w:r w:rsidR="00383C91">
        <w:t>4</w:t>
      </w:r>
      <w:r w:rsidR="00EC2489">
        <w:t xml:space="preserve"> </w:t>
      </w:r>
      <w:r w:rsidR="00E51EE6" w:rsidRPr="00E51EE6">
        <w:t>investigation</w:t>
      </w:r>
      <w:r w:rsidR="00853914">
        <w:t xml:space="preserve">. </w:t>
      </w:r>
      <w:r w:rsidR="607DBF21">
        <w:t xml:space="preserve">Such exceptional circumstances ought to be consistent with the </w:t>
      </w:r>
      <w:r w:rsidR="607DBF21" w:rsidRPr="0049333A">
        <w:rPr>
          <w:i/>
        </w:rPr>
        <w:t>Prosecution Policy of the Commonwealth</w:t>
      </w:r>
      <w:r w:rsidR="0049333A" w:rsidRPr="001C5881">
        <w:rPr>
          <w:rStyle w:val="FootnoteReference"/>
          <w:i/>
          <w:sz w:val="18"/>
          <w:szCs w:val="18"/>
        </w:rPr>
        <w:footnoteReference w:id="20"/>
      </w:r>
      <w:r w:rsidR="607DBF21" w:rsidRPr="0049333A">
        <w:rPr>
          <w:i/>
        </w:rPr>
        <w:t xml:space="preserve"> </w:t>
      </w:r>
      <w:r w:rsidR="14AFD905">
        <w:t xml:space="preserve">as published by the </w:t>
      </w:r>
      <w:r w:rsidR="55EFCCA9">
        <w:t xml:space="preserve">Office of the </w:t>
      </w:r>
      <w:r w:rsidR="14AFD905">
        <w:t>Commonwealth D</w:t>
      </w:r>
      <w:r w:rsidR="56BB22CC">
        <w:t>irector</w:t>
      </w:r>
      <w:r w:rsidR="14AFD905">
        <w:t xml:space="preserve"> of Public Prosecution</w:t>
      </w:r>
      <w:r w:rsidR="1F51CF71">
        <w:t>s (CDPP)</w:t>
      </w:r>
      <w:r w:rsidR="009B27BF">
        <w:t xml:space="preserve"> </w:t>
      </w:r>
      <w:r w:rsidR="00C31549">
        <w:t>I</w:t>
      </w:r>
      <w:r w:rsidR="009B27BF">
        <w:t xml:space="preserve">t </w:t>
      </w:r>
      <w:r w:rsidR="00E63486">
        <w:t xml:space="preserve">is </w:t>
      </w:r>
      <w:r w:rsidR="009B27BF">
        <w:t xml:space="preserve">important to </w:t>
      </w:r>
      <w:r w:rsidR="00E51EE6" w:rsidRPr="00E51EE6">
        <w:t>provide clear criteria around exercise of the discretion and, in circumstances where such instances would be exceptional, escalate to the NOPSEMA Compliance Committee for determination to prevent misuse of it</w:t>
      </w:r>
      <w:r w:rsidR="009B27BF">
        <w:t>.</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1E193B" w:rsidRPr="004714A6" w14:paraId="3D4738AA" w14:textId="77777777" w:rsidTr="009D35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26E51444" w14:textId="79FBA358" w:rsidR="001E193B" w:rsidRPr="00726081" w:rsidRDefault="001E193B" w:rsidP="00053250">
            <w:pPr>
              <w:pStyle w:val="TableHeadingLeft"/>
              <w:rPr>
                <w:bCs/>
              </w:rPr>
            </w:pPr>
            <w:r w:rsidRPr="00726081">
              <w:rPr>
                <w:bCs/>
              </w:rPr>
              <w:lastRenderedPageBreak/>
              <w:t>Opportunity #</w:t>
            </w:r>
            <w:r w:rsidR="00C224DC">
              <w:rPr>
                <w:bCs/>
              </w:rPr>
              <w:t>2</w:t>
            </w:r>
          </w:p>
        </w:tc>
      </w:tr>
      <w:tr w:rsidR="004714A6" w:rsidRPr="004714A6" w14:paraId="20320EF0" w14:textId="77777777" w:rsidTr="009D3577">
        <w:tc>
          <w:tcPr>
            <w:tcW w:w="5000" w:type="pct"/>
            <w:tcBorders>
              <w:bottom w:val="nil"/>
            </w:tcBorders>
            <w:shd w:val="clear" w:color="auto" w:fill="F2F2F2" w:themeFill="background1" w:themeFillShade="F2"/>
          </w:tcPr>
          <w:p w14:paraId="7055A1EE" w14:textId="3209D776" w:rsidR="00A611FB" w:rsidRPr="004714A6" w:rsidRDefault="00A611FB" w:rsidP="00A611FB">
            <w:pPr>
              <w:pStyle w:val="BodyCopyNEW"/>
            </w:pPr>
            <w:r w:rsidRPr="004714A6">
              <w:rPr>
                <w:szCs w:val="18"/>
              </w:rPr>
              <w:t>NOPSEMA is encouraged to update its investigation framework and Investigation Level Determination Tool to provide criteria and discretion for inspectors in determining investigation requirements for exceptional or compassionate grounds with oversight or approval provided by the NOPSEMA Compliance Committee.</w:t>
            </w:r>
          </w:p>
        </w:tc>
      </w:tr>
    </w:tbl>
    <w:p w14:paraId="5C612D85" w14:textId="60830C67" w:rsidR="000F4B8C" w:rsidRPr="000F4B8C" w:rsidRDefault="000F4B8C" w:rsidP="00784E0E">
      <w:pPr>
        <w:pStyle w:val="Heading3"/>
        <w:numPr>
          <w:ilvl w:val="2"/>
          <w:numId w:val="1"/>
        </w:numPr>
      </w:pPr>
      <w:r w:rsidRPr="00CE6EAB">
        <w:t>Visibility of supporting coercive investigative power procedures</w:t>
      </w:r>
    </w:p>
    <w:p w14:paraId="11CD92B0" w14:textId="3008E65E" w:rsidR="00F370BF" w:rsidRPr="000F4B8C" w:rsidRDefault="000F4B8C" w:rsidP="00DC03D5">
      <w:pPr>
        <w:pStyle w:val="BodyCopyNEW"/>
      </w:pPr>
      <w:r>
        <w:rPr>
          <w:rFonts w:cstheme="minorHAnsi"/>
        </w:rPr>
        <w:t xml:space="preserve">Focusing on </w:t>
      </w:r>
      <w:r w:rsidR="00014DC0">
        <w:rPr>
          <w:rFonts w:cstheme="minorHAnsi"/>
        </w:rPr>
        <w:t>L</w:t>
      </w:r>
      <w:r>
        <w:rPr>
          <w:rFonts w:cstheme="minorHAnsi"/>
        </w:rPr>
        <w:t xml:space="preserve">evel </w:t>
      </w:r>
      <w:r w:rsidR="00014DC0">
        <w:rPr>
          <w:rFonts w:cstheme="minorHAnsi"/>
        </w:rPr>
        <w:t xml:space="preserve">4 </w:t>
      </w:r>
      <w:r>
        <w:rPr>
          <w:rFonts w:cstheme="minorHAnsi"/>
        </w:rPr>
        <w:t>investigations, t</w:t>
      </w:r>
      <w:r w:rsidR="00F370BF" w:rsidRPr="00E51EE6">
        <w:rPr>
          <w:rFonts w:cstheme="minorHAnsi"/>
        </w:rPr>
        <w:t xml:space="preserve">he </w:t>
      </w:r>
      <w:r w:rsidR="00F370BF" w:rsidRPr="00E51EE6">
        <w:rPr>
          <w:rFonts w:cstheme="minorHAnsi"/>
          <w:i/>
          <w:iCs/>
        </w:rPr>
        <w:t>Level 4 Investigation Procedure</w:t>
      </w:r>
      <w:r w:rsidR="00F370BF" w:rsidRPr="00E51EE6">
        <w:rPr>
          <w:rFonts w:cstheme="minorHAnsi"/>
        </w:rPr>
        <w:t xml:space="preserve"> is underpinned or supported by </w:t>
      </w:r>
      <w:r w:rsidR="00F370BF" w:rsidRPr="00E51EE6">
        <w:t xml:space="preserve">detailed procedures, work instructions, guidelines, forms and templates that translate or operationalise coercive investigative powers of entry and powers available upon entry that are conferred upon NOPSEMA Inspectors by the </w:t>
      </w:r>
      <w:r w:rsidR="00A77E98">
        <w:t xml:space="preserve">OPGGS </w:t>
      </w:r>
      <w:r w:rsidR="00F370BF" w:rsidRPr="00E51EE6">
        <w:t xml:space="preserve">Act and </w:t>
      </w:r>
      <w:r w:rsidR="00307462">
        <w:t>the</w:t>
      </w:r>
      <w:r w:rsidR="00F370BF" w:rsidRPr="00E51EE6">
        <w:t xml:space="preserve"> </w:t>
      </w:r>
      <w:r w:rsidR="00F370BF" w:rsidRPr="00820E75">
        <w:t xml:space="preserve">Regulatory Powers </w:t>
      </w:r>
      <w:r w:rsidR="00307462" w:rsidRPr="00820E75">
        <w:t>Act</w:t>
      </w:r>
      <w:r>
        <w:t>.</w:t>
      </w:r>
    </w:p>
    <w:p w14:paraId="6A74DBFD" w14:textId="571CC4B7" w:rsidR="00CE6EAB" w:rsidRDefault="00637D9F" w:rsidP="00DC03D5">
      <w:pPr>
        <w:pStyle w:val="BodyCopyNEW"/>
      </w:pPr>
      <w:r>
        <w:t>However, we found t</w:t>
      </w:r>
      <w:r w:rsidR="00CE6EAB" w:rsidRPr="00A14874">
        <w:t>here is no clear incorporation</w:t>
      </w:r>
      <w:r>
        <w:t>,</w:t>
      </w:r>
      <w:r w:rsidR="00CE6EAB" w:rsidRPr="00A14874">
        <w:t xml:space="preserve"> by reference or linkage</w:t>
      </w:r>
      <w:r>
        <w:t>,</w:t>
      </w:r>
      <w:r w:rsidR="00CE6EAB" w:rsidRPr="00A14874">
        <w:t xml:space="preserve"> in the </w:t>
      </w:r>
      <w:r w:rsidR="00CE6EAB" w:rsidRPr="00D644C1">
        <w:rPr>
          <w:i/>
        </w:rPr>
        <w:t>Level 2 Investigation Procedure</w:t>
      </w:r>
      <w:r w:rsidR="00CE6EAB" w:rsidRPr="00A14874">
        <w:t xml:space="preserve"> </w:t>
      </w:r>
      <w:r w:rsidR="00CE6EAB" w:rsidRPr="00CE6EAB">
        <w:t xml:space="preserve">or </w:t>
      </w:r>
      <w:r w:rsidR="00CE6EAB" w:rsidRPr="00D644C1">
        <w:rPr>
          <w:i/>
        </w:rPr>
        <w:t>Level 3 Investigation Procedure</w:t>
      </w:r>
      <w:r w:rsidR="00CE6EAB" w:rsidRPr="00A14874">
        <w:t xml:space="preserve"> (as there is in the case of the </w:t>
      </w:r>
      <w:r w:rsidR="00CE6EAB" w:rsidRPr="00D644C1">
        <w:rPr>
          <w:i/>
        </w:rPr>
        <w:t>Level 4 Investigation Procedure</w:t>
      </w:r>
      <w:r w:rsidR="00CE6EAB" w:rsidRPr="00A14874">
        <w:t xml:space="preserve">) to detailed NOPSEMA procedures, work instructions, guidelines, forms and templates that translate or operationalise coercive powers of entry and powers available upon entry that are conferred upon NOPSEMA Inspectors by the </w:t>
      </w:r>
      <w:r w:rsidR="009248AD">
        <w:t xml:space="preserve">OPGGS </w:t>
      </w:r>
      <w:r w:rsidR="00CE6EAB" w:rsidRPr="00A14874">
        <w:t>Act and Regulatory Powers Ac</w:t>
      </w:r>
      <w:r>
        <w:t>t</w:t>
      </w:r>
      <w:r w:rsidR="00CE6EAB" w:rsidRPr="00A14874">
        <w:t xml:space="preserve">. This position exists despite the </w:t>
      </w:r>
      <w:r w:rsidR="00CE6EAB" w:rsidRPr="00D644C1">
        <w:rPr>
          <w:i/>
        </w:rPr>
        <w:t>Level 2 Investigation Procedure</w:t>
      </w:r>
      <w:r w:rsidR="00CE6EAB" w:rsidRPr="00A14874">
        <w:t xml:space="preserve"> and </w:t>
      </w:r>
      <w:r w:rsidR="00CE6EAB" w:rsidRPr="00D644C1">
        <w:rPr>
          <w:i/>
        </w:rPr>
        <w:t>Level 3 Investigation Procedure</w:t>
      </w:r>
      <w:r w:rsidR="00CE6EAB" w:rsidRPr="00A14874">
        <w:t xml:space="preserve"> contemplating the potential to exercise coercive powers of entry and coercive powers upon entry by NOPSEMA Inspectors during an investigation</w:t>
      </w:r>
      <w:r w:rsidR="00024B63">
        <w:t>.</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7C5366" w:rsidRPr="004714A6" w14:paraId="1C86BA3D" w14:textId="77777777" w:rsidTr="009D35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3140C307" w14:textId="7F92CC52" w:rsidR="007C5366" w:rsidRPr="00726081" w:rsidRDefault="007C5366" w:rsidP="00053250">
            <w:pPr>
              <w:pStyle w:val="TableHeadingLeft"/>
              <w:rPr>
                <w:bCs/>
              </w:rPr>
            </w:pPr>
            <w:r w:rsidRPr="00726081">
              <w:rPr>
                <w:bCs/>
              </w:rPr>
              <w:t>Opportunity #</w:t>
            </w:r>
            <w:r w:rsidR="00C224DC">
              <w:rPr>
                <w:bCs/>
              </w:rPr>
              <w:t>3</w:t>
            </w:r>
          </w:p>
        </w:tc>
      </w:tr>
      <w:tr w:rsidR="004714A6" w:rsidRPr="004714A6" w14:paraId="54013969" w14:textId="77777777" w:rsidTr="009D3577">
        <w:tc>
          <w:tcPr>
            <w:tcW w:w="5000" w:type="pct"/>
            <w:tcBorders>
              <w:bottom w:val="nil"/>
            </w:tcBorders>
            <w:shd w:val="clear" w:color="auto" w:fill="F2F2F2" w:themeFill="background1" w:themeFillShade="F2"/>
          </w:tcPr>
          <w:p w14:paraId="77A36FB4" w14:textId="0BE78EEE" w:rsidR="00A611FB" w:rsidRPr="004714A6" w:rsidRDefault="00A611FB" w:rsidP="00A611FB">
            <w:pPr>
              <w:pStyle w:val="BodyCopyNEW"/>
            </w:pPr>
            <w:r w:rsidRPr="004714A6">
              <w:rPr>
                <w:szCs w:val="18"/>
              </w:rPr>
              <w:t>NOPSEMA is encouraged to consider amending Level 3 and Level 4 investigation procedures to incorporate by reference or provide linkage to detailed NOPSEMA procedures, work instructions, guidelines, forms and templates that translate or operationalise coercive powers of entry and powers available upon entry that are conferred upon NOPSEMA Inspectors by the OPGGS Act and Regulatory Powers Act.</w:t>
            </w:r>
          </w:p>
        </w:tc>
      </w:tr>
    </w:tbl>
    <w:p w14:paraId="4ACB896B" w14:textId="131AF45A" w:rsidR="005C0897" w:rsidRDefault="00BE786C" w:rsidP="00784E0E">
      <w:pPr>
        <w:pStyle w:val="Heading3"/>
        <w:numPr>
          <w:ilvl w:val="2"/>
          <w:numId w:val="1"/>
        </w:numPr>
      </w:pPr>
      <w:r>
        <w:t>Investigation planning and case management</w:t>
      </w:r>
    </w:p>
    <w:p w14:paraId="674D004C" w14:textId="57812C3C" w:rsidR="007522A6" w:rsidRPr="00E94BB2" w:rsidRDefault="007522A6" w:rsidP="00DC03D5">
      <w:pPr>
        <w:pStyle w:val="Heading3NoNumber"/>
      </w:pPr>
      <w:r>
        <w:t>In general</w:t>
      </w:r>
      <w:r w:rsidR="00F447D4">
        <w:t>,</w:t>
      </w:r>
      <w:r>
        <w:t xml:space="preserve"> NOPSEMA investigation planning and case management are robust</w:t>
      </w:r>
      <w:r w:rsidR="00F447D4">
        <w:t xml:space="preserve">. The inclusion of investigation checklists, the inclusion of legal </w:t>
      </w:r>
      <w:r w:rsidR="00EA74B4">
        <w:t xml:space="preserve">officer in case management meetings, and documentation through </w:t>
      </w:r>
      <w:r w:rsidR="00D62765">
        <w:t>case management notes are improvements</w:t>
      </w:r>
    </w:p>
    <w:p w14:paraId="5D929A77" w14:textId="11F3A345" w:rsidR="00321768" w:rsidRPr="00BA4D90" w:rsidRDefault="00321768" w:rsidP="00BA4D90">
      <w:pPr>
        <w:pStyle w:val="Heading4"/>
      </w:pPr>
      <w:r w:rsidRPr="00BA4D90">
        <w:t>Investigation planning</w:t>
      </w:r>
    </w:p>
    <w:p w14:paraId="21630004" w14:textId="6489F896" w:rsidR="00CC7E86" w:rsidRDefault="00CC7E86" w:rsidP="00DC03D5">
      <w:pPr>
        <w:pStyle w:val="BodyCopyNEW"/>
      </w:pPr>
      <w:r w:rsidRPr="00CC7E86">
        <w:t xml:space="preserve">A </w:t>
      </w:r>
      <w:r w:rsidR="005A264A">
        <w:t>robust</w:t>
      </w:r>
      <w:r w:rsidRPr="00CC7E86">
        <w:t xml:space="preserve"> process for investigation planning, a factor that in our experience is important to achieving quality investigation outcomes, in the case of Level 2, 3 and 4 investigations is largely provided – an initial briefing by the </w:t>
      </w:r>
      <w:r w:rsidRPr="00AF36F6">
        <w:t>RON</w:t>
      </w:r>
      <w:r w:rsidRPr="00CC7E86">
        <w:t xml:space="preserve"> (Level 2 and 3 investigations) or Investigation Manager (</w:t>
      </w:r>
      <w:r w:rsidR="002D79AD">
        <w:t>L</w:t>
      </w:r>
      <w:r w:rsidRPr="00CC7E86">
        <w:t xml:space="preserve">evel 4 investigation) with the Lead Investigator </w:t>
      </w:r>
      <w:r w:rsidR="00AF36F6">
        <w:t>about</w:t>
      </w:r>
      <w:r w:rsidRPr="00CC7E86">
        <w:t xml:space="preserve"> the scope and purpose of an investigation is provided as is the development of an </w:t>
      </w:r>
      <w:r w:rsidRPr="00CC7E86">
        <w:rPr>
          <w:i/>
          <w:iCs/>
        </w:rPr>
        <w:t>Investigation Plan</w:t>
      </w:r>
      <w:r w:rsidRPr="00CC7E86">
        <w:t xml:space="preserve"> by the Lead Investigator populating a template, with the input of other NOPSEMA disciplines as required, after which an </w:t>
      </w:r>
      <w:r w:rsidRPr="00CC7E86">
        <w:rPr>
          <w:i/>
          <w:iCs/>
        </w:rPr>
        <w:t>Investigation Plan</w:t>
      </w:r>
      <w:r w:rsidRPr="00CC7E86">
        <w:t xml:space="preserve"> and </w:t>
      </w:r>
      <w:r w:rsidRPr="00CC7E86">
        <w:rPr>
          <w:i/>
          <w:iCs/>
        </w:rPr>
        <w:t>Investigation Brief</w:t>
      </w:r>
      <w:r w:rsidRPr="00CC7E86">
        <w:t xml:space="preserve"> are reviewed/approved by the RON (Level 2 </w:t>
      </w:r>
      <w:r w:rsidR="002D79AD">
        <w:t>and</w:t>
      </w:r>
      <w:r w:rsidRPr="00CC7E86">
        <w:t xml:space="preserve"> 3 investigations) or Investigation Manager (Level 4 investigation)</w:t>
      </w:r>
      <w:r w:rsidR="004B53A5">
        <w:t>.</w:t>
      </w:r>
    </w:p>
    <w:p w14:paraId="2373EC2D" w14:textId="2F59D0B6" w:rsidR="00E25B4F" w:rsidRDefault="004B53A5" w:rsidP="00E25B4F">
      <w:pPr>
        <w:pStyle w:val="BodyCopyNEW"/>
      </w:pPr>
      <w:r w:rsidRPr="004B53A5">
        <w:rPr>
          <w:rFonts w:cstheme="minorHAnsi"/>
        </w:rPr>
        <w:t xml:space="preserve">However, we found current investigation </w:t>
      </w:r>
      <w:r w:rsidR="00E51EE6" w:rsidRPr="004B53A5">
        <w:rPr>
          <w:rFonts w:cstheme="minorHAnsi"/>
        </w:rPr>
        <w:t xml:space="preserve">planning does not include an </w:t>
      </w:r>
      <w:r w:rsidR="00E51EE6" w:rsidRPr="00E94BB2">
        <w:rPr>
          <w:rFonts w:cstheme="minorHAnsi"/>
          <w:i/>
        </w:rPr>
        <w:t>Investigation Element Checklist</w:t>
      </w:r>
      <w:r w:rsidR="00E51EE6" w:rsidRPr="00E51EE6">
        <w:t xml:space="preserve"> or similar, directed toward identifying elements of offences and potential defences together with counterpart evidence, to support the </w:t>
      </w:r>
      <w:r w:rsidR="00E51EE6" w:rsidRPr="00E51EE6">
        <w:rPr>
          <w:i/>
          <w:iCs/>
        </w:rPr>
        <w:t>Investigation Plan</w:t>
      </w:r>
      <w:r w:rsidR="00E51EE6" w:rsidRPr="00E51EE6">
        <w:t xml:space="preserve"> for category 3 </w:t>
      </w:r>
      <w:r w:rsidR="004F2C28">
        <w:t>and</w:t>
      </w:r>
      <w:r w:rsidR="00E51EE6" w:rsidRPr="00E51EE6">
        <w:t xml:space="preserve"> 4 investigations (i.e. investigation levels justifying it) – the </w:t>
      </w:r>
      <w:r w:rsidR="00E51EE6" w:rsidRPr="00E51EE6">
        <w:rPr>
          <w:i/>
          <w:iCs/>
        </w:rPr>
        <w:t xml:space="preserve">Investigation Element Checklist </w:t>
      </w:r>
      <w:r w:rsidR="00E51EE6" w:rsidRPr="00E51EE6">
        <w:t xml:space="preserve">or similar would also facilitate the </w:t>
      </w:r>
      <w:r w:rsidR="00E51EE6" w:rsidRPr="00E51EE6">
        <w:rPr>
          <w:i/>
          <w:iCs/>
        </w:rPr>
        <w:t>‘detailed element analysis and evidence evaluation required to support breaches of legislation’</w:t>
      </w:r>
      <w:r w:rsidR="00E51EE6" w:rsidRPr="00E51EE6">
        <w:t xml:space="preserve"> required by </w:t>
      </w:r>
      <w:r w:rsidR="00E51EE6" w:rsidRPr="00E51EE6">
        <w:rPr>
          <w:i/>
          <w:iCs/>
        </w:rPr>
        <w:t>section 3.13 of the Level 4 Investigation Procedure</w:t>
      </w:r>
      <w:r w:rsidR="004D6F6F">
        <w:t>.</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C83277" w:rsidRPr="004714A6" w14:paraId="1DCEA966" w14:textId="77777777" w:rsidTr="009D35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4762366C" w14:textId="710E4A80" w:rsidR="00C83277" w:rsidRPr="00726081" w:rsidRDefault="00C83277" w:rsidP="00053250">
            <w:pPr>
              <w:pStyle w:val="TableHeadingLeft"/>
              <w:rPr>
                <w:bCs/>
              </w:rPr>
            </w:pPr>
            <w:r w:rsidRPr="00726081">
              <w:rPr>
                <w:bCs/>
              </w:rPr>
              <w:t>Opportunity #</w:t>
            </w:r>
            <w:r w:rsidR="00C224DC">
              <w:rPr>
                <w:bCs/>
              </w:rPr>
              <w:t>4</w:t>
            </w:r>
          </w:p>
        </w:tc>
      </w:tr>
      <w:tr w:rsidR="004714A6" w:rsidRPr="004714A6" w14:paraId="2F229467" w14:textId="77777777" w:rsidTr="009D3577">
        <w:tc>
          <w:tcPr>
            <w:tcW w:w="5000" w:type="pct"/>
            <w:tcBorders>
              <w:bottom w:val="nil"/>
            </w:tcBorders>
            <w:shd w:val="clear" w:color="auto" w:fill="F2F2F2" w:themeFill="background1" w:themeFillShade="F2"/>
          </w:tcPr>
          <w:p w14:paraId="1C457191" w14:textId="70F06C14" w:rsidR="00C83277" w:rsidRPr="004714A6" w:rsidRDefault="00A611FB" w:rsidP="00CA1ABE">
            <w:pPr>
              <w:pStyle w:val="BodyCopyNEW"/>
              <w:rPr>
                <w:rFonts w:asciiTheme="majorHAnsi" w:hAnsiTheme="majorHAnsi"/>
                <w:szCs w:val="18"/>
              </w:rPr>
            </w:pPr>
            <w:r w:rsidRPr="004714A6">
              <w:rPr>
                <w:rFonts w:cs="Times New Roman"/>
                <w:szCs w:val="18"/>
              </w:rPr>
              <w:t xml:space="preserve">NOPSEMA is encouraged to consider the design of </w:t>
            </w:r>
            <w:r w:rsidRPr="004714A6">
              <w:t xml:space="preserve">an Investigation Checklist </w:t>
            </w:r>
            <w:r w:rsidRPr="004714A6">
              <w:rPr>
                <w:szCs w:val="18"/>
              </w:rPr>
              <w:t>(or similar) directed toward identifying elements of offences and potential defences, together with counterpart evidence, to support the Investigation Plan for category 3 and 4 investigations (i.e. investigation levels justifying it) to be reviewed and approved by RON (Level 3) or Investigation Manager (Level 4).</w:t>
            </w:r>
          </w:p>
        </w:tc>
      </w:tr>
    </w:tbl>
    <w:p w14:paraId="10DCFCA4" w14:textId="0BD59803" w:rsidR="00C133CC" w:rsidRPr="00CA1ABE" w:rsidRDefault="00C133CC" w:rsidP="00CA1ABE">
      <w:pPr>
        <w:pStyle w:val="BodyCopyNEW"/>
        <w:spacing w:before="120"/>
      </w:pPr>
      <w:r w:rsidRPr="00F96CAB">
        <w:t xml:space="preserve">In implementing this opportunity, </w:t>
      </w:r>
      <w:r w:rsidRPr="00CA1ABE">
        <w:t>NOPSEMA could consider the following:</w:t>
      </w:r>
    </w:p>
    <w:tbl>
      <w:tblPr>
        <w:tblStyle w:val="TableGrid"/>
        <w:tblW w:w="5000" w:type="pct"/>
        <w:tblLook w:val="04A0" w:firstRow="1" w:lastRow="0" w:firstColumn="1" w:lastColumn="0" w:noHBand="0" w:noVBand="1"/>
      </w:tblPr>
      <w:tblGrid>
        <w:gridCol w:w="4932"/>
        <w:gridCol w:w="4932"/>
      </w:tblGrid>
      <w:tr w:rsidR="00C133CC" w:rsidRPr="00777E58" w14:paraId="69370E68" w14:textId="77777777" w:rsidTr="00545482">
        <w:trPr>
          <w:cnfStyle w:val="100000000000" w:firstRow="1" w:lastRow="0" w:firstColumn="0" w:lastColumn="0" w:oddVBand="0" w:evenVBand="0" w:oddHBand="0" w:evenHBand="0" w:firstRowFirstColumn="0" w:firstRowLastColumn="0" w:lastRowFirstColumn="0" w:lastRowLastColumn="0"/>
        </w:trPr>
        <w:tc>
          <w:tcPr>
            <w:tcW w:w="2500" w:type="pct"/>
          </w:tcPr>
          <w:p w14:paraId="08D4CDE3" w14:textId="2CD6FD78" w:rsidR="00C133CC" w:rsidRPr="00777E58" w:rsidRDefault="00C133CC" w:rsidP="000C1F53">
            <w:pPr>
              <w:pStyle w:val="BodycopyNEW0"/>
              <w:numPr>
                <w:ilvl w:val="0"/>
                <w:numId w:val="23"/>
              </w:numPr>
              <w:ind w:left="378"/>
            </w:pPr>
            <w:r w:rsidRPr="00777E58">
              <w:t>Legal entity (</w:t>
            </w:r>
            <w:r w:rsidR="00EA06AF" w:rsidRPr="00777E58">
              <w:t>title</w:t>
            </w:r>
            <w:r w:rsidRPr="00777E58">
              <w:t>holders)</w:t>
            </w:r>
          </w:p>
        </w:tc>
        <w:tc>
          <w:tcPr>
            <w:tcW w:w="2500" w:type="pct"/>
          </w:tcPr>
          <w:p w14:paraId="66EB3AAE" w14:textId="77777777" w:rsidR="00C133CC" w:rsidRPr="00777E58" w:rsidRDefault="00C133CC" w:rsidP="000C1F53">
            <w:pPr>
              <w:pStyle w:val="BodycopyNEW0"/>
              <w:numPr>
                <w:ilvl w:val="0"/>
                <w:numId w:val="23"/>
              </w:numPr>
              <w:ind w:left="378"/>
            </w:pPr>
            <w:r w:rsidRPr="00777E58">
              <w:t xml:space="preserve">Incident causation and risk control </w:t>
            </w:r>
          </w:p>
        </w:tc>
      </w:tr>
      <w:tr w:rsidR="00C133CC" w:rsidRPr="00777E58" w14:paraId="5355986C" w14:textId="77777777" w:rsidTr="00545482">
        <w:tc>
          <w:tcPr>
            <w:tcW w:w="2500" w:type="pct"/>
          </w:tcPr>
          <w:p w14:paraId="0030ACE3" w14:textId="77777777" w:rsidR="00C133CC" w:rsidRPr="00777E58" w:rsidRDefault="00C133CC" w:rsidP="000C1F53">
            <w:pPr>
              <w:pStyle w:val="BodycopyNEW0"/>
              <w:numPr>
                <w:ilvl w:val="0"/>
                <w:numId w:val="23"/>
              </w:numPr>
              <w:ind w:left="378"/>
            </w:pPr>
            <w:r w:rsidRPr="00777E58">
              <w:t>Worker</w:t>
            </w:r>
          </w:p>
        </w:tc>
        <w:tc>
          <w:tcPr>
            <w:tcW w:w="2500" w:type="pct"/>
          </w:tcPr>
          <w:p w14:paraId="666532AA" w14:textId="77777777" w:rsidR="00C133CC" w:rsidRPr="00777E58" w:rsidRDefault="00C133CC" w:rsidP="000C1F53">
            <w:pPr>
              <w:pStyle w:val="BodycopyNEW0"/>
              <w:numPr>
                <w:ilvl w:val="0"/>
                <w:numId w:val="23"/>
              </w:numPr>
              <w:ind w:left="378"/>
            </w:pPr>
            <w:r w:rsidRPr="00777E58">
              <w:t xml:space="preserve">Reasonably practicable </w:t>
            </w:r>
          </w:p>
        </w:tc>
      </w:tr>
      <w:tr w:rsidR="00C133CC" w:rsidRPr="00777E58" w14:paraId="439ACB30" w14:textId="77777777" w:rsidTr="00545482">
        <w:tc>
          <w:tcPr>
            <w:tcW w:w="2500" w:type="pct"/>
          </w:tcPr>
          <w:p w14:paraId="15C54858" w14:textId="77777777" w:rsidR="00C133CC" w:rsidRPr="00777E58" w:rsidRDefault="00C133CC" w:rsidP="000C1F53">
            <w:pPr>
              <w:pStyle w:val="BodycopyNEW0"/>
              <w:numPr>
                <w:ilvl w:val="0"/>
                <w:numId w:val="23"/>
              </w:numPr>
              <w:ind w:left="378"/>
            </w:pPr>
            <w:r w:rsidRPr="00777E58">
              <w:lastRenderedPageBreak/>
              <w:t xml:space="preserve">Statements from witnesses and substance </w:t>
            </w:r>
          </w:p>
        </w:tc>
        <w:tc>
          <w:tcPr>
            <w:tcW w:w="2500" w:type="pct"/>
          </w:tcPr>
          <w:p w14:paraId="4C751B07" w14:textId="77777777" w:rsidR="00C133CC" w:rsidRPr="00777E58" w:rsidRDefault="00C133CC" w:rsidP="000C1F53">
            <w:pPr>
              <w:pStyle w:val="BodycopyNEW0"/>
              <w:numPr>
                <w:ilvl w:val="0"/>
                <w:numId w:val="23"/>
              </w:numPr>
              <w:ind w:left="378"/>
            </w:pPr>
            <w:r w:rsidRPr="00777E58">
              <w:t xml:space="preserve">Systems and safety culture </w:t>
            </w:r>
          </w:p>
        </w:tc>
      </w:tr>
      <w:tr w:rsidR="00C133CC" w:rsidRPr="00777E58" w14:paraId="5D6C8185" w14:textId="77777777" w:rsidTr="00545482">
        <w:tc>
          <w:tcPr>
            <w:tcW w:w="2500" w:type="pct"/>
          </w:tcPr>
          <w:p w14:paraId="2471BCA4" w14:textId="77777777" w:rsidR="00C133CC" w:rsidRPr="00777E58" w:rsidRDefault="00C133CC" w:rsidP="000C1F53">
            <w:pPr>
              <w:pStyle w:val="BodycopyNEW0"/>
              <w:numPr>
                <w:ilvl w:val="0"/>
                <w:numId w:val="23"/>
              </w:numPr>
              <w:ind w:left="378"/>
            </w:pPr>
            <w:r w:rsidRPr="00777E58">
              <w:t xml:space="preserve">Plant involved </w:t>
            </w:r>
          </w:p>
        </w:tc>
        <w:tc>
          <w:tcPr>
            <w:tcW w:w="2500" w:type="pct"/>
          </w:tcPr>
          <w:p w14:paraId="3A5EAF01" w14:textId="77777777" w:rsidR="00C133CC" w:rsidRPr="00777E58" w:rsidRDefault="00C133CC" w:rsidP="000C1F53">
            <w:pPr>
              <w:pStyle w:val="BodycopyNEW0"/>
              <w:numPr>
                <w:ilvl w:val="0"/>
                <w:numId w:val="23"/>
              </w:numPr>
              <w:ind w:left="378"/>
            </w:pPr>
            <w:r w:rsidRPr="00777E58">
              <w:t xml:space="preserve">Officers and due diligence </w:t>
            </w:r>
          </w:p>
        </w:tc>
      </w:tr>
      <w:tr w:rsidR="00C133CC" w:rsidRPr="00777E58" w14:paraId="35CECBC4" w14:textId="77777777" w:rsidTr="00545482">
        <w:tc>
          <w:tcPr>
            <w:tcW w:w="2500" w:type="pct"/>
          </w:tcPr>
          <w:p w14:paraId="26B1A216" w14:textId="77777777" w:rsidR="00C133CC" w:rsidRPr="00777E58" w:rsidRDefault="00C133CC" w:rsidP="000C1F53">
            <w:pPr>
              <w:pStyle w:val="BodycopyNEW0"/>
              <w:numPr>
                <w:ilvl w:val="0"/>
                <w:numId w:val="23"/>
              </w:numPr>
              <w:ind w:left="378"/>
            </w:pPr>
            <w:r w:rsidRPr="00777E58">
              <w:t xml:space="preserve">Medical </w:t>
            </w:r>
          </w:p>
        </w:tc>
        <w:tc>
          <w:tcPr>
            <w:tcW w:w="2500" w:type="pct"/>
          </w:tcPr>
          <w:p w14:paraId="07A3E682" w14:textId="77777777" w:rsidR="00C133CC" w:rsidRPr="00777E58" w:rsidRDefault="00C133CC" w:rsidP="000C1F53">
            <w:pPr>
              <w:pStyle w:val="BodycopyNEW0"/>
              <w:numPr>
                <w:ilvl w:val="0"/>
                <w:numId w:val="23"/>
              </w:numPr>
              <w:ind w:left="378"/>
            </w:pPr>
            <w:r w:rsidRPr="00777E58">
              <w:t xml:space="preserve">Police material </w:t>
            </w:r>
          </w:p>
        </w:tc>
      </w:tr>
      <w:tr w:rsidR="00C133CC" w:rsidRPr="00777E58" w14:paraId="75EA83DE" w14:textId="77777777" w:rsidTr="00545482">
        <w:tc>
          <w:tcPr>
            <w:tcW w:w="2500" w:type="pct"/>
          </w:tcPr>
          <w:p w14:paraId="596BDD11" w14:textId="77777777" w:rsidR="00C133CC" w:rsidRPr="00777E58" w:rsidRDefault="00C133CC" w:rsidP="000C1F53">
            <w:pPr>
              <w:pStyle w:val="BodycopyNEW0"/>
              <w:numPr>
                <w:ilvl w:val="0"/>
                <w:numId w:val="23"/>
              </w:numPr>
              <w:ind w:left="378"/>
            </w:pPr>
            <w:r w:rsidRPr="00777E58">
              <w:t>Investigation Notices issued</w:t>
            </w:r>
          </w:p>
        </w:tc>
        <w:tc>
          <w:tcPr>
            <w:tcW w:w="2500" w:type="pct"/>
          </w:tcPr>
          <w:p w14:paraId="1A0CBE3A" w14:textId="1469B038" w:rsidR="00C133CC" w:rsidRPr="00777E58" w:rsidRDefault="00C133CC" w:rsidP="000C1F53">
            <w:pPr>
              <w:pStyle w:val="BodycopyNEW0"/>
              <w:numPr>
                <w:ilvl w:val="0"/>
                <w:numId w:val="23"/>
              </w:numPr>
              <w:ind w:left="378"/>
            </w:pPr>
            <w:r w:rsidRPr="00777E58">
              <w:t>1</w:t>
            </w:r>
            <w:r w:rsidRPr="00726081">
              <w:rPr>
                <w:vertAlign w:val="superscript"/>
              </w:rPr>
              <w:t>st</w:t>
            </w:r>
            <w:r w:rsidRPr="00777E58">
              <w:t xml:space="preserve"> response Inspector material </w:t>
            </w:r>
          </w:p>
        </w:tc>
      </w:tr>
      <w:tr w:rsidR="00C133CC" w:rsidRPr="00777E58" w14:paraId="032494E0" w14:textId="77777777" w:rsidTr="00545482">
        <w:tc>
          <w:tcPr>
            <w:tcW w:w="2500" w:type="pct"/>
          </w:tcPr>
          <w:p w14:paraId="40D1E2D2" w14:textId="77777777" w:rsidR="00C133CC" w:rsidRPr="00777E58" w:rsidRDefault="00C133CC" w:rsidP="000C1F53">
            <w:pPr>
              <w:pStyle w:val="BodycopyNEW0"/>
              <w:numPr>
                <w:ilvl w:val="0"/>
                <w:numId w:val="23"/>
              </w:numPr>
              <w:ind w:left="378"/>
            </w:pPr>
            <w:r w:rsidRPr="00777E58">
              <w:t xml:space="preserve">The risk </w:t>
            </w:r>
          </w:p>
        </w:tc>
        <w:tc>
          <w:tcPr>
            <w:tcW w:w="2500" w:type="pct"/>
          </w:tcPr>
          <w:p w14:paraId="4EF75FD7" w14:textId="77777777" w:rsidR="00C133CC" w:rsidRPr="00777E58" w:rsidRDefault="00C133CC" w:rsidP="000C1F53">
            <w:pPr>
              <w:pStyle w:val="BodycopyNEW0"/>
              <w:numPr>
                <w:ilvl w:val="0"/>
                <w:numId w:val="23"/>
              </w:numPr>
              <w:ind w:left="378"/>
            </w:pPr>
            <w:r w:rsidRPr="00777E58">
              <w:t>Investigator Elements Checklist (attached)</w:t>
            </w:r>
          </w:p>
        </w:tc>
      </w:tr>
      <w:tr w:rsidR="00C133CC" w:rsidRPr="00777E58" w14:paraId="126AFB21" w14:textId="77777777" w:rsidTr="00CA1ABE">
        <w:trPr>
          <w:trHeight w:val="327"/>
        </w:trPr>
        <w:tc>
          <w:tcPr>
            <w:tcW w:w="0" w:type="pct"/>
          </w:tcPr>
          <w:p w14:paraId="2D6FF9B7" w14:textId="3A114808" w:rsidR="00C133CC" w:rsidRPr="00777E58" w:rsidRDefault="00C133CC" w:rsidP="000C1F53">
            <w:pPr>
              <w:pStyle w:val="BodycopyNEW0"/>
              <w:numPr>
                <w:ilvl w:val="0"/>
                <w:numId w:val="23"/>
              </w:numPr>
              <w:ind w:left="378" w:right="257"/>
            </w:pPr>
            <w:r w:rsidRPr="00777E58">
              <w:t>1</w:t>
            </w:r>
            <w:r w:rsidRPr="00726081">
              <w:rPr>
                <w:vertAlign w:val="superscript"/>
              </w:rPr>
              <w:t>st</w:t>
            </w:r>
            <w:r w:rsidRPr="00777E58">
              <w:t xml:space="preserve"> response – incident scene management, environmental conditions, notices issued, and items seized</w:t>
            </w:r>
          </w:p>
        </w:tc>
        <w:tc>
          <w:tcPr>
            <w:tcW w:w="0" w:type="pct"/>
          </w:tcPr>
          <w:p w14:paraId="3BCBBEFE" w14:textId="77777777" w:rsidR="00C133CC" w:rsidRPr="00777E58" w:rsidRDefault="00C133CC" w:rsidP="000C1F53">
            <w:pPr>
              <w:pStyle w:val="BodycopyNEW0"/>
              <w:numPr>
                <w:ilvl w:val="0"/>
                <w:numId w:val="23"/>
              </w:numPr>
              <w:ind w:left="378"/>
            </w:pPr>
            <w:r w:rsidRPr="00777E58">
              <w:t>Expert/Technical support required</w:t>
            </w:r>
          </w:p>
        </w:tc>
      </w:tr>
    </w:tbl>
    <w:p w14:paraId="7361BA5F" w14:textId="1E5AF544" w:rsidR="00321768" w:rsidRPr="00321768" w:rsidRDefault="00321768" w:rsidP="00BA4D90">
      <w:pPr>
        <w:pStyle w:val="Heading4"/>
      </w:pPr>
      <w:r w:rsidRPr="00321768">
        <w:t>Case management</w:t>
      </w:r>
    </w:p>
    <w:p w14:paraId="26186E9A" w14:textId="61F708AD" w:rsidR="004B53A5" w:rsidRDefault="004B53A5" w:rsidP="00BA4D90">
      <w:pPr>
        <w:pStyle w:val="BodyCopyNEW"/>
      </w:pPr>
      <w:r>
        <w:t xml:space="preserve">In our </w:t>
      </w:r>
      <w:r w:rsidRPr="001911C8">
        <w:t>experience</w:t>
      </w:r>
      <w:r>
        <w:t xml:space="preserve">, </w:t>
      </w:r>
      <w:r w:rsidR="00C419A7">
        <w:t xml:space="preserve">investigation </w:t>
      </w:r>
      <w:r w:rsidRPr="001911C8">
        <w:t>case management is important to achieving quality investigation outcomes</w:t>
      </w:r>
      <w:r w:rsidR="006374D2">
        <w:t>,</w:t>
      </w:r>
      <w:r w:rsidRPr="001911C8">
        <w:t xml:space="preserve"> including the identification of potential </w:t>
      </w:r>
      <w:r w:rsidR="00DC74AB">
        <w:t>responsible parties</w:t>
      </w:r>
      <w:r w:rsidRPr="001911C8">
        <w:t>, potential breaches of the law</w:t>
      </w:r>
      <w:r w:rsidR="006374D2">
        <w:t>,</w:t>
      </w:r>
      <w:r w:rsidRPr="001911C8">
        <w:t xml:space="preserve"> and counterpart evidence required to prove a breach, material lines of inquiry, evidence to rebut potential defence</w:t>
      </w:r>
      <w:r w:rsidR="006374D2">
        <w:t>,</w:t>
      </w:r>
      <w:r w:rsidRPr="001911C8">
        <w:t xml:space="preserve"> and decision</w:t>
      </w:r>
      <w:r w:rsidR="006374D2">
        <w:t>-</w:t>
      </w:r>
      <w:r w:rsidRPr="001911C8">
        <w:t>making about the path of an investigation at key junctures</w:t>
      </w:r>
      <w:r w:rsidR="006374D2">
        <w:t>.</w:t>
      </w:r>
    </w:p>
    <w:p w14:paraId="7AFEA07A" w14:textId="367D52B6" w:rsidR="001911C8" w:rsidRPr="001911C8" w:rsidRDefault="006374D2" w:rsidP="00BA4D90">
      <w:pPr>
        <w:pStyle w:val="BodyCopyNEW"/>
      </w:pPr>
      <w:r>
        <w:t>Currently, NOPSEMA c</w:t>
      </w:r>
      <w:r w:rsidR="001911C8" w:rsidRPr="001911C8">
        <w:t xml:space="preserve">ase management of </w:t>
      </w:r>
      <w:r w:rsidR="00986A17">
        <w:t>L</w:t>
      </w:r>
      <w:r w:rsidR="001911C8" w:rsidRPr="001911C8">
        <w:t>evel 3 and 4 investigations includes weekly case management meetings involving the Lead Investigator and RON (</w:t>
      </w:r>
      <w:r w:rsidR="00986A17">
        <w:t>L</w:t>
      </w:r>
      <w:r w:rsidR="001911C8" w:rsidRPr="001911C8">
        <w:t>evel 3 investigation) or Investigation Manager (</w:t>
      </w:r>
      <w:r w:rsidR="00986A17">
        <w:t>L</w:t>
      </w:r>
      <w:r w:rsidR="001911C8" w:rsidRPr="001911C8">
        <w:t>evel 4 investigation) with details of outcomes</w:t>
      </w:r>
      <w:r w:rsidR="00AB5908">
        <w:t xml:space="preserve"> and actions</w:t>
      </w:r>
      <w:r w:rsidR="001911C8" w:rsidRPr="001911C8">
        <w:t xml:space="preserve"> recorded in RMS. However, </w:t>
      </w:r>
      <w:r w:rsidR="00AB5908">
        <w:t xml:space="preserve">we found the current framework for </w:t>
      </w:r>
      <w:r w:rsidR="00986A17">
        <w:t>L</w:t>
      </w:r>
      <w:r w:rsidR="001911C8" w:rsidRPr="001911C8">
        <w:t>evel 3 and 4 investigations does not include</w:t>
      </w:r>
      <w:r w:rsidR="00101431">
        <w:t xml:space="preserve"> the following adopted by better practice frameworks</w:t>
      </w:r>
      <w:r w:rsidR="001911C8" w:rsidRPr="001911C8">
        <w:t>:</w:t>
      </w:r>
    </w:p>
    <w:p w14:paraId="155F6D9F" w14:textId="09FB3B61" w:rsidR="001911C8" w:rsidRPr="00C80C12" w:rsidRDefault="001911C8" w:rsidP="000C1F53">
      <w:pPr>
        <w:pStyle w:val="BodycopyNEW0"/>
        <w:numPr>
          <w:ilvl w:val="0"/>
          <w:numId w:val="23"/>
        </w:numPr>
        <w:ind w:left="378"/>
      </w:pPr>
      <w:r w:rsidRPr="00C80C12">
        <w:t xml:space="preserve">A mandate that a legal officer must be at the </w:t>
      </w:r>
      <w:r w:rsidR="00FE402A">
        <w:t>first</w:t>
      </w:r>
      <w:r w:rsidRPr="00C80C12">
        <w:t xml:space="preserve"> case management meeting (soon after commencement of an investigation) and last case management meeting (immediately prior to finalisation of an investigation when critical decisions are made) and otherwise ‘as required’ in the case of level </w:t>
      </w:r>
      <w:r w:rsidR="001521B2">
        <w:t>three</w:t>
      </w:r>
      <w:r w:rsidRPr="00C80C12">
        <w:t xml:space="preserve"> and </w:t>
      </w:r>
      <w:r w:rsidR="001521B2">
        <w:t xml:space="preserve">four </w:t>
      </w:r>
      <w:r w:rsidRPr="00C80C12">
        <w:t>investigations</w:t>
      </w:r>
    </w:p>
    <w:p w14:paraId="3C34B9C1" w14:textId="43A6FB7F" w:rsidR="00853122" w:rsidRDefault="001911C8" w:rsidP="000C1F53">
      <w:pPr>
        <w:pStyle w:val="BodycopyNEW0"/>
        <w:numPr>
          <w:ilvl w:val="0"/>
          <w:numId w:val="23"/>
        </w:numPr>
        <w:ind w:left="378"/>
      </w:pPr>
      <w:r w:rsidRPr="00C80C12">
        <w:t xml:space="preserve">Recording case management outcomes in documented </w:t>
      </w:r>
      <w:r w:rsidRPr="00E94BB2">
        <w:rPr>
          <w:i/>
        </w:rPr>
        <w:t>Case Management Notes</w:t>
      </w:r>
      <w:r w:rsidRPr="00C80C12">
        <w:t xml:space="preserve"> annexed to the </w:t>
      </w:r>
      <w:r w:rsidRPr="00E94BB2">
        <w:rPr>
          <w:i/>
        </w:rPr>
        <w:t>Investigation Plan</w:t>
      </w:r>
      <w:r w:rsidRPr="00C80C12">
        <w:t xml:space="preserve"> that are continually updated as a live document throughout the life of the investigation (including decisions, reasons for decision, decision makers, actions, responsible persons and due dates) – the outcomes of case management are often too important for inclusion only in an investigation running sheet (as is the current position) where they may be lost with in the plethora of other detailed information concerning investigation activity and their implementation not subject of oversight or scrutiny</w:t>
      </w:r>
      <w:r w:rsidR="00321768">
        <w:t>.</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C160EA" w:rsidRPr="004714A6" w14:paraId="1868B807" w14:textId="77777777" w:rsidTr="009D35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3C36ABC7" w14:textId="4258C8CB" w:rsidR="00C160EA" w:rsidRPr="00726081" w:rsidRDefault="00C160EA" w:rsidP="00053250">
            <w:pPr>
              <w:pStyle w:val="TableHeadingLeft"/>
              <w:rPr>
                <w:bCs/>
              </w:rPr>
            </w:pPr>
            <w:r w:rsidRPr="00726081">
              <w:rPr>
                <w:bCs/>
              </w:rPr>
              <w:t>Opportunity #</w:t>
            </w:r>
            <w:r w:rsidR="00C224DC">
              <w:rPr>
                <w:bCs/>
              </w:rPr>
              <w:t>5</w:t>
            </w:r>
          </w:p>
        </w:tc>
      </w:tr>
      <w:tr w:rsidR="004714A6" w:rsidRPr="004714A6" w14:paraId="18F964F2" w14:textId="77777777" w:rsidTr="009D3577">
        <w:tc>
          <w:tcPr>
            <w:tcW w:w="5000" w:type="pct"/>
            <w:tcBorders>
              <w:bottom w:val="nil"/>
            </w:tcBorders>
            <w:shd w:val="clear" w:color="auto" w:fill="F2F2F2" w:themeFill="background1" w:themeFillShade="F2"/>
          </w:tcPr>
          <w:p w14:paraId="7F3F4667" w14:textId="77777777" w:rsidR="00A611FB" w:rsidRPr="004714A6" w:rsidRDefault="00A611FB" w:rsidP="00A611FB">
            <w:pPr>
              <w:pStyle w:val="BodyCopyNEW"/>
              <w:rPr>
                <w:szCs w:val="18"/>
              </w:rPr>
            </w:pPr>
            <w:r w:rsidRPr="004714A6">
              <w:rPr>
                <w:rFonts w:cs="Times New Roman"/>
                <w:szCs w:val="18"/>
              </w:rPr>
              <w:t xml:space="preserve">NOPSEMA is encouraged to </w:t>
            </w:r>
            <w:r w:rsidRPr="004714A6">
              <w:rPr>
                <w:szCs w:val="18"/>
              </w:rPr>
              <w:t xml:space="preserve">amend the </w:t>
            </w:r>
            <w:r w:rsidRPr="004714A6">
              <w:rPr>
                <w:i/>
                <w:szCs w:val="18"/>
              </w:rPr>
              <w:t>Level 3 Investigation Procedure</w:t>
            </w:r>
            <w:r w:rsidRPr="004714A6">
              <w:rPr>
                <w:szCs w:val="18"/>
              </w:rPr>
              <w:t xml:space="preserve"> and </w:t>
            </w:r>
            <w:r w:rsidRPr="004714A6">
              <w:rPr>
                <w:i/>
                <w:szCs w:val="18"/>
              </w:rPr>
              <w:t>Level 4 Investigation Procedure</w:t>
            </w:r>
            <w:r w:rsidRPr="004714A6">
              <w:rPr>
                <w:szCs w:val="18"/>
              </w:rPr>
              <w:t xml:space="preserve"> to:</w:t>
            </w:r>
          </w:p>
          <w:p w14:paraId="397CD049" w14:textId="77777777" w:rsidR="00A611FB" w:rsidRPr="004714A6" w:rsidRDefault="00A611FB" w:rsidP="000C1F53">
            <w:pPr>
              <w:pStyle w:val="BodycopyNEW0"/>
              <w:numPr>
                <w:ilvl w:val="0"/>
                <w:numId w:val="23"/>
              </w:numPr>
              <w:ind w:left="378"/>
              <w:rPr>
                <w:szCs w:val="18"/>
              </w:rPr>
            </w:pPr>
            <w:r w:rsidRPr="004714A6">
              <w:rPr>
                <w:szCs w:val="18"/>
              </w:rPr>
              <w:t>Mandate that a legal officer must be at the first case management meeting (soon after commencement of an investigation) and last case management meeting (immediately prior to finalisation of an investigation when critical decisions are made) and otherwise ‘as required’ in the case of Level 3 and Level 4 investigations</w:t>
            </w:r>
          </w:p>
          <w:p w14:paraId="044F4588" w14:textId="77777777" w:rsidR="00A611FB" w:rsidRPr="004714A6" w:rsidRDefault="00A611FB" w:rsidP="000C1F53">
            <w:pPr>
              <w:pStyle w:val="BodycopyNEW0"/>
              <w:numPr>
                <w:ilvl w:val="0"/>
                <w:numId w:val="23"/>
              </w:numPr>
              <w:ind w:left="378"/>
              <w:rPr>
                <w:szCs w:val="18"/>
              </w:rPr>
            </w:pPr>
            <w:r w:rsidRPr="004714A6">
              <w:rPr>
                <w:szCs w:val="18"/>
              </w:rPr>
              <w:t xml:space="preserve">Record case management outcomes in documented </w:t>
            </w:r>
            <w:r w:rsidRPr="004714A6">
              <w:rPr>
                <w:i/>
                <w:szCs w:val="18"/>
              </w:rPr>
              <w:t>Case Management Notes</w:t>
            </w:r>
            <w:r w:rsidRPr="004714A6">
              <w:rPr>
                <w:szCs w:val="18"/>
              </w:rPr>
              <w:t xml:space="preserve"> annexed to the </w:t>
            </w:r>
            <w:r w:rsidRPr="004714A6">
              <w:rPr>
                <w:i/>
                <w:szCs w:val="18"/>
              </w:rPr>
              <w:t>Investigation Plan</w:t>
            </w:r>
            <w:r w:rsidRPr="004714A6">
              <w:rPr>
                <w:szCs w:val="18"/>
              </w:rPr>
              <w:t xml:space="preserve"> that are continually updated as live documents throughout the life of the investigation (including decisions, reasons for decision, decision makers, actions, responsible persons and due dates)</w:t>
            </w:r>
          </w:p>
          <w:p w14:paraId="619E824B" w14:textId="702B310B" w:rsidR="00C160EA" w:rsidRPr="004714A6" w:rsidRDefault="00A611FB" w:rsidP="000C1F53">
            <w:pPr>
              <w:pStyle w:val="BodycopyNEW0"/>
              <w:numPr>
                <w:ilvl w:val="0"/>
                <w:numId w:val="23"/>
              </w:numPr>
              <w:ind w:left="378"/>
            </w:pPr>
            <w:r w:rsidRPr="004714A6">
              <w:rPr>
                <w:rFonts w:eastAsia="Verdana" w:cs="Verdana"/>
                <w:szCs w:val="18"/>
              </w:rPr>
              <w:t>Consider clearly defining Case Management Notes as a ‘Critical Decision Record’</w:t>
            </w:r>
            <w:r w:rsidRPr="004714A6">
              <w:rPr>
                <w:szCs w:val="18"/>
                <w:vertAlign w:val="superscript"/>
              </w:rPr>
              <w:footnoteReference w:id="21"/>
            </w:r>
            <w:r w:rsidRPr="004714A6">
              <w:rPr>
                <w:rFonts w:eastAsia="Verdana" w:cs="Verdana"/>
                <w:szCs w:val="18"/>
              </w:rPr>
              <w:t xml:space="preserve"> – ‘Critical Decision Records’ are currently referred to in the Level 3 Investigation Procedure as being required so treating Case Management Notes in this manner would deliver efficiencies and avoid duplication.</w:t>
            </w:r>
          </w:p>
        </w:tc>
      </w:tr>
    </w:tbl>
    <w:p w14:paraId="3F923C1E" w14:textId="793838E3" w:rsidR="00321768" w:rsidRPr="00A3592F" w:rsidRDefault="00A3592F" w:rsidP="00BA4D90">
      <w:pPr>
        <w:pStyle w:val="Heading4"/>
      </w:pPr>
      <w:r w:rsidRPr="00A3592F">
        <w:t>Safeguards to protect the integrity of investigations</w:t>
      </w:r>
    </w:p>
    <w:p w14:paraId="073021EE" w14:textId="30E9ACF7" w:rsidR="00D62765" w:rsidRPr="00E94BB2" w:rsidRDefault="00D62765" w:rsidP="00BA4D90">
      <w:pPr>
        <w:pStyle w:val="Heading3NoNumber"/>
      </w:pPr>
      <w:r>
        <w:t>There are appropriate safeguards in place to protect the integrity of investigations</w:t>
      </w:r>
    </w:p>
    <w:p w14:paraId="4AC6956F" w14:textId="5326BF63" w:rsidR="00576453" w:rsidRDefault="005C0897" w:rsidP="00BA4D90">
      <w:pPr>
        <w:pStyle w:val="BodyCopyNEW"/>
      </w:pPr>
      <w:r w:rsidRPr="005C0897">
        <w:t>Safeguards built into the framework, by means of oversight, briefing, scrutiny</w:t>
      </w:r>
      <w:r w:rsidR="00A3592F">
        <w:t>,</w:t>
      </w:r>
      <w:r w:rsidRPr="005C0897">
        <w:t xml:space="preserve"> and assurance at important decision points by the </w:t>
      </w:r>
      <w:r w:rsidR="00012B31">
        <w:t>RON</w:t>
      </w:r>
      <w:r w:rsidRPr="005C0897">
        <w:t xml:space="preserve"> (Level 1 to 3 investigations), Investigations Manager (Level 4 investigation), NOPSEMA Compliance Committee and CEO via the NOPSEMA Compliance Committee, provide a means of </w:t>
      </w:r>
      <w:r w:rsidR="00576453">
        <w:t xml:space="preserve">driving </w:t>
      </w:r>
      <w:r w:rsidRPr="005C0897">
        <w:t xml:space="preserve">consistency and integrity in application of the </w:t>
      </w:r>
      <w:r w:rsidRPr="00FE0C92">
        <w:rPr>
          <w:i/>
        </w:rPr>
        <w:t>Investigation Framework</w:t>
      </w:r>
      <w:r w:rsidR="00576453">
        <w:t xml:space="preserve">. </w:t>
      </w:r>
      <w:r w:rsidR="00400227">
        <w:t xml:space="preserve">From our analysis, </w:t>
      </w:r>
      <w:r w:rsidR="003D0766">
        <w:t xml:space="preserve">current safeguards are positive and aim to maintain </w:t>
      </w:r>
      <w:r w:rsidR="00833009">
        <w:t>integrity in the investigation process</w:t>
      </w:r>
      <w:r w:rsidR="003D0766">
        <w:t>.</w:t>
      </w:r>
    </w:p>
    <w:p w14:paraId="0C0CDEDE" w14:textId="42AAA762" w:rsidR="005C0897" w:rsidRDefault="00576453" w:rsidP="00BA4D90">
      <w:pPr>
        <w:pStyle w:val="BodyCopyNEW"/>
      </w:pPr>
      <w:r w:rsidRPr="00576453">
        <w:rPr>
          <w:rFonts w:cstheme="minorHAnsi"/>
        </w:rPr>
        <w:lastRenderedPageBreak/>
        <w:t>T</w:t>
      </w:r>
      <w:r w:rsidR="005C0897" w:rsidRPr="00576453">
        <w:rPr>
          <w:rFonts w:cstheme="minorHAnsi"/>
        </w:rPr>
        <w:t xml:space="preserve">he NOPSEMA Investigation Policy establishes a general policy position that </w:t>
      </w:r>
      <w:r w:rsidR="005C0897" w:rsidRPr="00576453">
        <w:t xml:space="preserve">‘the NOPSEMA Compliance Committee has oversight of investigations to ensure consistency of approach and strategic approach to enforcement’ which is given effect by the </w:t>
      </w:r>
      <w:r>
        <w:t xml:space="preserve">appropriate </w:t>
      </w:r>
      <w:r w:rsidR="005C0897" w:rsidRPr="00576453">
        <w:t xml:space="preserve">Investigation Procedure providing mechanisms for oversight, briefing, scrutiny and assurance </w:t>
      </w:r>
      <w:r w:rsidR="005C0897" w:rsidRPr="00576453">
        <w:rPr>
          <w:rFonts w:cstheme="minorHAnsi"/>
        </w:rPr>
        <w:t xml:space="preserve">at the points of </w:t>
      </w:r>
      <w:r w:rsidR="005C0897" w:rsidRPr="00576453">
        <w:t>commencement of an investigation, scope determination, investigation planning, case management, review of critical decisions throughout the life of an investigation, escalation to higher level investigation, investigation outcomes, enforcement actions and termination of an investigation.</w:t>
      </w:r>
    </w:p>
    <w:p w14:paraId="27E439C3" w14:textId="21953E0F" w:rsidR="008E161E" w:rsidRPr="00576453" w:rsidRDefault="008E161E" w:rsidP="00BA4D90">
      <w:pPr>
        <w:pStyle w:val="BodyCopyNEW"/>
      </w:pPr>
      <w:r>
        <w:t>We also found other safeguards built into the framework, including:</w:t>
      </w:r>
    </w:p>
    <w:p w14:paraId="2E2AE28A" w14:textId="77777777" w:rsidR="00FB4304" w:rsidRPr="008E161E" w:rsidRDefault="00FB4304" w:rsidP="000C1F53">
      <w:pPr>
        <w:pStyle w:val="BodycopyNEW0"/>
        <w:numPr>
          <w:ilvl w:val="0"/>
          <w:numId w:val="23"/>
        </w:numPr>
        <w:ind w:left="378"/>
      </w:pPr>
      <w:r w:rsidRPr="008E161E">
        <w:t>Where insufficient information is available to apply the Investigation Level Determination Tool, the investigation is automatically escalated to a Level 2 Investigation so that the required information can be obtained</w:t>
      </w:r>
    </w:p>
    <w:p w14:paraId="3E41A14C" w14:textId="429FFC6A" w:rsidR="00FB4304" w:rsidRPr="008E161E" w:rsidRDefault="00FB4304" w:rsidP="000C1F53">
      <w:pPr>
        <w:pStyle w:val="BodycopyNEW0"/>
        <w:numPr>
          <w:ilvl w:val="0"/>
          <w:numId w:val="23"/>
        </w:numPr>
        <w:ind w:left="378"/>
      </w:pPr>
      <w:r w:rsidRPr="008E161E">
        <w:t>The RON is required to review the NOPSEMA Inspectors recommendation regarding incident classification to verify its appropriateness and agree/approve the recommendation or disagree/refer the matter back to the NOPSEMA Inspector for alternative action</w:t>
      </w:r>
    </w:p>
    <w:p w14:paraId="76D5C04A" w14:textId="26B70B8D" w:rsidR="00FB4304" w:rsidRPr="008E161E" w:rsidRDefault="00FB4304" w:rsidP="000C1F53">
      <w:pPr>
        <w:pStyle w:val="BodycopyNEW0"/>
        <w:numPr>
          <w:ilvl w:val="0"/>
          <w:numId w:val="23"/>
        </w:numPr>
        <w:ind w:left="378"/>
      </w:pPr>
      <w:r w:rsidRPr="008E161E">
        <w:t xml:space="preserve">For borderline, complex, contentious, or unusual incidents (or where ‘responsible party’ factors have a significant influence on investigation classification) the NOPSEMA Inspector is required to consult with a fellow Inspector and/or RON before making a recommendation. The RON shall also consider advising the </w:t>
      </w:r>
      <w:r w:rsidR="00AC61A4">
        <w:t>H</w:t>
      </w:r>
      <w:r w:rsidRPr="008E161E">
        <w:t>ead of Division who may advise the Compliance Committee</w:t>
      </w:r>
    </w:p>
    <w:p w14:paraId="013ED55E" w14:textId="77777777" w:rsidR="00FB4304" w:rsidRPr="008E161E" w:rsidRDefault="00FB4304" w:rsidP="000C1F53">
      <w:pPr>
        <w:pStyle w:val="BodycopyNEW0"/>
        <w:numPr>
          <w:ilvl w:val="0"/>
          <w:numId w:val="23"/>
        </w:numPr>
        <w:ind w:left="378"/>
      </w:pPr>
      <w:r w:rsidRPr="008E161E">
        <w:t>If the Investigation Level Determination Tool is misapplied or an investigation reveals further information suggesting a different investigation level, there is provision to escalate and de-escalate between levels.</w:t>
      </w:r>
    </w:p>
    <w:p w14:paraId="3C3985F3" w14:textId="7B3E9ECA" w:rsidR="002F2FC5" w:rsidRPr="002F2FC5" w:rsidRDefault="00C80C62" w:rsidP="00784E0E">
      <w:pPr>
        <w:pStyle w:val="Heading3"/>
      </w:pPr>
      <w:r>
        <w:t>Stakeholder</w:t>
      </w:r>
      <w:r w:rsidRPr="002F2FC5">
        <w:t xml:space="preserve"> </w:t>
      </w:r>
      <w:r w:rsidR="002F2FC5" w:rsidRPr="002F2FC5">
        <w:t>perceptions of NOPSEMA’s investigations</w:t>
      </w:r>
    </w:p>
    <w:p w14:paraId="752C916E" w14:textId="79B98B6E" w:rsidR="00670D46" w:rsidRPr="00E94BB2" w:rsidRDefault="00670D46" w:rsidP="00BA4D90">
      <w:pPr>
        <w:pStyle w:val="Heading3NoNumber"/>
      </w:pPr>
      <w:r>
        <w:t>Stakeholders had mixed views on NOPSEMA</w:t>
      </w:r>
      <w:r w:rsidR="005A0CE4">
        <w:t xml:space="preserve"> </w:t>
      </w:r>
      <w:r w:rsidR="00156496">
        <w:t>investigations</w:t>
      </w:r>
    </w:p>
    <w:p w14:paraId="5C774257" w14:textId="32F18F21" w:rsidR="005371E1" w:rsidRDefault="00F27198" w:rsidP="00BA4D90">
      <w:pPr>
        <w:pStyle w:val="BodyCopyNEW"/>
      </w:pPr>
      <w:r>
        <w:t xml:space="preserve">Based on our industry consultation activities, we identified that most respondents </w:t>
      </w:r>
      <w:r w:rsidR="004E7681">
        <w:t xml:space="preserve">(60%) </w:t>
      </w:r>
      <w:r>
        <w:t xml:space="preserve">agreed in a positive </w:t>
      </w:r>
      <w:r w:rsidR="004E7681">
        <w:t>manner</w:t>
      </w:r>
      <w:r>
        <w:t xml:space="preserve"> that NOPSEMA has the right capability to condu</w:t>
      </w:r>
      <w:r w:rsidR="001A5635">
        <w:t>ct investigations of suspected breaches.</w:t>
      </w:r>
      <w:r w:rsidR="004E7681">
        <w:t xml:space="preserve"> </w:t>
      </w:r>
      <w:r w:rsidR="00BF5127">
        <w:t xml:space="preserve">Many </w:t>
      </w:r>
      <w:r w:rsidR="00534E53">
        <w:t xml:space="preserve">industry </w:t>
      </w:r>
      <w:r w:rsidR="00BF5127">
        <w:t xml:space="preserve">stakeholders commented </w:t>
      </w:r>
      <w:r w:rsidR="00534E53">
        <w:t xml:space="preserve">positively on NOPSEMA’s technical capabilities, particularly in </w:t>
      </w:r>
      <w:r w:rsidR="005371E1">
        <w:t xml:space="preserve">relation to safety and well integrity functions. </w:t>
      </w:r>
      <w:r w:rsidR="002741AB">
        <w:t xml:space="preserve">Stakeholders </w:t>
      </w:r>
      <w:r w:rsidR="000D30BE">
        <w:t>positively regarded the professionalism and experience of NOPSEMA inspectors.</w:t>
      </w:r>
    </w:p>
    <w:p w14:paraId="7296A06C" w14:textId="1C228114" w:rsidR="002F2FC5" w:rsidRDefault="00C47E6E" w:rsidP="00BA4D90">
      <w:pPr>
        <w:pStyle w:val="BodyCopyNEW"/>
      </w:pPr>
      <w:r>
        <w:t xml:space="preserve">However, there are some </w:t>
      </w:r>
      <w:r w:rsidR="00A852DE">
        <w:t xml:space="preserve">stakeholder </w:t>
      </w:r>
      <w:r>
        <w:t>perceptions that NOPSEMA should be aware of and attempt to address, including</w:t>
      </w:r>
      <w:r w:rsidR="00FA2B2D">
        <w:t xml:space="preserve"> that</w:t>
      </w:r>
      <w:r>
        <w:t>:</w:t>
      </w:r>
    </w:p>
    <w:p w14:paraId="2E10F09D" w14:textId="7CA358D4" w:rsidR="00C47E6E" w:rsidRDefault="00B70B1D" w:rsidP="000C1F53">
      <w:pPr>
        <w:pStyle w:val="BodycopyNEW0"/>
        <w:numPr>
          <w:ilvl w:val="0"/>
          <w:numId w:val="23"/>
        </w:numPr>
        <w:ind w:left="378"/>
      </w:pPr>
      <w:r>
        <w:t xml:space="preserve">Some </w:t>
      </w:r>
      <w:r w:rsidR="00C47E6E">
        <w:t xml:space="preserve">NOPSEMA safety inspectors do not have a sufficient </w:t>
      </w:r>
      <w:r w:rsidR="00017EC2">
        <w:t>process safety skillset</w:t>
      </w:r>
    </w:p>
    <w:p w14:paraId="198CDF02" w14:textId="5B15BE4F" w:rsidR="00FA2B2D" w:rsidRDefault="00D03036" w:rsidP="000C1F53">
      <w:pPr>
        <w:pStyle w:val="BodycopyNEW0"/>
        <w:numPr>
          <w:ilvl w:val="0"/>
          <w:numId w:val="23"/>
        </w:numPr>
        <w:ind w:left="378"/>
      </w:pPr>
      <w:r>
        <w:t xml:space="preserve">Some investigations </w:t>
      </w:r>
      <w:r w:rsidR="00FA2B2D">
        <w:t xml:space="preserve">of breaches or suspected breaches do not </w:t>
      </w:r>
      <w:r w:rsidR="00B0137F">
        <w:t xml:space="preserve">always </w:t>
      </w:r>
      <w:r w:rsidR="00FA2B2D">
        <w:t>to get to the root cause</w:t>
      </w:r>
    </w:p>
    <w:p w14:paraId="7D82842D" w14:textId="3F5BDFBC" w:rsidR="00B30436" w:rsidRDefault="00B30436" w:rsidP="000C1F53">
      <w:pPr>
        <w:pStyle w:val="BodycopyNEW0"/>
        <w:numPr>
          <w:ilvl w:val="0"/>
          <w:numId w:val="23"/>
        </w:numPr>
        <w:ind w:left="378"/>
      </w:pPr>
      <w:r w:rsidRPr="00B30436">
        <w:t xml:space="preserve">Enforcement activities are not </w:t>
      </w:r>
      <w:r w:rsidR="000D30BE">
        <w:t xml:space="preserve">always </w:t>
      </w:r>
      <w:r w:rsidRPr="00B30436">
        <w:t>equally applied and</w:t>
      </w:r>
      <w:r w:rsidR="000D30BE">
        <w:t>/or</w:t>
      </w:r>
      <w:r w:rsidRPr="00B30436">
        <w:t xml:space="preserve"> reluctantly applied</w:t>
      </w:r>
    </w:p>
    <w:p w14:paraId="782843DA" w14:textId="03C5BB9C" w:rsidR="00027E4D" w:rsidRPr="00A850D2" w:rsidRDefault="00DD2B36" w:rsidP="000C1F53">
      <w:pPr>
        <w:pStyle w:val="BodycopyNEW0"/>
        <w:numPr>
          <w:ilvl w:val="0"/>
          <w:numId w:val="23"/>
        </w:numPr>
        <w:ind w:left="378"/>
      </w:pPr>
      <w:r>
        <w:t>NOPSE</w:t>
      </w:r>
      <w:r w:rsidR="003B6830">
        <w:t>M</w:t>
      </w:r>
      <w:r>
        <w:t xml:space="preserve">A has not been efficient and timely when conducting </w:t>
      </w:r>
      <w:r w:rsidR="000D30BE">
        <w:t xml:space="preserve">some </w:t>
      </w:r>
      <w:r>
        <w:t>health and safety incident investigations</w:t>
      </w:r>
      <w:r w:rsidR="00180F03">
        <w:t>.</w:t>
      </w:r>
    </w:p>
    <w:p w14:paraId="2CDE6F05" w14:textId="2C5E98B4" w:rsidR="00FB4304" w:rsidRPr="00C80C12" w:rsidRDefault="00C80C12" w:rsidP="00784E0E">
      <w:pPr>
        <w:pStyle w:val="Heading3"/>
      </w:pPr>
      <w:bookmarkStart w:id="56" w:name="_Ref56448597"/>
      <w:r w:rsidRPr="00C80C12">
        <w:t>NOPSEMA’s investigative powers – Commonwealth legislative matters</w:t>
      </w:r>
      <w:bookmarkEnd w:id="56"/>
    </w:p>
    <w:p w14:paraId="01039C3D" w14:textId="20CD8E21" w:rsidR="008F48DA" w:rsidRPr="00E94BB2" w:rsidRDefault="00533195" w:rsidP="00BA4D90">
      <w:pPr>
        <w:pStyle w:val="Heading3NoNumber"/>
      </w:pPr>
      <w:r>
        <w:t>There are p</w:t>
      </w:r>
      <w:r w:rsidR="7085F55F">
        <w:t>otential improvement</w:t>
      </w:r>
      <w:r w:rsidR="00FA045B">
        <w:t>s</w:t>
      </w:r>
      <w:r w:rsidR="7085F55F">
        <w:t xml:space="preserve"> to </w:t>
      </w:r>
      <w:r w:rsidR="00FE6130">
        <w:t>NOPSEMA</w:t>
      </w:r>
      <w:r w:rsidR="101E3073">
        <w:t xml:space="preserve"> Inspector</w:t>
      </w:r>
      <w:r w:rsidR="00FE6130">
        <w:t>’s investigative powers</w:t>
      </w:r>
    </w:p>
    <w:p w14:paraId="29DF951E" w14:textId="429CD33B" w:rsidR="00A14874" w:rsidRPr="00A14874" w:rsidRDefault="00A14874" w:rsidP="00BA4D90">
      <w:pPr>
        <w:pStyle w:val="BodyCopyNEW"/>
      </w:pPr>
      <w:r w:rsidRPr="00A14874">
        <w:t>The following</w:t>
      </w:r>
      <w:r>
        <w:t xml:space="preserve"> </w:t>
      </w:r>
      <w:r w:rsidR="3728AEEF">
        <w:t>are potential improvements for consideration to support NOPSEMA Inspectors with respect to their investigative powers:</w:t>
      </w:r>
    </w:p>
    <w:p w14:paraId="55F5F7A1" w14:textId="177121D0" w:rsidR="00A14874" w:rsidRPr="001C4BF4" w:rsidRDefault="001C4BF4" w:rsidP="000C1F53">
      <w:pPr>
        <w:pStyle w:val="BodycopyNEW0"/>
        <w:numPr>
          <w:ilvl w:val="0"/>
          <w:numId w:val="23"/>
        </w:numPr>
        <w:ind w:left="378"/>
        <w:rPr>
          <w:b/>
          <w:bCs/>
        </w:rPr>
      </w:pPr>
      <w:r w:rsidRPr="001C4BF4">
        <w:rPr>
          <w:b/>
          <w:bCs/>
        </w:rPr>
        <w:t>Express power to electronically record answers to questions</w:t>
      </w:r>
      <w:r w:rsidR="00A14874" w:rsidRPr="001C4BF4">
        <w:rPr>
          <w:b/>
          <w:bCs/>
        </w:rPr>
        <w:t xml:space="preserve">: </w:t>
      </w:r>
      <w:r w:rsidR="00A14874" w:rsidRPr="001C4BF4">
        <w:t>Coercive powers provided to NOPSEMA Inspectors for the purpose of</w:t>
      </w:r>
      <w:r w:rsidR="00A14874" w:rsidRPr="001C4BF4">
        <w:rPr>
          <w:i/>
          <w:iCs/>
        </w:rPr>
        <w:t xml:space="preserve"> </w:t>
      </w:r>
      <w:r w:rsidR="00A14874" w:rsidRPr="00901C7B">
        <w:t>‘investigation’</w:t>
      </w:r>
      <w:r w:rsidR="00A14874" w:rsidRPr="009248AD">
        <w:t xml:space="preserve"> pursuant to </w:t>
      </w:r>
      <w:r w:rsidR="00A14874" w:rsidRPr="00901C7B">
        <w:t xml:space="preserve">Division 1 of Chapter 6.5 ‘Compliance and Enforcement’ of the </w:t>
      </w:r>
      <w:r w:rsidR="009248AD">
        <w:t xml:space="preserve">OPGGS </w:t>
      </w:r>
      <w:r w:rsidR="00A14874" w:rsidRPr="00901C7B">
        <w:t>Act</w:t>
      </w:r>
      <w:r w:rsidR="00A14874" w:rsidRPr="001C4BF4">
        <w:t xml:space="preserve"> and Regulatory Powers Act do not extend to an express power for a NOPSEMA Inspector to record answers to questions using a sound recording device or an audio visual device</w:t>
      </w:r>
      <w:r w:rsidR="6EC507DD">
        <w:t xml:space="preserve">. Whilst the Commonwealth </w:t>
      </w:r>
      <w:r w:rsidR="6EC507DD" w:rsidRPr="2A35155A">
        <w:rPr>
          <w:i/>
          <w:iCs/>
        </w:rPr>
        <w:t>Work Health and Safety Act, 2011</w:t>
      </w:r>
      <w:r w:rsidR="6EC507DD" w:rsidRPr="2A35155A">
        <w:t xml:space="preserve"> does not provide this power, other harmonised state jurisdiction</w:t>
      </w:r>
      <w:r w:rsidR="7263838A" w:rsidRPr="2A35155A">
        <w:t>’</w:t>
      </w:r>
      <w:r w:rsidR="6EC507DD" w:rsidRPr="2A35155A">
        <w:t xml:space="preserve">s </w:t>
      </w:r>
      <w:r w:rsidR="178E2D60" w:rsidRPr="2A35155A">
        <w:rPr>
          <w:i/>
          <w:iCs/>
        </w:rPr>
        <w:t>Work Health and Safety Acts</w:t>
      </w:r>
      <w:r w:rsidR="178E2D60" w:rsidRPr="2A35155A">
        <w:t xml:space="preserve"> do</w:t>
      </w:r>
      <w:r w:rsidR="00A14874" w:rsidRPr="001C4BF4">
        <w:t xml:space="preserve"> </w:t>
      </w:r>
      <w:r w:rsidR="2B8506E4">
        <w:t xml:space="preserve">(see </w:t>
      </w:r>
      <w:r w:rsidR="1CF93316">
        <w:t xml:space="preserve">for example </w:t>
      </w:r>
      <w:r w:rsidR="00A14874" w:rsidRPr="001C4BF4">
        <w:rPr>
          <w:i/>
          <w:iCs/>
        </w:rPr>
        <w:t>s</w:t>
      </w:r>
      <w:r w:rsidR="00E55F30" w:rsidRPr="001C4BF4">
        <w:rPr>
          <w:i/>
          <w:iCs/>
        </w:rPr>
        <w:t xml:space="preserve">ection </w:t>
      </w:r>
      <w:r w:rsidR="00A14874" w:rsidRPr="001C4BF4">
        <w:rPr>
          <w:i/>
          <w:iCs/>
        </w:rPr>
        <w:t xml:space="preserve">185A </w:t>
      </w:r>
      <w:r w:rsidR="00A14874" w:rsidRPr="009D5BA8">
        <w:t>of the</w:t>
      </w:r>
      <w:r w:rsidR="00A14874" w:rsidRPr="03138FDB">
        <w:t xml:space="preserve"> </w:t>
      </w:r>
      <w:r w:rsidR="2B22859A" w:rsidRPr="03138FDB">
        <w:rPr>
          <w:i/>
          <w:iCs/>
        </w:rPr>
        <w:t xml:space="preserve">Work </w:t>
      </w:r>
      <w:r w:rsidR="7B396B65" w:rsidRPr="03138FDB">
        <w:rPr>
          <w:i/>
          <w:iCs/>
        </w:rPr>
        <w:t>Health and Safety Act, 2011 (NSW))</w:t>
      </w:r>
      <w:r w:rsidR="00B81FD8">
        <w:rPr>
          <w:i/>
          <w:iCs/>
        </w:rPr>
        <w:t xml:space="preserve"> </w:t>
      </w:r>
      <w:r w:rsidR="39F3EAC5" w:rsidRPr="5D3181D8">
        <w:t xml:space="preserve">NOPSEMA Inspectors not having access to this power, </w:t>
      </w:r>
      <w:r w:rsidR="20E2010B" w:rsidRPr="5D3181D8">
        <w:t xml:space="preserve">raises room for argument when they seek to record an interview (not simply to save time but also to corroborate what </w:t>
      </w:r>
      <w:r w:rsidR="20E2010B" w:rsidRPr="5FB95A77">
        <w:t>was said without chal</w:t>
      </w:r>
      <w:r w:rsidR="6D11C1C1" w:rsidRPr="5FB95A77">
        <w:t>lenge later in court)</w:t>
      </w:r>
      <w:r w:rsidR="39F3EAC5" w:rsidRPr="5D3181D8">
        <w:t xml:space="preserve"> </w:t>
      </w:r>
      <w:r w:rsidR="00A14874" w:rsidRPr="001C4BF4">
        <w:t xml:space="preserve">when lawyers acting for </w:t>
      </w:r>
      <w:r w:rsidR="00EA06AF">
        <w:t>title</w:t>
      </w:r>
      <w:r w:rsidR="00A14874" w:rsidRPr="001C4BF4">
        <w:t>holders object to the use of a recording device</w:t>
      </w:r>
    </w:p>
    <w:p w14:paraId="3B392304" w14:textId="6A2AF8E2" w:rsidR="00A14874" w:rsidRPr="00C80C12" w:rsidRDefault="080BB2C6" w:rsidP="000C1F53">
      <w:pPr>
        <w:pStyle w:val="BodycopyNEW0"/>
        <w:numPr>
          <w:ilvl w:val="0"/>
          <w:numId w:val="23"/>
        </w:numPr>
        <w:ind w:left="378"/>
        <w:rPr>
          <w:b/>
          <w:bCs/>
        </w:rPr>
      </w:pPr>
      <w:r w:rsidRPr="77DF8854">
        <w:rPr>
          <w:b/>
          <w:bCs/>
        </w:rPr>
        <w:t xml:space="preserve">Clarity of </w:t>
      </w:r>
      <w:r w:rsidR="001C4BF4" w:rsidRPr="001C4BF4">
        <w:rPr>
          <w:b/>
          <w:bCs/>
        </w:rPr>
        <w:t>the law governing privilege against self-incrimination</w:t>
      </w:r>
      <w:r w:rsidR="00A14874" w:rsidRPr="00A14874">
        <w:rPr>
          <w:b/>
          <w:bCs/>
        </w:rPr>
        <w:t>:</w:t>
      </w:r>
      <w:r w:rsidR="00A14874" w:rsidRPr="00A14874">
        <w:t xml:space="preserve"> </w:t>
      </w:r>
      <w:r w:rsidR="22CE4609">
        <w:t xml:space="preserve">The OPGGS Act applies the standard investigation powers in the </w:t>
      </w:r>
      <w:r w:rsidR="22CE4609" w:rsidRPr="36F34DC3">
        <w:rPr>
          <w:i/>
          <w:iCs/>
        </w:rPr>
        <w:t>Regulatory Powers (</w:t>
      </w:r>
      <w:r w:rsidR="5414DE40" w:rsidRPr="55BDDA02">
        <w:rPr>
          <w:i/>
          <w:iCs/>
        </w:rPr>
        <w:t>Standard</w:t>
      </w:r>
      <w:r w:rsidR="22CE4609" w:rsidRPr="36F34DC3">
        <w:rPr>
          <w:i/>
          <w:iCs/>
        </w:rPr>
        <w:t xml:space="preserve"> Provisions) Act 2014, </w:t>
      </w:r>
      <w:r w:rsidR="22CE4609" w:rsidRPr="36F34DC3">
        <w:t xml:space="preserve">which do not </w:t>
      </w:r>
      <w:r w:rsidR="22CE4609" w:rsidRPr="55BDDA02">
        <w:t>abrogate</w:t>
      </w:r>
      <w:r w:rsidR="22CE4609" w:rsidRPr="36F34DC3">
        <w:t xml:space="preserve"> privilege against self-i</w:t>
      </w:r>
      <w:r w:rsidR="1E995D09" w:rsidRPr="36F34DC3">
        <w:t xml:space="preserve">ncrimination. The </w:t>
      </w:r>
      <w:r w:rsidR="1E995D09" w:rsidRPr="55BDDA02">
        <w:t>privilege has however, been abrogated in other provisions under the OPGGS Act</w:t>
      </w:r>
      <w:r w:rsidR="228DEF27" w:rsidRPr="55BDDA02">
        <w:t xml:space="preserve"> which relate to inspections, noting that the information obtained or answer given cannot be used as evidence against the person providing the information or answering the questions</w:t>
      </w:r>
      <w:r w:rsidR="228DEF27" w:rsidRPr="3FE80A06">
        <w:t xml:space="preserve">. We note </w:t>
      </w:r>
      <w:r w:rsidR="5B1FB7D2" w:rsidRPr="50E80AFF">
        <w:t>abrogation</w:t>
      </w:r>
      <w:r w:rsidR="228DEF27" w:rsidRPr="3FE80A06">
        <w:t xml:space="preserve"> of the privilege in these provisions acknowledges that it may be more important to e</w:t>
      </w:r>
      <w:r w:rsidR="5DFE0FD1" w:rsidRPr="3FE80A06">
        <w:t xml:space="preserve">stablish the facts rather than be able to use the facts or information in a prosecution or legal actions against the person providing the information or responses. It is important all stakeholders </w:t>
      </w:r>
      <w:r w:rsidR="4141E641" w:rsidRPr="3FE80A06">
        <w:t xml:space="preserve">understand when and how NOPSEMA Inspectors may use this </w:t>
      </w:r>
      <w:r w:rsidR="4141E641" w:rsidRPr="7C208796">
        <w:t xml:space="preserve">power to require a person to answer questions in </w:t>
      </w:r>
      <w:r w:rsidR="1FA70146" w:rsidRPr="50E80AFF">
        <w:t>circumstances</w:t>
      </w:r>
      <w:r w:rsidR="4141E641" w:rsidRPr="7C208796">
        <w:t xml:space="preserve"> where they cannot claim privilege against self-incrimination.</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C80C12" w:rsidRPr="004714A6" w14:paraId="518076AE" w14:textId="77777777" w:rsidTr="009D3577">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6802E10C" w14:textId="00E5BB08" w:rsidR="00C80C12" w:rsidRPr="00A470B1" w:rsidRDefault="00C80C12" w:rsidP="00053250">
            <w:pPr>
              <w:pStyle w:val="TableHeadingLeft"/>
              <w:rPr>
                <w:bCs/>
              </w:rPr>
            </w:pPr>
            <w:r w:rsidRPr="00A470B1">
              <w:rPr>
                <w:bCs/>
              </w:rPr>
              <w:lastRenderedPageBreak/>
              <w:t>Recommendation</w:t>
            </w:r>
            <w:r w:rsidR="002B669C" w:rsidRPr="00A470B1">
              <w:rPr>
                <w:bCs/>
              </w:rPr>
              <w:t xml:space="preserve"> #</w:t>
            </w:r>
            <w:r w:rsidR="003D79E0">
              <w:rPr>
                <w:bCs/>
              </w:rPr>
              <w:t>6</w:t>
            </w:r>
          </w:p>
        </w:tc>
      </w:tr>
      <w:tr w:rsidR="004714A6" w:rsidRPr="004714A6" w14:paraId="1E6FA27E" w14:textId="77777777" w:rsidTr="009D3577">
        <w:tc>
          <w:tcPr>
            <w:tcW w:w="9864" w:type="dxa"/>
            <w:tcBorders>
              <w:bottom w:val="nil"/>
            </w:tcBorders>
            <w:shd w:val="clear" w:color="auto" w:fill="F2F2F2" w:themeFill="background1" w:themeFillShade="F2"/>
          </w:tcPr>
          <w:p w14:paraId="4855CB93" w14:textId="73AEA1C1" w:rsidR="00C80C12" w:rsidRPr="004714A6" w:rsidRDefault="00726ED3" w:rsidP="00BA4D90">
            <w:pPr>
              <w:pStyle w:val="BodyCopyNEW"/>
            </w:pPr>
            <w:r w:rsidRPr="004714A6">
              <w:t>The Government should consider updating the OPGGS Act with respect to the power of NOPSEMA Inspectors to electronically record answers when using their powers to question under the Act.</w:t>
            </w:r>
          </w:p>
        </w:tc>
      </w:tr>
    </w:tbl>
    <w:p w14:paraId="1ABA884C" w14:textId="010B94BE" w:rsidR="00765B5C" w:rsidRDefault="00765B5C" w:rsidP="00300717">
      <w:pPr>
        <w:pStyle w:val="BodyCopyNEW"/>
        <w:spacing w:after="0"/>
      </w:pP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765B5C" w:rsidRPr="004714A6" w14:paraId="56F87D21" w14:textId="77777777" w:rsidTr="00DA4B5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61961D8C" w14:textId="5111A0ED" w:rsidR="00765B5C" w:rsidRPr="00A470B1" w:rsidRDefault="00765B5C" w:rsidP="00DA4B5E">
            <w:pPr>
              <w:pStyle w:val="TableHeadingLeft"/>
              <w:rPr>
                <w:bCs/>
              </w:rPr>
            </w:pPr>
            <w:r w:rsidRPr="00A470B1">
              <w:rPr>
                <w:bCs/>
              </w:rPr>
              <w:t>Recommendation #</w:t>
            </w:r>
            <w:r w:rsidR="003D79E0">
              <w:rPr>
                <w:bCs/>
              </w:rPr>
              <w:t>7</w:t>
            </w:r>
          </w:p>
        </w:tc>
      </w:tr>
      <w:tr w:rsidR="00284183" w:rsidRPr="004714A6" w14:paraId="04E2E63C" w14:textId="77777777" w:rsidTr="00DA4B5E">
        <w:tc>
          <w:tcPr>
            <w:tcW w:w="9864" w:type="dxa"/>
            <w:tcBorders>
              <w:bottom w:val="nil"/>
            </w:tcBorders>
            <w:shd w:val="clear" w:color="auto" w:fill="F2F2F2" w:themeFill="background1" w:themeFillShade="F2"/>
          </w:tcPr>
          <w:p w14:paraId="0F748A1B" w14:textId="2477ABB9" w:rsidR="00284183" w:rsidRPr="00284183" w:rsidRDefault="00284183" w:rsidP="00284183">
            <w:pPr>
              <w:pStyle w:val="BodyCopyNEW"/>
            </w:pPr>
            <w:r w:rsidRPr="00284183">
              <w:rPr>
                <w:szCs w:val="18"/>
              </w:rPr>
              <w:t>NOPSEMA should publish guidance for the benefit of all stakeholders as to how and in what circumstances the law concerning self-incrimination is relevant when a NOPSEMA Inspector exercises their powers to compel relevant parties to answer questions.</w:t>
            </w:r>
          </w:p>
        </w:tc>
      </w:tr>
    </w:tbl>
    <w:p w14:paraId="1A012F2A" w14:textId="41B8A658" w:rsidR="00A14874" w:rsidRPr="00BB2C02" w:rsidRDefault="00BB2C02" w:rsidP="00901C7B">
      <w:pPr>
        <w:pStyle w:val="Heading2"/>
        <w:numPr>
          <w:ilvl w:val="1"/>
          <w:numId w:val="1"/>
        </w:numPr>
        <w:spacing w:before="120"/>
      </w:pPr>
      <w:bookmarkStart w:id="57" w:name="_Ref58592960"/>
      <w:r w:rsidRPr="00BB2C02">
        <w:t>NOPSEMA</w:t>
      </w:r>
      <w:r w:rsidR="00D5185A">
        <w:t>’s enforcement approach</w:t>
      </w:r>
      <w:bookmarkEnd w:id="57"/>
    </w:p>
    <w:p w14:paraId="2A5DDE74" w14:textId="77777777" w:rsidR="00D24DF9" w:rsidRPr="009A3B23" w:rsidRDefault="00D24DF9" w:rsidP="00784E0E">
      <w:pPr>
        <w:pStyle w:val="Heading3"/>
        <w:numPr>
          <w:ilvl w:val="2"/>
          <w:numId w:val="1"/>
        </w:numPr>
      </w:pPr>
      <w:r w:rsidRPr="009A3B23">
        <w:t>NOPSEMA’s graduated response to non-compliance</w:t>
      </w:r>
    </w:p>
    <w:p w14:paraId="6E2BDDA2" w14:textId="4F1F599A" w:rsidR="00D24DF9" w:rsidRDefault="00D24DF9" w:rsidP="00BA4D90">
      <w:pPr>
        <w:pStyle w:val="BodyCopyNEW"/>
      </w:pPr>
      <w:r w:rsidRPr="00022A18">
        <w:t>NOPSEMA</w:t>
      </w:r>
      <w:r>
        <w:t>’s</w:t>
      </w:r>
      <w:r w:rsidRPr="00022A18">
        <w:t xml:space="preserve"> </w:t>
      </w:r>
      <w:r w:rsidR="00FA045B" w:rsidRPr="00901C7B">
        <w:rPr>
          <w:iCs/>
        </w:rPr>
        <w:t>EMM</w:t>
      </w:r>
      <w:r w:rsidRPr="00CD5AFE">
        <w:rPr>
          <w:iCs/>
        </w:rPr>
        <w:t xml:space="preserve"> </w:t>
      </w:r>
      <w:r w:rsidR="00114103" w:rsidRPr="00E75BFD">
        <w:rPr>
          <w:iCs/>
        </w:rPr>
        <w:t>a</w:t>
      </w:r>
      <w:r w:rsidR="00114103">
        <w:t>ppropriately</w:t>
      </w:r>
      <w:r>
        <w:t xml:space="preserve"> identifies that there </w:t>
      </w:r>
      <w:r w:rsidRPr="00901C7B">
        <w:rPr>
          <w:i/>
          <w:iCs/>
        </w:rPr>
        <w:t>“is no single correct approach to addressing non-compliance”.</w:t>
      </w:r>
      <w:r>
        <w:t xml:space="preserve"> As such, NOPSEMA has structured its response strategies to using a graduated approach, which are then </w:t>
      </w:r>
      <w:r w:rsidRPr="009A3B23">
        <w:t xml:space="preserve">chosen </w:t>
      </w:r>
      <w:r w:rsidR="004A16A5">
        <w:t xml:space="preserve">to be </w:t>
      </w:r>
      <w:r w:rsidRPr="009A3B23">
        <w:t>proportionate to the risks presented by health and safety</w:t>
      </w:r>
      <w:r w:rsidR="000210BE">
        <w:t>, well integrity, or environment</w:t>
      </w:r>
      <w:r w:rsidRPr="009A3B23">
        <w:t xml:space="preserve"> issues or </w:t>
      </w:r>
      <w:r>
        <w:t xml:space="preserve">other </w:t>
      </w:r>
      <w:r w:rsidRPr="009A3B23">
        <w:t>non-compliances.</w:t>
      </w:r>
      <w:r>
        <w:t xml:space="preserve"> </w:t>
      </w:r>
    </w:p>
    <w:p w14:paraId="23E2735C" w14:textId="29607ECD" w:rsidR="00D24DF9" w:rsidRDefault="00D24DF9" w:rsidP="00BA4D90">
      <w:pPr>
        <w:pStyle w:val="BodyCopyNEW"/>
      </w:pPr>
      <w:r>
        <w:t>The graduation levels, aligned to better practice, recognise informal compliance actions as (summarise</w:t>
      </w:r>
      <w:r w:rsidR="00114103">
        <w:t>d and extracted</w:t>
      </w:r>
      <w:r>
        <w:t xml:space="preserve"> from NOPSEMA’s EMM):</w:t>
      </w:r>
    </w:p>
    <w:p w14:paraId="41704C4A" w14:textId="30D8FA2D" w:rsidR="00D24DF9" w:rsidRPr="00D956F8" w:rsidRDefault="00D24DF9" w:rsidP="000C1F53">
      <w:pPr>
        <w:pStyle w:val="BodycopyNEW0"/>
        <w:numPr>
          <w:ilvl w:val="0"/>
          <w:numId w:val="23"/>
        </w:numPr>
        <w:ind w:left="378"/>
      </w:pPr>
      <w:r w:rsidRPr="00901C7B">
        <w:rPr>
          <w:b/>
          <w:bCs/>
        </w:rPr>
        <w:t>Educating and increasing awareness</w:t>
      </w:r>
      <w:r w:rsidR="00764DAC">
        <w:t xml:space="preserve"> </w:t>
      </w:r>
      <w:r w:rsidR="00532D2F">
        <w:t>–</w:t>
      </w:r>
      <w:r w:rsidRPr="00D956F8">
        <w:t xml:space="preserve"> which</w:t>
      </w:r>
      <w:r w:rsidR="00532D2F">
        <w:t xml:space="preserve"> </w:t>
      </w:r>
      <w:r w:rsidRPr="00D956F8">
        <w:t xml:space="preserve">is where NOPSEMA encourages compliance through education and awareness programs designed to assist </w:t>
      </w:r>
      <w:r w:rsidR="00EA06AF">
        <w:t>title</w:t>
      </w:r>
      <w:r w:rsidRPr="00D956F8">
        <w:t>holders to improve or maintain compliance</w:t>
      </w:r>
    </w:p>
    <w:p w14:paraId="0C2B91BF" w14:textId="66D3B198" w:rsidR="00D24DF9" w:rsidRPr="00D956F8" w:rsidRDefault="00D24DF9" w:rsidP="000C1F53">
      <w:pPr>
        <w:pStyle w:val="BodycopyNEW0"/>
        <w:numPr>
          <w:ilvl w:val="0"/>
          <w:numId w:val="23"/>
        </w:numPr>
        <w:ind w:left="378"/>
      </w:pPr>
      <w:r w:rsidRPr="00901C7B">
        <w:rPr>
          <w:b/>
          <w:bCs/>
        </w:rPr>
        <w:t>Providing verbal advice or warnings</w:t>
      </w:r>
      <w:r w:rsidR="00764DAC">
        <w:t xml:space="preserve"> </w:t>
      </w:r>
      <w:r w:rsidR="00532D2F">
        <w:t>–</w:t>
      </w:r>
      <w:r w:rsidRPr="00D956F8">
        <w:t xml:space="preserve"> which</w:t>
      </w:r>
      <w:r w:rsidR="00532D2F">
        <w:t xml:space="preserve"> </w:t>
      </w:r>
      <w:r w:rsidRPr="00D956F8">
        <w:t>is where a potential area of improvement is identified by a NOPSEMA inspector (e.g. better practice in industry) and the issue does not warrant formal enforcement action, the NOPSEMA inspector may provide verbal advice regarding the better practice</w:t>
      </w:r>
    </w:p>
    <w:p w14:paraId="7E82FE36" w14:textId="5B3308C9" w:rsidR="00D24DF9" w:rsidRPr="00D956F8" w:rsidRDefault="00D24DF9" w:rsidP="000C1F53">
      <w:pPr>
        <w:pStyle w:val="BodycopyNEW0"/>
        <w:numPr>
          <w:ilvl w:val="0"/>
          <w:numId w:val="23"/>
        </w:numPr>
        <w:ind w:left="378"/>
      </w:pPr>
      <w:r w:rsidRPr="00901C7B">
        <w:rPr>
          <w:b/>
          <w:bCs/>
        </w:rPr>
        <w:t>Providing written advice or warnings</w:t>
      </w:r>
      <w:r w:rsidR="00764DAC">
        <w:t xml:space="preserve"> </w:t>
      </w:r>
      <w:r w:rsidR="00532D2F" w:rsidRPr="00BD05B7">
        <w:t>–</w:t>
      </w:r>
      <w:r w:rsidRPr="00D956F8">
        <w:t xml:space="preserve"> which</w:t>
      </w:r>
      <w:r w:rsidR="00532D2F">
        <w:t xml:space="preserve"> </w:t>
      </w:r>
      <w:r w:rsidRPr="00D956F8">
        <w:t>is where a non-compliance issue has been identified and the NOPSEMA inspector provides a written recommendation within a planned inspection report, or in the form of a letter. This type of action is usually taken when there is insufficient risk gap to warrant the issue of an improvement notice.</w:t>
      </w:r>
    </w:p>
    <w:p w14:paraId="6CB301ED" w14:textId="4FE4E8F3" w:rsidR="00D24DF9" w:rsidRPr="00D24DF9" w:rsidRDefault="00D24DF9" w:rsidP="00784E0E">
      <w:pPr>
        <w:pStyle w:val="Heading3"/>
        <w:numPr>
          <w:ilvl w:val="2"/>
          <w:numId w:val="1"/>
        </w:numPr>
      </w:pPr>
      <w:r w:rsidRPr="00D24DF9">
        <w:t xml:space="preserve">Enforcement </w:t>
      </w:r>
      <w:r w:rsidR="007B61CF">
        <w:t>powers</w:t>
      </w:r>
    </w:p>
    <w:p w14:paraId="7723E380" w14:textId="61C87955" w:rsidR="00486FE3" w:rsidRDefault="00486FE3" w:rsidP="00BA4D90">
      <w:pPr>
        <w:pStyle w:val="Heading3NoNumber"/>
      </w:pPr>
      <w:r>
        <w:t xml:space="preserve">NOPSEMA’s approach to enforcement is </w:t>
      </w:r>
      <w:r w:rsidR="005A264A">
        <w:t>adequate for its purpose</w:t>
      </w:r>
      <w:r>
        <w:t>, but stakeholders do not perceive NOPSEMA as taking sufficient action</w:t>
      </w:r>
    </w:p>
    <w:p w14:paraId="06046F03" w14:textId="264FCCD9" w:rsidR="00B6331A" w:rsidRDefault="00B6331A" w:rsidP="00BA4D90">
      <w:pPr>
        <w:pStyle w:val="BodyCopyNEW"/>
      </w:pPr>
      <w:r>
        <w:t xml:space="preserve">For the purposes of </w:t>
      </w:r>
      <w:r w:rsidR="003D7251">
        <w:t xml:space="preserve">NOPSEMA’s </w:t>
      </w:r>
      <w:r>
        <w:t>enforcement powers, the relevant sections of the OPGGS Act, include:</w:t>
      </w:r>
    </w:p>
    <w:p w14:paraId="15F25062" w14:textId="260DEA93" w:rsidR="0054712C" w:rsidRPr="00DF2784" w:rsidRDefault="0054712C" w:rsidP="000C1F53">
      <w:pPr>
        <w:pStyle w:val="BodycopyNEW0"/>
        <w:numPr>
          <w:ilvl w:val="0"/>
          <w:numId w:val="23"/>
        </w:numPr>
        <w:ind w:left="378"/>
      </w:pPr>
      <w:r w:rsidRPr="00E94BB2">
        <w:rPr>
          <w:b/>
        </w:rPr>
        <w:t>Environmental management (Schedule 2A)</w:t>
      </w:r>
      <w:r>
        <w:t xml:space="preserve"> </w:t>
      </w:r>
      <w:r w:rsidR="00532D2F">
        <w:t>–</w:t>
      </w:r>
      <w:r>
        <w:t xml:space="preserve"> which</w:t>
      </w:r>
      <w:r w:rsidR="00532D2F">
        <w:t xml:space="preserve"> </w:t>
      </w:r>
      <w:r w:rsidRPr="00DF2784">
        <w:t xml:space="preserve">provides coercive </w:t>
      </w:r>
      <w:r>
        <w:t xml:space="preserve">powers of entry and </w:t>
      </w:r>
      <w:r w:rsidRPr="00DF2784">
        <w:t xml:space="preserve">inspection powers and some enforcement options to NOPSEMA Inspectors in the offshore petroleum and greenhouse gas storage environmental management context </w:t>
      </w:r>
    </w:p>
    <w:p w14:paraId="0C027015" w14:textId="5DB77725" w:rsidR="0054712C" w:rsidRPr="00DF2784" w:rsidRDefault="0054712C" w:rsidP="000C1F53">
      <w:pPr>
        <w:pStyle w:val="BodycopyNEW0"/>
        <w:numPr>
          <w:ilvl w:val="0"/>
          <w:numId w:val="23"/>
        </w:numPr>
        <w:ind w:left="378"/>
      </w:pPr>
      <w:r w:rsidRPr="00E94BB2">
        <w:rPr>
          <w:b/>
        </w:rPr>
        <w:t>Well integrity (Schedule 2B)</w:t>
      </w:r>
      <w:r>
        <w:t xml:space="preserve"> </w:t>
      </w:r>
      <w:r w:rsidR="00532D2F">
        <w:t>–</w:t>
      </w:r>
      <w:r>
        <w:t xml:space="preserve"> which</w:t>
      </w:r>
      <w:r w:rsidR="00532D2F">
        <w:t xml:space="preserve"> </w:t>
      </w:r>
      <w:r>
        <w:t xml:space="preserve">provides </w:t>
      </w:r>
      <w:r w:rsidRPr="00DF2784">
        <w:t>coercive</w:t>
      </w:r>
      <w:r>
        <w:t xml:space="preserve"> powers of entry and </w:t>
      </w:r>
      <w:r w:rsidRPr="00DF2784">
        <w:t>inspection powers and some enforcement options to NOPSEMA Inspectors in the well integrity context</w:t>
      </w:r>
    </w:p>
    <w:p w14:paraId="54929D1C" w14:textId="01910372" w:rsidR="0054712C" w:rsidRPr="00DF2784" w:rsidRDefault="0054712C" w:rsidP="000C1F53">
      <w:pPr>
        <w:pStyle w:val="BodycopyNEW0"/>
        <w:numPr>
          <w:ilvl w:val="0"/>
          <w:numId w:val="23"/>
        </w:numPr>
        <w:ind w:left="378"/>
      </w:pPr>
      <w:r w:rsidRPr="00E94BB2">
        <w:rPr>
          <w:b/>
        </w:rPr>
        <w:t>Occupational Health and Safety (Schedule 3)</w:t>
      </w:r>
      <w:r>
        <w:t xml:space="preserve"> </w:t>
      </w:r>
      <w:r w:rsidR="00532D2F">
        <w:t>–</w:t>
      </w:r>
      <w:r>
        <w:t xml:space="preserve"> that</w:t>
      </w:r>
      <w:r w:rsidR="00532D2F">
        <w:t xml:space="preserve"> </w:t>
      </w:r>
      <w:r w:rsidRPr="00DF2784">
        <w:t xml:space="preserve">provides coercive </w:t>
      </w:r>
      <w:r>
        <w:t xml:space="preserve">powers of entry and </w:t>
      </w:r>
      <w:r w:rsidRPr="00DF2784">
        <w:t xml:space="preserve">inspection powers and some enforcement options to NOPSEMA Inspectors in the </w:t>
      </w:r>
      <w:r>
        <w:t>OHS</w:t>
      </w:r>
      <w:r w:rsidRPr="00DF2784">
        <w:t xml:space="preserve"> context</w:t>
      </w:r>
    </w:p>
    <w:p w14:paraId="17A21FF4" w14:textId="6932670E" w:rsidR="0054712C" w:rsidRDefault="0054712C" w:rsidP="000C1F53">
      <w:pPr>
        <w:pStyle w:val="BodycopyNEW0"/>
        <w:numPr>
          <w:ilvl w:val="0"/>
          <w:numId w:val="23"/>
        </w:numPr>
        <w:ind w:left="378"/>
      </w:pPr>
      <w:r w:rsidRPr="00E94BB2">
        <w:rPr>
          <w:b/>
        </w:rPr>
        <w:t>Part 6.5 ‘Compliance and Enforcement’</w:t>
      </w:r>
      <w:r>
        <w:t xml:space="preserve"> </w:t>
      </w:r>
      <w:r w:rsidR="00532D2F">
        <w:t>–</w:t>
      </w:r>
      <w:r w:rsidR="00A43935">
        <w:t xml:space="preserve"> </w:t>
      </w:r>
      <w:r w:rsidRPr="00DF2784">
        <w:t>that</w:t>
      </w:r>
      <w:r w:rsidR="00532D2F">
        <w:t xml:space="preserve"> </w:t>
      </w:r>
      <w:r w:rsidRPr="00DF2784">
        <w:t>expressly provides for the application (with suitable modifications) of some monitoring, investigation and enforcement powers and some enforcement options to NOPSEMA and its Inspectors under Part</w:t>
      </w:r>
      <w:r w:rsidR="003D7251">
        <w:t>s</w:t>
      </w:r>
      <w:r w:rsidRPr="00DF2784">
        <w:t xml:space="preserve"> 2 and 3 of the Regulatory Powers </w:t>
      </w:r>
      <w:r w:rsidR="003D7251">
        <w:t>Act</w:t>
      </w:r>
      <w:r>
        <w:t>.</w:t>
      </w:r>
    </w:p>
    <w:p w14:paraId="084B01A9" w14:textId="68EE736B" w:rsidR="00DF01C3" w:rsidRPr="00DF01C3" w:rsidRDefault="00F54CD1" w:rsidP="00BA4D90">
      <w:pPr>
        <w:pStyle w:val="BodyCopyNEW"/>
      </w:pPr>
      <w:r>
        <w:t>T</w:t>
      </w:r>
      <w:r w:rsidR="005E501B">
        <w:t xml:space="preserve">he </w:t>
      </w:r>
      <w:r w:rsidR="005E501B" w:rsidRPr="00CB5369">
        <w:rPr>
          <w:i/>
        </w:rPr>
        <w:t>Offshore Petroleum and Greenhouse Gas Storage (Safety) Regulations</w:t>
      </w:r>
      <w:r w:rsidR="005E501B">
        <w:t xml:space="preserve"> </w:t>
      </w:r>
      <w:r w:rsidR="00AF6FBF" w:rsidRPr="00AF6FBF">
        <w:rPr>
          <w:i/>
          <w:iCs/>
        </w:rPr>
        <w:t>2009</w:t>
      </w:r>
      <w:r w:rsidR="00AF6FBF">
        <w:t xml:space="preserve"> (the </w:t>
      </w:r>
      <w:r w:rsidR="00AF6FBF" w:rsidRPr="00AF6FBF">
        <w:rPr>
          <w:b/>
          <w:bCs/>
        </w:rPr>
        <w:t xml:space="preserve">OPGGS </w:t>
      </w:r>
      <w:r w:rsidR="003D7251">
        <w:rPr>
          <w:b/>
          <w:bCs/>
        </w:rPr>
        <w:t xml:space="preserve">Safety </w:t>
      </w:r>
      <w:r w:rsidR="00AF6FBF" w:rsidRPr="00AF6FBF">
        <w:rPr>
          <w:b/>
          <w:bCs/>
        </w:rPr>
        <w:t>Regulations</w:t>
      </w:r>
      <w:r w:rsidR="00AF6FBF">
        <w:t xml:space="preserve">) </w:t>
      </w:r>
      <w:r w:rsidR="00741E42">
        <w:t xml:space="preserve">make provision for </w:t>
      </w:r>
      <w:r w:rsidR="00C14F77">
        <w:t>specific OHS matters</w:t>
      </w:r>
      <w:r w:rsidR="002855EB">
        <w:t xml:space="preserve">, including administrative matters (e.g. failure to report), safety cases, </w:t>
      </w:r>
      <w:r w:rsidR="00CB5369">
        <w:t>validation</w:t>
      </w:r>
      <w:r w:rsidR="002855EB">
        <w:t xml:space="preserve"> of design</w:t>
      </w:r>
      <w:r w:rsidR="003956CA">
        <w:t xml:space="preserve">, construction and installation, significant modification or decommissioning of a facility, </w:t>
      </w:r>
      <w:r w:rsidR="00F42E3C">
        <w:t>notifying</w:t>
      </w:r>
      <w:r w:rsidR="003956CA">
        <w:t xml:space="preserve"> and report</w:t>
      </w:r>
      <w:r w:rsidR="00CB5369">
        <w:t>ing</w:t>
      </w:r>
      <w:r w:rsidR="003956CA">
        <w:t xml:space="preserve"> accidents and dangerous </w:t>
      </w:r>
      <w:r w:rsidR="00F42E3C">
        <w:t>occurrences</w:t>
      </w:r>
      <w:r w:rsidR="003956CA">
        <w:t xml:space="preserve">, election of Health </w:t>
      </w:r>
      <w:r w:rsidR="00F42E3C">
        <w:t>a</w:t>
      </w:r>
      <w:r w:rsidR="003956CA">
        <w:t>nd Safety Representatives (</w:t>
      </w:r>
      <w:r w:rsidR="003956CA" w:rsidRPr="009D42EF">
        <w:rPr>
          <w:b/>
        </w:rPr>
        <w:t>HSRs</w:t>
      </w:r>
      <w:r w:rsidR="003956CA">
        <w:t>) and hazard specific control measures</w:t>
      </w:r>
      <w:r w:rsidR="00F42E3C">
        <w:t>.</w:t>
      </w:r>
    </w:p>
    <w:p w14:paraId="6CAA986D" w14:textId="09247163" w:rsidR="00720F24" w:rsidRPr="00720F24" w:rsidRDefault="00720F24" w:rsidP="00BA4D90">
      <w:pPr>
        <w:pStyle w:val="BodyCopyNEW"/>
      </w:pPr>
      <w:r>
        <w:t>T</w:t>
      </w:r>
      <w:r w:rsidRPr="00720F24">
        <w:t xml:space="preserve">he </w:t>
      </w:r>
      <w:r w:rsidRPr="00E94BB2">
        <w:t>Regulatory Powers Act</w:t>
      </w:r>
      <w:r w:rsidRPr="00720F24">
        <w:rPr>
          <w:i/>
        </w:rPr>
        <w:t xml:space="preserve"> </w:t>
      </w:r>
      <w:r w:rsidRPr="00720F24">
        <w:t>provides for monitoring, investigation and enforcement by Commonwealth regulatory agencies generally (including NOPSEMA) by creating a framework for monitoring compliance with an Act or legislative instrument, investigating or gathering evidence of a contravention of an offence or civil penalty provision and (relevantly) creating a framework for:</w:t>
      </w:r>
    </w:p>
    <w:p w14:paraId="67A6851B" w14:textId="06DE66B6" w:rsidR="00720F24" w:rsidRPr="00720F24" w:rsidRDefault="00720F24" w:rsidP="000C1F53">
      <w:pPr>
        <w:pStyle w:val="BodycopyNEW0"/>
        <w:numPr>
          <w:ilvl w:val="0"/>
          <w:numId w:val="23"/>
        </w:numPr>
        <w:ind w:left="378"/>
      </w:pPr>
      <w:r w:rsidRPr="00720F24">
        <w:lastRenderedPageBreak/>
        <w:t>The use of civil penalties to enforce civil penalty provisions by order of a court</w:t>
      </w:r>
    </w:p>
    <w:p w14:paraId="7A4D5238" w14:textId="6E9F736E" w:rsidR="00720F24" w:rsidRPr="00720F24" w:rsidRDefault="00720F24" w:rsidP="000C1F53">
      <w:pPr>
        <w:pStyle w:val="BodycopyNEW0"/>
        <w:numPr>
          <w:ilvl w:val="0"/>
          <w:numId w:val="23"/>
        </w:numPr>
        <w:ind w:left="378"/>
      </w:pPr>
      <w:r w:rsidRPr="00720F24">
        <w:t>The use of infringement notices for the contravention of a provision</w:t>
      </w:r>
    </w:p>
    <w:p w14:paraId="66DF3B1F" w14:textId="15C55FB4" w:rsidR="00720F24" w:rsidRPr="00720F24" w:rsidRDefault="00720F24" w:rsidP="000C1F53">
      <w:pPr>
        <w:pStyle w:val="BodycopyNEW0"/>
        <w:numPr>
          <w:ilvl w:val="0"/>
          <w:numId w:val="23"/>
        </w:numPr>
        <w:ind w:left="378"/>
      </w:pPr>
      <w:r w:rsidRPr="00720F24">
        <w:t>The acceptance and enforcement of enforceable undertakings relating to compliance with provisions</w:t>
      </w:r>
    </w:p>
    <w:p w14:paraId="29707BF2" w14:textId="1B324593" w:rsidR="00720F24" w:rsidRPr="00720F24" w:rsidRDefault="00720F24" w:rsidP="000C1F53">
      <w:pPr>
        <w:pStyle w:val="BodycopyNEW0"/>
        <w:numPr>
          <w:ilvl w:val="0"/>
          <w:numId w:val="23"/>
        </w:numPr>
        <w:ind w:left="378"/>
      </w:pPr>
      <w:r w:rsidRPr="00720F24">
        <w:t>The use of injunctions to enforce provisions by order of a court</w:t>
      </w:r>
    </w:p>
    <w:p w14:paraId="25DD21CB" w14:textId="5D65D581" w:rsidR="00720F24" w:rsidRPr="00720F24" w:rsidRDefault="44580613" w:rsidP="000C1F53">
      <w:pPr>
        <w:pStyle w:val="BodycopyNEW0"/>
        <w:numPr>
          <w:ilvl w:val="0"/>
          <w:numId w:val="23"/>
        </w:numPr>
        <w:ind w:left="378"/>
      </w:pPr>
      <w:r>
        <w:t>The use of criminal penalties</w:t>
      </w:r>
      <w:r w:rsidR="00936AB5">
        <w:t>.</w:t>
      </w:r>
    </w:p>
    <w:p w14:paraId="2F6642A9" w14:textId="52CA3F99" w:rsidR="00720F24" w:rsidRPr="00720F24" w:rsidRDefault="00720F24" w:rsidP="00BA4D90">
      <w:pPr>
        <w:pStyle w:val="BodyCopyNEW"/>
      </w:pPr>
      <w:r w:rsidRPr="00720F24">
        <w:t xml:space="preserve">It is important to recognise that an Act or a legislative instrument (e.g. the </w:t>
      </w:r>
      <w:r w:rsidR="00161F6B">
        <w:t>OPGGS</w:t>
      </w:r>
      <w:r w:rsidRPr="00720F24">
        <w:t xml:space="preserve"> Act </w:t>
      </w:r>
      <w:r w:rsidR="00161F6B">
        <w:t xml:space="preserve">and </w:t>
      </w:r>
      <w:r w:rsidRPr="00720F24">
        <w:t xml:space="preserve">the </w:t>
      </w:r>
      <w:bookmarkStart w:id="58" w:name="_Hlk53392843"/>
      <w:r w:rsidR="00161F6B">
        <w:t>OPGGS</w:t>
      </w:r>
      <w:r w:rsidRPr="00720F24">
        <w:t xml:space="preserve"> Regulations</w:t>
      </w:r>
      <w:bookmarkEnd w:id="58"/>
      <w:r w:rsidR="00161F6B">
        <w:t>)</w:t>
      </w:r>
      <w:r w:rsidRPr="00720F24">
        <w:t xml:space="preserve"> is not subject to monitoring, investigation</w:t>
      </w:r>
      <w:r w:rsidR="002748D4">
        <w:t>,</w:t>
      </w:r>
      <w:r w:rsidRPr="00720F24">
        <w:t xml:space="preserve"> or enforcement under the </w:t>
      </w:r>
      <w:r w:rsidR="00741F4E">
        <w:t>Regulatory Powers</w:t>
      </w:r>
      <w:r w:rsidR="00741F4E" w:rsidRPr="00720F24">
        <w:t xml:space="preserve"> </w:t>
      </w:r>
      <w:r w:rsidRPr="00720F24">
        <w:t xml:space="preserve">Act unless the </w:t>
      </w:r>
      <w:r w:rsidR="00741F4E">
        <w:t>Regulatory Powers</w:t>
      </w:r>
      <w:r w:rsidR="00741F4E" w:rsidRPr="00720F24">
        <w:t xml:space="preserve"> Act</w:t>
      </w:r>
      <w:r w:rsidR="00741F4E" w:rsidRPr="00720F24" w:rsidDel="00741F4E">
        <w:t xml:space="preserve"> </w:t>
      </w:r>
      <w:r w:rsidRPr="00720F24">
        <w:t xml:space="preserve">is triggered by another Act (e.g. the </w:t>
      </w:r>
      <w:r w:rsidR="00161F6B">
        <w:t xml:space="preserve">OPGGS </w:t>
      </w:r>
      <w:r w:rsidRPr="00720F24">
        <w:t xml:space="preserve">Act). That is, provisions of the </w:t>
      </w:r>
      <w:r w:rsidR="00741F4E">
        <w:t>Regulatory Powers</w:t>
      </w:r>
      <w:r w:rsidR="00741F4E" w:rsidRPr="00720F24">
        <w:t xml:space="preserve"> Act</w:t>
      </w:r>
      <w:r w:rsidR="00741F4E" w:rsidRPr="00720F24" w:rsidDel="00741F4E">
        <w:t xml:space="preserve"> </w:t>
      </w:r>
      <w:r w:rsidRPr="00720F24">
        <w:t xml:space="preserve">do not apply or operate in the context of NOPSEMA’s regulatory function under the </w:t>
      </w:r>
      <w:r w:rsidR="00741F4E">
        <w:t xml:space="preserve">OPGGS </w:t>
      </w:r>
      <w:r w:rsidRPr="00720F24">
        <w:t xml:space="preserve">Act and Regulation as a matter of course but, instead, the </w:t>
      </w:r>
      <w:r w:rsidR="00741F4E">
        <w:t xml:space="preserve">OPGGS </w:t>
      </w:r>
      <w:r w:rsidRPr="00720F24">
        <w:t>Act must expressly provide that they do</w:t>
      </w:r>
      <w:r w:rsidR="00161F6B">
        <w:t>.</w:t>
      </w:r>
    </w:p>
    <w:p w14:paraId="26EB6AC9" w14:textId="7D9435A3" w:rsidR="00DD7C90" w:rsidRDefault="00DD7C90" w:rsidP="00BA4D90">
      <w:pPr>
        <w:pStyle w:val="BodyCopyNEW"/>
      </w:pPr>
      <w:r>
        <w:t xml:space="preserve">NOPSEMA has a broad range of varied enforcement options available under the OPGGS Act and </w:t>
      </w:r>
      <w:r w:rsidR="00741F4E">
        <w:t>Regulatory Powers</w:t>
      </w:r>
      <w:r w:rsidR="00741F4E" w:rsidRPr="00720F24">
        <w:t xml:space="preserve"> </w:t>
      </w:r>
      <w:r w:rsidDel="00741F4E">
        <w:t>Act</w:t>
      </w:r>
      <w:r>
        <w:t xml:space="preserve">. </w:t>
      </w:r>
      <w:r w:rsidR="1EC6D9ED">
        <w:t xml:space="preserve">In addition to </w:t>
      </w:r>
      <w:r w:rsidR="1EC6D9ED" w:rsidRPr="00C14F33">
        <w:t xml:space="preserve">the </w:t>
      </w:r>
      <w:r w:rsidR="1EC6D9ED" w:rsidRPr="00901C7B">
        <w:t xml:space="preserve">listed NOPSEMA laws </w:t>
      </w:r>
      <w:r w:rsidR="1EC6D9ED" w:rsidRPr="00C14F33">
        <w:t xml:space="preserve">outlined in </w:t>
      </w:r>
      <w:r w:rsidR="1EC6D9ED" w:rsidRPr="00901C7B">
        <w:t>section 601</w:t>
      </w:r>
      <w:r w:rsidR="1EC6D9ED" w:rsidRPr="00C14F33">
        <w:t xml:space="preserve"> of the </w:t>
      </w:r>
      <w:r w:rsidR="1EC6D9ED" w:rsidRPr="00901C7B">
        <w:t>OPGGS Act</w:t>
      </w:r>
      <w:r w:rsidR="1EC6D9ED" w:rsidRPr="00C14F33">
        <w:t>,</w:t>
      </w:r>
      <w:r w:rsidR="1EC6D9ED" w:rsidRPr="0F41BDE0">
        <w:t xml:space="preserve"> w</w:t>
      </w:r>
      <w:r w:rsidR="70927DB8">
        <w:t>e</w:t>
      </w:r>
      <w:r>
        <w:t xml:space="preserve"> have mapped the current enforcement powers as provided by the OPGGS Act</w:t>
      </w:r>
      <w:r w:rsidR="005A2AB5">
        <w:t xml:space="preserve"> </w:t>
      </w:r>
      <w:r w:rsidR="1DDF397D">
        <w:t>for the purposes of OHS, well integrity and environment,</w:t>
      </w:r>
      <w:r w:rsidR="3B9F2449">
        <w:t xml:space="preserve"> </w:t>
      </w:r>
      <w:r w:rsidR="005A2AB5">
        <w:t xml:space="preserve">in </w:t>
      </w:r>
      <w:r w:rsidR="000D5A9A" w:rsidRPr="000D5A9A">
        <w:rPr>
          <w:b/>
          <w:bCs/>
        </w:rPr>
        <w:fldChar w:fldCharType="begin"/>
      </w:r>
      <w:r w:rsidR="000D5A9A" w:rsidRPr="000D5A9A">
        <w:rPr>
          <w:b/>
          <w:bCs/>
        </w:rPr>
        <w:instrText xml:space="preserve"> REF _Ref58445652 \h  \* MERGEFORMAT </w:instrText>
      </w:r>
      <w:r w:rsidR="000D5A9A" w:rsidRPr="000D5A9A">
        <w:rPr>
          <w:b/>
          <w:bCs/>
        </w:rPr>
      </w:r>
      <w:r w:rsidR="000D5A9A" w:rsidRPr="000D5A9A">
        <w:rPr>
          <w:b/>
          <w:bCs/>
        </w:rPr>
        <w:fldChar w:fldCharType="separate"/>
      </w:r>
      <w:r w:rsidR="00E816B8" w:rsidRPr="00E816B8">
        <w:rPr>
          <w:b/>
          <w:bCs/>
        </w:rPr>
        <w:t xml:space="preserve">Table </w:t>
      </w:r>
      <w:r w:rsidR="00E816B8" w:rsidRPr="00E816B8">
        <w:rPr>
          <w:b/>
          <w:bCs/>
          <w:noProof/>
        </w:rPr>
        <w:t>6.3</w:t>
      </w:r>
      <w:r w:rsidR="000D5A9A" w:rsidRPr="000D5A9A">
        <w:rPr>
          <w:b/>
          <w:bCs/>
        </w:rPr>
        <w:fldChar w:fldCharType="end"/>
      </w:r>
      <w:r w:rsidR="000D5A9A">
        <w:rPr>
          <w:b/>
          <w:bCs/>
        </w:rPr>
        <w:t xml:space="preserve"> </w:t>
      </w:r>
      <w:r w:rsidR="005A2AB5">
        <w:t>below</w:t>
      </w:r>
      <w:r w:rsidR="001D040E">
        <w:t xml:space="preserve">. </w:t>
      </w:r>
    </w:p>
    <w:p w14:paraId="36535FC2" w14:textId="05584470" w:rsidR="005A2AB5" w:rsidRPr="005A2AB5" w:rsidRDefault="000D5A9A" w:rsidP="00E25B4F">
      <w:pPr>
        <w:pStyle w:val="Caption"/>
        <w:keepNext/>
      </w:pPr>
      <w:bookmarkStart w:id="59" w:name="_Ref58445652"/>
      <w:r>
        <w:t xml:space="preserve">Table </w:t>
      </w:r>
      <w:r w:rsidR="00F8476B">
        <w:fldChar w:fldCharType="begin"/>
      </w:r>
      <w:r w:rsidR="00F8476B">
        <w:instrText xml:space="preserve"> STYLEREF 1 \s </w:instrText>
      </w:r>
      <w:r w:rsidR="00F8476B">
        <w:fldChar w:fldCharType="separate"/>
      </w:r>
      <w:r w:rsidR="00E816B8">
        <w:rPr>
          <w:noProof/>
        </w:rPr>
        <w:t>6</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3</w:t>
      </w:r>
      <w:r w:rsidR="00F8476B">
        <w:fldChar w:fldCharType="end"/>
      </w:r>
      <w:bookmarkEnd w:id="59"/>
      <w:r>
        <w:t xml:space="preserve">: NOPSEMA’s current enforcement powers </w:t>
      </w:r>
      <w:r w:rsidR="00016436">
        <w:t xml:space="preserve">for the purposes of OHS, well integrity and environment </w:t>
      </w:r>
      <w:r>
        <w:t>as provided by the OPGGS Act</w:t>
      </w:r>
    </w:p>
    <w:tbl>
      <w:tblPr>
        <w:tblStyle w:val="ListTable3-Accent3"/>
        <w:tblW w:w="0" w:type="auto"/>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2268"/>
        <w:gridCol w:w="2410"/>
        <w:gridCol w:w="2499"/>
        <w:gridCol w:w="2599"/>
      </w:tblGrid>
      <w:tr w:rsidR="00077235" w14:paraId="159D6BBC" w14:textId="77777777" w:rsidTr="009D3577">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8" w:type="dxa"/>
            <w:tcBorders>
              <w:top w:val="single" w:sz="8" w:space="0" w:color="007680"/>
              <w:bottom w:val="single" w:sz="8" w:space="0" w:color="007680"/>
            </w:tcBorders>
            <w:shd w:val="clear" w:color="auto" w:fill="auto"/>
          </w:tcPr>
          <w:p w14:paraId="3A7CC9A8" w14:textId="77777777" w:rsidR="00077235" w:rsidRPr="00764562" w:rsidRDefault="00077235" w:rsidP="00764562">
            <w:pPr>
              <w:pStyle w:val="Tableheader"/>
              <w:rPr>
                <w:b/>
                <w:bCs/>
              </w:rPr>
            </w:pPr>
            <w:r w:rsidRPr="00764562">
              <w:rPr>
                <w:b/>
                <w:bCs/>
              </w:rPr>
              <w:t>Enforcement power</w:t>
            </w:r>
          </w:p>
        </w:tc>
        <w:tc>
          <w:tcPr>
            <w:tcW w:w="2410" w:type="dxa"/>
            <w:tcBorders>
              <w:top w:val="single" w:sz="8" w:space="0" w:color="007680"/>
              <w:bottom w:val="single" w:sz="8" w:space="0" w:color="007680"/>
            </w:tcBorders>
            <w:shd w:val="clear" w:color="auto" w:fill="auto"/>
          </w:tcPr>
          <w:p w14:paraId="60511097" w14:textId="77777777" w:rsidR="00077235" w:rsidRPr="00764562" w:rsidRDefault="00077235" w:rsidP="00764562">
            <w:pPr>
              <w:pStyle w:val="Tableheader"/>
              <w:cnfStyle w:val="100000000000" w:firstRow="1" w:lastRow="0" w:firstColumn="0" w:lastColumn="0" w:oddVBand="0" w:evenVBand="0" w:oddHBand="0" w:evenHBand="0" w:firstRowFirstColumn="0" w:firstRowLastColumn="0" w:lastRowFirstColumn="0" w:lastRowLastColumn="0"/>
              <w:rPr>
                <w:b/>
                <w:bCs/>
              </w:rPr>
            </w:pPr>
            <w:r w:rsidRPr="00764562">
              <w:rPr>
                <w:b/>
                <w:bCs/>
              </w:rPr>
              <w:t>OHS</w:t>
            </w:r>
          </w:p>
        </w:tc>
        <w:tc>
          <w:tcPr>
            <w:tcW w:w="2499" w:type="dxa"/>
            <w:tcBorders>
              <w:top w:val="single" w:sz="8" w:space="0" w:color="007680"/>
              <w:bottom w:val="single" w:sz="8" w:space="0" w:color="007680"/>
            </w:tcBorders>
            <w:shd w:val="clear" w:color="auto" w:fill="auto"/>
          </w:tcPr>
          <w:p w14:paraId="20F6538A" w14:textId="77777777" w:rsidR="00077235" w:rsidRPr="00764562" w:rsidRDefault="00077235" w:rsidP="00764562">
            <w:pPr>
              <w:pStyle w:val="Tableheader"/>
              <w:cnfStyle w:val="100000000000" w:firstRow="1" w:lastRow="0" w:firstColumn="0" w:lastColumn="0" w:oddVBand="0" w:evenVBand="0" w:oddHBand="0" w:evenHBand="0" w:firstRowFirstColumn="0" w:firstRowLastColumn="0" w:lastRowFirstColumn="0" w:lastRowLastColumn="0"/>
              <w:rPr>
                <w:b/>
                <w:bCs/>
              </w:rPr>
            </w:pPr>
            <w:r w:rsidRPr="00764562">
              <w:rPr>
                <w:b/>
                <w:bCs/>
              </w:rPr>
              <w:t>Well integrity</w:t>
            </w:r>
          </w:p>
        </w:tc>
        <w:tc>
          <w:tcPr>
            <w:tcW w:w="2599" w:type="dxa"/>
            <w:tcBorders>
              <w:top w:val="single" w:sz="8" w:space="0" w:color="007680"/>
              <w:bottom w:val="single" w:sz="8" w:space="0" w:color="007680"/>
            </w:tcBorders>
            <w:shd w:val="clear" w:color="auto" w:fill="auto"/>
          </w:tcPr>
          <w:p w14:paraId="24EF9114" w14:textId="77777777" w:rsidR="00077235" w:rsidRPr="00764562" w:rsidRDefault="00077235" w:rsidP="00764562">
            <w:pPr>
              <w:pStyle w:val="Tableheader"/>
              <w:cnfStyle w:val="100000000000" w:firstRow="1" w:lastRow="0" w:firstColumn="0" w:lastColumn="0" w:oddVBand="0" w:evenVBand="0" w:oddHBand="0" w:evenHBand="0" w:firstRowFirstColumn="0" w:firstRowLastColumn="0" w:lastRowFirstColumn="0" w:lastRowLastColumn="0"/>
              <w:rPr>
                <w:b/>
                <w:bCs/>
              </w:rPr>
            </w:pPr>
            <w:r w:rsidRPr="00764562">
              <w:rPr>
                <w:b/>
                <w:bCs/>
              </w:rPr>
              <w:t>Environment</w:t>
            </w:r>
          </w:p>
        </w:tc>
      </w:tr>
      <w:tr w:rsidR="00077235" w14:paraId="036AF0F0" w14:textId="77777777" w:rsidTr="009D35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007680"/>
              <w:bottom w:val="single" w:sz="4" w:space="0" w:color="BFBFBF" w:themeColor="background1" w:themeShade="BF"/>
            </w:tcBorders>
          </w:tcPr>
          <w:p w14:paraId="533AB901" w14:textId="77777777" w:rsidR="00077235" w:rsidRPr="006808A4" w:rsidRDefault="00077235" w:rsidP="00764562">
            <w:pPr>
              <w:pStyle w:val="BodyCopyNEW"/>
            </w:pPr>
            <w:r w:rsidRPr="006808A4">
              <w:t>Non-disturbance notices</w:t>
            </w:r>
          </w:p>
        </w:tc>
        <w:tc>
          <w:tcPr>
            <w:tcW w:w="2410" w:type="dxa"/>
            <w:tcBorders>
              <w:top w:val="single" w:sz="8" w:space="0" w:color="007680"/>
              <w:bottom w:val="single" w:sz="4" w:space="0" w:color="BFBFBF" w:themeColor="background1" w:themeShade="BF"/>
            </w:tcBorders>
          </w:tcPr>
          <w:p w14:paraId="0ED82D90" w14:textId="53154D3C" w:rsidR="00077235" w:rsidRDefault="00077235" w:rsidP="00764562">
            <w:pPr>
              <w:pStyle w:val="BodyCopyNEW"/>
              <w:cnfStyle w:val="000000100000" w:firstRow="0" w:lastRow="0" w:firstColumn="0" w:lastColumn="0" w:oddVBand="0" w:evenVBand="0" w:oddHBand="1" w:evenHBand="0" w:firstRowFirstColumn="0" w:firstRowLastColumn="0" w:lastRowFirstColumn="0" w:lastRowLastColumn="0"/>
            </w:pPr>
            <w:r w:rsidRPr="00F3276D">
              <w:t>Option available if prescribed conditions satisfied during an OHS inspection of a facility</w:t>
            </w:r>
            <w:r>
              <w:t xml:space="preserve"> (schedule 3 of the OPGGS Act</w:t>
            </w:r>
            <w:r w:rsidRPr="00ED194A">
              <w:t>)</w:t>
            </w:r>
            <w:r w:rsidR="00BF35D9">
              <w:t>.</w:t>
            </w:r>
          </w:p>
        </w:tc>
        <w:tc>
          <w:tcPr>
            <w:tcW w:w="2499" w:type="dxa"/>
            <w:tcBorders>
              <w:top w:val="single" w:sz="8" w:space="0" w:color="007680"/>
              <w:bottom w:val="single" w:sz="4" w:space="0" w:color="BFBFBF" w:themeColor="background1" w:themeShade="BF"/>
            </w:tcBorders>
          </w:tcPr>
          <w:p w14:paraId="1658AAC2" w14:textId="7340CD1D" w:rsidR="00077235" w:rsidRDefault="00077235" w:rsidP="00764562">
            <w:pPr>
              <w:pStyle w:val="BodyCopyNEW"/>
              <w:cnfStyle w:val="000000100000" w:firstRow="0" w:lastRow="0" w:firstColumn="0" w:lastColumn="0" w:oddVBand="0" w:evenVBand="0" w:oddHBand="1" w:evenHBand="0" w:firstRowFirstColumn="0" w:firstRowLastColumn="0" w:lastRowFirstColumn="0" w:lastRowLastColumn="0"/>
            </w:pPr>
            <w:r w:rsidRPr="00F3276D">
              <w:t>Option available if prescribed conditions satisfied during well integrity inspection of a facility</w:t>
            </w:r>
            <w:r>
              <w:t xml:space="preserve"> (schedule 2A of the OPGGS Act</w:t>
            </w:r>
            <w:r w:rsidRPr="00ED194A">
              <w:t>)</w:t>
            </w:r>
            <w:r w:rsidR="00BF35D9">
              <w:t>.</w:t>
            </w:r>
          </w:p>
        </w:tc>
        <w:tc>
          <w:tcPr>
            <w:tcW w:w="2599" w:type="dxa"/>
            <w:tcBorders>
              <w:top w:val="single" w:sz="8" w:space="0" w:color="007680"/>
              <w:bottom w:val="single" w:sz="4" w:space="0" w:color="BFBFBF" w:themeColor="background1" w:themeShade="BF"/>
            </w:tcBorders>
          </w:tcPr>
          <w:p w14:paraId="629B85DA" w14:textId="1809B4F8" w:rsidR="00077235" w:rsidRDefault="00077235" w:rsidP="00764562">
            <w:pPr>
              <w:pStyle w:val="BodyCopyNEW"/>
              <w:cnfStyle w:val="000000100000" w:firstRow="0" w:lastRow="0" w:firstColumn="0" w:lastColumn="0" w:oddVBand="0" w:evenVBand="0" w:oddHBand="1" w:evenHBand="0" w:firstRowFirstColumn="0" w:firstRowLastColumn="0" w:lastRowFirstColumn="0" w:lastRowLastColumn="0"/>
            </w:pPr>
            <w:r w:rsidRPr="00F3276D">
              <w:t>Option available if prescribed conditions satisfied during an environmental inspection of an offshore premises</w:t>
            </w:r>
            <w:r>
              <w:t xml:space="preserve"> (schedule 2B of the OPGGS Act</w:t>
            </w:r>
            <w:r w:rsidRPr="00ED194A">
              <w:t>)</w:t>
            </w:r>
            <w:r w:rsidR="00BF35D9">
              <w:t>.</w:t>
            </w:r>
          </w:p>
        </w:tc>
      </w:tr>
      <w:tr w:rsidR="00077235" w14:paraId="46F88AC0" w14:textId="77777777" w:rsidTr="009D3577">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bottom w:val="single" w:sz="4" w:space="0" w:color="BFBFBF" w:themeColor="background1" w:themeShade="BF"/>
            </w:tcBorders>
          </w:tcPr>
          <w:p w14:paraId="38A9DA84" w14:textId="77777777" w:rsidR="00077235" w:rsidRPr="00BE54E3" w:rsidRDefault="00077235" w:rsidP="00764562">
            <w:pPr>
              <w:pStyle w:val="BodyCopyNEW"/>
            </w:pPr>
            <w:r w:rsidRPr="00BE54E3">
              <w:t>Prohibition notices</w:t>
            </w:r>
          </w:p>
        </w:tc>
        <w:tc>
          <w:tcPr>
            <w:tcW w:w="2410" w:type="dxa"/>
            <w:tcBorders>
              <w:top w:val="single" w:sz="4" w:space="0" w:color="BFBFBF" w:themeColor="background1" w:themeShade="BF"/>
              <w:bottom w:val="single" w:sz="4" w:space="0" w:color="BFBFBF" w:themeColor="background1" w:themeShade="BF"/>
            </w:tcBorders>
          </w:tcPr>
          <w:p w14:paraId="6730BDB0" w14:textId="062C2B48" w:rsidR="00077235" w:rsidRDefault="00077235" w:rsidP="00764562">
            <w:pPr>
              <w:pStyle w:val="BodyCopyNEW"/>
              <w:cnfStyle w:val="000000000000" w:firstRow="0" w:lastRow="0" w:firstColumn="0" w:lastColumn="0" w:oddVBand="0" w:evenVBand="0" w:oddHBand="0" w:evenHBand="0" w:firstRowFirstColumn="0" w:firstRowLastColumn="0" w:lastRowFirstColumn="0" w:lastRowLastColumn="0"/>
            </w:pPr>
            <w:r w:rsidRPr="00F3276D">
              <w:t>Option available if prescribed conditions satisfied during an OHS inspection of a facility</w:t>
            </w:r>
            <w:r>
              <w:t xml:space="preserve"> (schedule 3 of the OPGGS Act</w:t>
            </w:r>
            <w:r w:rsidRPr="00ED194A">
              <w:t>)</w:t>
            </w:r>
            <w:r w:rsidR="00BF35D9">
              <w:t>.</w:t>
            </w:r>
          </w:p>
        </w:tc>
        <w:tc>
          <w:tcPr>
            <w:tcW w:w="2499" w:type="dxa"/>
            <w:tcBorders>
              <w:top w:val="single" w:sz="4" w:space="0" w:color="BFBFBF" w:themeColor="background1" w:themeShade="BF"/>
              <w:bottom w:val="single" w:sz="4" w:space="0" w:color="BFBFBF" w:themeColor="background1" w:themeShade="BF"/>
            </w:tcBorders>
          </w:tcPr>
          <w:p w14:paraId="53E9EA91" w14:textId="6785203B" w:rsidR="00077235" w:rsidRDefault="00077235" w:rsidP="00764562">
            <w:pPr>
              <w:pStyle w:val="BodyCopyNEW"/>
              <w:cnfStyle w:val="000000000000" w:firstRow="0" w:lastRow="0" w:firstColumn="0" w:lastColumn="0" w:oddVBand="0" w:evenVBand="0" w:oddHBand="0" w:evenHBand="0" w:firstRowFirstColumn="0" w:firstRowLastColumn="0" w:lastRowFirstColumn="0" w:lastRowLastColumn="0"/>
            </w:pPr>
            <w:r w:rsidRPr="00F3276D">
              <w:t>Option available if prescribed conditions satisfied during well integrity inspection of a facility</w:t>
            </w:r>
            <w:r>
              <w:t xml:space="preserve"> (schedule 2A of the OPGGS Act</w:t>
            </w:r>
            <w:r w:rsidRPr="00ED194A">
              <w:t>)</w:t>
            </w:r>
            <w:r w:rsidR="00BF35D9">
              <w:t>.</w:t>
            </w:r>
          </w:p>
        </w:tc>
        <w:tc>
          <w:tcPr>
            <w:tcW w:w="2599" w:type="dxa"/>
            <w:tcBorders>
              <w:top w:val="single" w:sz="4" w:space="0" w:color="BFBFBF" w:themeColor="background1" w:themeShade="BF"/>
              <w:bottom w:val="single" w:sz="4" w:space="0" w:color="BFBFBF" w:themeColor="background1" w:themeShade="BF"/>
            </w:tcBorders>
          </w:tcPr>
          <w:p w14:paraId="4FD8B084" w14:textId="7932554E" w:rsidR="00077235" w:rsidRDefault="00077235" w:rsidP="00764562">
            <w:pPr>
              <w:pStyle w:val="BodyCopyNEW"/>
              <w:cnfStyle w:val="000000000000" w:firstRow="0" w:lastRow="0" w:firstColumn="0" w:lastColumn="0" w:oddVBand="0" w:evenVBand="0" w:oddHBand="0" w:evenHBand="0" w:firstRowFirstColumn="0" w:firstRowLastColumn="0" w:lastRowFirstColumn="0" w:lastRowLastColumn="0"/>
            </w:pPr>
            <w:r w:rsidRPr="00F3276D">
              <w:t>Option available if prescribed conditions satisfied during an environmental inspection of an offshore premises</w:t>
            </w:r>
            <w:r>
              <w:t xml:space="preserve"> (schedule 2B of the OPGGS Act</w:t>
            </w:r>
            <w:r w:rsidRPr="00ED194A">
              <w:t>)</w:t>
            </w:r>
            <w:r w:rsidR="00BF35D9">
              <w:t>.</w:t>
            </w:r>
          </w:p>
        </w:tc>
      </w:tr>
      <w:tr w:rsidR="00077235" w14:paraId="29F970BC" w14:textId="77777777" w:rsidTr="009D35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bottom w:val="single" w:sz="4" w:space="0" w:color="BFBFBF" w:themeColor="background1" w:themeShade="BF"/>
            </w:tcBorders>
          </w:tcPr>
          <w:p w14:paraId="47EFB693" w14:textId="77777777" w:rsidR="00077235" w:rsidRPr="00BE54E3" w:rsidRDefault="00077235" w:rsidP="00764562">
            <w:pPr>
              <w:pStyle w:val="BodyCopyNEW"/>
            </w:pPr>
            <w:r w:rsidRPr="00BE54E3">
              <w:t>Improvement notices</w:t>
            </w:r>
          </w:p>
        </w:tc>
        <w:tc>
          <w:tcPr>
            <w:tcW w:w="2410" w:type="dxa"/>
            <w:tcBorders>
              <w:top w:val="single" w:sz="4" w:space="0" w:color="BFBFBF" w:themeColor="background1" w:themeShade="BF"/>
              <w:bottom w:val="single" w:sz="4" w:space="0" w:color="BFBFBF" w:themeColor="background1" w:themeShade="BF"/>
            </w:tcBorders>
          </w:tcPr>
          <w:p w14:paraId="523C028A" w14:textId="00AE7B30" w:rsidR="00077235" w:rsidRDefault="00077235" w:rsidP="00764562">
            <w:pPr>
              <w:pStyle w:val="BodyCopyNEW"/>
              <w:cnfStyle w:val="000000100000" w:firstRow="0" w:lastRow="0" w:firstColumn="0" w:lastColumn="0" w:oddVBand="0" w:evenVBand="0" w:oddHBand="1" w:evenHBand="0" w:firstRowFirstColumn="0" w:firstRowLastColumn="0" w:lastRowFirstColumn="0" w:lastRowLastColumn="0"/>
            </w:pPr>
            <w:r w:rsidRPr="00F3276D">
              <w:t>Option available if prescribed conditions satisfied during an OHS inspection of a facility</w:t>
            </w:r>
            <w:r>
              <w:t xml:space="preserve"> (schedule 3 of the OPGGS Act</w:t>
            </w:r>
            <w:r w:rsidRPr="00ED194A">
              <w:t>)</w:t>
            </w:r>
            <w:r w:rsidR="00BF35D9">
              <w:t>.</w:t>
            </w:r>
          </w:p>
        </w:tc>
        <w:tc>
          <w:tcPr>
            <w:tcW w:w="2499" w:type="dxa"/>
            <w:tcBorders>
              <w:top w:val="single" w:sz="4" w:space="0" w:color="BFBFBF" w:themeColor="background1" w:themeShade="BF"/>
              <w:bottom w:val="single" w:sz="4" w:space="0" w:color="BFBFBF" w:themeColor="background1" w:themeShade="BF"/>
            </w:tcBorders>
          </w:tcPr>
          <w:p w14:paraId="633A3981" w14:textId="5AA17FBE" w:rsidR="00077235" w:rsidRDefault="00077235" w:rsidP="00764562">
            <w:pPr>
              <w:pStyle w:val="BodyCopyNEW"/>
              <w:cnfStyle w:val="000000100000" w:firstRow="0" w:lastRow="0" w:firstColumn="0" w:lastColumn="0" w:oddVBand="0" w:evenVBand="0" w:oddHBand="1" w:evenHBand="0" w:firstRowFirstColumn="0" w:firstRowLastColumn="0" w:lastRowFirstColumn="0" w:lastRowLastColumn="0"/>
            </w:pPr>
            <w:r w:rsidRPr="00F3276D">
              <w:t>Option available if prescribed conditions satisfied during well integrity inspection of a facility</w:t>
            </w:r>
            <w:r>
              <w:t xml:space="preserve"> (schedule 2A of the OPGGS Act</w:t>
            </w:r>
            <w:r w:rsidRPr="00ED194A">
              <w:t>)</w:t>
            </w:r>
            <w:r w:rsidR="00BF35D9">
              <w:t>.</w:t>
            </w:r>
          </w:p>
        </w:tc>
        <w:tc>
          <w:tcPr>
            <w:tcW w:w="2599" w:type="dxa"/>
            <w:tcBorders>
              <w:top w:val="single" w:sz="4" w:space="0" w:color="BFBFBF" w:themeColor="background1" w:themeShade="BF"/>
              <w:bottom w:val="single" w:sz="4" w:space="0" w:color="BFBFBF" w:themeColor="background1" w:themeShade="BF"/>
            </w:tcBorders>
          </w:tcPr>
          <w:p w14:paraId="4BBCEDBE" w14:textId="1AFF991C" w:rsidR="00077235" w:rsidRDefault="00077235" w:rsidP="00764562">
            <w:pPr>
              <w:pStyle w:val="BodyCopyNEW"/>
              <w:cnfStyle w:val="000000100000" w:firstRow="0" w:lastRow="0" w:firstColumn="0" w:lastColumn="0" w:oddVBand="0" w:evenVBand="0" w:oddHBand="1" w:evenHBand="0" w:firstRowFirstColumn="0" w:firstRowLastColumn="0" w:lastRowFirstColumn="0" w:lastRowLastColumn="0"/>
            </w:pPr>
            <w:r w:rsidRPr="00F3276D">
              <w:t>Option available if prescribed conditions satisfied during an environmental inspection of an offshore premises</w:t>
            </w:r>
            <w:r>
              <w:t xml:space="preserve"> (schedule 2B of the OPGGS Act</w:t>
            </w:r>
            <w:r w:rsidRPr="00ED194A">
              <w:t>)</w:t>
            </w:r>
            <w:r w:rsidR="00BF35D9">
              <w:t>.</w:t>
            </w:r>
          </w:p>
        </w:tc>
      </w:tr>
      <w:tr w:rsidR="00077235" w14:paraId="43C0C781" w14:textId="77777777" w:rsidTr="009D3577">
        <w:trPr>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bottom w:val="single" w:sz="4" w:space="0" w:color="BFBFBF" w:themeColor="background1" w:themeShade="BF"/>
            </w:tcBorders>
          </w:tcPr>
          <w:p w14:paraId="4AC82331" w14:textId="77777777" w:rsidR="00077235" w:rsidRDefault="00077235" w:rsidP="00764562">
            <w:pPr>
              <w:pStyle w:val="BodyCopyNEW"/>
            </w:pPr>
            <w:r>
              <w:t>Prosecution proceedings</w:t>
            </w:r>
          </w:p>
        </w:tc>
        <w:tc>
          <w:tcPr>
            <w:tcW w:w="2410" w:type="dxa"/>
            <w:tcBorders>
              <w:top w:val="single" w:sz="4" w:space="0" w:color="BFBFBF" w:themeColor="background1" w:themeShade="BF"/>
              <w:bottom w:val="single" w:sz="4" w:space="0" w:color="BFBFBF" w:themeColor="background1" w:themeShade="BF"/>
            </w:tcBorders>
          </w:tcPr>
          <w:p w14:paraId="7AFAEEDB" w14:textId="69CD0A90" w:rsidR="00077235" w:rsidRPr="00ED194A" w:rsidRDefault="00077235" w:rsidP="00764562">
            <w:pPr>
              <w:pStyle w:val="BodyCopyNEW"/>
              <w:cnfStyle w:val="000000000000" w:firstRow="0" w:lastRow="0" w:firstColumn="0" w:lastColumn="0" w:oddVBand="0" w:evenVBand="0" w:oddHBand="0" w:evenHBand="0" w:firstRowFirstColumn="0" w:firstRowLastColumn="0" w:lastRowFirstColumn="0" w:lastRowLastColumn="0"/>
            </w:pPr>
            <w:r w:rsidRPr="00ED194A">
              <w:t xml:space="preserve">All OHS offence creating provisions of the </w:t>
            </w:r>
            <w:r w:rsidR="00B52473">
              <w:t xml:space="preserve">OPGGS </w:t>
            </w:r>
            <w:r w:rsidRPr="00ED194A">
              <w:t>Act and Regulations</w:t>
            </w:r>
            <w:r w:rsidR="00BF35D9">
              <w:t>.</w:t>
            </w:r>
          </w:p>
        </w:tc>
        <w:tc>
          <w:tcPr>
            <w:tcW w:w="2499" w:type="dxa"/>
            <w:tcBorders>
              <w:top w:val="single" w:sz="4" w:space="0" w:color="BFBFBF" w:themeColor="background1" w:themeShade="BF"/>
              <w:bottom w:val="single" w:sz="4" w:space="0" w:color="BFBFBF" w:themeColor="background1" w:themeShade="BF"/>
            </w:tcBorders>
          </w:tcPr>
          <w:p w14:paraId="07AA4285" w14:textId="46371903" w:rsidR="00077235" w:rsidRDefault="007D1594" w:rsidP="00764562">
            <w:pPr>
              <w:pStyle w:val="BodyCopyNEW"/>
              <w:cnfStyle w:val="000000000000" w:firstRow="0" w:lastRow="0" w:firstColumn="0" w:lastColumn="0" w:oddVBand="0" w:evenVBand="0" w:oddHBand="0" w:evenHBand="0" w:firstRowFirstColumn="0" w:firstRowLastColumn="0" w:lastRowFirstColumn="0" w:lastRowLastColumn="0"/>
            </w:pPr>
            <w:r w:rsidRPr="007D1594">
              <w:t xml:space="preserve">All well integrity offence creating provisions of the </w:t>
            </w:r>
            <w:r w:rsidR="009248AD">
              <w:t xml:space="preserve">OPGGS </w:t>
            </w:r>
            <w:r w:rsidRPr="007D1594">
              <w:t xml:space="preserve">Act and prescribed regulations made under the </w:t>
            </w:r>
            <w:r w:rsidR="00B52473">
              <w:t>OPGGS</w:t>
            </w:r>
            <w:r w:rsidRPr="007D1594">
              <w:t xml:space="preserve"> Act.</w:t>
            </w:r>
          </w:p>
        </w:tc>
        <w:tc>
          <w:tcPr>
            <w:tcW w:w="2599" w:type="dxa"/>
            <w:tcBorders>
              <w:top w:val="single" w:sz="4" w:space="0" w:color="BFBFBF" w:themeColor="background1" w:themeShade="BF"/>
              <w:bottom w:val="single" w:sz="4" w:space="0" w:color="BFBFBF" w:themeColor="background1" w:themeShade="BF"/>
            </w:tcBorders>
          </w:tcPr>
          <w:p w14:paraId="29C69EA4" w14:textId="2B41C395" w:rsidR="00077235" w:rsidRDefault="007D1594" w:rsidP="00764562">
            <w:pPr>
              <w:pStyle w:val="BodyCopyNEW"/>
              <w:cnfStyle w:val="000000000000" w:firstRow="0" w:lastRow="0" w:firstColumn="0" w:lastColumn="0" w:oddVBand="0" w:evenVBand="0" w:oddHBand="0" w:evenHBand="0" w:firstRowFirstColumn="0" w:firstRowLastColumn="0" w:lastRowFirstColumn="0" w:lastRowLastColumn="0"/>
            </w:pPr>
            <w:r w:rsidRPr="007D1594">
              <w:t xml:space="preserve">All environmental management offence creating provisions of the </w:t>
            </w:r>
            <w:r w:rsidR="009248AD">
              <w:t xml:space="preserve">OPGGS </w:t>
            </w:r>
            <w:r w:rsidRPr="007D1594">
              <w:t>Act and only</w:t>
            </w:r>
            <w:r w:rsidR="00077235" w:rsidRPr="00ED194A">
              <w:t xml:space="preserve"> a regulation made of the purpose of s</w:t>
            </w:r>
            <w:r w:rsidR="00A92559">
              <w:t xml:space="preserve">ection </w:t>
            </w:r>
            <w:r w:rsidR="00077235" w:rsidRPr="00ED194A">
              <w:t xml:space="preserve">571 of the </w:t>
            </w:r>
            <w:r w:rsidR="00B52473">
              <w:t xml:space="preserve">OPGGS </w:t>
            </w:r>
            <w:r w:rsidR="00077235" w:rsidRPr="00ED194A">
              <w:t>Act (financial assurance)</w:t>
            </w:r>
            <w:r w:rsidR="00BF35D9">
              <w:t>.</w:t>
            </w:r>
          </w:p>
        </w:tc>
      </w:tr>
      <w:tr w:rsidR="00077235" w14:paraId="06E82474" w14:textId="77777777" w:rsidTr="009D35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BFBFBF" w:themeColor="background1" w:themeShade="BF"/>
              <w:bottom w:val="single" w:sz="4" w:space="0" w:color="BFBFBF" w:themeColor="background1" w:themeShade="BF"/>
            </w:tcBorders>
          </w:tcPr>
          <w:p w14:paraId="55B2761B" w14:textId="77777777" w:rsidR="00077235" w:rsidRDefault="00077235" w:rsidP="00764562">
            <w:pPr>
              <w:pStyle w:val="BodyCopyNEW"/>
            </w:pPr>
            <w:r>
              <w:t>Adverse publicity order</w:t>
            </w:r>
          </w:p>
        </w:tc>
        <w:tc>
          <w:tcPr>
            <w:tcW w:w="7508" w:type="dxa"/>
            <w:gridSpan w:val="3"/>
            <w:tcBorders>
              <w:top w:val="single" w:sz="4" w:space="0" w:color="BFBFBF" w:themeColor="background1" w:themeShade="BF"/>
              <w:bottom w:val="single" w:sz="4" w:space="0" w:color="BFBFBF" w:themeColor="background1" w:themeShade="BF"/>
            </w:tcBorders>
          </w:tcPr>
          <w:p w14:paraId="3A69C645" w14:textId="4844A9A3" w:rsidR="00077235" w:rsidRDefault="00077235" w:rsidP="00764562">
            <w:pPr>
              <w:pStyle w:val="BodyCopyNEW"/>
              <w:cnfStyle w:val="000000100000" w:firstRow="0" w:lastRow="0" w:firstColumn="0" w:lastColumn="0" w:oddVBand="0" w:evenVBand="0" w:oddHBand="1" w:evenHBand="0" w:firstRowFirstColumn="0" w:firstRowLastColumn="0" w:lastRowFirstColumn="0" w:lastRowLastColumn="0"/>
            </w:pPr>
            <w:r>
              <w:t xml:space="preserve">All offences of the </w:t>
            </w:r>
            <w:r w:rsidR="00B52473">
              <w:t>OPGGS</w:t>
            </w:r>
            <w:r>
              <w:t xml:space="preserve"> Act or the Regulation</w:t>
            </w:r>
            <w:r w:rsidR="00501238">
              <w:t xml:space="preserve"> via a court order</w:t>
            </w:r>
            <w:r w:rsidR="00BF35D9">
              <w:t>.</w:t>
            </w:r>
          </w:p>
        </w:tc>
      </w:tr>
    </w:tbl>
    <w:p w14:paraId="48B52754" w14:textId="37648EA2" w:rsidR="00F958B5" w:rsidRPr="00192856" w:rsidRDefault="00F958B5" w:rsidP="00192856">
      <w:pPr>
        <w:pStyle w:val="Caption"/>
        <w:rPr>
          <w:i/>
          <w:color w:val="75787B" w:themeColor="accent6"/>
        </w:rPr>
      </w:pPr>
      <w:r w:rsidRPr="00192856">
        <w:rPr>
          <w:b w:val="0"/>
          <w:bCs/>
          <w:i/>
          <w:iCs w:val="0"/>
          <w:color w:val="75787B" w:themeColor="accent6"/>
        </w:rPr>
        <w:t xml:space="preserve">Source: </w:t>
      </w:r>
      <w:r w:rsidR="00300717" w:rsidRPr="00300717">
        <w:rPr>
          <w:b w:val="0"/>
          <w:bCs/>
          <w:i/>
          <w:iCs w:val="0"/>
          <w:color w:val="75787B" w:themeColor="accent6"/>
        </w:rPr>
        <w:t>Deloitte analysis adapted from NOPSEMA data</w:t>
      </w:r>
    </w:p>
    <w:p w14:paraId="62A2E7CC" w14:textId="325BB5E2" w:rsidR="00077235" w:rsidRDefault="005A2AB5" w:rsidP="00901C7B">
      <w:pPr>
        <w:pStyle w:val="BodyCopyNEW"/>
        <w:spacing w:before="120"/>
      </w:pPr>
      <w:r>
        <w:t>W</w:t>
      </w:r>
      <w:r w:rsidR="004A6B51">
        <w:t xml:space="preserve">e have mapped the current </w:t>
      </w:r>
      <w:r w:rsidR="0195E4A9">
        <w:t>OHS, well integrity and environment</w:t>
      </w:r>
      <w:r w:rsidR="15947644">
        <w:t xml:space="preserve"> </w:t>
      </w:r>
      <w:r w:rsidR="004A6B51">
        <w:t xml:space="preserve">enforcement powers provided for by the OPGGS Act through adoption (with modification) of some of the provisions of the </w:t>
      </w:r>
      <w:r w:rsidR="00F45902">
        <w:t>Regulatory Powers</w:t>
      </w:r>
      <w:r w:rsidR="00F45902" w:rsidRPr="00720F24">
        <w:t xml:space="preserve"> Act</w:t>
      </w:r>
      <w:r w:rsidR="00F45902" w:rsidDel="00F45902">
        <w:t xml:space="preserve"> </w:t>
      </w:r>
      <w:r>
        <w:t xml:space="preserve">(see </w:t>
      </w:r>
      <w:r w:rsidR="009E1D1E" w:rsidRPr="009E1D1E">
        <w:rPr>
          <w:b/>
          <w:bCs/>
        </w:rPr>
        <w:fldChar w:fldCharType="begin"/>
      </w:r>
      <w:r w:rsidR="009E1D1E" w:rsidRPr="009E1D1E">
        <w:rPr>
          <w:b/>
          <w:bCs/>
        </w:rPr>
        <w:instrText xml:space="preserve"> REF _Ref58445797 \h  \* MERGEFORMAT </w:instrText>
      </w:r>
      <w:r w:rsidR="009E1D1E" w:rsidRPr="009E1D1E">
        <w:rPr>
          <w:b/>
          <w:bCs/>
        </w:rPr>
      </w:r>
      <w:r w:rsidR="009E1D1E" w:rsidRPr="009E1D1E">
        <w:rPr>
          <w:b/>
          <w:bCs/>
        </w:rPr>
        <w:fldChar w:fldCharType="separate"/>
      </w:r>
      <w:r w:rsidR="00E816B8" w:rsidRPr="00E816B8">
        <w:rPr>
          <w:b/>
          <w:bCs/>
        </w:rPr>
        <w:t xml:space="preserve">Table </w:t>
      </w:r>
      <w:r w:rsidR="00E816B8" w:rsidRPr="00E816B8">
        <w:rPr>
          <w:b/>
          <w:bCs/>
          <w:noProof/>
        </w:rPr>
        <w:t>6.4</w:t>
      </w:r>
      <w:r w:rsidR="009E1D1E" w:rsidRPr="009E1D1E">
        <w:rPr>
          <w:b/>
          <w:bCs/>
        </w:rPr>
        <w:fldChar w:fldCharType="end"/>
      </w:r>
      <w:r>
        <w:t>).</w:t>
      </w:r>
    </w:p>
    <w:p w14:paraId="72EBC161" w14:textId="77A40E9F" w:rsidR="005A2AB5" w:rsidRDefault="009E1D1E" w:rsidP="00E25B4F">
      <w:pPr>
        <w:pStyle w:val="Caption"/>
        <w:keepNext/>
      </w:pPr>
      <w:bookmarkStart w:id="60" w:name="_Ref58445797"/>
      <w:bookmarkStart w:id="61" w:name="_Ref58705665"/>
      <w:r>
        <w:lastRenderedPageBreak/>
        <w:t xml:space="preserve">Table </w:t>
      </w:r>
      <w:r w:rsidR="00F8476B">
        <w:fldChar w:fldCharType="begin"/>
      </w:r>
      <w:r w:rsidR="00F8476B">
        <w:instrText xml:space="preserve"> STYLEREF 1 \s </w:instrText>
      </w:r>
      <w:r w:rsidR="00F8476B">
        <w:fldChar w:fldCharType="separate"/>
      </w:r>
      <w:r w:rsidR="00E816B8">
        <w:rPr>
          <w:noProof/>
        </w:rPr>
        <w:t>6</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4</w:t>
      </w:r>
      <w:r w:rsidR="00F8476B">
        <w:fldChar w:fldCharType="end"/>
      </w:r>
      <w:bookmarkEnd w:id="60"/>
      <w:bookmarkEnd w:id="61"/>
      <w:r>
        <w:t xml:space="preserve">: NOPSEMA’s current enforcement powers </w:t>
      </w:r>
      <w:r w:rsidR="00F53817">
        <w:t>for the purposes of OHS, well integrity and environment</w:t>
      </w:r>
      <w:r>
        <w:t xml:space="preserve"> provided by the OPGGS Act through adoption of some of the provisions of the Regulatory Powers Act</w:t>
      </w:r>
    </w:p>
    <w:tbl>
      <w:tblPr>
        <w:tblStyle w:val="ListTable3-Accent3"/>
        <w:tblW w:w="0" w:type="auto"/>
        <w:tblBorders>
          <w:top w:val="single" w:sz="4" w:space="0" w:color="005587"/>
          <w:left w:val="single" w:sz="4" w:space="0" w:color="005587"/>
          <w:bottom w:val="single" w:sz="4" w:space="0" w:color="005587"/>
          <w:right w:val="single" w:sz="4" w:space="0" w:color="005587"/>
          <w:insideH w:val="single" w:sz="4" w:space="0" w:color="005587"/>
        </w:tblBorders>
        <w:tblCellMar>
          <w:top w:w="57" w:type="dxa"/>
          <w:left w:w="57" w:type="dxa"/>
          <w:bottom w:w="57" w:type="dxa"/>
          <w:right w:w="57" w:type="dxa"/>
        </w:tblCellMar>
        <w:tblLook w:val="04A0" w:firstRow="1" w:lastRow="0" w:firstColumn="1" w:lastColumn="0" w:noHBand="0" w:noVBand="1"/>
      </w:tblPr>
      <w:tblGrid>
        <w:gridCol w:w="2263"/>
        <w:gridCol w:w="2504"/>
        <w:gridCol w:w="2504"/>
        <w:gridCol w:w="2505"/>
      </w:tblGrid>
      <w:tr w:rsidR="006E59FB" w14:paraId="0B8CB491" w14:textId="77777777" w:rsidTr="0060619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63" w:type="dxa"/>
            <w:tcBorders>
              <w:top w:val="single" w:sz="8" w:space="0" w:color="007680"/>
              <w:left w:val="nil"/>
              <w:bottom w:val="single" w:sz="8" w:space="0" w:color="007680"/>
            </w:tcBorders>
            <w:shd w:val="clear" w:color="auto" w:fill="auto"/>
          </w:tcPr>
          <w:p w14:paraId="58206726" w14:textId="30258F83" w:rsidR="006E59FB" w:rsidRPr="00764562" w:rsidRDefault="006E59FB" w:rsidP="00764562">
            <w:pPr>
              <w:pStyle w:val="Tableheader"/>
              <w:rPr>
                <w:b/>
                <w:bCs/>
              </w:rPr>
            </w:pPr>
            <w:r w:rsidRPr="00764562">
              <w:rPr>
                <w:b/>
                <w:bCs/>
              </w:rPr>
              <w:t>Enforcement power</w:t>
            </w:r>
          </w:p>
        </w:tc>
        <w:tc>
          <w:tcPr>
            <w:tcW w:w="2504" w:type="dxa"/>
            <w:tcBorders>
              <w:top w:val="single" w:sz="8" w:space="0" w:color="007680"/>
              <w:bottom w:val="single" w:sz="8" w:space="0" w:color="007680"/>
            </w:tcBorders>
            <w:shd w:val="clear" w:color="auto" w:fill="auto"/>
          </w:tcPr>
          <w:p w14:paraId="6E21F6A4" w14:textId="6A431108" w:rsidR="006E59FB" w:rsidRPr="00764562" w:rsidRDefault="006E59FB" w:rsidP="00764562">
            <w:pPr>
              <w:pStyle w:val="Tableheader"/>
              <w:cnfStyle w:val="100000000000" w:firstRow="1" w:lastRow="0" w:firstColumn="0" w:lastColumn="0" w:oddVBand="0" w:evenVBand="0" w:oddHBand="0" w:evenHBand="0" w:firstRowFirstColumn="0" w:firstRowLastColumn="0" w:lastRowFirstColumn="0" w:lastRowLastColumn="0"/>
              <w:rPr>
                <w:b/>
                <w:bCs/>
              </w:rPr>
            </w:pPr>
            <w:r w:rsidRPr="00764562">
              <w:rPr>
                <w:b/>
                <w:bCs/>
              </w:rPr>
              <w:t>OHS</w:t>
            </w:r>
          </w:p>
        </w:tc>
        <w:tc>
          <w:tcPr>
            <w:tcW w:w="2504" w:type="dxa"/>
            <w:tcBorders>
              <w:top w:val="single" w:sz="8" w:space="0" w:color="007680"/>
              <w:bottom w:val="single" w:sz="8" w:space="0" w:color="007680"/>
            </w:tcBorders>
            <w:shd w:val="clear" w:color="auto" w:fill="auto"/>
          </w:tcPr>
          <w:p w14:paraId="27FFE99D" w14:textId="5C0230B3" w:rsidR="006E59FB" w:rsidRPr="00764562" w:rsidRDefault="006E59FB" w:rsidP="00764562">
            <w:pPr>
              <w:pStyle w:val="Tableheader"/>
              <w:cnfStyle w:val="100000000000" w:firstRow="1" w:lastRow="0" w:firstColumn="0" w:lastColumn="0" w:oddVBand="0" w:evenVBand="0" w:oddHBand="0" w:evenHBand="0" w:firstRowFirstColumn="0" w:firstRowLastColumn="0" w:lastRowFirstColumn="0" w:lastRowLastColumn="0"/>
              <w:rPr>
                <w:b/>
                <w:bCs/>
              </w:rPr>
            </w:pPr>
            <w:r w:rsidRPr="00764562">
              <w:rPr>
                <w:b/>
                <w:bCs/>
              </w:rPr>
              <w:t>Well integrity</w:t>
            </w:r>
          </w:p>
        </w:tc>
        <w:tc>
          <w:tcPr>
            <w:tcW w:w="2505" w:type="dxa"/>
            <w:tcBorders>
              <w:top w:val="single" w:sz="8" w:space="0" w:color="007680"/>
              <w:bottom w:val="single" w:sz="8" w:space="0" w:color="007680"/>
              <w:right w:val="nil"/>
            </w:tcBorders>
            <w:shd w:val="clear" w:color="auto" w:fill="auto"/>
          </w:tcPr>
          <w:p w14:paraId="1FB20594" w14:textId="05C87735" w:rsidR="006E59FB" w:rsidRPr="00764562" w:rsidRDefault="006E59FB" w:rsidP="00764562">
            <w:pPr>
              <w:pStyle w:val="Tableheader"/>
              <w:cnfStyle w:val="100000000000" w:firstRow="1" w:lastRow="0" w:firstColumn="0" w:lastColumn="0" w:oddVBand="0" w:evenVBand="0" w:oddHBand="0" w:evenHBand="0" w:firstRowFirstColumn="0" w:firstRowLastColumn="0" w:lastRowFirstColumn="0" w:lastRowLastColumn="0"/>
              <w:rPr>
                <w:b/>
                <w:bCs/>
              </w:rPr>
            </w:pPr>
            <w:r w:rsidRPr="00764562">
              <w:rPr>
                <w:b/>
                <w:bCs/>
              </w:rPr>
              <w:t>Environment</w:t>
            </w:r>
          </w:p>
        </w:tc>
      </w:tr>
      <w:tr w:rsidR="009D42EF" w:rsidRPr="00ED194A" w14:paraId="66691133" w14:textId="77777777" w:rsidTr="00606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8" w:space="0" w:color="007680"/>
              <w:left w:val="nil"/>
              <w:bottom w:val="single" w:sz="4" w:space="0" w:color="BFBFBF" w:themeColor="background1" w:themeShade="BF"/>
            </w:tcBorders>
          </w:tcPr>
          <w:p w14:paraId="5704E16F" w14:textId="77777777" w:rsidR="009D42EF" w:rsidRPr="00ED194A" w:rsidRDefault="009D42EF" w:rsidP="00764562">
            <w:pPr>
              <w:pStyle w:val="BodyCopyNEW"/>
            </w:pPr>
            <w:r w:rsidRPr="00ED194A">
              <w:t>Non-disturbance notices</w:t>
            </w:r>
          </w:p>
        </w:tc>
        <w:tc>
          <w:tcPr>
            <w:tcW w:w="7513" w:type="dxa"/>
            <w:gridSpan w:val="3"/>
            <w:tcBorders>
              <w:top w:val="single" w:sz="8" w:space="0" w:color="007680"/>
              <w:bottom w:val="single" w:sz="4" w:space="0" w:color="BFBFBF" w:themeColor="background1" w:themeShade="BF"/>
              <w:right w:val="nil"/>
            </w:tcBorders>
          </w:tcPr>
          <w:p w14:paraId="4D3ADE25" w14:textId="49040473" w:rsidR="009D42EF" w:rsidRPr="001C5881" w:rsidRDefault="00247902" w:rsidP="00764562">
            <w:pPr>
              <w:pStyle w:val="BodyCopyNEW"/>
              <w:cnfStyle w:val="000000100000" w:firstRow="0" w:lastRow="0" w:firstColumn="0" w:lastColumn="0" w:oddVBand="0" w:evenVBand="0" w:oddHBand="1" w:evenHBand="0" w:firstRowFirstColumn="0" w:firstRowLastColumn="0" w:lastRowFirstColumn="0" w:lastRowLastColumn="0"/>
              <w:rPr>
                <w:szCs w:val="18"/>
              </w:rPr>
            </w:pPr>
            <w:r w:rsidRPr="001C5881">
              <w:rPr>
                <w:szCs w:val="18"/>
              </w:rPr>
              <w:t xml:space="preserve">Option available after entering premises by consent or under a monitoring warrant pursuant to </w:t>
            </w:r>
            <w:r w:rsidR="009413CF" w:rsidRPr="001C5881">
              <w:rPr>
                <w:szCs w:val="18"/>
              </w:rPr>
              <w:t xml:space="preserve">Regulatory Powers </w:t>
            </w:r>
            <w:r w:rsidRPr="001C5881">
              <w:rPr>
                <w:szCs w:val="18"/>
              </w:rPr>
              <w:t>Act</w:t>
            </w:r>
            <w:r w:rsidR="00BF35D9" w:rsidRPr="001C5881">
              <w:rPr>
                <w:szCs w:val="18"/>
              </w:rPr>
              <w:t>.</w:t>
            </w:r>
          </w:p>
        </w:tc>
      </w:tr>
      <w:tr w:rsidR="00BE54E3" w14:paraId="61E229F1" w14:textId="77777777" w:rsidTr="0060619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nil"/>
              <w:bottom w:val="single" w:sz="4" w:space="0" w:color="BFBFBF" w:themeColor="background1" w:themeShade="BF"/>
            </w:tcBorders>
          </w:tcPr>
          <w:p w14:paraId="73FF07CE" w14:textId="079585DA" w:rsidR="00BE54E3" w:rsidRPr="00BE54E3" w:rsidRDefault="00673B1B" w:rsidP="00764562">
            <w:pPr>
              <w:pStyle w:val="BodyCopyNEW"/>
            </w:pPr>
            <w:r>
              <w:t>Infringement notices</w:t>
            </w:r>
          </w:p>
        </w:tc>
        <w:tc>
          <w:tcPr>
            <w:tcW w:w="7513" w:type="dxa"/>
            <w:gridSpan w:val="3"/>
            <w:tcBorders>
              <w:top w:val="single" w:sz="4" w:space="0" w:color="BFBFBF" w:themeColor="background1" w:themeShade="BF"/>
              <w:bottom w:val="single" w:sz="4" w:space="0" w:color="BFBFBF" w:themeColor="background1" w:themeShade="BF"/>
              <w:right w:val="nil"/>
            </w:tcBorders>
          </w:tcPr>
          <w:p w14:paraId="40A054CE" w14:textId="00F3F2D7" w:rsidR="00BE54E3" w:rsidRPr="001C5881" w:rsidRDefault="0024747A" w:rsidP="00764562">
            <w:pPr>
              <w:pStyle w:val="BodyCopyNEW"/>
              <w:cnfStyle w:val="000000000000" w:firstRow="0" w:lastRow="0" w:firstColumn="0" w:lastColumn="0" w:oddVBand="0" w:evenVBand="0" w:oddHBand="0" w:evenHBand="0" w:firstRowFirstColumn="0" w:firstRowLastColumn="0" w:lastRowFirstColumn="0" w:lastRowLastColumn="0"/>
              <w:rPr>
                <w:szCs w:val="18"/>
              </w:rPr>
            </w:pPr>
            <w:r w:rsidRPr="001C5881">
              <w:rPr>
                <w:szCs w:val="18"/>
              </w:rPr>
              <w:t>Selected (prescribed) provisions of the</w:t>
            </w:r>
            <w:r w:rsidR="009248AD" w:rsidRPr="001C5881">
              <w:rPr>
                <w:szCs w:val="18"/>
              </w:rPr>
              <w:t xml:space="preserve"> OPGGS</w:t>
            </w:r>
            <w:r w:rsidRPr="001C5881">
              <w:rPr>
                <w:szCs w:val="18"/>
              </w:rPr>
              <w:t xml:space="preserve"> Act</w:t>
            </w:r>
            <w:r w:rsidR="008079C6" w:rsidRPr="001C5881">
              <w:rPr>
                <w:rStyle w:val="FootnoteReference"/>
                <w:sz w:val="18"/>
                <w:szCs w:val="18"/>
              </w:rPr>
              <w:footnoteReference w:id="22"/>
            </w:r>
            <w:r w:rsidR="00BD05B7" w:rsidRPr="001C5881">
              <w:rPr>
                <w:szCs w:val="18"/>
              </w:rPr>
              <w:t>.</w:t>
            </w:r>
          </w:p>
        </w:tc>
      </w:tr>
      <w:tr w:rsidR="002C07FB" w14:paraId="1724D482" w14:textId="77777777" w:rsidTr="00606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nil"/>
              <w:bottom w:val="single" w:sz="4" w:space="0" w:color="BFBFBF" w:themeColor="background1" w:themeShade="BF"/>
            </w:tcBorders>
          </w:tcPr>
          <w:p w14:paraId="09B91FCF" w14:textId="5326D706" w:rsidR="002C07FB" w:rsidRDefault="00635278" w:rsidP="00764562">
            <w:pPr>
              <w:pStyle w:val="BodyCopyNEW"/>
            </w:pPr>
            <w:r>
              <w:t>Injunctions</w:t>
            </w:r>
          </w:p>
        </w:tc>
        <w:tc>
          <w:tcPr>
            <w:tcW w:w="2504" w:type="dxa"/>
            <w:tcBorders>
              <w:top w:val="single" w:sz="4" w:space="0" w:color="BFBFBF" w:themeColor="background1" w:themeShade="BF"/>
              <w:bottom w:val="single" w:sz="4" w:space="0" w:color="BFBFBF" w:themeColor="background1" w:themeShade="BF"/>
            </w:tcBorders>
          </w:tcPr>
          <w:p w14:paraId="1E0609EA" w14:textId="5DB45CAF" w:rsidR="002C07FB" w:rsidRPr="001C5881" w:rsidRDefault="001C79B3" w:rsidP="00764562">
            <w:pPr>
              <w:pStyle w:val="BodyCopyNEW"/>
              <w:cnfStyle w:val="000000100000" w:firstRow="0" w:lastRow="0" w:firstColumn="0" w:lastColumn="0" w:oddVBand="0" w:evenVBand="0" w:oddHBand="1" w:evenHBand="0" w:firstRowFirstColumn="0" w:firstRowLastColumn="0" w:lastRowFirstColumn="0" w:lastRowLastColumn="0"/>
              <w:rPr>
                <w:szCs w:val="18"/>
              </w:rPr>
            </w:pPr>
            <w:r w:rsidRPr="001C5881">
              <w:rPr>
                <w:szCs w:val="18"/>
              </w:rPr>
              <w:t xml:space="preserve">Selected (prescribed) </w:t>
            </w:r>
            <w:r w:rsidR="0025687E" w:rsidRPr="001C5881">
              <w:rPr>
                <w:szCs w:val="18"/>
              </w:rPr>
              <w:t>provisions</w:t>
            </w:r>
            <w:r w:rsidRPr="001C5881">
              <w:rPr>
                <w:szCs w:val="18"/>
              </w:rPr>
              <w:t xml:space="preserve"> of the </w:t>
            </w:r>
            <w:r w:rsidR="009248AD" w:rsidRPr="001C5881">
              <w:rPr>
                <w:szCs w:val="18"/>
              </w:rPr>
              <w:t xml:space="preserve">OPGGS </w:t>
            </w:r>
            <w:r w:rsidRPr="001C5881">
              <w:rPr>
                <w:szCs w:val="18"/>
              </w:rPr>
              <w:t>Act</w:t>
            </w:r>
            <w:r w:rsidR="0025687E" w:rsidRPr="001C5881">
              <w:rPr>
                <w:szCs w:val="18"/>
              </w:rPr>
              <w:t xml:space="preserve"> (Schedule 3)</w:t>
            </w:r>
            <w:r w:rsidR="008079C6" w:rsidRPr="001C5881">
              <w:rPr>
                <w:rStyle w:val="FootnoteReference"/>
                <w:sz w:val="18"/>
                <w:szCs w:val="18"/>
              </w:rPr>
              <w:footnoteReference w:id="23"/>
            </w:r>
            <w:r w:rsidR="00A72A52" w:rsidRPr="001C5881">
              <w:rPr>
                <w:szCs w:val="18"/>
              </w:rPr>
              <w:t>.</w:t>
            </w:r>
          </w:p>
        </w:tc>
        <w:tc>
          <w:tcPr>
            <w:tcW w:w="2504" w:type="dxa"/>
            <w:tcBorders>
              <w:top w:val="single" w:sz="4" w:space="0" w:color="BFBFBF" w:themeColor="background1" w:themeShade="BF"/>
              <w:bottom w:val="single" w:sz="4" w:space="0" w:color="BFBFBF" w:themeColor="background1" w:themeShade="BF"/>
            </w:tcBorders>
          </w:tcPr>
          <w:p w14:paraId="68B714F2" w14:textId="21F5DD3B" w:rsidR="002C07FB" w:rsidRPr="001C5881" w:rsidRDefault="006B54B6" w:rsidP="00764562">
            <w:pPr>
              <w:pStyle w:val="BodyCopyNEW"/>
              <w:cnfStyle w:val="000000100000" w:firstRow="0" w:lastRow="0" w:firstColumn="0" w:lastColumn="0" w:oddVBand="0" w:evenVBand="0" w:oddHBand="1" w:evenHBand="0" w:firstRowFirstColumn="0" w:firstRowLastColumn="0" w:lastRowFirstColumn="0" w:lastRowLastColumn="0"/>
              <w:rPr>
                <w:szCs w:val="18"/>
              </w:rPr>
            </w:pPr>
            <w:r w:rsidRPr="001C5881">
              <w:rPr>
                <w:szCs w:val="18"/>
              </w:rPr>
              <w:t xml:space="preserve">Selected (prescribed) </w:t>
            </w:r>
            <w:r w:rsidR="0025687E" w:rsidRPr="001C5881">
              <w:rPr>
                <w:szCs w:val="18"/>
              </w:rPr>
              <w:t>provisions</w:t>
            </w:r>
            <w:r w:rsidRPr="001C5881">
              <w:rPr>
                <w:szCs w:val="18"/>
              </w:rPr>
              <w:t xml:space="preserve"> of the </w:t>
            </w:r>
            <w:r w:rsidR="009248AD" w:rsidRPr="001C5881">
              <w:rPr>
                <w:szCs w:val="18"/>
              </w:rPr>
              <w:t xml:space="preserve">OPGGS </w:t>
            </w:r>
            <w:r w:rsidRPr="001C5881">
              <w:rPr>
                <w:szCs w:val="18"/>
              </w:rPr>
              <w:t>Act</w:t>
            </w:r>
            <w:r w:rsidR="0025687E" w:rsidRPr="001C5881">
              <w:rPr>
                <w:szCs w:val="18"/>
              </w:rPr>
              <w:t xml:space="preserve"> (schedule 2B)</w:t>
            </w:r>
            <w:r w:rsidR="00BF35D9" w:rsidRPr="001C5881">
              <w:rPr>
                <w:szCs w:val="18"/>
              </w:rPr>
              <w:t>.</w:t>
            </w:r>
          </w:p>
        </w:tc>
        <w:tc>
          <w:tcPr>
            <w:tcW w:w="2505" w:type="dxa"/>
            <w:tcBorders>
              <w:top w:val="single" w:sz="4" w:space="0" w:color="BFBFBF" w:themeColor="background1" w:themeShade="BF"/>
              <w:bottom w:val="single" w:sz="4" w:space="0" w:color="BFBFBF" w:themeColor="background1" w:themeShade="BF"/>
              <w:right w:val="nil"/>
            </w:tcBorders>
          </w:tcPr>
          <w:p w14:paraId="52AB77EE" w14:textId="15EFD796" w:rsidR="002C07FB" w:rsidRPr="001C5881" w:rsidRDefault="006B54B6" w:rsidP="00764562">
            <w:pPr>
              <w:pStyle w:val="BodyCopyNEW"/>
              <w:cnfStyle w:val="000000100000" w:firstRow="0" w:lastRow="0" w:firstColumn="0" w:lastColumn="0" w:oddVBand="0" w:evenVBand="0" w:oddHBand="1" w:evenHBand="0" w:firstRowFirstColumn="0" w:firstRowLastColumn="0" w:lastRowFirstColumn="0" w:lastRowLastColumn="0"/>
              <w:rPr>
                <w:szCs w:val="18"/>
              </w:rPr>
            </w:pPr>
            <w:r w:rsidRPr="001C5881">
              <w:rPr>
                <w:szCs w:val="18"/>
              </w:rPr>
              <w:t xml:space="preserve">Selected (prescribed) </w:t>
            </w:r>
            <w:r w:rsidR="0025687E" w:rsidRPr="001C5881">
              <w:rPr>
                <w:szCs w:val="18"/>
              </w:rPr>
              <w:t>provisions</w:t>
            </w:r>
            <w:r w:rsidRPr="001C5881">
              <w:rPr>
                <w:szCs w:val="18"/>
              </w:rPr>
              <w:t xml:space="preserve"> of the </w:t>
            </w:r>
            <w:r w:rsidR="009248AD" w:rsidRPr="001C5881">
              <w:rPr>
                <w:szCs w:val="18"/>
              </w:rPr>
              <w:t xml:space="preserve">OPGGS </w:t>
            </w:r>
            <w:r w:rsidRPr="001C5881">
              <w:rPr>
                <w:szCs w:val="18"/>
              </w:rPr>
              <w:t>Act</w:t>
            </w:r>
            <w:r w:rsidR="0025687E" w:rsidRPr="001C5881">
              <w:rPr>
                <w:szCs w:val="18"/>
              </w:rPr>
              <w:t xml:space="preserve"> (schedule 2A)</w:t>
            </w:r>
            <w:r w:rsidR="00BF35D9" w:rsidRPr="001C5881">
              <w:rPr>
                <w:szCs w:val="18"/>
              </w:rPr>
              <w:t>.</w:t>
            </w:r>
          </w:p>
        </w:tc>
      </w:tr>
      <w:tr w:rsidR="00635278" w14:paraId="6E404C28" w14:textId="77777777" w:rsidTr="0060619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nil"/>
              <w:bottom w:val="single" w:sz="4" w:space="0" w:color="BFBFBF" w:themeColor="background1" w:themeShade="BF"/>
            </w:tcBorders>
          </w:tcPr>
          <w:p w14:paraId="3A767EC0" w14:textId="1750D118" w:rsidR="00635278" w:rsidRDefault="00635278" w:rsidP="00764562">
            <w:pPr>
              <w:pStyle w:val="BodyCopyNEW"/>
            </w:pPr>
            <w:r>
              <w:t>Enforceable undertakings</w:t>
            </w:r>
          </w:p>
        </w:tc>
        <w:tc>
          <w:tcPr>
            <w:tcW w:w="2504" w:type="dxa"/>
            <w:tcBorders>
              <w:top w:val="single" w:sz="4" w:space="0" w:color="BFBFBF" w:themeColor="background1" w:themeShade="BF"/>
              <w:bottom w:val="single" w:sz="4" w:space="0" w:color="BFBFBF" w:themeColor="background1" w:themeShade="BF"/>
            </w:tcBorders>
          </w:tcPr>
          <w:p w14:paraId="6EE95E78" w14:textId="3CA0ABCF" w:rsidR="00635278" w:rsidRPr="001C5881" w:rsidRDefault="00C03F51" w:rsidP="00764562">
            <w:pPr>
              <w:pStyle w:val="BodyCopyNEW"/>
              <w:cnfStyle w:val="000000000000" w:firstRow="0" w:lastRow="0" w:firstColumn="0" w:lastColumn="0" w:oddVBand="0" w:evenVBand="0" w:oddHBand="0" w:evenHBand="0" w:firstRowFirstColumn="0" w:firstRowLastColumn="0" w:lastRowFirstColumn="0" w:lastRowLastColumn="0"/>
              <w:rPr>
                <w:szCs w:val="18"/>
              </w:rPr>
            </w:pPr>
            <w:r w:rsidRPr="001C5881">
              <w:rPr>
                <w:szCs w:val="18"/>
              </w:rPr>
              <w:t xml:space="preserve">Selected (prescribed) provisions of the </w:t>
            </w:r>
            <w:r w:rsidR="00AA419B" w:rsidRPr="001C5881">
              <w:rPr>
                <w:szCs w:val="18"/>
              </w:rPr>
              <w:t xml:space="preserve">OPGGS </w:t>
            </w:r>
            <w:r w:rsidRPr="001C5881">
              <w:rPr>
                <w:szCs w:val="18"/>
              </w:rPr>
              <w:t>Act (Schedule 3)</w:t>
            </w:r>
            <w:r w:rsidR="00BF35D9" w:rsidRPr="001C5881">
              <w:rPr>
                <w:szCs w:val="18"/>
              </w:rPr>
              <w:t>.</w:t>
            </w:r>
          </w:p>
        </w:tc>
        <w:tc>
          <w:tcPr>
            <w:tcW w:w="2504" w:type="dxa"/>
            <w:tcBorders>
              <w:top w:val="single" w:sz="4" w:space="0" w:color="BFBFBF" w:themeColor="background1" w:themeShade="BF"/>
              <w:bottom w:val="single" w:sz="4" w:space="0" w:color="BFBFBF" w:themeColor="background1" w:themeShade="BF"/>
            </w:tcBorders>
          </w:tcPr>
          <w:p w14:paraId="09DA0FD1" w14:textId="768DD99F" w:rsidR="00635278" w:rsidRPr="001C5881" w:rsidRDefault="00C03F51" w:rsidP="00764562">
            <w:pPr>
              <w:pStyle w:val="BodyCopyNEW"/>
              <w:cnfStyle w:val="000000000000" w:firstRow="0" w:lastRow="0" w:firstColumn="0" w:lastColumn="0" w:oddVBand="0" w:evenVBand="0" w:oddHBand="0" w:evenHBand="0" w:firstRowFirstColumn="0" w:firstRowLastColumn="0" w:lastRowFirstColumn="0" w:lastRowLastColumn="0"/>
              <w:rPr>
                <w:szCs w:val="18"/>
              </w:rPr>
            </w:pPr>
            <w:r w:rsidRPr="001C5881">
              <w:rPr>
                <w:szCs w:val="18"/>
              </w:rPr>
              <w:t xml:space="preserve">Selected (prescribed) provisions of the </w:t>
            </w:r>
            <w:r w:rsidR="00AA419B" w:rsidRPr="001C5881">
              <w:rPr>
                <w:szCs w:val="18"/>
              </w:rPr>
              <w:t xml:space="preserve">OPGGS </w:t>
            </w:r>
            <w:r w:rsidRPr="001C5881">
              <w:rPr>
                <w:szCs w:val="18"/>
              </w:rPr>
              <w:t>Act (schedule 2B)</w:t>
            </w:r>
            <w:r w:rsidR="00BF35D9" w:rsidRPr="001C5881">
              <w:rPr>
                <w:szCs w:val="18"/>
              </w:rPr>
              <w:t>.</w:t>
            </w:r>
          </w:p>
        </w:tc>
        <w:tc>
          <w:tcPr>
            <w:tcW w:w="2505" w:type="dxa"/>
            <w:tcBorders>
              <w:top w:val="single" w:sz="4" w:space="0" w:color="BFBFBF" w:themeColor="background1" w:themeShade="BF"/>
              <w:bottom w:val="single" w:sz="4" w:space="0" w:color="BFBFBF" w:themeColor="background1" w:themeShade="BF"/>
              <w:right w:val="nil"/>
            </w:tcBorders>
          </w:tcPr>
          <w:p w14:paraId="0D9D7FE6" w14:textId="64CC792A" w:rsidR="00635278" w:rsidRPr="001C5881" w:rsidRDefault="00C03F51" w:rsidP="00764562">
            <w:pPr>
              <w:pStyle w:val="BodyCopyNEW"/>
              <w:cnfStyle w:val="000000000000" w:firstRow="0" w:lastRow="0" w:firstColumn="0" w:lastColumn="0" w:oddVBand="0" w:evenVBand="0" w:oddHBand="0" w:evenHBand="0" w:firstRowFirstColumn="0" w:firstRowLastColumn="0" w:lastRowFirstColumn="0" w:lastRowLastColumn="0"/>
              <w:rPr>
                <w:szCs w:val="18"/>
              </w:rPr>
            </w:pPr>
            <w:r w:rsidRPr="001C5881">
              <w:rPr>
                <w:szCs w:val="18"/>
              </w:rPr>
              <w:t xml:space="preserve">Selected (prescribed) provisions of the </w:t>
            </w:r>
            <w:r w:rsidR="009248AD" w:rsidRPr="001C5881">
              <w:rPr>
                <w:szCs w:val="18"/>
              </w:rPr>
              <w:t xml:space="preserve">OPGGS </w:t>
            </w:r>
            <w:r w:rsidRPr="001C5881">
              <w:rPr>
                <w:szCs w:val="18"/>
              </w:rPr>
              <w:t>Act (schedule 2A)</w:t>
            </w:r>
            <w:r w:rsidR="00BF35D9" w:rsidRPr="001C5881">
              <w:rPr>
                <w:szCs w:val="18"/>
              </w:rPr>
              <w:t>.</w:t>
            </w:r>
          </w:p>
        </w:tc>
      </w:tr>
      <w:tr w:rsidR="00635278" w14:paraId="00C866FD" w14:textId="77777777" w:rsidTr="006061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nil"/>
              <w:bottom w:val="single" w:sz="4" w:space="0" w:color="BFBFBF" w:themeColor="background1" w:themeShade="BF"/>
            </w:tcBorders>
          </w:tcPr>
          <w:p w14:paraId="05680299" w14:textId="318E37DC" w:rsidR="00635278" w:rsidRDefault="00635278" w:rsidP="00764562">
            <w:pPr>
              <w:pStyle w:val="BodyCopyNEW"/>
            </w:pPr>
            <w:r>
              <w:t>Civil penalties</w:t>
            </w:r>
          </w:p>
        </w:tc>
        <w:tc>
          <w:tcPr>
            <w:tcW w:w="7513" w:type="dxa"/>
            <w:gridSpan w:val="3"/>
            <w:tcBorders>
              <w:top w:val="single" w:sz="4" w:space="0" w:color="BFBFBF" w:themeColor="background1" w:themeShade="BF"/>
              <w:bottom w:val="single" w:sz="4" w:space="0" w:color="BFBFBF" w:themeColor="background1" w:themeShade="BF"/>
              <w:right w:val="nil"/>
            </w:tcBorders>
          </w:tcPr>
          <w:p w14:paraId="371A2349" w14:textId="0A5C3842" w:rsidR="00635278" w:rsidRPr="001C5881" w:rsidRDefault="0024747A" w:rsidP="00764562">
            <w:pPr>
              <w:pStyle w:val="BodyCopyNEW"/>
              <w:cnfStyle w:val="000000100000" w:firstRow="0" w:lastRow="0" w:firstColumn="0" w:lastColumn="0" w:oddVBand="0" w:evenVBand="0" w:oddHBand="1" w:evenHBand="0" w:firstRowFirstColumn="0" w:firstRowLastColumn="0" w:lastRowFirstColumn="0" w:lastRowLastColumn="0"/>
              <w:rPr>
                <w:szCs w:val="18"/>
              </w:rPr>
            </w:pPr>
            <w:r w:rsidRPr="001C5881">
              <w:rPr>
                <w:szCs w:val="18"/>
              </w:rPr>
              <w:t xml:space="preserve">All civil penalty provisions as outlined in the </w:t>
            </w:r>
            <w:r w:rsidR="00AA419B" w:rsidRPr="001C5881">
              <w:rPr>
                <w:szCs w:val="18"/>
              </w:rPr>
              <w:t xml:space="preserve">OPGGS </w:t>
            </w:r>
            <w:r w:rsidRPr="001C5881">
              <w:rPr>
                <w:szCs w:val="18"/>
              </w:rPr>
              <w:t>Act</w:t>
            </w:r>
            <w:r w:rsidR="008079C6" w:rsidRPr="001C5881">
              <w:rPr>
                <w:rStyle w:val="FootnoteReference"/>
                <w:sz w:val="18"/>
                <w:szCs w:val="18"/>
              </w:rPr>
              <w:footnoteReference w:id="24"/>
            </w:r>
            <w:r w:rsidR="00BD05B7" w:rsidRPr="001C5881">
              <w:rPr>
                <w:szCs w:val="18"/>
              </w:rPr>
              <w:t>.</w:t>
            </w:r>
          </w:p>
        </w:tc>
      </w:tr>
      <w:tr w:rsidR="00711FC9" w14:paraId="06287E22" w14:textId="77777777" w:rsidTr="00606191">
        <w:tc>
          <w:tcPr>
            <w:cnfStyle w:val="001000000000" w:firstRow="0" w:lastRow="0" w:firstColumn="1" w:lastColumn="0" w:oddVBand="0" w:evenVBand="0" w:oddHBand="0" w:evenHBand="0" w:firstRowFirstColumn="0" w:firstRowLastColumn="0" w:lastRowFirstColumn="0" w:lastRowLastColumn="0"/>
            <w:tcW w:w="2263" w:type="dxa"/>
            <w:tcBorders>
              <w:top w:val="single" w:sz="4" w:space="0" w:color="BFBFBF" w:themeColor="background1" w:themeShade="BF"/>
              <w:left w:val="nil"/>
              <w:bottom w:val="single" w:sz="4" w:space="0" w:color="BFBFBF" w:themeColor="background1" w:themeShade="BF"/>
            </w:tcBorders>
          </w:tcPr>
          <w:p w14:paraId="0E031765" w14:textId="236754A2" w:rsidR="00711FC9" w:rsidRDefault="00711FC9" w:rsidP="00764562">
            <w:pPr>
              <w:pStyle w:val="BodyCopyNEW"/>
            </w:pPr>
            <w:r>
              <w:t>Criminal penalties</w:t>
            </w:r>
          </w:p>
        </w:tc>
        <w:tc>
          <w:tcPr>
            <w:tcW w:w="7513" w:type="dxa"/>
            <w:gridSpan w:val="3"/>
            <w:tcBorders>
              <w:top w:val="single" w:sz="4" w:space="0" w:color="BFBFBF" w:themeColor="background1" w:themeShade="BF"/>
              <w:bottom w:val="single" w:sz="4" w:space="0" w:color="BFBFBF" w:themeColor="background1" w:themeShade="BF"/>
              <w:right w:val="nil"/>
            </w:tcBorders>
          </w:tcPr>
          <w:p w14:paraId="27A52927" w14:textId="6736F709" w:rsidR="00711FC9" w:rsidRPr="001C5881" w:rsidRDefault="00711FC9" w:rsidP="00764562">
            <w:pPr>
              <w:pStyle w:val="BodyCopyNEW"/>
              <w:cnfStyle w:val="000000000000" w:firstRow="0" w:lastRow="0" w:firstColumn="0" w:lastColumn="0" w:oddVBand="0" w:evenVBand="0" w:oddHBand="0" w:evenHBand="0" w:firstRowFirstColumn="0" w:firstRowLastColumn="0" w:lastRowFirstColumn="0" w:lastRowLastColumn="0"/>
              <w:rPr>
                <w:szCs w:val="18"/>
              </w:rPr>
            </w:pPr>
            <w:r w:rsidRPr="001C5881">
              <w:rPr>
                <w:szCs w:val="18"/>
              </w:rPr>
              <w:t xml:space="preserve">All criminal penalty provisions as outlined in the </w:t>
            </w:r>
            <w:r w:rsidR="00AA419B" w:rsidRPr="001C5881">
              <w:rPr>
                <w:szCs w:val="18"/>
              </w:rPr>
              <w:t xml:space="preserve">OPGGS </w:t>
            </w:r>
            <w:r w:rsidRPr="001C5881">
              <w:rPr>
                <w:szCs w:val="18"/>
              </w:rPr>
              <w:t>Act under section 587B.</w:t>
            </w:r>
          </w:p>
        </w:tc>
      </w:tr>
    </w:tbl>
    <w:p w14:paraId="35D8333F" w14:textId="2891E5F0" w:rsidR="00F958B5" w:rsidRPr="00192856" w:rsidRDefault="00F958B5" w:rsidP="00192856">
      <w:pPr>
        <w:pStyle w:val="Caption"/>
        <w:rPr>
          <w:i/>
          <w:color w:val="75787B" w:themeColor="accent6"/>
        </w:rPr>
      </w:pPr>
      <w:r w:rsidRPr="00192856">
        <w:rPr>
          <w:b w:val="0"/>
          <w:bCs/>
          <w:i/>
          <w:iCs w:val="0"/>
          <w:color w:val="75787B" w:themeColor="accent6"/>
        </w:rPr>
        <w:t xml:space="preserve">Source: </w:t>
      </w:r>
      <w:r w:rsidR="00300717" w:rsidRPr="00300717">
        <w:rPr>
          <w:b w:val="0"/>
          <w:bCs/>
          <w:i/>
          <w:iCs w:val="0"/>
          <w:color w:val="75787B" w:themeColor="accent6"/>
        </w:rPr>
        <w:t>Deloitte analysis adapted from NOPSEMA data</w:t>
      </w:r>
    </w:p>
    <w:p w14:paraId="5D25B112" w14:textId="3340C6A5" w:rsidR="00F53817" w:rsidRDefault="00F53817" w:rsidP="00901C7B">
      <w:pPr>
        <w:pStyle w:val="BodyCopyNEW"/>
        <w:spacing w:before="120"/>
      </w:pPr>
      <w:r w:rsidRPr="00B575BF">
        <w:t xml:space="preserve">In addition to </w:t>
      </w:r>
      <w:r w:rsidR="00F8476B" w:rsidRPr="00F8476B">
        <w:rPr>
          <w:b/>
          <w:bCs/>
        </w:rPr>
        <w:fldChar w:fldCharType="begin"/>
      </w:r>
      <w:r w:rsidR="00F8476B" w:rsidRPr="00F8476B">
        <w:rPr>
          <w:b/>
          <w:bCs/>
        </w:rPr>
        <w:instrText xml:space="preserve"> REF _Ref58445652 \h </w:instrText>
      </w:r>
      <w:r w:rsidR="00F8476B">
        <w:rPr>
          <w:b/>
          <w:bCs/>
        </w:rPr>
        <w:instrText xml:space="preserve"> \* MERGEFORMAT </w:instrText>
      </w:r>
      <w:r w:rsidR="00F8476B" w:rsidRPr="00F8476B">
        <w:rPr>
          <w:b/>
          <w:bCs/>
        </w:rPr>
      </w:r>
      <w:r w:rsidR="00F8476B" w:rsidRPr="00F8476B">
        <w:rPr>
          <w:b/>
          <w:bCs/>
        </w:rPr>
        <w:fldChar w:fldCharType="separate"/>
      </w:r>
      <w:r w:rsidR="00E816B8" w:rsidRPr="00E816B8">
        <w:rPr>
          <w:b/>
          <w:bCs/>
        </w:rPr>
        <w:t xml:space="preserve">Table </w:t>
      </w:r>
      <w:r w:rsidR="00E816B8" w:rsidRPr="00E816B8">
        <w:rPr>
          <w:b/>
          <w:bCs/>
          <w:noProof/>
        </w:rPr>
        <w:t>6.3</w:t>
      </w:r>
      <w:r w:rsidR="00F8476B" w:rsidRPr="00F8476B">
        <w:rPr>
          <w:b/>
          <w:bCs/>
        </w:rPr>
        <w:fldChar w:fldCharType="end"/>
      </w:r>
      <w:r w:rsidR="00F8476B">
        <w:t xml:space="preserve"> and </w:t>
      </w:r>
      <w:r w:rsidR="00F8476B" w:rsidRPr="00F8476B">
        <w:rPr>
          <w:b/>
          <w:bCs/>
        </w:rPr>
        <w:fldChar w:fldCharType="begin"/>
      </w:r>
      <w:r w:rsidR="00F8476B" w:rsidRPr="00F8476B">
        <w:rPr>
          <w:b/>
          <w:bCs/>
        </w:rPr>
        <w:instrText xml:space="preserve"> REF _Ref58705665 \h </w:instrText>
      </w:r>
      <w:r w:rsidR="00F8476B">
        <w:rPr>
          <w:b/>
          <w:bCs/>
        </w:rPr>
        <w:instrText xml:space="preserve"> \* MERGEFORMAT </w:instrText>
      </w:r>
      <w:r w:rsidR="00F8476B" w:rsidRPr="00F8476B">
        <w:rPr>
          <w:b/>
          <w:bCs/>
        </w:rPr>
      </w:r>
      <w:r w:rsidR="00F8476B" w:rsidRPr="00F8476B">
        <w:rPr>
          <w:b/>
          <w:bCs/>
        </w:rPr>
        <w:fldChar w:fldCharType="separate"/>
      </w:r>
      <w:r w:rsidR="00E816B8" w:rsidRPr="00E816B8">
        <w:rPr>
          <w:b/>
          <w:bCs/>
        </w:rPr>
        <w:t xml:space="preserve">Table </w:t>
      </w:r>
      <w:r w:rsidR="00E816B8" w:rsidRPr="00E816B8">
        <w:rPr>
          <w:b/>
          <w:bCs/>
          <w:noProof/>
        </w:rPr>
        <w:t>6.4</w:t>
      </w:r>
      <w:r w:rsidR="00F8476B" w:rsidRPr="00F8476B">
        <w:rPr>
          <w:b/>
          <w:bCs/>
        </w:rPr>
        <w:fldChar w:fldCharType="end"/>
      </w:r>
      <w:r>
        <w:t xml:space="preserve"> above, see</w:t>
      </w:r>
      <w:r w:rsidR="00F8476B">
        <w:t xml:space="preserve"> </w:t>
      </w:r>
      <w:r w:rsidR="00F8476B" w:rsidRPr="00F8476B">
        <w:rPr>
          <w:b/>
          <w:bCs/>
        </w:rPr>
        <w:fldChar w:fldCharType="begin"/>
      </w:r>
      <w:r w:rsidR="00F8476B" w:rsidRPr="00F8476B">
        <w:rPr>
          <w:b/>
          <w:bCs/>
        </w:rPr>
        <w:instrText xml:space="preserve"> REF _Ref58705727 \h </w:instrText>
      </w:r>
      <w:r w:rsidR="00F8476B">
        <w:rPr>
          <w:b/>
          <w:bCs/>
        </w:rPr>
        <w:instrText xml:space="preserve"> \* MERGEFORMAT </w:instrText>
      </w:r>
      <w:r w:rsidR="00F8476B" w:rsidRPr="00F8476B">
        <w:rPr>
          <w:b/>
          <w:bCs/>
        </w:rPr>
      </w:r>
      <w:r w:rsidR="00F8476B" w:rsidRPr="00F8476B">
        <w:rPr>
          <w:b/>
          <w:bCs/>
        </w:rPr>
        <w:fldChar w:fldCharType="separate"/>
      </w:r>
      <w:r w:rsidR="00E816B8" w:rsidRPr="00E816B8">
        <w:rPr>
          <w:b/>
          <w:bCs/>
        </w:rPr>
        <w:t xml:space="preserve">Table </w:t>
      </w:r>
      <w:r w:rsidR="00E816B8" w:rsidRPr="00E816B8">
        <w:rPr>
          <w:b/>
          <w:bCs/>
          <w:noProof/>
        </w:rPr>
        <w:t>6.5</w:t>
      </w:r>
      <w:r w:rsidR="00F8476B" w:rsidRPr="00F8476B">
        <w:rPr>
          <w:b/>
          <w:bCs/>
        </w:rPr>
        <w:fldChar w:fldCharType="end"/>
      </w:r>
      <w:r w:rsidR="00F8476B">
        <w:t xml:space="preserve"> </w:t>
      </w:r>
      <w:r>
        <w:t xml:space="preserve">below for a full list of NOPSEMA’s listed laws. </w:t>
      </w:r>
    </w:p>
    <w:p w14:paraId="6009BCA7" w14:textId="2BA9CB42" w:rsidR="00F8476B" w:rsidRPr="00F8476B" w:rsidRDefault="00F8476B" w:rsidP="00E25B4F">
      <w:pPr>
        <w:pStyle w:val="Caption"/>
        <w:keepNext/>
      </w:pPr>
      <w:bookmarkStart w:id="62" w:name="_Ref58705727"/>
      <w:r>
        <w:t xml:space="preserve">Table </w:t>
      </w:r>
      <w:r>
        <w:fldChar w:fldCharType="begin"/>
      </w:r>
      <w:r>
        <w:instrText xml:space="preserve"> STYLEREF 1 \s </w:instrText>
      </w:r>
      <w:r>
        <w:fldChar w:fldCharType="separate"/>
      </w:r>
      <w:r w:rsidR="00E816B8">
        <w:rPr>
          <w:noProof/>
        </w:rPr>
        <w:t>6</w:t>
      </w:r>
      <w:r>
        <w:fldChar w:fldCharType="end"/>
      </w:r>
      <w:r>
        <w:t>.</w:t>
      </w:r>
      <w:r>
        <w:fldChar w:fldCharType="begin"/>
      </w:r>
      <w:r>
        <w:instrText xml:space="preserve"> SEQ Table \* ARABIC \s 1 </w:instrText>
      </w:r>
      <w:r>
        <w:fldChar w:fldCharType="separate"/>
      </w:r>
      <w:r w:rsidR="00E816B8">
        <w:rPr>
          <w:noProof/>
        </w:rPr>
        <w:t>5</w:t>
      </w:r>
      <w:r>
        <w:fldChar w:fldCharType="end"/>
      </w:r>
      <w:bookmarkEnd w:id="62"/>
      <w:r>
        <w:t>: Full list of NOPSEMA’s listed laws under the OPGGS Act</w:t>
      </w:r>
    </w:p>
    <w:tbl>
      <w:tblPr>
        <w:tblStyle w:val="ListTable3-Accent3"/>
        <w:tblW w:w="9788" w:type="dxa"/>
        <w:tblBorders>
          <w:top w:val="single" w:sz="4" w:space="0" w:color="005587"/>
          <w:left w:val="single" w:sz="4" w:space="0" w:color="005587"/>
          <w:bottom w:val="single" w:sz="4" w:space="0" w:color="005587"/>
          <w:right w:val="single" w:sz="4" w:space="0" w:color="005587"/>
          <w:insideH w:val="single" w:sz="4" w:space="0" w:color="005587"/>
        </w:tblBorders>
        <w:tblCellMar>
          <w:top w:w="57" w:type="dxa"/>
          <w:left w:w="57" w:type="dxa"/>
          <w:bottom w:w="57" w:type="dxa"/>
          <w:right w:w="57" w:type="dxa"/>
        </w:tblCellMar>
        <w:tblLook w:val="04A0" w:firstRow="1" w:lastRow="0" w:firstColumn="1" w:lastColumn="0" w:noHBand="0" w:noVBand="1"/>
      </w:tblPr>
      <w:tblGrid>
        <w:gridCol w:w="509"/>
        <w:gridCol w:w="1016"/>
        <w:gridCol w:w="2283"/>
        <w:gridCol w:w="141"/>
        <w:gridCol w:w="501"/>
        <w:gridCol w:w="2496"/>
        <w:gridCol w:w="2842"/>
      </w:tblGrid>
      <w:tr w:rsidR="00DA60C9" w14:paraId="3C8B04C9" w14:textId="42C173C6" w:rsidTr="0005258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9" w:type="dxa"/>
            <w:tcBorders>
              <w:top w:val="single" w:sz="8" w:space="0" w:color="007680"/>
              <w:left w:val="nil"/>
              <w:bottom w:val="single" w:sz="8" w:space="0" w:color="007680"/>
            </w:tcBorders>
            <w:shd w:val="clear" w:color="auto" w:fill="auto"/>
          </w:tcPr>
          <w:p w14:paraId="3693704E" w14:textId="47898787" w:rsidR="00F53817" w:rsidRPr="00764562" w:rsidRDefault="00A32AAE" w:rsidP="00CA4AE6">
            <w:pPr>
              <w:pStyle w:val="Tableheader"/>
              <w:rPr>
                <w:b/>
                <w:bCs/>
              </w:rPr>
            </w:pPr>
            <w:r>
              <w:rPr>
                <w:b/>
                <w:bCs/>
              </w:rPr>
              <w:t>Item</w:t>
            </w:r>
          </w:p>
        </w:tc>
        <w:tc>
          <w:tcPr>
            <w:tcW w:w="1016" w:type="dxa"/>
            <w:tcBorders>
              <w:top w:val="single" w:sz="8" w:space="0" w:color="007680"/>
              <w:bottom w:val="single" w:sz="8" w:space="0" w:color="007680"/>
            </w:tcBorders>
            <w:shd w:val="clear" w:color="auto" w:fill="auto"/>
          </w:tcPr>
          <w:p w14:paraId="0EFC892B" w14:textId="576203F4" w:rsidR="00A32AAE" w:rsidRPr="00B575BF" w:rsidRDefault="00A32AAE" w:rsidP="00BE7685">
            <w:pPr>
              <w:pStyle w:val="Tableheader"/>
              <w:cnfStyle w:val="100000000000" w:firstRow="1" w:lastRow="0" w:firstColumn="0" w:lastColumn="0" w:oddVBand="0" w:evenVBand="0" w:oddHBand="0" w:evenHBand="0" w:firstRowFirstColumn="0" w:firstRowLastColumn="0" w:lastRowFirstColumn="0" w:lastRowLastColumn="0"/>
              <w:rPr>
                <w:b/>
              </w:rPr>
            </w:pPr>
            <w:r w:rsidRPr="00B575BF">
              <w:rPr>
                <w:b/>
              </w:rPr>
              <w:t>Provisions</w:t>
            </w:r>
          </w:p>
        </w:tc>
        <w:tc>
          <w:tcPr>
            <w:tcW w:w="2283" w:type="dxa"/>
            <w:tcBorders>
              <w:top w:val="single" w:sz="8" w:space="0" w:color="007680"/>
              <w:bottom w:val="single" w:sz="8" w:space="0" w:color="007680"/>
              <w:right w:val="nil"/>
            </w:tcBorders>
            <w:shd w:val="clear" w:color="auto" w:fill="auto"/>
          </w:tcPr>
          <w:p w14:paraId="58601EA3" w14:textId="31C6A1FF" w:rsidR="00A32AAE" w:rsidRPr="00B575BF" w:rsidRDefault="00A32AAE" w:rsidP="00BE7685">
            <w:pPr>
              <w:pStyle w:val="Tableheader"/>
              <w:cnfStyle w:val="100000000000" w:firstRow="1" w:lastRow="0" w:firstColumn="0" w:lastColumn="0" w:oddVBand="0" w:evenVBand="0" w:oddHBand="0" w:evenHBand="0" w:firstRowFirstColumn="0" w:firstRowLastColumn="0" w:lastRowFirstColumn="0" w:lastRowLastColumn="0"/>
              <w:rPr>
                <w:b/>
              </w:rPr>
            </w:pPr>
            <w:r w:rsidRPr="00B575BF">
              <w:rPr>
                <w:b/>
              </w:rPr>
              <w:t>Topic</w:t>
            </w:r>
          </w:p>
        </w:tc>
        <w:tc>
          <w:tcPr>
            <w:tcW w:w="141" w:type="dxa"/>
            <w:tcBorders>
              <w:top w:val="nil"/>
              <w:bottom w:val="nil"/>
              <w:right w:val="nil"/>
            </w:tcBorders>
            <w:shd w:val="clear" w:color="auto" w:fill="auto"/>
          </w:tcPr>
          <w:p w14:paraId="17BEEFF7" w14:textId="77777777" w:rsidR="00B575BF" w:rsidRPr="00B575BF" w:rsidRDefault="00B575BF" w:rsidP="00DF7917">
            <w:pPr>
              <w:pStyle w:val="Tableheader"/>
              <w:cnfStyle w:val="100000000000" w:firstRow="1" w:lastRow="0" w:firstColumn="0" w:lastColumn="0" w:oddVBand="0" w:evenVBand="0" w:oddHBand="0" w:evenHBand="0" w:firstRowFirstColumn="0" w:firstRowLastColumn="0" w:lastRowFirstColumn="0" w:lastRowLastColumn="0"/>
              <w:rPr>
                <w:b/>
              </w:rPr>
            </w:pPr>
          </w:p>
        </w:tc>
        <w:tc>
          <w:tcPr>
            <w:tcW w:w="501" w:type="dxa"/>
            <w:tcBorders>
              <w:top w:val="single" w:sz="8" w:space="0" w:color="007680"/>
              <w:bottom w:val="single" w:sz="8" w:space="0" w:color="007680"/>
              <w:right w:val="nil"/>
            </w:tcBorders>
            <w:shd w:val="clear" w:color="auto" w:fill="auto"/>
          </w:tcPr>
          <w:p w14:paraId="291AD0F7" w14:textId="69B8DEC9" w:rsidR="00B575BF" w:rsidRPr="00B575BF" w:rsidRDefault="00D11371" w:rsidP="00DF7917">
            <w:pPr>
              <w:pStyle w:val="Tableheader"/>
              <w:cnfStyle w:val="100000000000" w:firstRow="1" w:lastRow="0" w:firstColumn="0" w:lastColumn="0" w:oddVBand="0" w:evenVBand="0" w:oddHBand="0" w:evenHBand="0" w:firstRowFirstColumn="0" w:firstRowLastColumn="0" w:lastRowFirstColumn="0" w:lastRowLastColumn="0"/>
              <w:rPr>
                <w:b/>
              </w:rPr>
            </w:pPr>
            <w:r>
              <w:rPr>
                <w:b/>
                <w:bCs/>
              </w:rPr>
              <w:t>Item</w:t>
            </w:r>
          </w:p>
        </w:tc>
        <w:tc>
          <w:tcPr>
            <w:tcW w:w="2496" w:type="dxa"/>
            <w:tcBorders>
              <w:top w:val="single" w:sz="8" w:space="0" w:color="007680"/>
              <w:bottom w:val="single" w:sz="8" w:space="0" w:color="007680"/>
              <w:right w:val="nil"/>
            </w:tcBorders>
            <w:shd w:val="clear" w:color="auto" w:fill="auto"/>
          </w:tcPr>
          <w:p w14:paraId="723C0EBA" w14:textId="7447A60C" w:rsidR="00B575BF" w:rsidRPr="00B575BF" w:rsidRDefault="00D11371" w:rsidP="00DF7917">
            <w:pPr>
              <w:pStyle w:val="Tableheader"/>
              <w:cnfStyle w:val="100000000000" w:firstRow="1" w:lastRow="0" w:firstColumn="0" w:lastColumn="0" w:oddVBand="0" w:evenVBand="0" w:oddHBand="0" w:evenHBand="0" w:firstRowFirstColumn="0" w:firstRowLastColumn="0" w:lastRowFirstColumn="0" w:lastRowLastColumn="0"/>
              <w:rPr>
                <w:b/>
              </w:rPr>
            </w:pPr>
            <w:r w:rsidRPr="00B575BF">
              <w:rPr>
                <w:b/>
                <w:bCs/>
              </w:rPr>
              <w:t>Provisions</w:t>
            </w:r>
          </w:p>
        </w:tc>
        <w:tc>
          <w:tcPr>
            <w:tcW w:w="2842" w:type="dxa"/>
            <w:tcBorders>
              <w:top w:val="single" w:sz="8" w:space="0" w:color="007680"/>
              <w:bottom w:val="single" w:sz="8" w:space="0" w:color="007680"/>
              <w:right w:val="nil"/>
            </w:tcBorders>
            <w:shd w:val="clear" w:color="auto" w:fill="auto"/>
          </w:tcPr>
          <w:p w14:paraId="54D20BBF" w14:textId="7BBA232D" w:rsidR="00B575BF" w:rsidRPr="00B575BF" w:rsidRDefault="00D11371" w:rsidP="00DF7917">
            <w:pPr>
              <w:pStyle w:val="Tableheader"/>
              <w:cnfStyle w:val="100000000000" w:firstRow="1" w:lastRow="0" w:firstColumn="0" w:lastColumn="0" w:oddVBand="0" w:evenVBand="0" w:oddHBand="0" w:evenHBand="0" w:firstRowFirstColumn="0" w:firstRowLastColumn="0" w:lastRowFirstColumn="0" w:lastRowLastColumn="0"/>
              <w:rPr>
                <w:b/>
              </w:rPr>
            </w:pPr>
            <w:r w:rsidRPr="00B575BF">
              <w:rPr>
                <w:b/>
                <w:bCs/>
              </w:rPr>
              <w:t>Topic</w:t>
            </w:r>
          </w:p>
        </w:tc>
      </w:tr>
      <w:tr w:rsidR="00D36CAE" w:rsidRPr="00ED194A" w14:paraId="1A431499" w14:textId="616FA02E" w:rsidTr="00052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Borders>
              <w:top w:val="single" w:sz="8" w:space="0" w:color="007680"/>
              <w:left w:val="nil"/>
              <w:bottom w:val="single" w:sz="4" w:space="0" w:color="BFBFBF" w:themeColor="background1" w:themeShade="BF"/>
            </w:tcBorders>
          </w:tcPr>
          <w:p w14:paraId="3C4354E2" w14:textId="2618BB49" w:rsidR="00F53817" w:rsidRPr="00ED194A" w:rsidRDefault="00A32AAE" w:rsidP="00CA4AE6">
            <w:pPr>
              <w:pStyle w:val="BodyCopyNEW"/>
            </w:pPr>
            <w:r>
              <w:t>1</w:t>
            </w:r>
          </w:p>
        </w:tc>
        <w:tc>
          <w:tcPr>
            <w:tcW w:w="1016" w:type="dxa"/>
            <w:tcBorders>
              <w:top w:val="single" w:sz="8" w:space="0" w:color="007680"/>
              <w:left w:val="nil"/>
              <w:bottom w:val="single" w:sz="4" w:space="0" w:color="BFBFBF" w:themeColor="background1" w:themeShade="BF"/>
            </w:tcBorders>
          </w:tcPr>
          <w:p w14:paraId="51FD3A8C" w14:textId="7F3A8F05" w:rsidR="00A32AAE" w:rsidRPr="00ED194A" w:rsidRDefault="00B575BF" w:rsidP="00BE7685">
            <w:pPr>
              <w:pStyle w:val="BodyCopyNEW"/>
              <w:cnfStyle w:val="000000100000" w:firstRow="0" w:lastRow="0" w:firstColumn="0" w:lastColumn="0" w:oddVBand="0" w:evenVBand="0" w:oddHBand="1" w:evenHBand="0" w:firstRowFirstColumn="0" w:firstRowLastColumn="0" w:lastRowFirstColumn="0" w:lastRowLastColumn="0"/>
            </w:pPr>
            <w:r>
              <w:t>Chapter 2</w:t>
            </w:r>
          </w:p>
        </w:tc>
        <w:tc>
          <w:tcPr>
            <w:tcW w:w="2283" w:type="dxa"/>
            <w:tcBorders>
              <w:top w:val="single" w:sz="8" w:space="0" w:color="007680"/>
              <w:left w:val="nil"/>
              <w:bottom w:val="single" w:sz="4" w:space="0" w:color="BFBFBF" w:themeColor="background1" w:themeShade="BF"/>
              <w:right w:val="nil"/>
            </w:tcBorders>
          </w:tcPr>
          <w:p w14:paraId="1223287D" w14:textId="0104D030" w:rsidR="00A32AAE" w:rsidRPr="00ED194A" w:rsidRDefault="00777710" w:rsidP="00BE7685">
            <w:pPr>
              <w:pStyle w:val="BodyCopyNEW"/>
              <w:cnfStyle w:val="000000100000" w:firstRow="0" w:lastRow="0" w:firstColumn="0" w:lastColumn="0" w:oddVBand="0" w:evenVBand="0" w:oddHBand="1" w:evenHBand="0" w:firstRowFirstColumn="0" w:firstRowLastColumn="0" w:lastRowFirstColumn="0" w:lastRowLastColumn="0"/>
            </w:pPr>
            <w:r>
              <w:t>Regulation of activities related to petroleum</w:t>
            </w:r>
          </w:p>
        </w:tc>
        <w:tc>
          <w:tcPr>
            <w:tcW w:w="141" w:type="dxa"/>
            <w:tcBorders>
              <w:top w:val="nil"/>
              <w:left w:val="nil"/>
              <w:bottom w:val="nil"/>
              <w:right w:val="nil"/>
            </w:tcBorders>
            <w:shd w:val="clear" w:color="auto" w:fill="auto"/>
          </w:tcPr>
          <w:p w14:paraId="43B4066F" w14:textId="77777777" w:rsidR="00B575BF" w:rsidRPr="00ED194A" w:rsidRDefault="00B575BF" w:rsidP="00DF7917">
            <w:pPr>
              <w:pStyle w:val="BodyCopyNEW"/>
              <w:cnfStyle w:val="000000100000" w:firstRow="0" w:lastRow="0" w:firstColumn="0" w:lastColumn="0" w:oddVBand="0" w:evenVBand="0" w:oddHBand="1" w:evenHBand="0" w:firstRowFirstColumn="0" w:firstRowLastColumn="0" w:lastRowFirstColumn="0" w:lastRowLastColumn="0"/>
            </w:pPr>
          </w:p>
        </w:tc>
        <w:tc>
          <w:tcPr>
            <w:tcW w:w="501" w:type="dxa"/>
            <w:tcBorders>
              <w:top w:val="single" w:sz="8" w:space="0" w:color="007680"/>
              <w:left w:val="nil"/>
              <w:bottom w:val="single" w:sz="4" w:space="0" w:color="BFBFBF" w:themeColor="background1" w:themeShade="BF"/>
              <w:right w:val="nil"/>
            </w:tcBorders>
          </w:tcPr>
          <w:p w14:paraId="36F450AB" w14:textId="2A130382" w:rsidR="00B575BF" w:rsidRPr="00901C7B" w:rsidRDefault="006610D9" w:rsidP="00DF7917">
            <w:pPr>
              <w:pStyle w:val="BodyCopyNEW"/>
              <w:cnfStyle w:val="000000100000" w:firstRow="0" w:lastRow="0" w:firstColumn="0" w:lastColumn="0" w:oddVBand="0" w:evenVBand="0" w:oddHBand="1" w:evenHBand="0" w:firstRowFirstColumn="0" w:firstRowLastColumn="0" w:lastRowFirstColumn="0" w:lastRowLastColumn="0"/>
              <w:rPr>
                <w:b/>
                <w:bCs/>
              </w:rPr>
            </w:pPr>
            <w:r w:rsidRPr="00901C7B">
              <w:rPr>
                <w:b/>
                <w:bCs/>
              </w:rPr>
              <w:t>11</w:t>
            </w:r>
          </w:p>
        </w:tc>
        <w:tc>
          <w:tcPr>
            <w:tcW w:w="2496" w:type="dxa"/>
            <w:tcBorders>
              <w:top w:val="single" w:sz="8" w:space="0" w:color="007680"/>
              <w:left w:val="nil"/>
              <w:bottom w:val="single" w:sz="4" w:space="0" w:color="BFBFBF" w:themeColor="background1" w:themeShade="BF"/>
              <w:right w:val="nil"/>
            </w:tcBorders>
          </w:tcPr>
          <w:p w14:paraId="6B7F9096" w14:textId="0E4EFF5B" w:rsidR="00B575BF" w:rsidRPr="00ED194A" w:rsidRDefault="006610D9" w:rsidP="00DF7917">
            <w:pPr>
              <w:pStyle w:val="BodyCopyNEW"/>
              <w:cnfStyle w:val="000000100000" w:firstRow="0" w:lastRow="0" w:firstColumn="0" w:lastColumn="0" w:oddVBand="0" w:evenVBand="0" w:oddHBand="1" w:evenHBand="0" w:firstRowFirstColumn="0" w:firstRowLastColumn="0" w:lastRowFirstColumn="0" w:lastRowLastColumn="0"/>
            </w:pPr>
            <w:r>
              <w:t>Division 4 of Part 6.10</w:t>
            </w:r>
          </w:p>
        </w:tc>
        <w:tc>
          <w:tcPr>
            <w:tcW w:w="2842" w:type="dxa"/>
            <w:tcBorders>
              <w:top w:val="single" w:sz="8" w:space="0" w:color="007680"/>
              <w:left w:val="nil"/>
              <w:bottom w:val="single" w:sz="4" w:space="0" w:color="BFBFBF" w:themeColor="background1" w:themeShade="BF"/>
              <w:right w:val="nil"/>
            </w:tcBorders>
          </w:tcPr>
          <w:p w14:paraId="5A9B49FC" w14:textId="2C8EC522" w:rsidR="00B575BF" w:rsidRPr="00ED194A" w:rsidRDefault="006610D9" w:rsidP="00DF7917">
            <w:pPr>
              <w:pStyle w:val="BodyCopyNEW"/>
              <w:cnfStyle w:val="000000100000" w:firstRow="0" w:lastRow="0" w:firstColumn="0" w:lastColumn="0" w:oddVBand="0" w:evenVBand="0" w:oddHBand="1" w:evenHBand="0" w:firstRowFirstColumn="0" w:firstRowLastColumn="0" w:lastRowFirstColumn="0" w:lastRowLastColumn="0"/>
            </w:pPr>
            <w:r>
              <w:t>Collection of fees and levies payable to the Titles Administrator</w:t>
            </w:r>
          </w:p>
        </w:tc>
      </w:tr>
      <w:tr w:rsidR="00DA60C9" w14:paraId="73B41481" w14:textId="12742330" w:rsidTr="0005258F">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1A79FB17" w14:textId="2701C077" w:rsidR="00F53817" w:rsidRPr="00BE54E3" w:rsidRDefault="00A32AAE" w:rsidP="00CA4AE6">
            <w:pPr>
              <w:pStyle w:val="BodyCopyNEW"/>
            </w:pPr>
            <w:r>
              <w:t>1A</w:t>
            </w:r>
          </w:p>
        </w:tc>
        <w:tc>
          <w:tcPr>
            <w:tcW w:w="1016" w:type="dxa"/>
            <w:tcBorders>
              <w:top w:val="single" w:sz="4" w:space="0" w:color="BFBFBF" w:themeColor="background1" w:themeShade="BF"/>
              <w:left w:val="nil"/>
              <w:bottom w:val="single" w:sz="4" w:space="0" w:color="BFBFBF" w:themeColor="background1" w:themeShade="BF"/>
            </w:tcBorders>
          </w:tcPr>
          <w:p w14:paraId="1D37F4C4" w14:textId="040B3CB0" w:rsidR="00A32AAE" w:rsidRDefault="00B575BF" w:rsidP="00BE7685">
            <w:pPr>
              <w:pStyle w:val="BodyCopyNEW"/>
              <w:cnfStyle w:val="000000000000" w:firstRow="0" w:lastRow="0" w:firstColumn="0" w:lastColumn="0" w:oddVBand="0" w:evenVBand="0" w:oddHBand="0" w:evenHBand="0" w:firstRowFirstColumn="0" w:firstRowLastColumn="0" w:lastRowFirstColumn="0" w:lastRowLastColumn="0"/>
            </w:pPr>
            <w:r>
              <w:t>Chapter 3</w:t>
            </w:r>
          </w:p>
        </w:tc>
        <w:tc>
          <w:tcPr>
            <w:tcW w:w="2283" w:type="dxa"/>
            <w:tcBorders>
              <w:top w:val="single" w:sz="4" w:space="0" w:color="BFBFBF" w:themeColor="background1" w:themeShade="BF"/>
              <w:left w:val="nil"/>
              <w:bottom w:val="single" w:sz="4" w:space="0" w:color="BFBFBF" w:themeColor="background1" w:themeShade="BF"/>
              <w:right w:val="nil"/>
            </w:tcBorders>
          </w:tcPr>
          <w:p w14:paraId="29AFC8F3" w14:textId="1BD22747" w:rsidR="00A32AAE" w:rsidRDefault="00777710" w:rsidP="00BE7685">
            <w:pPr>
              <w:pStyle w:val="BodyCopyNEW"/>
              <w:cnfStyle w:val="000000000000" w:firstRow="0" w:lastRow="0" w:firstColumn="0" w:lastColumn="0" w:oddVBand="0" w:evenVBand="0" w:oddHBand="0" w:evenHBand="0" w:firstRowFirstColumn="0" w:firstRowLastColumn="0" w:lastRowFirstColumn="0" w:lastRowLastColumn="0"/>
            </w:pPr>
            <w:r>
              <w:t>Regulation of activities related to injection and storage of greenhouse gas substances</w:t>
            </w:r>
          </w:p>
        </w:tc>
        <w:tc>
          <w:tcPr>
            <w:tcW w:w="141" w:type="dxa"/>
            <w:tcBorders>
              <w:top w:val="nil"/>
              <w:left w:val="nil"/>
              <w:bottom w:val="nil"/>
              <w:right w:val="nil"/>
            </w:tcBorders>
            <w:shd w:val="clear" w:color="auto" w:fill="auto"/>
          </w:tcPr>
          <w:p w14:paraId="58BD11B3" w14:textId="77777777" w:rsidR="00B575BF" w:rsidRDefault="00B575BF" w:rsidP="00DF7917">
            <w:pPr>
              <w:pStyle w:val="BodyCopyNEW"/>
              <w:cnfStyle w:val="000000000000" w:firstRow="0" w:lastRow="0" w:firstColumn="0" w:lastColumn="0" w:oddVBand="0" w:evenVBand="0" w:oddHBand="0" w:evenHBand="0" w:firstRowFirstColumn="0" w:firstRowLastColumn="0" w:lastRowFirstColumn="0" w:lastRowLastColumn="0"/>
            </w:pPr>
          </w:p>
        </w:tc>
        <w:tc>
          <w:tcPr>
            <w:tcW w:w="501" w:type="dxa"/>
            <w:tcBorders>
              <w:top w:val="single" w:sz="4" w:space="0" w:color="BFBFBF" w:themeColor="background1" w:themeShade="BF"/>
              <w:left w:val="nil"/>
              <w:bottom w:val="single" w:sz="4" w:space="0" w:color="BFBFBF" w:themeColor="background1" w:themeShade="BF"/>
              <w:right w:val="nil"/>
            </w:tcBorders>
          </w:tcPr>
          <w:p w14:paraId="35BAE654" w14:textId="1ACAE968" w:rsidR="00B575BF" w:rsidRPr="00901C7B" w:rsidRDefault="006610D9" w:rsidP="00DF7917">
            <w:pPr>
              <w:pStyle w:val="BodyCopyNEW"/>
              <w:cnfStyle w:val="000000000000" w:firstRow="0" w:lastRow="0" w:firstColumn="0" w:lastColumn="0" w:oddVBand="0" w:evenVBand="0" w:oddHBand="0" w:evenHBand="0" w:firstRowFirstColumn="0" w:firstRowLastColumn="0" w:lastRowFirstColumn="0" w:lastRowLastColumn="0"/>
              <w:rPr>
                <w:b/>
                <w:bCs/>
              </w:rPr>
            </w:pPr>
            <w:r w:rsidRPr="00901C7B">
              <w:rPr>
                <w:b/>
                <w:bCs/>
              </w:rPr>
              <w:t>12</w:t>
            </w:r>
          </w:p>
        </w:tc>
        <w:tc>
          <w:tcPr>
            <w:tcW w:w="2496" w:type="dxa"/>
            <w:tcBorders>
              <w:top w:val="single" w:sz="4" w:space="0" w:color="BFBFBF" w:themeColor="background1" w:themeShade="BF"/>
              <w:left w:val="nil"/>
              <w:bottom w:val="single" w:sz="4" w:space="0" w:color="BFBFBF" w:themeColor="background1" w:themeShade="BF"/>
              <w:right w:val="nil"/>
            </w:tcBorders>
          </w:tcPr>
          <w:p w14:paraId="1C13CE64" w14:textId="55DC87E6" w:rsidR="00B575BF" w:rsidRDefault="003E4CD6" w:rsidP="00DF7917">
            <w:pPr>
              <w:pStyle w:val="BodyCopyNEW"/>
              <w:cnfStyle w:val="000000000000" w:firstRow="0" w:lastRow="0" w:firstColumn="0" w:lastColumn="0" w:oddVBand="0" w:evenVBand="0" w:oddHBand="0" w:evenHBand="0" w:firstRowFirstColumn="0" w:firstRowLastColumn="0" w:lastRowFirstColumn="0" w:lastRowLastColumn="0"/>
            </w:pPr>
            <w:r>
              <w:t xml:space="preserve">Chapter </w:t>
            </w:r>
            <w:r w:rsidR="006610D9">
              <w:t>7</w:t>
            </w:r>
          </w:p>
        </w:tc>
        <w:tc>
          <w:tcPr>
            <w:tcW w:w="2842" w:type="dxa"/>
            <w:tcBorders>
              <w:top w:val="single" w:sz="4" w:space="0" w:color="BFBFBF" w:themeColor="background1" w:themeShade="BF"/>
              <w:left w:val="nil"/>
              <w:bottom w:val="single" w:sz="4" w:space="0" w:color="BFBFBF" w:themeColor="background1" w:themeShade="BF"/>
              <w:right w:val="nil"/>
            </w:tcBorders>
          </w:tcPr>
          <w:p w14:paraId="1A7E1244" w14:textId="736B68A3" w:rsidR="00B575BF" w:rsidRDefault="006F091B" w:rsidP="00DF7917">
            <w:pPr>
              <w:pStyle w:val="BodyCopyNEW"/>
              <w:cnfStyle w:val="000000000000" w:firstRow="0" w:lastRow="0" w:firstColumn="0" w:lastColumn="0" w:oddVBand="0" w:evenVBand="0" w:oddHBand="0" w:evenHBand="0" w:firstRowFirstColumn="0" w:firstRowLastColumn="0" w:lastRowFirstColumn="0" w:lastRowLastColumn="0"/>
            </w:pPr>
            <w:r>
              <w:t xml:space="preserve">Information relating to </w:t>
            </w:r>
            <w:r w:rsidR="006610D9">
              <w:t>petroleum</w:t>
            </w:r>
          </w:p>
        </w:tc>
      </w:tr>
      <w:tr w:rsidR="00DA60C9" w14:paraId="4CBE902D" w14:textId="701A6227" w:rsidTr="00052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5E838881" w14:textId="09414F01" w:rsidR="00F53817" w:rsidRDefault="00A32AAE" w:rsidP="00CA4AE6">
            <w:pPr>
              <w:pStyle w:val="BodyCopyNEW"/>
            </w:pPr>
            <w:r>
              <w:t>2</w:t>
            </w:r>
          </w:p>
        </w:tc>
        <w:tc>
          <w:tcPr>
            <w:tcW w:w="1016" w:type="dxa"/>
            <w:tcBorders>
              <w:top w:val="single" w:sz="4" w:space="0" w:color="BFBFBF" w:themeColor="background1" w:themeShade="BF"/>
              <w:bottom w:val="single" w:sz="4" w:space="0" w:color="BFBFBF" w:themeColor="background1" w:themeShade="BF"/>
            </w:tcBorders>
          </w:tcPr>
          <w:p w14:paraId="7D4570F1" w14:textId="200D2592" w:rsidR="00A32AAE" w:rsidRPr="00A27A2A" w:rsidRDefault="00B575BF" w:rsidP="00BE7685">
            <w:pPr>
              <w:pStyle w:val="BodyCopyNEW"/>
              <w:cnfStyle w:val="000000100000" w:firstRow="0" w:lastRow="0" w:firstColumn="0" w:lastColumn="0" w:oddVBand="0" w:evenVBand="0" w:oddHBand="1" w:evenHBand="0" w:firstRowFirstColumn="0" w:firstRowLastColumn="0" w:lastRowFirstColumn="0" w:lastRowLastColumn="0"/>
            </w:pPr>
            <w:r>
              <w:t>Chapter 4</w:t>
            </w:r>
          </w:p>
        </w:tc>
        <w:tc>
          <w:tcPr>
            <w:tcW w:w="2283" w:type="dxa"/>
            <w:tcBorders>
              <w:top w:val="single" w:sz="4" w:space="0" w:color="BFBFBF" w:themeColor="background1" w:themeShade="BF"/>
              <w:bottom w:val="single" w:sz="4" w:space="0" w:color="BFBFBF" w:themeColor="background1" w:themeShade="BF"/>
              <w:right w:val="nil"/>
            </w:tcBorders>
          </w:tcPr>
          <w:p w14:paraId="55E6040F" w14:textId="098AAEC7" w:rsidR="00A32AAE" w:rsidRPr="00A27A2A" w:rsidRDefault="00777710" w:rsidP="00BE7685">
            <w:pPr>
              <w:pStyle w:val="BodyCopyNEW"/>
              <w:cnfStyle w:val="000000100000" w:firstRow="0" w:lastRow="0" w:firstColumn="0" w:lastColumn="0" w:oddVBand="0" w:evenVBand="0" w:oddHBand="1" w:evenHBand="0" w:firstRowFirstColumn="0" w:firstRowLastColumn="0" w:lastRowFirstColumn="0" w:lastRowLastColumn="0"/>
            </w:pPr>
            <w:r>
              <w:t>Registration of transfers of, and dealings in, petroleum titles</w:t>
            </w:r>
          </w:p>
        </w:tc>
        <w:tc>
          <w:tcPr>
            <w:tcW w:w="141" w:type="dxa"/>
            <w:tcBorders>
              <w:top w:val="nil"/>
              <w:bottom w:val="nil"/>
              <w:right w:val="nil"/>
            </w:tcBorders>
            <w:shd w:val="clear" w:color="auto" w:fill="auto"/>
          </w:tcPr>
          <w:p w14:paraId="7BB81D99" w14:textId="77777777" w:rsidR="00B575BF" w:rsidRPr="00A27A2A" w:rsidRDefault="00B575BF" w:rsidP="00DF7917">
            <w:pPr>
              <w:pStyle w:val="BodyCopyNEW"/>
              <w:cnfStyle w:val="000000100000" w:firstRow="0" w:lastRow="0" w:firstColumn="0" w:lastColumn="0" w:oddVBand="0" w:evenVBand="0" w:oddHBand="1" w:evenHBand="0" w:firstRowFirstColumn="0" w:firstRowLastColumn="0" w:lastRowFirstColumn="0" w:lastRowLastColumn="0"/>
            </w:pPr>
          </w:p>
        </w:tc>
        <w:tc>
          <w:tcPr>
            <w:tcW w:w="501" w:type="dxa"/>
            <w:tcBorders>
              <w:top w:val="single" w:sz="4" w:space="0" w:color="BFBFBF" w:themeColor="background1" w:themeShade="BF"/>
              <w:bottom w:val="single" w:sz="4" w:space="0" w:color="BFBFBF" w:themeColor="background1" w:themeShade="BF"/>
              <w:right w:val="nil"/>
            </w:tcBorders>
          </w:tcPr>
          <w:p w14:paraId="3E932147" w14:textId="0836E4AD" w:rsidR="00B575BF" w:rsidRPr="00901C7B" w:rsidRDefault="006610D9" w:rsidP="00DF7917">
            <w:pPr>
              <w:pStyle w:val="BodyCopyNEW"/>
              <w:cnfStyle w:val="000000100000" w:firstRow="0" w:lastRow="0" w:firstColumn="0" w:lastColumn="0" w:oddVBand="0" w:evenVBand="0" w:oddHBand="1" w:evenHBand="0" w:firstRowFirstColumn="0" w:firstRowLastColumn="0" w:lastRowFirstColumn="0" w:lastRowLastColumn="0"/>
              <w:rPr>
                <w:b/>
                <w:bCs/>
              </w:rPr>
            </w:pPr>
            <w:r w:rsidRPr="00901C7B">
              <w:rPr>
                <w:b/>
                <w:bCs/>
              </w:rPr>
              <w:t>12A</w:t>
            </w:r>
          </w:p>
        </w:tc>
        <w:tc>
          <w:tcPr>
            <w:tcW w:w="2496" w:type="dxa"/>
            <w:tcBorders>
              <w:top w:val="single" w:sz="4" w:space="0" w:color="BFBFBF" w:themeColor="background1" w:themeShade="BF"/>
              <w:bottom w:val="single" w:sz="4" w:space="0" w:color="BFBFBF" w:themeColor="background1" w:themeShade="BF"/>
              <w:right w:val="nil"/>
            </w:tcBorders>
          </w:tcPr>
          <w:p w14:paraId="6C79FBDA" w14:textId="47883A42" w:rsidR="00B575BF" w:rsidRPr="00A27A2A" w:rsidRDefault="006610D9" w:rsidP="00DF7917">
            <w:pPr>
              <w:pStyle w:val="BodyCopyNEW"/>
              <w:cnfStyle w:val="000000100000" w:firstRow="0" w:lastRow="0" w:firstColumn="0" w:lastColumn="0" w:oddVBand="0" w:evenVBand="0" w:oddHBand="1" w:evenHBand="0" w:firstRowFirstColumn="0" w:firstRowLastColumn="0" w:lastRowFirstColumn="0" w:lastRowLastColumn="0"/>
            </w:pPr>
            <w:r>
              <w:t>Chapter 8</w:t>
            </w:r>
          </w:p>
        </w:tc>
        <w:tc>
          <w:tcPr>
            <w:tcW w:w="2842" w:type="dxa"/>
            <w:tcBorders>
              <w:top w:val="single" w:sz="4" w:space="0" w:color="BFBFBF" w:themeColor="background1" w:themeShade="BF"/>
              <w:bottom w:val="single" w:sz="4" w:space="0" w:color="BFBFBF" w:themeColor="background1" w:themeShade="BF"/>
              <w:right w:val="nil"/>
            </w:tcBorders>
          </w:tcPr>
          <w:p w14:paraId="436AE4E5" w14:textId="550AD92F" w:rsidR="00B575BF" w:rsidRPr="00A27A2A" w:rsidRDefault="006610D9" w:rsidP="00DF7917">
            <w:pPr>
              <w:pStyle w:val="BodyCopyNEW"/>
              <w:cnfStyle w:val="000000100000" w:firstRow="0" w:lastRow="0" w:firstColumn="0" w:lastColumn="0" w:oddVBand="0" w:evenVBand="0" w:oddHBand="1" w:evenHBand="0" w:firstRowFirstColumn="0" w:firstRowLastColumn="0" w:lastRowFirstColumn="0" w:lastRowLastColumn="0"/>
            </w:pPr>
            <w:r>
              <w:t>Information relating to greenhouse gas</w:t>
            </w:r>
          </w:p>
        </w:tc>
      </w:tr>
      <w:tr w:rsidR="00DA60C9" w14:paraId="60229F8D" w14:textId="09DDB88F" w:rsidTr="0005258F">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45ADE617" w14:textId="01C524B7" w:rsidR="00F53817" w:rsidRDefault="00A32AAE" w:rsidP="00CA4AE6">
            <w:pPr>
              <w:pStyle w:val="BodyCopyNEW"/>
            </w:pPr>
            <w:r>
              <w:t>2A</w:t>
            </w:r>
          </w:p>
        </w:tc>
        <w:tc>
          <w:tcPr>
            <w:tcW w:w="1016" w:type="dxa"/>
            <w:tcBorders>
              <w:top w:val="single" w:sz="4" w:space="0" w:color="BFBFBF" w:themeColor="background1" w:themeShade="BF"/>
              <w:bottom w:val="single" w:sz="4" w:space="0" w:color="BFBFBF" w:themeColor="background1" w:themeShade="BF"/>
            </w:tcBorders>
          </w:tcPr>
          <w:p w14:paraId="00DACBAF" w14:textId="4ACD4936" w:rsidR="00A32AAE" w:rsidRPr="00A27A2A" w:rsidRDefault="00B575BF" w:rsidP="00BE7685">
            <w:pPr>
              <w:pStyle w:val="BodyCopyNEW"/>
              <w:cnfStyle w:val="000000000000" w:firstRow="0" w:lastRow="0" w:firstColumn="0" w:lastColumn="0" w:oddVBand="0" w:evenVBand="0" w:oddHBand="0" w:evenHBand="0" w:firstRowFirstColumn="0" w:firstRowLastColumn="0" w:lastRowFirstColumn="0" w:lastRowLastColumn="0"/>
            </w:pPr>
            <w:r>
              <w:t>Chapter 5</w:t>
            </w:r>
          </w:p>
        </w:tc>
        <w:tc>
          <w:tcPr>
            <w:tcW w:w="2283" w:type="dxa"/>
            <w:tcBorders>
              <w:top w:val="single" w:sz="4" w:space="0" w:color="BFBFBF" w:themeColor="background1" w:themeShade="BF"/>
              <w:bottom w:val="single" w:sz="4" w:space="0" w:color="BFBFBF" w:themeColor="background1" w:themeShade="BF"/>
              <w:right w:val="nil"/>
            </w:tcBorders>
          </w:tcPr>
          <w:p w14:paraId="2640E5E7" w14:textId="18F06CFB" w:rsidR="00A32AAE" w:rsidRPr="00A27A2A" w:rsidRDefault="00777710" w:rsidP="00BE7685">
            <w:pPr>
              <w:pStyle w:val="BodyCopyNEW"/>
              <w:cnfStyle w:val="000000000000" w:firstRow="0" w:lastRow="0" w:firstColumn="0" w:lastColumn="0" w:oddVBand="0" w:evenVBand="0" w:oddHBand="0" w:evenHBand="0" w:firstRowFirstColumn="0" w:firstRowLastColumn="0" w:lastRowFirstColumn="0" w:lastRowLastColumn="0"/>
            </w:pPr>
            <w:r>
              <w:t>Registration of transfers of, and dealings in, greenhouse gas titles</w:t>
            </w:r>
          </w:p>
        </w:tc>
        <w:tc>
          <w:tcPr>
            <w:tcW w:w="141" w:type="dxa"/>
            <w:tcBorders>
              <w:top w:val="nil"/>
              <w:bottom w:val="nil"/>
              <w:right w:val="nil"/>
            </w:tcBorders>
            <w:shd w:val="clear" w:color="auto" w:fill="auto"/>
          </w:tcPr>
          <w:p w14:paraId="5AC21633" w14:textId="77777777" w:rsidR="00B575BF" w:rsidRPr="00A27A2A" w:rsidRDefault="00B575BF" w:rsidP="00DF7917">
            <w:pPr>
              <w:pStyle w:val="BodyCopyNEW"/>
              <w:cnfStyle w:val="000000000000" w:firstRow="0" w:lastRow="0" w:firstColumn="0" w:lastColumn="0" w:oddVBand="0" w:evenVBand="0" w:oddHBand="0" w:evenHBand="0" w:firstRowFirstColumn="0" w:firstRowLastColumn="0" w:lastRowFirstColumn="0" w:lastRowLastColumn="0"/>
            </w:pPr>
          </w:p>
        </w:tc>
        <w:tc>
          <w:tcPr>
            <w:tcW w:w="501" w:type="dxa"/>
            <w:tcBorders>
              <w:top w:val="single" w:sz="4" w:space="0" w:color="BFBFBF" w:themeColor="background1" w:themeShade="BF"/>
              <w:bottom w:val="single" w:sz="4" w:space="0" w:color="BFBFBF" w:themeColor="background1" w:themeShade="BF"/>
              <w:right w:val="nil"/>
            </w:tcBorders>
          </w:tcPr>
          <w:p w14:paraId="29B1773C" w14:textId="14C44EA1" w:rsidR="00B575BF" w:rsidRPr="00901C7B" w:rsidRDefault="006610D9" w:rsidP="00DF7917">
            <w:pPr>
              <w:pStyle w:val="BodyCopyNEW"/>
              <w:cnfStyle w:val="000000000000" w:firstRow="0" w:lastRow="0" w:firstColumn="0" w:lastColumn="0" w:oddVBand="0" w:evenVBand="0" w:oddHBand="0" w:evenHBand="0" w:firstRowFirstColumn="0" w:firstRowLastColumn="0" w:lastRowFirstColumn="0" w:lastRowLastColumn="0"/>
              <w:rPr>
                <w:b/>
                <w:bCs/>
              </w:rPr>
            </w:pPr>
            <w:r w:rsidRPr="00901C7B">
              <w:rPr>
                <w:b/>
                <w:bCs/>
              </w:rPr>
              <w:t>13</w:t>
            </w:r>
          </w:p>
        </w:tc>
        <w:tc>
          <w:tcPr>
            <w:tcW w:w="2496" w:type="dxa"/>
            <w:tcBorders>
              <w:top w:val="single" w:sz="4" w:space="0" w:color="BFBFBF" w:themeColor="background1" w:themeShade="BF"/>
              <w:bottom w:val="single" w:sz="4" w:space="0" w:color="BFBFBF" w:themeColor="background1" w:themeShade="BF"/>
              <w:right w:val="nil"/>
            </w:tcBorders>
          </w:tcPr>
          <w:p w14:paraId="23211786" w14:textId="5F4D9B5D" w:rsidR="00B575BF" w:rsidRPr="00A27A2A" w:rsidRDefault="003E4CD6" w:rsidP="00DF7917">
            <w:pPr>
              <w:pStyle w:val="BodyCopyNEW"/>
              <w:cnfStyle w:val="000000000000" w:firstRow="0" w:lastRow="0" w:firstColumn="0" w:lastColumn="0" w:oddVBand="0" w:evenVBand="0" w:oddHBand="0" w:evenHBand="0" w:firstRowFirstColumn="0" w:firstRowLastColumn="0" w:lastRowFirstColumn="0" w:lastRowLastColumn="0"/>
            </w:pPr>
            <w:r>
              <w:t xml:space="preserve">Schedule </w:t>
            </w:r>
            <w:r w:rsidR="006610D9">
              <w:t>2A</w:t>
            </w:r>
          </w:p>
        </w:tc>
        <w:tc>
          <w:tcPr>
            <w:tcW w:w="2842" w:type="dxa"/>
            <w:tcBorders>
              <w:top w:val="single" w:sz="4" w:space="0" w:color="BFBFBF" w:themeColor="background1" w:themeShade="BF"/>
              <w:bottom w:val="single" w:sz="4" w:space="0" w:color="BFBFBF" w:themeColor="background1" w:themeShade="BF"/>
              <w:right w:val="nil"/>
            </w:tcBorders>
          </w:tcPr>
          <w:p w14:paraId="6D2313FD" w14:textId="33443617" w:rsidR="00B575BF" w:rsidRPr="00A27A2A" w:rsidRDefault="006610D9" w:rsidP="00DF7917">
            <w:pPr>
              <w:pStyle w:val="BodyCopyNEW"/>
              <w:cnfStyle w:val="000000000000" w:firstRow="0" w:lastRow="0" w:firstColumn="0" w:lastColumn="0" w:oddVBand="0" w:evenVBand="0" w:oddHBand="0" w:evenHBand="0" w:firstRowFirstColumn="0" w:firstRowLastColumn="0" w:lastRowFirstColumn="0" w:lastRowLastColumn="0"/>
            </w:pPr>
            <w:r>
              <w:t>Environmental management</w:t>
            </w:r>
            <w:r w:rsidR="006F091B">
              <w:t xml:space="preserve"> laws: additional NOPSEMA inspection powers</w:t>
            </w:r>
          </w:p>
        </w:tc>
      </w:tr>
      <w:tr w:rsidR="00DA60C9" w14:paraId="4E241F7F" w14:textId="30147456" w:rsidTr="00052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2B4FD810" w14:textId="031E3EE6" w:rsidR="00F53817" w:rsidRDefault="00A32AAE" w:rsidP="00CA4AE6">
            <w:pPr>
              <w:pStyle w:val="BodyCopyNEW"/>
            </w:pPr>
            <w:r>
              <w:t>3</w:t>
            </w:r>
          </w:p>
        </w:tc>
        <w:tc>
          <w:tcPr>
            <w:tcW w:w="1016" w:type="dxa"/>
            <w:tcBorders>
              <w:top w:val="single" w:sz="4" w:space="0" w:color="BFBFBF" w:themeColor="background1" w:themeShade="BF"/>
              <w:left w:val="nil"/>
              <w:bottom w:val="single" w:sz="4" w:space="0" w:color="BFBFBF" w:themeColor="background1" w:themeShade="BF"/>
            </w:tcBorders>
          </w:tcPr>
          <w:p w14:paraId="6C02EC7D" w14:textId="67C1D63D" w:rsidR="00A32AAE" w:rsidRDefault="00B575BF" w:rsidP="00BE7685">
            <w:pPr>
              <w:pStyle w:val="BodyCopyNEW"/>
              <w:cnfStyle w:val="000000100000" w:firstRow="0" w:lastRow="0" w:firstColumn="0" w:lastColumn="0" w:oddVBand="0" w:evenVBand="0" w:oddHBand="1" w:evenHBand="0" w:firstRowFirstColumn="0" w:firstRowLastColumn="0" w:lastRowFirstColumn="0" w:lastRowLastColumn="0"/>
            </w:pPr>
            <w:r>
              <w:t>Part 6.1</w:t>
            </w:r>
          </w:p>
        </w:tc>
        <w:tc>
          <w:tcPr>
            <w:tcW w:w="2283" w:type="dxa"/>
            <w:tcBorders>
              <w:top w:val="single" w:sz="4" w:space="0" w:color="BFBFBF" w:themeColor="background1" w:themeShade="BF"/>
              <w:left w:val="nil"/>
              <w:bottom w:val="single" w:sz="4" w:space="0" w:color="BFBFBF" w:themeColor="background1" w:themeShade="BF"/>
              <w:right w:val="nil"/>
            </w:tcBorders>
          </w:tcPr>
          <w:p w14:paraId="756E0CC0" w14:textId="013847AF" w:rsidR="00A32AAE" w:rsidRDefault="00777710" w:rsidP="00BE7685">
            <w:pPr>
              <w:pStyle w:val="BodyCopyNEW"/>
              <w:cnfStyle w:val="000000100000" w:firstRow="0" w:lastRow="0" w:firstColumn="0" w:lastColumn="0" w:oddVBand="0" w:evenVBand="0" w:oddHBand="1" w:evenHBand="0" w:firstRowFirstColumn="0" w:firstRowLastColumn="0" w:lastRowFirstColumn="0" w:lastRowLastColumn="0"/>
            </w:pPr>
            <w:r>
              <w:t>Operations</w:t>
            </w:r>
          </w:p>
        </w:tc>
        <w:tc>
          <w:tcPr>
            <w:tcW w:w="141" w:type="dxa"/>
            <w:tcBorders>
              <w:top w:val="nil"/>
              <w:left w:val="nil"/>
              <w:bottom w:val="nil"/>
              <w:right w:val="nil"/>
            </w:tcBorders>
            <w:shd w:val="clear" w:color="auto" w:fill="auto"/>
          </w:tcPr>
          <w:p w14:paraId="33DE9579" w14:textId="77777777" w:rsidR="00B575BF" w:rsidRDefault="00B575BF" w:rsidP="00DF7917">
            <w:pPr>
              <w:pStyle w:val="BodyCopyNEW"/>
              <w:cnfStyle w:val="000000100000" w:firstRow="0" w:lastRow="0" w:firstColumn="0" w:lastColumn="0" w:oddVBand="0" w:evenVBand="0" w:oddHBand="1" w:evenHBand="0" w:firstRowFirstColumn="0" w:firstRowLastColumn="0" w:lastRowFirstColumn="0" w:lastRowLastColumn="0"/>
            </w:pPr>
          </w:p>
        </w:tc>
        <w:tc>
          <w:tcPr>
            <w:tcW w:w="501" w:type="dxa"/>
            <w:tcBorders>
              <w:top w:val="single" w:sz="4" w:space="0" w:color="BFBFBF" w:themeColor="background1" w:themeShade="BF"/>
              <w:left w:val="nil"/>
              <w:bottom w:val="single" w:sz="4" w:space="0" w:color="BFBFBF" w:themeColor="background1" w:themeShade="BF"/>
              <w:right w:val="nil"/>
            </w:tcBorders>
          </w:tcPr>
          <w:p w14:paraId="486DCB83" w14:textId="3F69EC38" w:rsidR="00B575BF" w:rsidRPr="00901C7B" w:rsidRDefault="006610D9" w:rsidP="00DF7917">
            <w:pPr>
              <w:pStyle w:val="BodyCopyNEW"/>
              <w:cnfStyle w:val="000000100000" w:firstRow="0" w:lastRow="0" w:firstColumn="0" w:lastColumn="0" w:oddVBand="0" w:evenVBand="0" w:oddHBand="1" w:evenHBand="0" w:firstRowFirstColumn="0" w:firstRowLastColumn="0" w:lastRowFirstColumn="0" w:lastRowLastColumn="0"/>
              <w:rPr>
                <w:b/>
                <w:bCs/>
              </w:rPr>
            </w:pPr>
            <w:r w:rsidRPr="00901C7B">
              <w:rPr>
                <w:b/>
                <w:bCs/>
              </w:rPr>
              <w:t>13A</w:t>
            </w:r>
          </w:p>
        </w:tc>
        <w:tc>
          <w:tcPr>
            <w:tcW w:w="2496" w:type="dxa"/>
            <w:tcBorders>
              <w:top w:val="single" w:sz="4" w:space="0" w:color="BFBFBF" w:themeColor="background1" w:themeShade="BF"/>
              <w:left w:val="nil"/>
              <w:bottom w:val="single" w:sz="4" w:space="0" w:color="BFBFBF" w:themeColor="background1" w:themeShade="BF"/>
              <w:right w:val="nil"/>
            </w:tcBorders>
          </w:tcPr>
          <w:p w14:paraId="43CB641F" w14:textId="29D5F537" w:rsidR="00B575BF" w:rsidRDefault="003E4CD6" w:rsidP="00DF7917">
            <w:pPr>
              <w:pStyle w:val="BodyCopyNEW"/>
              <w:cnfStyle w:val="000000100000" w:firstRow="0" w:lastRow="0" w:firstColumn="0" w:lastColumn="0" w:oddVBand="0" w:evenVBand="0" w:oddHBand="1" w:evenHBand="0" w:firstRowFirstColumn="0" w:firstRowLastColumn="0" w:lastRowFirstColumn="0" w:lastRowLastColumn="0"/>
            </w:pPr>
            <w:r>
              <w:t xml:space="preserve">Schedule </w:t>
            </w:r>
            <w:r w:rsidR="006610D9">
              <w:t>2B</w:t>
            </w:r>
          </w:p>
        </w:tc>
        <w:tc>
          <w:tcPr>
            <w:tcW w:w="2842" w:type="dxa"/>
            <w:tcBorders>
              <w:top w:val="single" w:sz="4" w:space="0" w:color="BFBFBF" w:themeColor="background1" w:themeShade="BF"/>
              <w:left w:val="nil"/>
              <w:bottom w:val="single" w:sz="4" w:space="0" w:color="BFBFBF" w:themeColor="background1" w:themeShade="BF"/>
              <w:right w:val="nil"/>
            </w:tcBorders>
          </w:tcPr>
          <w:p w14:paraId="270A8D79" w14:textId="296F2C62" w:rsidR="00B575BF" w:rsidRDefault="006610D9" w:rsidP="00DF7917">
            <w:pPr>
              <w:pStyle w:val="BodyCopyNEW"/>
              <w:cnfStyle w:val="000000100000" w:firstRow="0" w:lastRow="0" w:firstColumn="0" w:lastColumn="0" w:oddVBand="0" w:evenVBand="0" w:oddHBand="1" w:evenHBand="0" w:firstRowFirstColumn="0" w:firstRowLastColumn="0" w:lastRowFirstColumn="0" w:lastRowLastColumn="0"/>
            </w:pPr>
            <w:r>
              <w:t>Well integrity laws: additional NOPSEMA inspection powers</w:t>
            </w:r>
          </w:p>
        </w:tc>
      </w:tr>
      <w:tr w:rsidR="00DA60C9" w14:paraId="2E6E30FF" w14:textId="61F7591F" w:rsidTr="0005258F">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3D274F74" w14:textId="4D1FE130" w:rsidR="00A32AAE" w:rsidRDefault="00A32AAE" w:rsidP="00BE7685">
            <w:pPr>
              <w:pStyle w:val="BodyCopyNEW"/>
            </w:pPr>
            <w:r>
              <w:t>4A</w:t>
            </w:r>
          </w:p>
        </w:tc>
        <w:tc>
          <w:tcPr>
            <w:tcW w:w="1016" w:type="dxa"/>
            <w:tcBorders>
              <w:top w:val="single" w:sz="4" w:space="0" w:color="BFBFBF" w:themeColor="background1" w:themeShade="BF"/>
              <w:left w:val="nil"/>
              <w:bottom w:val="single" w:sz="4" w:space="0" w:color="BFBFBF" w:themeColor="background1" w:themeShade="BF"/>
            </w:tcBorders>
          </w:tcPr>
          <w:p w14:paraId="281FEC36" w14:textId="338E7598" w:rsidR="00A32AAE" w:rsidRDefault="00D11371" w:rsidP="00BE7685">
            <w:pPr>
              <w:pStyle w:val="BodyCopyNEW"/>
              <w:cnfStyle w:val="000000000000" w:firstRow="0" w:lastRow="0" w:firstColumn="0" w:lastColumn="0" w:oddVBand="0" w:evenVBand="0" w:oddHBand="0" w:evenHBand="0" w:firstRowFirstColumn="0" w:firstRowLastColumn="0" w:lastRowFirstColumn="0" w:lastRowLastColumn="0"/>
            </w:pPr>
            <w:r>
              <w:t>Part 6.1A</w:t>
            </w:r>
          </w:p>
        </w:tc>
        <w:tc>
          <w:tcPr>
            <w:tcW w:w="2283" w:type="dxa"/>
            <w:tcBorders>
              <w:top w:val="single" w:sz="4" w:space="0" w:color="BFBFBF" w:themeColor="background1" w:themeShade="BF"/>
              <w:left w:val="nil"/>
              <w:bottom w:val="single" w:sz="4" w:space="0" w:color="BFBFBF" w:themeColor="background1" w:themeShade="BF"/>
              <w:right w:val="nil"/>
            </w:tcBorders>
          </w:tcPr>
          <w:p w14:paraId="6BB589A3" w14:textId="4F039821" w:rsidR="00A32AAE" w:rsidRDefault="00777710" w:rsidP="00BE7685">
            <w:pPr>
              <w:pStyle w:val="BodyCopyNEW"/>
              <w:cnfStyle w:val="000000000000" w:firstRow="0" w:lastRow="0" w:firstColumn="0" w:lastColumn="0" w:oddVBand="0" w:evenVBand="0" w:oddHBand="0" w:evenHBand="0" w:firstRowFirstColumn="0" w:firstRowLastColumn="0" w:lastRowFirstColumn="0" w:lastRowLastColumn="0"/>
            </w:pPr>
            <w:r>
              <w:t>Polluter pays</w:t>
            </w:r>
          </w:p>
        </w:tc>
        <w:tc>
          <w:tcPr>
            <w:tcW w:w="141" w:type="dxa"/>
            <w:tcBorders>
              <w:top w:val="nil"/>
              <w:left w:val="nil"/>
              <w:bottom w:val="nil"/>
              <w:right w:val="nil"/>
            </w:tcBorders>
            <w:shd w:val="clear" w:color="auto" w:fill="auto"/>
          </w:tcPr>
          <w:p w14:paraId="13369127" w14:textId="77777777" w:rsidR="00B575BF" w:rsidRDefault="00B575BF" w:rsidP="00DF7917">
            <w:pPr>
              <w:pStyle w:val="BodyCopyNEW"/>
              <w:cnfStyle w:val="000000000000" w:firstRow="0" w:lastRow="0" w:firstColumn="0" w:lastColumn="0" w:oddVBand="0" w:evenVBand="0" w:oddHBand="0" w:evenHBand="0" w:firstRowFirstColumn="0" w:firstRowLastColumn="0" w:lastRowFirstColumn="0" w:lastRowLastColumn="0"/>
            </w:pPr>
          </w:p>
        </w:tc>
        <w:tc>
          <w:tcPr>
            <w:tcW w:w="501" w:type="dxa"/>
            <w:tcBorders>
              <w:top w:val="single" w:sz="4" w:space="0" w:color="BFBFBF" w:themeColor="background1" w:themeShade="BF"/>
              <w:left w:val="nil"/>
              <w:bottom w:val="single" w:sz="4" w:space="0" w:color="BFBFBF" w:themeColor="background1" w:themeShade="BF"/>
              <w:right w:val="nil"/>
            </w:tcBorders>
          </w:tcPr>
          <w:p w14:paraId="713271C6" w14:textId="75C20531" w:rsidR="00B575BF" w:rsidRPr="00901C7B" w:rsidRDefault="006610D9" w:rsidP="00DF7917">
            <w:pPr>
              <w:pStyle w:val="BodyCopyNEW"/>
              <w:cnfStyle w:val="000000000000" w:firstRow="0" w:lastRow="0" w:firstColumn="0" w:lastColumn="0" w:oddVBand="0" w:evenVBand="0" w:oddHBand="0" w:evenHBand="0" w:firstRowFirstColumn="0" w:firstRowLastColumn="0" w:lastRowFirstColumn="0" w:lastRowLastColumn="0"/>
              <w:rPr>
                <w:b/>
                <w:bCs/>
              </w:rPr>
            </w:pPr>
            <w:r w:rsidRPr="00901C7B">
              <w:rPr>
                <w:b/>
                <w:bCs/>
              </w:rPr>
              <w:t>14</w:t>
            </w:r>
          </w:p>
        </w:tc>
        <w:tc>
          <w:tcPr>
            <w:tcW w:w="2496" w:type="dxa"/>
            <w:tcBorders>
              <w:top w:val="single" w:sz="4" w:space="0" w:color="BFBFBF" w:themeColor="background1" w:themeShade="BF"/>
              <w:left w:val="nil"/>
              <w:bottom w:val="single" w:sz="4" w:space="0" w:color="BFBFBF" w:themeColor="background1" w:themeShade="BF"/>
              <w:right w:val="nil"/>
            </w:tcBorders>
          </w:tcPr>
          <w:p w14:paraId="067FB7A9" w14:textId="630C6E2E" w:rsidR="00B575BF" w:rsidRDefault="006610D9" w:rsidP="00DF7917">
            <w:pPr>
              <w:pStyle w:val="BodyCopyNEW"/>
              <w:cnfStyle w:val="000000000000" w:firstRow="0" w:lastRow="0" w:firstColumn="0" w:lastColumn="0" w:oddVBand="0" w:evenVBand="0" w:oddHBand="0" w:evenHBand="0" w:firstRowFirstColumn="0" w:firstRowLastColumn="0" w:lastRowFirstColumn="0" w:lastRowLastColumn="0"/>
            </w:pPr>
            <w:r>
              <w:t>Schedule 3</w:t>
            </w:r>
          </w:p>
        </w:tc>
        <w:tc>
          <w:tcPr>
            <w:tcW w:w="2842" w:type="dxa"/>
            <w:tcBorders>
              <w:top w:val="single" w:sz="4" w:space="0" w:color="BFBFBF" w:themeColor="background1" w:themeShade="BF"/>
              <w:left w:val="nil"/>
              <w:bottom w:val="single" w:sz="4" w:space="0" w:color="BFBFBF" w:themeColor="background1" w:themeShade="BF"/>
              <w:right w:val="nil"/>
            </w:tcBorders>
          </w:tcPr>
          <w:p w14:paraId="579D6AD9" w14:textId="293F09BF" w:rsidR="00B575BF" w:rsidRDefault="006610D9" w:rsidP="00DF7917">
            <w:pPr>
              <w:pStyle w:val="BodyCopyNEW"/>
              <w:cnfStyle w:val="000000000000" w:firstRow="0" w:lastRow="0" w:firstColumn="0" w:lastColumn="0" w:oddVBand="0" w:evenVBand="0" w:oddHBand="0" w:evenHBand="0" w:firstRowFirstColumn="0" w:firstRowLastColumn="0" w:lastRowFirstColumn="0" w:lastRowLastColumn="0"/>
            </w:pPr>
            <w:r>
              <w:t xml:space="preserve">Occupational health and safety (applying to offshore petroleum </w:t>
            </w:r>
            <w:r>
              <w:lastRenderedPageBreak/>
              <w:t>operations and offshore greenhouse gas storage operations)</w:t>
            </w:r>
          </w:p>
        </w:tc>
      </w:tr>
      <w:tr w:rsidR="00DA60C9" w14:paraId="70E25F83" w14:textId="647333E6" w:rsidTr="00052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6B84890A" w14:textId="5B0ED982" w:rsidR="00A32AAE" w:rsidRDefault="00A32AAE" w:rsidP="00BE7685">
            <w:pPr>
              <w:pStyle w:val="BodyCopyNEW"/>
            </w:pPr>
            <w:r>
              <w:lastRenderedPageBreak/>
              <w:t>5</w:t>
            </w:r>
          </w:p>
        </w:tc>
        <w:tc>
          <w:tcPr>
            <w:tcW w:w="1016" w:type="dxa"/>
            <w:tcBorders>
              <w:top w:val="single" w:sz="4" w:space="0" w:color="BFBFBF" w:themeColor="background1" w:themeShade="BF"/>
              <w:left w:val="nil"/>
              <w:bottom w:val="single" w:sz="4" w:space="0" w:color="BFBFBF" w:themeColor="background1" w:themeShade="BF"/>
            </w:tcBorders>
          </w:tcPr>
          <w:p w14:paraId="568A3ED7" w14:textId="3E239E63" w:rsidR="00A32AAE" w:rsidRDefault="00D11371" w:rsidP="00BE7685">
            <w:pPr>
              <w:pStyle w:val="BodyCopyNEW"/>
              <w:cnfStyle w:val="000000100000" w:firstRow="0" w:lastRow="0" w:firstColumn="0" w:lastColumn="0" w:oddVBand="0" w:evenVBand="0" w:oddHBand="1" w:evenHBand="0" w:firstRowFirstColumn="0" w:firstRowLastColumn="0" w:lastRowFirstColumn="0" w:lastRowLastColumn="0"/>
            </w:pPr>
            <w:r>
              <w:t>Part 6.2</w:t>
            </w:r>
          </w:p>
        </w:tc>
        <w:tc>
          <w:tcPr>
            <w:tcW w:w="2283" w:type="dxa"/>
            <w:tcBorders>
              <w:top w:val="single" w:sz="4" w:space="0" w:color="BFBFBF" w:themeColor="background1" w:themeShade="BF"/>
              <w:left w:val="nil"/>
              <w:bottom w:val="single" w:sz="4" w:space="0" w:color="BFBFBF" w:themeColor="background1" w:themeShade="BF"/>
              <w:right w:val="nil"/>
            </w:tcBorders>
          </w:tcPr>
          <w:p w14:paraId="1099A1D7" w14:textId="6325A17F" w:rsidR="00A32AAE" w:rsidRDefault="00777710" w:rsidP="00BE7685">
            <w:pPr>
              <w:pStyle w:val="BodyCopyNEW"/>
              <w:cnfStyle w:val="000000100000" w:firstRow="0" w:lastRow="0" w:firstColumn="0" w:lastColumn="0" w:oddVBand="0" w:evenVBand="0" w:oddHBand="1" w:evenHBand="0" w:firstRowFirstColumn="0" w:firstRowLastColumn="0" w:lastRowFirstColumn="0" w:lastRowLastColumn="0"/>
            </w:pPr>
            <w:r>
              <w:t>Directions relating to petroleum</w:t>
            </w:r>
          </w:p>
        </w:tc>
        <w:tc>
          <w:tcPr>
            <w:tcW w:w="141" w:type="dxa"/>
            <w:tcBorders>
              <w:top w:val="nil"/>
              <w:left w:val="nil"/>
              <w:bottom w:val="nil"/>
              <w:right w:val="nil"/>
            </w:tcBorders>
            <w:shd w:val="clear" w:color="auto" w:fill="auto"/>
          </w:tcPr>
          <w:p w14:paraId="16D607D2" w14:textId="77777777" w:rsidR="00B575BF" w:rsidRDefault="00B575BF" w:rsidP="00DF7917">
            <w:pPr>
              <w:pStyle w:val="BodyCopyNEW"/>
              <w:cnfStyle w:val="000000100000" w:firstRow="0" w:lastRow="0" w:firstColumn="0" w:lastColumn="0" w:oddVBand="0" w:evenVBand="0" w:oddHBand="1" w:evenHBand="0" w:firstRowFirstColumn="0" w:firstRowLastColumn="0" w:lastRowFirstColumn="0" w:lastRowLastColumn="0"/>
            </w:pPr>
          </w:p>
        </w:tc>
        <w:tc>
          <w:tcPr>
            <w:tcW w:w="501" w:type="dxa"/>
            <w:tcBorders>
              <w:top w:val="single" w:sz="4" w:space="0" w:color="BFBFBF" w:themeColor="background1" w:themeShade="BF"/>
              <w:left w:val="nil"/>
              <w:bottom w:val="single" w:sz="4" w:space="0" w:color="BFBFBF" w:themeColor="background1" w:themeShade="BF"/>
              <w:right w:val="nil"/>
            </w:tcBorders>
          </w:tcPr>
          <w:p w14:paraId="0EE9158E" w14:textId="606BDE85" w:rsidR="00B575BF" w:rsidRPr="00901C7B" w:rsidRDefault="006610D9" w:rsidP="00DF7917">
            <w:pPr>
              <w:pStyle w:val="BodyCopyNEW"/>
              <w:cnfStyle w:val="000000100000" w:firstRow="0" w:lastRow="0" w:firstColumn="0" w:lastColumn="0" w:oddVBand="0" w:evenVBand="0" w:oddHBand="1" w:evenHBand="0" w:firstRowFirstColumn="0" w:firstRowLastColumn="0" w:lastRowFirstColumn="0" w:lastRowLastColumn="0"/>
              <w:rPr>
                <w:b/>
                <w:bCs/>
              </w:rPr>
            </w:pPr>
            <w:r w:rsidRPr="00901C7B">
              <w:rPr>
                <w:b/>
                <w:bCs/>
              </w:rPr>
              <w:t>15</w:t>
            </w:r>
          </w:p>
        </w:tc>
        <w:tc>
          <w:tcPr>
            <w:tcW w:w="2496" w:type="dxa"/>
            <w:tcBorders>
              <w:top w:val="single" w:sz="4" w:space="0" w:color="BFBFBF" w:themeColor="background1" w:themeShade="BF"/>
              <w:left w:val="nil"/>
              <w:bottom w:val="single" w:sz="4" w:space="0" w:color="BFBFBF" w:themeColor="background1" w:themeShade="BF"/>
              <w:right w:val="nil"/>
            </w:tcBorders>
          </w:tcPr>
          <w:p w14:paraId="1E2989F9" w14:textId="428A5C00" w:rsidR="00B575BF" w:rsidRDefault="003E4CD6" w:rsidP="00DF7917">
            <w:pPr>
              <w:pStyle w:val="BodyCopyNEW"/>
              <w:cnfStyle w:val="000000100000" w:firstRow="0" w:lastRow="0" w:firstColumn="0" w:lastColumn="0" w:oddVBand="0" w:evenVBand="0" w:oddHBand="1" w:evenHBand="0" w:firstRowFirstColumn="0" w:firstRowLastColumn="0" w:lastRowFirstColumn="0" w:lastRowLastColumn="0"/>
            </w:pPr>
            <w:r w:rsidRPr="00B03214">
              <w:t>Prescribed regulations, or a prescribed provision of regulations, made under this Act</w:t>
            </w:r>
          </w:p>
        </w:tc>
        <w:tc>
          <w:tcPr>
            <w:tcW w:w="2842" w:type="dxa"/>
            <w:tcBorders>
              <w:top w:val="single" w:sz="4" w:space="0" w:color="BFBFBF" w:themeColor="background1" w:themeShade="BF"/>
              <w:left w:val="nil"/>
              <w:bottom w:val="single" w:sz="4" w:space="0" w:color="BFBFBF" w:themeColor="background1" w:themeShade="BF"/>
              <w:right w:val="nil"/>
            </w:tcBorders>
          </w:tcPr>
          <w:p w14:paraId="69510D85" w14:textId="0E4AA88D" w:rsidR="00B575BF" w:rsidRDefault="006610D9" w:rsidP="00DF7917">
            <w:pPr>
              <w:pStyle w:val="BodyCopyNEW"/>
              <w:cnfStyle w:val="000000100000" w:firstRow="0" w:lastRow="0" w:firstColumn="0" w:lastColumn="0" w:oddVBand="0" w:evenVBand="0" w:oddHBand="1" w:evenHBand="0" w:firstRowFirstColumn="0" w:firstRowLastColumn="0" w:lastRowFirstColumn="0" w:lastRowLastColumn="0"/>
            </w:pPr>
            <w:r>
              <w:t>Safety regulation (applying to offshore petroleum operations and offshore greenhouse gas storage operations)</w:t>
            </w:r>
          </w:p>
        </w:tc>
      </w:tr>
      <w:tr w:rsidR="00DA60C9" w14:paraId="70465AD7" w14:textId="64A4C6ED" w:rsidTr="0005258F">
        <w:trPr>
          <w:trHeight w:val="248"/>
        </w:trPr>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02A04197" w14:textId="21885A7A" w:rsidR="00A32AAE" w:rsidRDefault="00A32AAE" w:rsidP="00BE7685">
            <w:pPr>
              <w:pStyle w:val="BodyCopyNEW"/>
            </w:pPr>
            <w:r>
              <w:t>5A</w:t>
            </w:r>
          </w:p>
        </w:tc>
        <w:tc>
          <w:tcPr>
            <w:tcW w:w="1016" w:type="dxa"/>
            <w:tcBorders>
              <w:top w:val="single" w:sz="4" w:space="0" w:color="BFBFBF" w:themeColor="background1" w:themeShade="BF"/>
              <w:left w:val="nil"/>
              <w:bottom w:val="single" w:sz="4" w:space="0" w:color="BFBFBF" w:themeColor="background1" w:themeShade="BF"/>
            </w:tcBorders>
          </w:tcPr>
          <w:p w14:paraId="5900E378" w14:textId="537B42CE" w:rsidR="00A32AAE" w:rsidRDefault="00D11371" w:rsidP="00BE7685">
            <w:pPr>
              <w:pStyle w:val="BodyCopyNEW"/>
              <w:cnfStyle w:val="000000000000" w:firstRow="0" w:lastRow="0" w:firstColumn="0" w:lastColumn="0" w:oddVBand="0" w:evenVBand="0" w:oddHBand="0" w:evenHBand="0" w:firstRowFirstColumn="0" w:firstRowLastColumn="0" w:lastRowFirstColumn="0" w:lastRowLastColumn="0"/>
            </w:pPr>
            <w:r>
              <w:t>Part 6.3</w:t>
            </w:r>
          </w:p>
        </w:tc>
        <w:tc>
          <w:tcPr>
            <w:tcW w:w="2283" w:type="dxa"/>
            <w:tcBorders>
              <w:top w:val="single" w:sz="4" w:space="0" w:color="BFBFBF" w:themeColor="background1" w:themeShade="BF"/>
              <w:left w:val="nil"/>
              <w:bottom w:val="single" w:sz="4" w:space="0" w:color="BFBFBF" w:themeColor="background1" w:themeShade="BF"/>
              <w:right w:val="nil"/>
            </w:tcBorders>
          </w:tcPr>
          <w:p w14:paraId="1223537B" w14:textId="5C5A0BA6" w:rsidR="00A32AAE" w:rsidRDefault="00777710" w:rsidP="00BE7685">
            <w:pPr>
              <w:pStyle w:val="BodyCopyNEW"/>
              <w:cnfStyle w:val="000000000000" w:firstRow="0" w:lastRow="0" w:firstColumn="0" w:lastColumn="0" w:oddVBand="0" w:evenVBand="0" w:oddHBand="0" w:evenHBand="0" w:firstRowFirstColumn="0" w:firstRowLastColumn="0" w:lastRowFirstColumn="0" w:lastRowLastColumn="0"/>
            </w:pPr>
            <w:r>
              <w:t>Directions relation to greenhouse gas</w:t>
            </w:r>
          </w:p>
        </w:tc>
        <w:tc>
          <w:tcPr>
            <w:tcW w:w="141" w:type="dxa"/>
            <w:tcBorders>
              <w:top w:val="nil"/>
              <w:left w:val="nil"/>
              <w:bottom w:val="nil"/>
              <w:right w:val="nil"/>
            </w:tcBorders>
            <w:shd w:val="clear" w:color="auto" w:fill="auto"/>
          </w:tcPr>
          <w:p w14:paraId="21C1EA43" w14:textId="77777777" w:rsidR="00B575BF" w:rsidRDefault="00B575BF" w:rsidP="00DF7917">
            <w:pPr>
              <w:pStyle w:val="BodyCopyNEW"/>
              <w:cnfStyle w:val="000000000000" w:firstRow="0" w:lastRow="0" w:firstColumn="0" w:lastColumn="0" w:oddVBand="0" w:evenVBand="0" w:oddHBand="0" w:evenHBand="0" w:firstRowFirstColumn="0" w:firstRowLastColumn="0" w:lastRowFirstColumn="0" w:lastRowLastColumn="0"/>
            </w:pPr>
          </w:p>
        </w:tc>
        <w:tc>
          <w:tcPr>
            <w:tcW w:w="501" w:type="dxa"/>
            <w:tcBorders>
              <w:top w:val="single" w:sz="4" w:space="0" w:color="BFBFBF" w:themeColor="background1" w:themeShade="BF"/>
              <w:left w:val="nil"/>
              <w:bottom w:val="single" w:sz="4" w:space="0" w:color="BFBFBF" w:themeColor="background1" w:themeShade="BF"/>
              <w:right w:val="nil"/>
            </w:tcBorders>
          </w:tcPr>
          <w:p w14:paraId="77C3FC93" w14:textId="2BDA21D4" w:rsidR="00B575BF" w:rsidRPr="00901C7B" w:rsidRDefault="006610D9" w:rsidP="00DF7917">
            <w:pPr>
              <w:pStyle w:val="BodyCopyNEW"/>
              <w:cnfStyle w:val="000000000000" w:firstRow="0" w:lastRow="0" w:firstColumn="0" w:lastColumn="0" w:oddVBand="0" w:evenVBand="0" w:oddHBand="0" w:evenHBand="0" w:firstRowFirstColumn="0" w:firstRowLastColumn="0" w:lastRowFirstColumn="0" w:lastRowLastColumn="0"/>
              <w:rPr>
                <w:b/>
                <w:bCs/>
              </w:rPr>
            </w:pPr>
            <w:r w:rsidRPr="00901C7B">
              <w:rPr>
                <w:b/>
                <w:bCs/>
              </w:rPr>
              <w:t>16</w:t>
            </w:r>
          </w:p>
        </w:tc>
        <w:tc>
          <w:tcPr>
            <w:tcW w:w="2496" w:type="dxa"/>
            <w:tcBorders>
              <w:top w:val="single" w:sz="4" w:space="0" w:color="BFBFBF" w:themeColor="background1" w:themeShade="BF"/>
              <w:left w:val="nil"/>
              <w:bottom w:val="single" w:sz="4" w:space="0" w:color="BFBFBF" w:themeColor="background1" w:themeShade="BF"/>
              <w:right w:val="nil"/>
            </w:tcBorders>
          </w:tcPr>
          <w:p w14:paraId="05FF9AB5" w14:textId="50F83A39" w:rsidR="00B575BF" w:rsidRDefault="003E4CD6" w:rsidP="00DF7917">
            <w:pPr>
              <w:pStyle w:val="BodyCopyNEW"/>
              <w:cnfStyle w:val="000000000000" w:firstRow="0" w:lastRow="0" w:firstColumn="0" w:lastColumn="0" w:oddVBand="0" w:evenVBand="0" w:oddHBand="0" w:evenHBand="0" w:firstRowFirstColumn="0" w:firstRowLastColumn="0" w:lastRowFirstColumn="0" w:lastRowLastColumn="0"/>
            </w:pPr>
            <w:r w:rsidRPr="00B03214">
              <w:t>Prescribed regulations, or a prescribed provision of regulations, made under this Act</w:t>
            </w:r>
          </w:p>
        </w:tc>
        <w:tc>
          <w:tcPr>
            <w:tcW w:w="2842" w:type="dxa"/>
            <w:tcBorders>
              <w:top w:val="single" w:sz="4" w:space="0" w:color="BFBFBF" w:themeColor="background1" w:themeShade="BF"/>
              <w:left w:val="nil"/>
              <w:bottom w:val="single" w:sz="4" w:space="0" w:color="BFBFBF" w:themeColor="background1" w:themeShade="BF"/>
              <w:right w:val="nil"/>
            </w:tcBorders>
          </w:tcPr>
          <w:p w14:paraId="050B9822" w14:textId="3445C8F6" w:rsidR="00B575BF" w:rsidRDefault="006610D9" w:rsidP="00DF7917">
            <w:pPr>
              <w:pStyle w:val="BodyCopyNEW"/>
              <w:cnfStyle w:val="000000000000" w:firstRow="0" w:lastRow="0" w:firstColumn="0" w:lastColumn="0" w:oddVBand="0" w:evenVBand="0" w:oddHBand="0" w:evenHBand="0" w:firstRowFirstColumn="0" w:firstRowLastColumn="0" w:lastRowFirstColumn="0" w:lastRowLastColumn="0"/>
            </w:pPr>
            <w:r>
              <w:t>Environment regulation</w:t>
            </w:r>
          </w:p>
        </w:tc>
      </w:tr>
      <w:tr w:rsidR="00DA60C9" w14:paraId="2FA064D7" w14:textId="414A856B" w:rsidTr="00052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1B98E730" w14:textId="0703ABA0" w:rsidR="00A32AAE" w:rsidRDefault="00A32AAE" w:rsidP="00BE7685">
            <w:pPr>
              <w:pStyle w:val="BodyCopyNEW"/>
            </w:pPr>
            <w:r>
              <w:t>6</w:t>
            </w:r>
          </w:p>
        </w:tc>
        <w:tc>
          <w:tcPr>
            <w:tcW w:w="1016" w:type="dxa"/>
            <w:tcBorders>
              <w:top w:val="single" w:sz="4" w:space="0" w:color="BFBFBF" w:themeColor="background1" w:themeShade="BF"/>
              <w:left w:val="nil"/>
              <w:bottom w:val="single" w:sz="4" w:space="0" w:color="BFBFBF" w:themeColor="background1" w:themeShade="BF"/>
            </w:tcBorders>
          </w:tcPr>
          <w:p w14:paraId="53E9DA07" w14:textId="0532D4FB" w:rsidR="00A32AAE" w:rsidRDefault="00D11371" w:rsidP="00BE7685">
            <w:pPr>
              <w:pStyle w:val="BodyCopyNEW"/>
              <w:cnfStyle w:val="000000100000" w:firstRow="0" w:lastRow="0" w:firstColumn="0" w:lastColumn="0" w:oddVBand="0" w:evenVBand="0" w:oddHBand="1" w:evenHBand="0" w:firstRowFirstColumn="0" w:firstRowLastColumn="0" w:lastRowFirstColumn="0" w:lastRowLastColumn="0"/>
            </w:pPr>
            <w:r>
              <w:t>Part 6.4</w:t>
            </w:r>
          </w:p>
        </w:tc>
        <w:tc>
          <w:tcPr>
            <w:tcW w:w="2283" w:type="dxa"/>
            <w:tcBorders>
              <w:top w:val="single" w:sz="4" w:space="0" w:color="BFBFBF" w:themeColor="background1" w:themeShade="BF"/>
              <w:left w:val="nil"/>
              <w:bottom w:val="single" w:sz="4" w:space="0" w:color="BFBFBF" w:themeColor="background1" w:themeShade="BF"/>
              <w:right w:val="nil"/>
            </w:tcBorders>
          </w:tcPr>
          <w:p w14:paraId="4D5E2438" w14:textId="6EFF1D4C" w:rsidR="00A32AAE" w:rsidRDefault="00777710" w:rsidP="00BE7685">
            <w:pPr>
              <w:pStyle w:val="BodyCopyNEW"/>
              <w:cnfStyle w:val="000000100000" w:firstRow="0" w:lastRow="0" w:firstColumn="0" w:lastColumn="0" w:oddVBand="0" w:evenVBand="0" w:oddHBand="1" w:evenHBand="0" w:firstRowFirstColumn="0" w:firstRowLastColumn="0" w:lastRowFirstColumn="0" w:lastRowLastColumn="0"/>
            </w:pPr>
            <w:r>
              <w:t>Restoration of the environment</w:t>
            </w:r>
          </w:p>
        </w:tc>
        <w:tc>
          <w:tcPr>
            <w:tcW w:w="141" w:type="dxa"/>
            <w:tcBorders>
              <w:top w:val="nil"/>
              <w:left w:val="nil"/>
              <w:bottom w:val="nil"/>
              <w:right w:val="nil"/>
            </w:tcBorders>
            <w:shd w:val="clear" w:color="auto" w:fill="auto"/>
          </w:tcPr>
          <w:p w14:paraId="53F24C6A" w14:textId="77777777" w:rsidR="00B575BF" w:rsidRDefault="00B575BF" w:rsidP="00DF7917">
            <w:pPr>
              <w:pStyle w:val="BodyCopyNEW"/>
              <w:cnfStyle w:val="000000100000" w:firstRow="0" w:lastRow="0" w:firstColumn="0" w:lastColumn="0" w:oddVBand="0" w:evenVBand="0" w:oddHBand="1" w:evenHBand="0" w:firstRowFirstColumn="0" w:firstRowLastColumn="0" w:lastRowFirstColumn="0" w:lastRowLastColumn="0"/>
            </w:pPr>
          </w:p>
        </w:tc>
        <w:tc>
          <w:tcPr>
            <w:tcW w:w="501" w:type="dxa"/>
            <w:tcBorders>
              <w:top w:val="single" w:sz="4" w:space="0" w:color="BFBFBF" w:themeColor="background1" w:themeShade="BF"/>
              <w:left w:val="nil"/>
              <w:bottom w:val="single" w:sz="4" w:space="0" w:color="BFBFBF" w:themeColor="background1" w:themeShade="BF"/>
              <w:right w:val="nil"/>
            </w:tcBorders>
          </w:tcPr>
          <w:p w14:paraId="2F7D2E0B" w14:textId="23983340" w:rsidR="00B575BF" w:rsidRPr="00901C7B" w:rsidRDefault="006610D9" w:rsidP="00DF7917">
            <w:pPr>
              <w:pStyle w:val="BodyCopyNEW"/>
              <w:cnfStyle w:val="000000100000" w:firstRow="0" w:lastRow="0" w:firstColumn="0" w:lastColumn="0" w:oddVBand="0" w:evenVBand="0" w:oddHBand="1" w:evenHBand="0" w:firstRowFirstColumn="0" w:firstRowLastColumn="0" w:lastRowFirstColumn="0" w:lastRowLastColumn="0"/>
              <w:rPr>
                <w:b/>
                <w:bCs/>
              </w:rPr>
            </w:pPr>
            <w:r w:rsidRPr="00901C7B">
              <w:rPr>
                <w:b/>
                <w:bCs/>
              </w:rPr>
              <w:t>16A</w:t>
            </w:r>
          </w:p>
        </w:tc>
        <w:tc>
          <w:tcPr>
            <w:tcW w:w="2496" w:type="dxa"/>
            <w:tcBorders>
              <w:top w:val="single" w:sz="4" w:space="0" w:color="BFBFBF" w:themeColor="background1" w:themeShade="BF"/>
              <w:left w:val="nil"/>
              <w:bottom w:val="single" w:sz="4" w:space="0" w:color="BFBFBF" w:themeColor="background1" w:themeShade="BF"/>
              <w:right w:val="nil"/>
            </w:tcBorders>
          </w:tcPr>
          <w:p w14:paraId="0C0F1163" w14:textId="5DDE8ED2" w:rsidR="00B575BF" w:rsidRDefault="003E4CD6" w:rsidP="00DF7917">
            <w:pPr>
              <w:pStyle w:val="BodyCopyNEW"/>
              <w:cnfStyle w:val="000000100000" w:firstRow="0" w:lastRow="0" w:firstColumn="0" w:lastColumn="0" w:oddVBand="0" w:evenVBand="0" w:oddHBand="1" w:evenHBand="0" w:firstRowFirstColumn="0" w:firstRowLastColumn="0" w:lastRowFirstColumn="0" w:lastRowLastColumn="0"/>
            </w:pPr>
            <w:r w:rsidRPr="00B03214">
              <w:t>Prescribed regulations, or a prescribed provision of regulations, made under this Act</w:t>
            </w:r>
          </w:p>
        </w:tc>
        <w:tc>
          <w:tcPr>
            <w:tcW w:w="2842" w:type="dxa"/>
            <w:tcBorders>
              <w:top w:val="single" w:sz="4" w:space="0" w:color="BFBFBF" w:themeColor="background1" w:themeShade="BF"/>
              <w:left w:val="nil"/>
              <w:bottom w:val="single" w:sz="4" w:space="0" w:color="BFBFBF" w:themeColor="background1" w:themeShade="BF"/>
              <w:right w:val="nil"/>
            </w:tcBorders>
          </w:tcPr>
          <w:p w14:paraId="7BDE7EEC" w14:textId="1F6B69EA" w:rsidR="00B575BF" w:rsidRDefault="006610D9" w:rsidP="00DF7917">
            <w:pPr>
              <w:pStyle w:val="BodyCopyNEW"/>
              <w:cnfStyle w:val="000000100000" w:firstRow="0" w:lastRow="0" w:firstColumn="0" w:lastColumn="0" w:oddVBand="0" w:evenVBand="0" w:oddHBand="1" w:evenHBand="0" w:firstRowFirstColumn="0" w:firstRowLastColumn="0" w:lastRowFirstColumn="0" w:lastRowLastColumn="0"/>
            </w:pPr>
            <w:r>
              <w:t>Regulation of greenhouse gas injection and storage</w:t>
            </w:r>
          </w:p>
        </w:tc>
      </w:tr>
      <w:tr w:rsidR="00DA60C9" w14:paraId="5C329E1D" w14:textId="1DF7EFA0" w:rsidTr="0005258F">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3B19CAF3" w14:textId="32DBE088" w:rsidR="00A32AAE" w:rsidRDefault="00A32AAE" w:rsidP="00BE7685">
            <w:pPr>
              <w:pStyle w:val="BodyCopyNEW"/>
            </w:pPr>
            <w:r>
              <w:t>7</w:t>
            </w:r>
          </w:p>
        </w:tc>
        <w:tc>
          <w:tcPr>
            <w:tcW w:w="1016" w:type="dxa"/>
            <w:tcBorders>
              <w:top w:val="single" w:sz="4" w:space="0" w:color="BFBFBF" w:themeColor="background1" w:themeShade="BF"/>
              <w:left w:val="nil"/>
              <w:bottom w:val="single" w:sz="4" w:space="0" w:color="BFBFBF" w:themeColor="background1" w:themeShade="BF"/>
            </w:tcBorders>
          </w:tcPr>
          <w:p w14:paraId="678BA238" w14:textId="62E52E78" w:rsidR="00A32AAE" w:rsidRDefault="00D11371" w:rsidP="00BE7685">
            <w:pPr>
              <w:pStyle w:val="BodyCopyNEW"/>
              <w:cnfStyle w:val="000000000000" w:firstRow="0" w:lastRow="0" w:firstColumn="0" w:lastColumn="0" w:oddVBand="0" w:evenVBand="0" w:oddHBand="0" w:evenHBand="0" w:firstRowFirstColumn="0" w:firstRowLastColumn="0" w:lastRowFirstColumn="0" w:lastRowLastColumn="0"/>
            </w:pPr>
            <w:r>
              <w:t>Division 1 of Part 6.5</w:t>
            </w:r>
          </w:p>
        </w:tc>
        <w:tc>
          <w:tcPr>
            <w:tcW w:w="2283" w:type="dxa"/>
            <w:tcBorders>
              <w:top w:val="single" w:sz="4" w:space="0" w:color="BFBFBF" w:themeColor="background1" w:themeShade="BF"/>
              <w:left w:val="nil"/>
              <w:bottom w:val="single" w:sz="4" w:space="0" w:color="BFBFBF" w:themeColor="background1" w:themeShade="BF"/>
              <w:right w:val="nil"/>
            </w:tcBorders>
          </w:tcPr>
          <w:p w14:paraId="72DB254B" w14:textId="3673BA57" w:rsidR="00A32AAE" w:rsidRDefault="00777710" w:rsidP="00BE7685">
            <w:pPr>
              <w:pStyle w:val="BodyCopyNEW"/>
              <w:cnfStyle w:val="000000000000" w:firstRow="0" w:lastRow="0" w:firstColumn="0" w:lastColumn="0" w:oddVBand="0" w:evenVBand="0" w:oddHBand="0" w:evenHBand="0" w:firstRowFirstColumn="0" w:firstRowLastColumn="0" w:lastRowFirstColumn="0" w:lastRowLastColumn="0"/>
            </w:pPr>
            <w:r>
              <w:t>Compliance and enforcement – listed NOPSEMA laws</w:t>
            </w:r>
          </w:p>
        </w:tc>
        <w:tc>
          <w:tcPr>
            <w:tcW w:w="141" w:type="dxa"/>
            <w:tcBorders>
              <w:top w:val="nil"/>
              <w:left w:val="nil"/>
              <w:bottom w:val="nil"/>
              <w:right w:val="nil"/>
            </w:tcBorders>
            <w:shd w:val="clear" w:color="auto" w:fill="auto"/>
          </w:tcPr>
          <w:p w14:paraId="3E35D4DC" w14:textId="77777777" w:rsidR="00B575BF" w:rsidRDefault="00B575BF" w:rsidP="00DF7917">
            <w:pPr>
              <w:pStyle w:val="BodyCopyNEW"/>
              <w:cnfStyle w:val="000000000000" w:firstRow="0" w:lastRow="0" w:firstColumn="0" w:lastColumn="0" w:oddVBand="0" w:evenVBand="0" w:oddHBand="0" w:evenHBand="0" w:firstRowFirstColumn="0" w:firstRowLastColumn="0" w:lastRowFirstColumn="0" w:lastRowLastColumn="0"/>
            </w:pPr>
          </w:p>
        </w:tc>
        <w:tc>
          <w:tcPr>
            <w:tcW w:w="501" w:type="dxa"/>
            <w:tcBorders>
              <w:top w:val="single" w:sz="4" w:space="0" w:color="BFBFBF" w:themeColor="background1" w:themeShade="BF"/>
              <w:left w:val="nil"/>
              <w:bottom w:val="single" w:sz="4" w:space="0" w:color="BFBFBF" w:themeColor="background1" w:themeShade="BF"/>
              <w:right w:val="nil"/>
            </w:tcBorders>
          </w:tcPr>
          <w:p w14:paraId="3EB0ECE9" w14:textId="61C80794" w:rsidR="00B575BF" w:rsidRPr="00901C7B" w:rsidRDefault="006610D9" w:rsidP="00DF7917">
            <w:pPr>
              <w:pStyle w:val="BodyCopyNEW"/>
              <w:cnfStyle w:val="000000000000" w:firstRow="0" w:lastRow="0" w:firstColumn="0" w:lastColumn="0" w:oddVBand="0" w:evenVBand="0" w:oddHBand="0" w:evenHBand="0" w:firstRowFirstColumn="0" w:firstRowLastColumn="0" w:lastRowFirstColumn="0" w:lastRowLastColumn="0"/>
              <w:rPr>
                <w:b/>
                <w:bCs/>
              </w:rPr>
            </w:pPr>
            <w:r w:rsidRPr="00901C7B">
              <w:rPr>
                <w:b/>
                <w:bCs/>
              </w:rPr>
              <w:t>17</w:t>
            </w:r>
          </w:p>
        </w:tc>
        <w:tc>
          <w:tcPr>
            <w:tcW w:w="2496" w:type="dxa"/>
            <w:tcBorders>
              <w:top w:val="single" w:sz="4" w:space="0" w:color="BFBFBF" w:themeColor="background1" w:themeShade="BF"/>
              <w:left w:val="nil"/>
              <w:bottom w:val="single" w:sz="4" w:space="0" w:color="BFBFBF" w:themeColor="background1" w:themeShade="BF"/>
              <w:right w:val="nil"/>
            </w:tcBorders>
          </w:tcPr>
          <w:p w14:paraId="05D75BF1" w14:textId="59507140" w:rsidR="00B575BF" w:rsidRDefault="003E4CD6" w:rsidP="00DF7917">
            <w:pPr>
              <w:pStyle w:val="BodyCopyNEW"/>
              <w:cnfStyle w:val="000000000000" w:firstRow="0" w:lastRow="0" w:firstColumn="0" w:lastColumn="0" w:oddVBand="0" w:evenVBand="0" w:oddHBand="0" w:evenHBand="0" w:firstRowFirstColumn="0" w:firstRowLastColumn="0" w:lastRowFirstColumn="0" w:lastRowLastColumn="0"/>
            </w:pPr>
            <w:r>
              <w:t>Prescribed regulations</w:t>
            </w:r>
            <w:r w:rsidR="006610D9" w:rsidRPr="00B03214">
              <w:t>,</w:t>
            </w:r>
            <w:r>
              <w:t xml:space="preserve"> or a prescribed provision of regulations</w:t>
            </w:r>
            <w:r w:rsidR="006610D9" w:rsidRPr="00B03214">
              <w:t>,</w:t>
            </w:r>
            <w:r>
              <w:t xml:space="preserve"> made under this Act</w:t>
            </w:r>
          </w:p>
        </w:tc>
        <w:tc>
          <w:tcPr>
            <w:tcW w:w="2842" w:type="dxa"/>
            <w:tcBorders>
              <w:top w:val="single" w:sz="4" w:space="0" w:color="BFBFBF" w:themeColor="background1" w:themeShade="BF"/>
              <w:left w:val="nil"/>
              <w:bottom w:val="single" w:sz="4" w:space="0" w:color="BFBFBF" w:themeColor="background1" w:themeShade="BF"/>
              <w:right w:val="nil"/>
            </w:tcBorders>
          </w:tcPr>
          <w:p w14:paraId="3138FC9A" w14:textId="1C562A37" w:rsidR="00B575BF" w:rsidRDefault="006610D9" w:rsidP="00DF7917">
            <w:pPr>
              <w:pStyle w:val="BodyCopyNEW"/>
              <w:cnfStyle w:val="000000000000" w:firstRow="0" w:lastRow="0" w:firstColumn="0" w:lastColumn="0" w:oddVBand="0" w:evenVBand="0" w:oddHBand="0" w:evenHBand="0" w:firstRowFirstColumn="0" w:firstRowLastColumn="0" w:lastRowFirstColumn="0" w:lastRowLastColumn="0"/>
            </w:pPr>
            <w:r>
              <w:t>Structural integrity of wells and well operations</w:t>
            </w:r>
          </w:p>
        </w:tc>
      </w:tr>
      <w:tr w:rsidR="00DA60C9" w14:paraId="422C58A1" w14:textId="386308A9" w:rsidTr="00052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7819E958" w14:textId="38419F38" w:rsidR="00A32AAE" w:rsidRDefault="00A32AAE" w:rsidP="00BE7685">
            <w:pPr>
              <w:pStyle w:val="BodyCopyNEW"/>
            </w:pPr>
            <w:r>
              <w:t>8</w:t>
            </w:r>
          </w:p>
        </w:tc>
        <w:tc>
          <w:tcPr>
            <w:tcW w:w="1016" w:type="dxa"/>
            <w:tcBorders>
              <w:top w:val="single" w:sz="4" w:space="0" w:color="BFBFBF" w:themeColor="background1" w:themeShade="BF"/>
              <w:left w:val="nil"/>
              <w:bottom w:val="single" w:sz="4" w:space="0" w:color="BFBFBF" w:themeColor="background1" w:themeShade="BF"/>
            </w:tcBorders>
          </w:tcPr>
          <w:p w14:paraId="1519C73D" w14:textId="100A2CA5" w:rsidR="00A32AAE" w:rsidRDefault="00D11371" w:rsidP="00BE7685">
            <w:pPr>
              <w:pStyle w:val="BodyCopyNEW"/>
              <w:cnfStyle w:val="000000100000" w:firstRow="0" w:lastRow="0" w:firstColumn="0" w:lastColumn="0" w:oddVBand="0" w:evenVBand="0" w:oddHBand="1" w:evenHBand="0" w:firstRowFirstColumn="0" w:firstRowLastColumn="0" w:lastRowFirstColumn="0" w:lastRowLastColumn="0"/>
            </w:pPr>
            <w:r>
              <w:t>Part 6.6</w:t>
            </w:r>
          </w:p>
        </w:tc>
        <w:tc>
          <w:tcPr>
            <w:tcW w:w="2283" w:type="dxa"/>
            <w:tcBorders>
              <w:top w:val="single" w:sz="4" w:space="0" w:color="BFBFBF" w:themeColor="background1" w:themeShade="BF"/>
              <w:left w:val="nil"/>
              <w:bottom w:val="single" w:sz="4" w:space="0" w:color="BFBFBF" w:themeColor="background1" w:themeShade="BF"/>
              <w:right w:val="nil"/>
            </w:tcBorders>
          </w:tcPr>
          <w:p w14:paraId="18FD22CA" w14:textId="14D1078C" w:rsidR="00A32AAE" w:rsidRDefault="006F091B" w:rsidP="00BE7685">
            <w:pPr>
              <w:pStyle w:val="BodyCopyNEW"/>
              <w:cnfStyle w:val="000000100000" w:firstRow="0" w:lastRow="0" w:firstColumn="0" w:lastColumn="0" w:oddVBand="0" w:evenVBand="0" w:oddHBand="1" w:evenHBand="0" w:firstRowFirstColumn="0" w:firstRowLastColumn="0" w:lastRowFirstColumn="0" w:lastRowLastColumn="0"/>
            </w:pPr>
            <w:r>
              <w:t>Safety zones and the area to be avoided</w:t>
            </w:r>
          </w:p>
        </w:tc>
        <w:tc>
          <w:tcPr>
            <w:tcW w:w="141" w:type="dxa"/>
            <w:tcBorders>
              <w:top w:val="nil"/>
              <w:left w:val="nil"/>
              <w:bottom w:val="nil"/>
              <w:right w:val="nil"/>
            </w:tcBorders>
            <w:shd w:val="clear" w:color="auto" w:fill="auto"/>
          </w:tcPr>
          <w:p w14:paraId="09873ECA" w14:textId="77777777" w:rsidR="00B575BF" w:rsidRDefault="00B575BF" w:rsidP="00DF7917">
            <w:pPr>
              <w:pStyle w:val="BodyCopyNEW"/>
              <w:cnfStyle w:val="000000100000" w:firstRow="0" w:lastRow="0" w:firstColumn="0" w:lastColumn="0" w:oddVBand="0" w:evenVBand="0" w:oddHBand="1" w:evenHBand="0" w:firstRowFirstColumn="0" w:firstRowLastColumn="0" w:lastRowFirstColumn="0" w:lastRowLastColumn="0"/>
            </w:pPr>
          </w:p>
        </w:tc>
        <w:tc>
          <w:tcPr>
            <w:tcW w:w="501" w:type="dxa"/>
            <w:tcBorders>
              <w:top w:val="single" w:sz="4" w:space="0" w:color="BFBFBF" w:themeColor="background1" w:themeShade="BF"/>
              <w:left w:val="nil"/>
              <w:bottom w:val="single" w:sz="4" w:space="0" w:color="BFBFBF" w:themeColor="background1" w:themeShade="BF"/>
              <w:right w:val="nil"/>
            </w:tcBorders>
          </w:tcPr>
          <w:p w14:paraId="27CD1454" w14:textId="4364BBEE" w:rsidR="00B575BF" w:rsidRPr="00901C7B" w:rsidRDefault="006610D9" w:rsidP="00DF7917">
            <w:pPr>
              <w:pStyle w:val="BodyCopyNEW"/>
              <w:cnfStyle w:val="000000100000" w:firstRow="0" w:lastRow="0" w:firstColumn="0" w:lastColumn="0" w:oddVBand="0" w:evenVBand="0" w:oddHBand="1" w:evenHBand="0" w:firstRowFirstColumn="0" w:firstRowLastColumn="0" w:lastRowFirstColumn="0" w:lastRowLastColumn="0"/>
              <w:rPr>
                <w:b/>
                <w:bCs/>
              </w:rPr>
            </w:pPr>
            <w:r w:rsidRPr="00901C7B">
              <w:rPr>
                <w:b/>
                <w:bCs/>
              </w:rPr>
              <w:t>18</w:t>
            </w:r>
          </w:p>
        </w:tc>
        <w:tc>
          <w:tcPr>
            <w:tcW w:w="2496" w:type="dxa"/>
            <w:tcBorders>
              <w:top w:val="single" w:sz="4" w:space="0" w:color="BFBFBF" w:themeColor="background1" w:themeShade="BF"/>
              <w:left w:val="nil"/>
              <w:bottom w:val="single" w:sz="4" w:space="0" w:color="BFBFBF" w:themeColor="background1" w:themeShade="BF"/>
              <w:right w:val="nil"/>
            </w:tcBorders>
          </w:tcPr>
          <w:p w14:paraId="0083B5BB" w14:textId="7CC0DF47" w:rsidR="00B575BF" w:rsidRDefault="006610D9" w:rsidP="00DF7917">
            <w:pPr>
              <w:pStyle w:val="BodyCopyNEW"/>
              <w:cnfStyle w:val="000000100000" w:firstRow="0" w:lastRow="0" w:firstColumn="0" w:lastColumn="0" w:oddVBand="0" w:evenVBand="0" w:oddHBand="1" w:evenHBand="0" w:firstRowFirstColumn="0" w:firstRowLastColumn="0" w:lastRowFirstColumn="0" w:lastRowLastColumn="0"/>
            </w:pPr>
            <w:r>
              <w:t>Prescribed regulations made under this Act (apart from any prescribed provisions of those regulations) or a prescribed provision of regulations made under this Act</w:t>
            </w:r>
          </w:p>
        </w:tc>
        <w:tc>
          <w:tcPr>
            <w:tcW w:w="2842" w:type="dxa"/>
            <w:tcBorders>
              <w:top w:val="single" w:sz="4" w:space="0" w:color="BFBFBF" w:themeColor="background1" w:themeShade="BF"/>
              <w:left w:val="nil"/>
              <w:bottom w:val="single" w:sz="4" w:space="0" w:color="BFBFBF" w:themeColor="background1" w:themeShade="BF"/>
              <w:right w:val="nil"/>
            </w:tcBorders>
          </w:tcPr>
          <w:p w14:paraId="36693DD0" w14:textId="2F2CC974" w:rsidR="00B575BF" w:rsidRDefault="006610D9" w:rsidP="00DF7917">
            <w:pPr>
              <w:pStyle w:val="BodyCopyNEW"/>
              <w:cnfStyle w:val="000000100000" w:firstRow="0" w:lastRow="0" w:firstColumn="0" w:lastColumn="0" w:oddVBand="0" w:evenVBand="0" w:oddHBand="1" w:evenHBand="0" w:firstRowFirstColumn="0" w:firstRowLastColumn="0" w:lastRowFirstColumn="0" w:lastRowLastColumn="0"/>
            </w:pPr>
            <w:r>
              <w:t>Resource management and administration</w:t>
            </w:r>
          </w:p>
        </w:tc>
      </w:tr>
      <w:tr w:rsidR="00CD5AFE" w14:paraId="76F9277F" w14:textId="1060D636" w:rsidTr="0005258F">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4206FCB0" w14:textId="4A8CE4D6" w:rsidR="00A32AAE" w:rsidRDefault="00A32AAE" w:rsidP="00BE7685">
            <w:pPr>
              <w:pStyle w:val="BodyCopyNEW"/>
            </w:pPr>
            <w:r>
              <w:t>9</w:t>
            </w:r>
          </w:p>
        </w:tc>
        <w:tc>
          <w:tcPr>
            <w:tcW w:w="1016" w:type="dxa"/>
            <w:tcBorders>
              <w:top w:val="single" w:sz="4" w:space="0" w:color="BFBFBF" w:themeColor="background1" w:themeShade="BF"/>
              <w:left w:val="nil"/>
              <w:bottom w:val="single" w:sz="4" w:space="0" w:color="BFBFBF" w:themeColor="background1" w:themeShade="BF"/>
            </w:tcBorders>
          </w:tcPr>
          <w:p w14:paraId="2118CC5F" w14:textId="59F1A136" w:rsidR="00A32AAE" w:rsidRDefault="00D11371" w:rsidP="00BE7685">
            <w:pPr>
              <w:pStyle w:val="BodyCopyNEW"/>
              <w:cnfStyle w:val="000000000000" w:firstRow="0" w:lastRow="0" w:firstColumn="0" w:lastColumn="0" w:oddVBand="0" w:evenVBand="0" w:oddHBand="0" w:evenHBand="0" w:firstRowFirstColumn="0" w:firstRowLastColumn="0" w:lastRowFirstColumn="0" w:lastRowLastColumn="0"/>
            </w:pPr>
            <w:r>
              <w:t>Part 6.7</w:t>
            </w:r>
          </w:p>
        </w:tc>
        <w:tc>
          <w:tcPr>
            <w:tcW w:w="2283" w:type="dxa"/>
            <w:tcBorders>
              <w:top w:val="single" w:sz="4" w:space="0" w:color="BFBFBF" w:themeColor="background1" w:themeShade="BF"/>
              <w:left w:val="nil"/>
              <w:bottom w:val="single" w:sz="4" w:space="0" w:color="BFBFBF" w:themeColor="background1" w:themeShade="BF"/>
              <w:right w:val="nil"/>
            </w:tcBorders>
          </w:tcPr>
          <w:p w14:paraId="4F652995" w14:textId="168BE24F" w:rsidR="00A32AAE" w:rsidRDefault="006F091B" w:rsidP="00BE7685">
            <w:pPr>
              <w:pStyle w:val="BodyCopyNEW"/>
              <w:cnfStyle w:val="000000000000" w:firstRow="0" w:lastRow="0" w:firstColumn="0" w:lastColumn="0" w:oddVBand="0" w:evenVBand="0" w:oddHBand="0" w:evenHBand="0" w:firstRowFirstColumn="0" w:firstRowLastColumn="0" w:lastRowFirstColumn="0" w:lastRowLastColumn="0"/>
            </w:pPr>
            <w:r>
              <w:t>Collection of fees and royalties payable to the Titles Administrator or the Commonwealth</w:t>
            </w:r>
          </w:p>
        </w:tc>
        <w:tc>
          <w:tcPr>
            <w:tcW w:w="141" w:type="dxa"/>
            <w:tcBorders>
              <w:top w:val="nil"/>
              <w:left w:val="nil"/>
              <w:bottom w:val="nil"/>
              <w:right w:val="nil"/>
            </w:tcBorders>
            <w:shd w:val="clear" w:color="auto" w:fill="auto"/>
          </w:tcPr>
          <w:p w14:paraId="3B2A7C18" w14:textId="77777777" w:rsidR="00B575BF" w:rsidRDefault="00B575BF" w:rsidP="00DF7917">
            <w:pPr>
              <w:pStyle w:val="BodyCopyNEW"/>
              <w:cnfStyle w:val="000000000000" w:firstRow="0" w:lastRow="0" w:firstColumn="0" w:lastColumn="0" w:oddVBand="0" w:evenVBand="0" w:oddHBand="0" w:evenHBand="0" w:firstRowFirstColumn="0" w:firstRowLastColumn="0" w:lastRowFirstColumn="0" w:lastRowLastColumn="0"/>
            </w:pPr>
          </w:p>
        </w:tc>
        <w:tc>
          <w:tcPr>
            <w:tcW w:w="501" w:type="dxa"/>
            <w:tcBorders>
              <w:top w:val="single" w:sz="4" w:space="0" w:color="BFBFBF" w:themeColor="background1" w:themeShade="BF"/>
              <w:left w:val="nil"/>
              <w:bottom w:val="single" w:sz="4" w:space="0" w:color="BFBFBF" w:themeColor="background1" w:themeShade="BF"/>
              <w:right w:val="nil"/>
            </w:tcBorders>
          </w:tcPr>
          <w:p w14:paraId="4CE5B840" w14:textId="64392B06" w:rsidR="00B575BF" w:rsidRPr="00901C7B" w:rsidRDefault="006610D9" w:rsidP="00DF7917">
            <w:pPr>
              <w:pStyle w:val="BodyCopyNEW"/>
              <w:cnfStyle w:val="000000000000" w:firstRow="0" w:lastRow="0" w:firstColumn="0" w:lastColumn="0" w:oddVBand="0" w:evenVBand="0" w:oddHBand="0" w:evenHBand="0" w:firstRowFirstColumn="0" w:firstRowLastColumn="0" w:lastRowFirstColumn="0" w:lastRowLastColumn="0"/>
              <w:rPr>
                <w:b/>
                <w:bCs/>
              </w:rPr>
            </w:pPr>
            <w:r w:rsidRPr="00901C7B">
              <w:rPr>
                <w:b/>
                <w:bCs/>
              </w:rPr>
              <w:t>19</w:t>
            </w:r>
          </w:p>
        </w:tc>
        <w:tc>
          <w:tcPr>
            <w:tcW w:w="2496" w:type="dxa"/>
            <w:tcBorders>
              <w:top w:val="single" w:sz="4" w:space="0" w:color="BFBFBF" w:themeColor="background1" w:themeShade="BF"/>
              <w:left w:val="nil"/>
              <w:bottom w:val="single" w:sz="4" w:space="0" w:color="BFBFBF" w:themeColor="background1" w:themeShade="BF"/>
              <w:right w:val="nil"/>
            </w:tcBorders>
          </w:tcPr>
          <w:p w14:paraId="68D28A92" w14:textId="003474C1" w:rsidR="00B575BF" w:rsidRDefault="006610D9" w:rsidP="00DF7917">
            <w:pPr>
              <w:pStyle w:val="BodyCopyNEW"/>
              <w:cnfStyle w:val="000000000000" w:firstRow="0" w:lastRow="0" w:firstColumn="0" w:lastColumn="0" w:oddVBand="0" w:evenVBand="0" w:oddHBand="0" w:evenHBand="0" w:firstRowFirstColumn="0" w:firstRowLastColumn="0" w:lastRowFirstColumn="0" w:lastRowLastColumn="0"/>
            </w:pPr>
            <w:r>
              <w:t>A provision of a legislative instrument under this Act, if (and to the extent that) it is prescribed by regulation for the purposes of this section</w:t>
            </w:r>
          </w:p>
        </w:tc>
        <w:tc>
          <w:tcPr>
            <w:tcW w:w="2842" w:type="dxa"/>
            <w:tcBorders>
              <w:top w:val="single" w:sz="4" w:space="0" w:color="BFBFBF" w:themeColor="background1" w:themeShade="BF"/>
              <w:left w:val="nil"/>
              <w:bottom w:val="single" w:sz="4" w:space="0" w:color="BFBFBF" w:themeColor="background1" w:themeShade="BF"/>
              <w:right w:val="nil"/>
            </w:tcBorders>
          </w:tcPr>
          <w:p w14:paraId="3902D11B" w14:textId="776FAEFB" w:rsidR="00B575BF" w:rsidRDefault="006610D9" w:rsidP="00DF7917">
            <w:pPr>
              <w:pStyle w:val="BodyCopyNEW"/>
              <w:cnfStyle w:val="000000000000" w:firstRow="0" w:lastRow="0" w:firstColumn="0" w:lastColumn="0" w:oddVBand="0" w:evenVBand="0" w:oddHBand="0" w:evenHBand="0" w:firstRowFirstColumn="0" w:firstRowLastColumn="0" w:lastRowFirstColumn="0" w:lastRowLastColumn="0"/>
            </w:pPr>
            <w:r>
              <w:t>As stated in the regulation</w:t>
            </w:r>
          </w:p>
        </w:tc>
      </w:tr>
      <w:tr w:rsidR="00CD5AFE" w14:paraId="040058AF" w14:textId="53227A45" w:rsidTr="000525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 w:type="dxa"/>
            <w:tcBorders>
              <w:top w:val="single" w:sz="4" w:space="0" w:color="BFBFBF" w:themeColor="background1" w:themeShade="BF"/>
              <w:left w:val="nil"/>
              <w:bottom w:val="single" w:sz="4" w:space="0" w:color="BFBFBF" w:themeColor="background1" w:themeShade="BF"/>
            </w:tcBorders>
          </w:tcPr>
          <w:p w14:paraId="2B751646" w14:textId="38F1D979" w:rsidR="00A32AAE" w:rsidRDefault="00A32AAE" w:rsidP="00BE7685">
            <w:pPr>
              <w:pStyle w:val="BodyCopyNEW"/>
            </w:pPr>
            <w:r>
              <w:t>10</w:t>
            </w:r>
          </w:p>
        </w:tc>
        <w:tc>
          <w:tcPr>
            <w:tcW w:w="1016" w:type="dxa"/>
            <w:tcBorders>
              <w:top w:val="single" w:sz="4" w:space="0" w:color="BFBFBF" w:themeColor="background1" w:themeShade="BF"/>
              <w:left w:val="nil"/>
              <w:bottom w:val="single" w:sz="4" w:space="0" w:color="BFBFBF" w:themeColor="background1" w:themeShade="BF"/>
            </w:tcBorders>
          </w:tcPr>
          <w:p w14:paraId="45E440F7" w14:textId="714E9A6D" w:rsidR="00A32AAE" w:rsidRDefault="00D11371" w:rsidP="00BE7685">
            <w:pPr>
              <w:pStyle w:val="BodyCopyNEW"/>
              <w:cnfStyle w:val="000000100000" w:firstRow="0" w:lastRow="0" w:firstColumn="0" w:lastColumn="0" w:oddVBand="0" w:evenVBand="0" w:oddHBand="1" w:evenHBand="0" w:firstRowFirstColumn="0" w:firstRowLastColumn="0" w:lastRowFirstColumn="0" w:lastRowLastColumn="0"/>
            </w:pPr>
            <w:r>
              <w:t>Division 8 of Part 6.9</w:t>
            </w:r>
          </w:p>
        </w:tc>
        <w:tc>
          <w:tcPr>
            <w:tcW w:w="2283" w:type="dxa"/>
            <w:tcBorders>
              <w:top w:val="single" w:sz="4" w:space="0" w:color="BFBFBF" w:themeColor="background1" w:themeShade="BF"/>
              <w:left w:val="nil"/>
              <w:bottom w:val="single" w:sz="4" w:space="0" w:color="BFBFBF" w:themeColor="background1" w:themeShade="BF"/>
              <w:right w:val="nil"/>
            </w:tcBorders>
          </w:tcPr>
          <w:p w14:paraId="609D0CC9" w14:textId="6FC3D2C3" w:rsidR="00A32AAE" w:rsidRDefault="006F091B" w:rsidP="00BE7685">
            <w:pPr>
              <w:pStyle w:val="BodyCopyNEW"/>
              <w:cnfStyle w:val="000000100000" w:firstRow="0" w:lastRow="0" w:firstColumn="0" w:lastColumn="0" w:oddVBand="0" w:evenVBand="0" w:oddHBand="1" w:evenHBand="0" w:firstRowFirstColumn="0" w:firstRowLastColumn="0" w:lastRowFirstColumn="0" w:lastRowLastColumn="0"/>
            </w:pPr>
            <w:r>
              <w:t>Collection of fees and levies payable to the Titles Administrator</w:t>
            </w:r>
          </w:p>
        </w:tc>
        <w:tc>
          <w:tcPr>
            <w:tcW w:w="141" w:type="dxa"/>
            <w:tcBorders>
              <w:top w:val="nil"/>
              <w:left w:val="nil"/>
              <w:bottom w:val="nil"/>
              <w:right w:val="nil"/>
            </w:tcBorders>
            <w:shd w:val="clear" w:color="auto" w:fill="auto"/>
          </w:tcPr>
          <w:p w14:paraId="4FC44E5D" w14:textId="77777777" w:rsidR="00B575BF" w:rsidRDefault="00B575BF" w:rsidP="00DF7917">
            <w:pPr>
              <w:pStyle w:val="BodyCopyNEW"/>
              <w:cnfStyle w:val="000000100000" w:firstRow="0" w:lastRow="0" w:firstColumn="0" w:lastColumn="0" w:oddVBand="0" w:evenVBand="0" w:oddHBand="1" w:evenHBand="0" w:firstRowFirstColumn="0" w:firstRowLastColumn="0" w:lastRowFirstColumn="0" w:lastRowLastColumn="0"/>
            </w:pPr>
          </w:p>
        </w:tc>
        <w:tc>
          <w:tcPr>
            <w:tcW w:w="501" w:type="dxa"/>
            <w:tcBorders>
              <w:top w:val="single" w:sz="4" w:space="0" w:color="BFBFBF" w:themeColor="background1" w:themeShade="BF"/>
              <w:left w:val="nil"/>
              <w:bottom w:val="single" w:sz="4" w:space="0" w:color="FFFFFF" w:themeColor="background1"/>
              <w:right w:val="nil"/>
            </w:tcBorders>
          </w:tcPr>
          <w:p w14:paraId="508A872B" w14:textId="77777777" w:rsidR="00B575BF" w:rsidRDefault="00B575BF" w:rsidP="00DF7917">
            <w:pPr>
              <w:pStyle w:val="BodyCopyNEW"/>
              <w:cnfStyle w:val="000000100000" w:firstRow="0" w:lastRow="0" w:firstColumn="0" w:lastColumn="0" w:oddVBand="0" w:evenVBand="0" w:oddHBand="1" w:evenHBand="0" w:firstRowFirstColumn="0" w:firstRowLastColumn="0" w:lastRowFirstColumn="0" w:lastRowLastColumn="0"/>
            </w:pPr>
          </w:p>
        </w:tc>
        <w:tc>
          <w:tcPr>
            <w:tcW w:w="2496" w:type="dxa"/>
            <w:tcBorders>
              <w:top w:val="single" w:sz="4" w:space="0" w:color="BFBFBF" w:themeColor="background1" w:themeShade="BF"/>
              <w:left w:val="nil"/>
              <w:bottom w:val="single" w:sz="4" w:space="0" w:color="FFFFFF" w:themeColor="background1"/>
              <w:right w:val="nil"/>
            </w:tcBorders>
          </w:tcPr>
          <w:p w14:paraId="2AD1934C" w14:textId="77777777" w:rsidR="00B575BF" w:rsidRDefault="00B575BF" w:rsidP="00DF7917">
            <w:pPr>
              <w:pStyle w:val="BodyCopyNEW"/>
              <w:cnfStyle w:val="000000100000" w:firstRow="0" w:lastRow="0" w:firstColumn="0" w:lastColumn="0" w:oddVBand="0" w:evenVBand="0" w:oddHBand="1" w:evenHBand="0" w:firstRowFirstColumn="0" w:firstRowLastColumn="0" w:lastRowFirstColumn="0" w:lastRowLastColumn="0"/>
            </w:pPr>
          </w:p>
        </w:tc>
        <w:tc>
          <w:tcPr>
            <w:tcW w:w="2842" w:type="dxa"/>
            <w:tcBorders>
              <w:top w:val="single" w:sz="4" w:space="0" w:color="BFBFBF" w:themeColor="background1" w:themeShade="BF"/>
              <w:left w:val="nil"/>
              <w:bottom w:val="single" w:sz="4" w:space="0" w:color="FFFFFF" w:themeColor="background1"/>
              <w:right w:val="nil"/>
            </w:tcBorders>
          </w:tcPr>
          <w:p w14:paraId="0923C260" w14:textId="77777777" w:rsidR="00B575BF" w:rsidRDefault="00B575BF" w:rsidP="00DF7917">
            <w:pPr>
              <w:pStyle w:val="BodyCopyNEW"/>
              <w:cnfStyle w:val="000000100000" w:firstRow="0" w:lastRow="0" w:firstColumn="0" w:lastColumn="0" w:oddVBand="0" w:evenVBand="0" w:oddHBand="1" w:evenHBand="0" w:firstRowFirstColumn="0" w:firstRowLastColumn="0" w:lastRowFirstColumn="0" w:lastRowLastColumn="0"/>
            </w:pPr>
          </w:p>
        </w:tc>
      </w:tr>
    </w:tbl>
    <w:p w14:paraId="69720BEC" w14:textId="44550688" w:rsidR="00F958B5" w:rsidRPr="00B76F71" w:rsidRDefault="00F958B5" w:rsidP="00B76F71">
      <w:pPr>
        <w:pStyle w:val="Caption"/>
        <w:rPr>
          <w:b w:val="0"/>
          <w:bCs/>
          <w:i/>
          <w:iCs w:val="0"/>
          <w:color w:val="75787B" w:themeColor="accent6"/>
        </w:rPr>
      </w:pPr>
      <w:r w:rsidRPr="00B76F71">
        <w:rPr>
          <w:b w:val="0"/>
          <w:bCs/>
          <w:i/>
          <w:iCs w:val="0"/>
          <w:color w:val="75787B" w:themeColor="accent6"/>
        </w:rPr>
        <w:t>Source: OPGGS Act</w:t>
      </w:r>
    </w:p>
    <w:p w14:paraId="73E8A8ED" w14:textId="70077720" w:rsidR="00CF5400" w:rsidRPr="00C80C12" w:rsidRDefault="00CF5400" w:rsidP="00784E0E">
      <w:pPr>
        <w:pStyle w:val="Heading3"/>
        <w:numPr>
          <w:ilvl w:val="2"/>
          <w:numId w:val="1"/>
        </w:numPr>
      </w:pPr>
      <w:r>
        <w:t>Undertaking a prosecution</w:t>
      </w:r>
    </w:p>
    <w:p w14:paraId="565EE4EC" w14:textId="14C0C658" w:rsidR="008F7529" w:rsidRPr="00E94BB2" w:rsidRDefault="008F7529" w:rsidP="00606191">
      <w:pPr>
        <w:pStyle w:val="Heading3NoNumber"/>
      </w:pPr>
      <w:r>
        <w:rPr>
          <w:bCs/>
          <w:iCs/>
        </w:rPr>
        <w:t>T</w:t>
      </w:r>
      <w:r w:rsidRPr="00E94BB2">
        <w:t xml:space="preserve">he </w:t>
      </w:r>
      <w:r w:rsidR="00B76F71">
        <w:t>number</w:t>
      </w:r>
      <w:r w:rsidR="00B76F71" w:rsidRPr="00E94BB2">
        <w:t xml:space="preserve"> </w:t>
      </w:r>
      <w:r w:rsidRPr="00E94BB2">
        <w:t>of prosecutions is low – but align</w:t>
      </w:r>
      <w:r w:rsidR="00AD020D">
        <w:t>s</w:t>
      </w:r>
      <w:r w:rsidRPr="00E94BB2">
        <w:t xml:space="preserve"> to the NOPSEMA philosophy of working with industry to help grow, maintain, and “find one, fix many”</w:t>
      </w:r>
    </w:p>
    <w:p w14:paraId="5B060774" w14:textId="4285D617" w:rsidR="000A7456" w:rsidRDefault="000A7456" w:rsidP="0027287B">
      <w:pPr>
        <w:pStyle w:val="BodyCopyNEW"/>
        <w:rPr>
          <w:rFonts w:asciiTheme="majorHAnsi" w:hAnsiTheme="majorHAnsi" w:cs="Calibri"/>
        </w:rPr>
      </w:pPr>
      <w:r>
        <w:t xml:space="preserve">NOPSEMA’s EMM states that </w:t>
      </w:r>
      <w:r w:rsidRPr="00901C7B">
        <w:rPr>
          <w:i/>
          <w:iCs/>
        </w:rPr>
        <w:t xml:space="preserve">“any incident which triggers a </w:t>
      </w:r>
      <w:r w:rsidR="00B76F71">
        <w:rPr>
          <w:i/>
          <w:iCs/>
        </w:rPr>
        <w:t>Level 4 Investigation</w:t>
      </w:r>
      <w:r w:rsidRPr="00901C7B">
        <w:rPr>
          <w:i/>
          <w:iCs/>
        </w:rPr>
        <w:t xml:space="preserve"> may be expected to result in a recommendation for prosecution; these thresholds primarily focus major investigations to incidents where actual harm has occurred”</w:t>
      </w:r>
      <w:r>
        <w:t>.</w:t>
      </w:r>
    </w:p>
    <w:p w14:paraId="5E2AF5F0" w14:textId="14DD92C6" w:rsidR="0009190A" w:rsidRDefault="0009190A" w:rsidP="0027287B">
      <w:pPr>
        <w:pStyle w:val="BodyCopyNEW"/>
      </w:pPr>
      <w:r>
        <w:t>If NOPSEMA determines that an entity should be prosecuted</w:t>
      </w:r>
      <w:r w:rsidR="00B66469">
        <w:t xml:space="preserve"> for failing to maintain (e.g.) safe systems of work, NOPSEMA engages with its own internal legal </w:t>
      </w:r>
      <w:r w:rsidR="007D1594">
        <w:t>counsel</w:t>
      </w:r>
      <w:r w:rsidR="00B66469">
        <w:t xml:space="preserve"> through its Compliance Committee </w:t>
      </w:r>
      <w:r w:rsidR="00FC6DD8">
        <w:t xml:space="preserve">as well as </w:t>
      </w:r>
      <w:r w:rsidR="00FC6DD8" w:rsidRPr="00183929">
        <w:t xml:space="preserve">the </w:t>
      </w:r>
      <w:r w:rsidR="00C844BB">
        <w:t>CDPP</w:t>
      </w:r>
      <w:r w:rsidR="00FC6DD8">
        <w:t xml:space="preserve">. NOPSEMA’s role in the prosecution of entities in the offshore industry is limited to the investigation of </w:t>
      </w:r>
      <w:r w:rsidR="00B3629C">
        <w:t>risk or incidents, with a brief of evidence prepared and provided to the CDPP for consideration.</w:t>
      </w:r>
    </w:p>
    <w:p w14:paraId="12BAF609" w14:textId="395841EC" w:rsidR="00A52675" w:rsidRDefault="00BC6841" w:rsidP="00F849ED">
      <w:pPr>
        <w:pStyle w:val="BodyCopyNEW"/>
      </w:pPr>
      <w:r>
        <w:t>When considered against the total number of reported accidents and incidents (as shown in</w:t>
      </w:r>
      <w:r w:rsidR="00F8476B">
        <w:t xml:space="preserve"> </w:t>
      </w:r>
      <w:r w:rsidR="00F8476B" w:rsidRPr="00F8476B">
        <w:rPr>
          <w:b/>
          <w:bCs/>
        </w:rPr>
        <w:fldChar w:fldCharType="begin"/>
      </w:r>
      <w:r w:rsidR="00F8476B" w:rsidRPr="00F8476B">
        <w:rPr>
          <w:b/>
          <w:bCs/>
        </w:rPr>
        <w:instrText xml:space="preserve"> REF _Ref58705762 \h </w:instrText>
      </w:r>
      <w:r w:rsidR="00F8476B">
        <w:rPr>
          <w:b/>
          <w:bCs/>
        </w:rPr>
        <w:instrText xml:space="preserve"> \* MERGEFORMAT </w:instrText>
      </w:r>
      <w:r w:rsidR="00F8476B" w:rsidRPr="00F8476B">
        <w:rPr>
          <w:b/>
          <w:bCs/>
        </w:rPr>
      </w:r>
      <w:r w:rsidR="00F8476B" w:rsidRPr="00F8476B">
        <w:rPr>
          <w:b/>
          <w:bCs/>
        </w:rPr>
        <w:fldChar w:fldCharType="separate"/>
      </w:r>
      <w:r w:rsidR="00E816B8" w:rsidRPr="00E816B8">
        <w:rPr>
          <w:b/>
          <w:bCs/>
        </w:rPr>
        <w:t xml:space="preserve">Figure </w:t>
      </w:r>
      <w:r w:rsidR="00E816B8" w:rsidRPr="00E816B8">
        <w:rPr>
          <w:b/>
          <w:bCs/>
          <w:noProof/>
        </w:rPr>
        <w:t>6.4</w:t>
      </w:r>
      <w:r w:rsidR="00F8476B" w:rsidRPr="00F8476B">
        <w:rPr>
          <w:b/>
          <w:bCs/>
        </w:rPr>
        <w:fldChar w:fldCharType="end"/>
      </w:r>
      <w:r w:rsidRPr="00901C7B">
        <w:t>)</w:t>
      </w:r>
      <w:r w:rsidR="00553245">
        <w:t xml:space="preserve">, the </w:t>
      </w:r>
      <w:r w:rsidR="00B76F71">
        <w:t xml:space="preserve">number </w:t>
      </w:r>
      <w:r w:rsidR="00553245">
        <w:t xml:space="preserve">of prosecutions </w:t>
      </w:r>
      <w:r w:rsidR="00781174">
        <w:t>is</w:t>
      </w:r>
      <w:r w:rsidR="00553245">
        <w:t xml:space="preserve"> low – but does align to the NOPSEMA philosophy of working with industry to help grow, maintain, and “find one, fix many”.</w:t>
      </w:r>
      <w:r w:rsidR="00287B19">
        <w:t xml:space="preserve"> During the period, there have been 56 accidents (fatalities or serious injuries), 235 well integrity incidents, and </w:t>
      </w:r>
      <w:r w:rsidR="00CF77C8">
        <w:t>69 environmental incidents. NOPSEMA has, during this time, referred two prosecution briefs to the CDPP.</w:t>
      </w:r>
    </w:p>
    <w:p w14:paraId="3A8E641A" w14:textId="3A47DE83" w:rsidR="00DC2AEA" w:rsidRPr="00F849ED" w:rsidRDefault="00DC2AEA" w:rsidP="00A52675">
      <w:pPr>
        <w:pStyle w:val="Caption"/>
        <w:keepNext/>
      </w:pPr>
      <w:bookmarkStart w:id="63" w:name="_Ref58705762"/>
      <w:r>
        <w:lastRenderedPageBreak/>
        <w:t xml:space="preserve">Figure </w:t>
      </w:r>
      <w:r w:rsidR="00AD41F8">
        <w:fldChar w:fldCharType="begin"/>
      </w:r>
      <w:r w:rsidR="00AD41F8">
        <w:instrText xml:space="preserve"> STYLEREF 1 \s </w:instrText>
      </w:r>
      <w:r w:rsidR="00AD41F8">
        <w:fldChar w:fldCharType="separate"/>
      </w:r>
      <w:r w:rsidR="00E816B8">
        <w:rPr>
          <w:noProof/>
        </w:rPr>
        <w:t>6</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4</w:t>
      </w:r>
      <w:r w:rsidR="00AD41F8">
        <w:fldChar w:fldCharType="end"/>
      </w:r>
      <w:bookmarkEnd w:id="63"/>
      <w:r>
        <w:t>: T</w:t>
      </w:r>
      <w:r w:rsidRPr="00292007">
        <w:t>otal reported accidents and incidents 1 January 2015 to 30 September</w:t>
      </w:r>
      <w:r>
        <w:t xml:space="preserve"> 2020</w:t>
      </w:r>
    </w:p>
    <w:p w14:paraId="531D13DB" w14:textId="2BCCF10C" w:rsidR="002074E8" w:rsidRDefault="007E60E6" w:rsidP="00C51F71">
      <w:pPr>
        <w:spacing w:before="120" w:after="120" w:line="240" w:lineRule="auto"/>
        <w:rPr>
          <w:rFonts w:asciiTheme="majorHAnsi" w:hAnsiTheme="majorHAnsi" w:cs="Calibri"/>
        </w:rPr>
      </w:pPr>
      <w:r>
        <w:rPr>
          <w:noProof/>
          <w:lang w:eastAsia="en-AU"/>
        </w:rPr>
        <w:drawing>
          <wp:inline distT="0" distB="0" distL="0" distR="0" wp14:anchorId="704830B9" wp14:editId="3E26C3DC">
            <wp:extent cx="6263640" cy="2952000"/>
            <wp:effectExtent l="0" t="0" r="3810" b="1270"/>
            <wp:docPr id="8" name="Chart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7BBE442-DA97-4E9A-93E3-2D6A90CD86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BD3C060" w14:textId="4676287B" w:rsidR="00781174" w:rsidRPr="00901C7B" w:rsidRDefault="00292007" w:rsidP="00A067D9">
      <w:pPr>
        <w:pStyle w:val="Caption"/>
        <w:rPr>
          <w:b w:val="0"/>
          <w:bCs/>
          <w:i/>
          <w:iCs w:val="0"/>
          <w:color w:val="75787B" w:themeColor="accent6"/>
        </w:rPr>
      </w:pPr>
      <w:r w:rsidRPr="00901C7B">
        <w:rPr>
          <w:b w:val="0"/>
          <w:bCs/>
          <w:i/>
          <w:iCs w:val="0"/>
          <w:color w:val="75787B" w:themeColor="accent6"/>
        </w:rPr>
        <w:t xml:space="preserve">Source: </w:t>
      </w:r>
      <w:r w:rsidR="00300717" w:rsidRPr="00300717">
        <w:rPr>
          <w:b w:val="0"/>
          <w:bCs/>
          <w:i/>
          <w:iCs w:val="0"/>
          <w:color w:val="75787B" w:themeColor="accent6"/>
        </w:rPr>
        <w:t>Deloitte analysis adapted from NOPSEMA data</w:t>
      </w:r>
    </w:p>
    <w:p w14:paraId="7FC99B5B" w14:textId="02A8AE55" w:rsidR="00B3629C" w:rsidRDefault="00B3629C" w:rsidP="0027287B">
      <w:pPr>
        <w:pStyle w:val="BodyCopyNEW"/>
      </w:pPr>
      <w:r>
        <w:t xml:space="preserve">During the </w:t>
      </w:r>
      <w:r w:rsidR="00664A88">
        <w:t>review</w:t>
      </w:r>
      <w:r>
        <w:t xml:space="preserve">, we </w:t>
      </w:r>
      <w:r w:rsidR="00AC0352">
        <w:t xml:space="preserve">consulted with a representative from the CDPP </w:t>
      </w:r>
      <w:r w:rsidR="00C747F6">
        <w:t>to understand its role and current perceptions of the briefs of evidence provided by NOPSEMA, as the independent regulator. We found:</w:t>
      </w:r>
    </w:p>
    <w:p w14:paraId="1DEB6509" w14:textId="7B130182" w:rsidR="00A27A2A" w:rsidRDefault="00A27A2A" w:rsidP="000C1F53">
      <w:pPr>
        <w:pStyle w:val="BodycopyNEW0"/>
        <w:numPr>
          <w:ilvl w:val="0"/>
          <w:numId w:val="23"/>
        </w:numPr>
        <w:ind w:left="378"/>
      </w:pPr>
      <w:r w:rsidRPr="00E12E42">
        <w:t>The CDPP is engaged to</w:t>
      </w:r>
      <w:r w:rsidR="00E12E42" w:rsidRPr="00E12E42">
        <w:t xml:space="preserve"> support</w:t>
      </w:r>
      <w:r w:rsidRPr="00E12E42">
        <w:t xml:space="preserve"> NOPSEMA (as well as other Commonwealth </w:t>
      </w:r>
      <w:r w:rsidR="00E12E42" w:rsidRPr="00E12E42">
        <w:t>regulators and departments) by undertaking criminal prosecutions only</w:t>
      </w:r>
      <w:r w:rsidR="00C747F6">
        <w:t xml:space="preserve"> at the point in time where </w:t>
      </w:r>
      <w:r w:rsidR="00F9728E">
        <w:t xml:space="preserve">NOPSEMA </w:t>
      </w:r>
      <w:r w:rsidR="00C747F6">
        <w:t>may investigate for the purposes of a prosecution</w:t>
      </w:r>
      <w:r w:rsidR="00EE6126">
        <w:t>. Civil action is not within the scope of the CDPP</w:t>
      </w:r>
    </w:p>
    <w:p w14:paraId="60504C40" w14:textId="30D26F2C" w:rsidR="00784B9A" w:rsidRDefault="00784B9A" w:rsidP="000C1F53">
      <w:pPr>
        <w:pStyle w:val="BodycopyNEW0"/>
        <w:numPr>
          <w:ilvl w:val="0"/>
          <w:numId w:val="23"/>
        </w:numPr>
        <w:ind w:left="378"/>
      </w:pPr>
      <w:r>
        <w:t xml:space="preserve">NOPSEMA </w:t>
      </w:r>
      <w:r w:rsidR="00873850">
        <w:t xml:space="preserve">generally </w:t>
      </w:r>
      <w:r>
        <w:t xml:space="preserve">refers a small number of matters to the CDPP </w:t>
      </w:r>
    </w:p>
    <w:p w14:paraId="67421CC3" w14:textId="1F565B9B" w:rsidR="00784B9A" w:rsidRDefault="00784B9A" w:rsidP="000C1F53">
      <w:pPr>
        <w:pStyle w:val="BodycopyNEW0"/>
        <w:numPr>
          <w:ilvl w:val="0"/>
          <w:numId w:val="23"/>
        </w:numPr>
        <w:ind w:left="378"/>
      </w:pPr>
      <w:r>
        <w:t xml:space="preserve">The CDPP </w:t>
      </w:r>
      <w:r w:rsidR="00F2365A">
        <w:t>based out of its Adelaide office</w:t>
      </w:r>
      <w:r w:rsidR="00650AAA">
        <w:t xml:space="preserve"> is</w:t>
      </w:r>
      <w:r w:rsidR="00F2365A">
        <w:t xml:space="preserve"> responsible for supporting NOPSEMA in its enforcement/prosecution efforts. We understand the teams that support are not safety or environment legal practitioners, they are specialist criminal lawyers</w:t>
      </w:r>
      <w:r w:rsidR="005C070C">
        <w:t>, who rely on the expertise of NOPSEMA and independent experts</w:t>
      </w:r>
      <w:r w:rsidR="0031245F">
        <w:t>,</w:t>
      </w:r>
      <w:r w:rsidR="005C070C">
        <w:t xml:space="preserve"> as </w:t>
      </w:r>
      <w:r w:rsidR="0031245F">
        <w:t>required</w:t>
      </w:r>
    </w:p>
    <w:p w14:paraId="7191A8C3" w14:textId="123A50F1" w:rsidR="00E12E42" w:rsidRDefault="00E12E42" w:rsidP="000C1F53">
      <w:pPr>
        <w:pStyle w:val="BodycopyNEW0"/>
        <w:numPr>
          <w:ilvl w:val="0"/>
          <w:numId w:val="23"/>
        </w:numPr>
        <w:ind w:left="378"/>
      </w:pPr>
      <w:r>
        <w:t xml:space="preserve">The CDPP </w:t>
      </w:r>
      <w:r w:rsidR="00574309">
        <w:t xml:space="preserve">maintains independence from the investigation by only engaging with NOPSEMA in a pre-brief </w:t>
      </w:r>
      <w:r w:rsidR="00D83199">
        <w:t>advice</w:t>
      </w:r>
      <w:r w:rsidR="00574309">
        <w:t xml:space="preserve"> </w:t>
      </w:r>
      <w:r w:rsidR="00D83199">
        <w:t xml:space="preserve">conversation </w:t>
      </w:r>
      <w:r w:rsidR="00574309">
        <w:t>and providing support</w:t>
      </w:r>
      <w:r w:rsidR="0060369D">
        <w:t>,</w:t>
      </w:r>
      <w:r w:rsidR="00574309">
        <w:t xml:space="preserve"> upon request</w:t>
      </w:r>
    </w:p>
    <w:p w14:paraId="3BF0BAE6" w14:textId="580995BB" w:rsidR="00FE102C" w:rsidRDefault="00574309" w:rsidP="000C1F53">
      <w:pPr>
        <w:pStyle w:val="BodycopyNEW0"/>
        <w:numPr>
          <w:ilvl w:val="0"/>
          <w:numId w:val="23"/>
        </w:numPr>
        <w:ind w:left="378"/>
      </w:pPr>
      <w:r>
        <w:t xml:space="preserve">NOPSEMA provides a brief of evidence to </w:t>
      </w:r>
      <w:r w:rsidR="00FC180E">
        <w:t>the CDPP</w:t>
      </w:r>
      <w:r w:rsidR="0060369D">
        <w:t xml:space="preserve"> to enable </w:t>
      </w:r>
      <w:r w:rsidR="00EA3E31">
        <w:t xml:space="preserve">an assessment of the evidence and determination </w:t>
      </w:r>
      <w:r w:rsidR="00FE102C">
        <w:t>of proceeding with a prosecution</w:t>
      </w:r>
    </w:p>
    <w:p w14:paraId="6BFCEB8D" w14:textId="4E00B38C" w:rsidR="00FE102C" w:rsidRDefault="00F9728E" w:rsidP="000C1F53">
      <w:pPr>
        <w:pStyle w:val="BodycopyNEW0"/>
        <w:numPr>
          <w:ilvl w:val="0"/>
          <w:numId w:val="23"/>
        </w:numPr>
        <w:ind w:left="378"/>
      </w:pPr>
      <w:r>
        <w:t xml:space="preserve">There is little </w:t>
      </w:r>
      <w:r w:rsidR="00FD589C">
        <w:t>activity</w:t>
      </w:r>
      <w:r>
        <w:t xml:space="preserve"> in prosecuting for the existence of a risk</w:t>
      </w:r>
      <w:r w:rsidR="00FD589C">
        <w:t xml:space="preserve">, with the primary focus being on </w:t>
      </w:r>
      <w:r>
        <w:t>criminal offences where there has been a significant incident.</w:t>
      </w:r>
    </w:p>
    <w:p w14:paraId="4B248498" w14:textId="7551AD7C" w:rsidR="00ED015F" w:rsidRPr="00ED015F" w:rsidRDefault="00ED015F" w:rsidP="0027287B">
      <w:pPr>
        <w:pStyle w:val="BodyCopyNEW"/>
      </w:pPr>
      <w:r>
        <w:t>From our discussion with the CDPP representative</w:t>
      </w:r>
      <w:r w:rsidR="00873850">
        <w:t xml:space="preserve"> (and acknowledging the small number of briefs provided)</w:t>
      </w:r>
      <w:r>
        <w:t>, we understand there are currently no issues with the briefs of evidence developed by NOPSEMA.</w:t>
      </w:r>
      <w:r w:rsidR="00873850">
        <w:t xml:space="preserve"> </w:t>
      </w:r>
    </w:p>
    <w:p w14:paraId="18BA0D3A" w14:textId="1192C96E" w:rsidR="00973186" w:rsidRPr="00C80C12" w:rsidRDefault="00973186" w:rsidP="00784E0E">
      <w:pPr>
        <w:pStyle w:val="Heading3"/>
        <w:numPr>
          <w:ilvl w:val="2"/>
          <w:numId w:val="1"/>
        </w:numPr>
      </w:pPr>
      <w:r w:rsidRPr="00C80C12">
        <w:t xml:space="preserve">Limitation to NOPSEMA’s </w:t>
      </w:r>
      <w:r>
        <w:t>enforcement</w:t>
      </w:r>
      <w:r w:rsidRPr="00C80C12">
        <w:t xml:space="preserve"> powers – Commonwealth legislative matters</w:t>
      </w:r>
    </w:p>
    <w:p w14:paraId="299F6300" w14:textId="0B8BE4CC" w:rsidR="00165775" w:rsidRPr="00E94BB2" w:rsidRDefault="0060745A" w:rsidP="0027287B">
      <w:pPr>
        <w:pStyle w:val="Heading3NoNumber"/>
      </w:pPr>
      <w:r>
        <w:t>A ‘section 27 offence’ is a standard of WHS laws but is missing from the OPGGS Act</w:t>
      </w:r>
    </w:p>
    <w:p w14:paraId="72142A1D" w14:textId="65690DB1" w:rsidR="007165D4" w:rsidRPr="007165D4" w:rsidRDefault="007165D4" w:rsidP="0027287B">
      <w:pPr>
        <w:pStyle w:val="BodyCopyNEW"/>
      </w:pPr>
      <w:r w:rsidRPr="007165D4">
        <w:t xml:space="preserve">The absence of an ‘officer due diligence’ duty and counterpart offence creating provision that impose personal liability upon individuals that are positioned to influence legal compliance </w:t>
      </w:r>
      <w:r w:rsidR="00546F7A">
        <w:t>should be addressed</w:t>
      </w:r>
      <w:r w:rsidRPr="007165D4">
        <w:t xml:space="preserve">. </w:t>
      </w:r>
      <w:r w:rsidR="009B76FD">
        <w:t>For instance,</w:t>
      </w:r>
      <w:r w:rsidRPr="007165D4">
        <w:t xml:space="preserve"> such a duty </w:t>
      </w:r>
      <w:r w:rsidR="009B76FD">
        <w:t xml:space="preserve">has </w:t>
      </w:r>
      <w:r w:rsidR="009B76FD" w:rsidRPr="007165D4">
        <w:t>applie</w:t>
      </w:r>
      <w:r w:rsidR="009B76FD">
        <w:t>d</w:t>
      </w:r>
      <w:r w:rsidRPr="007165D4">
        <w:t xml:space="preserve"> across most Australian </w:t>
      </w:r>
      <w:r w:rsidR="0070571F">
        <w:t>s</w:t>
      </w:r>
      <w:r w:rsidR="0070571F" w:rsidRPr="007165D4">
        <w:t>tates</w:t>
      </w:r>
      <w:r w:rsidRPr="007165D4">
        <w:t>/</w:t>
      </w:r>
      <w:r w:rsidR="0070571F">
        <w:t>t</w:t>
      </w:r>
      <w:r w:rsidRPr="007165D4">
        <w:t>erritories since at least 2011 in the form of section 27 of harmonised WHS laws.</w:t>
      </w:r>
    </w:p>
    <w:p w14:paraId="0AA08AE5" w14:textId="572299A7" w:rsidR="007165D4" w:rsidRPr="007165D4" w:rsidRDefault="007165D4" w:rsidP="0027287B">
      <w:pPr>
        <w:pStyle w:val="BodyCopyNEW"/>
      </w:pPr>
      <w:r w:rsidRPr="007165D4">
        <w:t xml:space="preserve">The high-water mark of the </w:t>
      </w:r>
      <w:r w:rsidR="003A773F">
        <w:t>OPGGS</w:t>
      </w:r>
      <w:r w:rsidRPr="007165D4">
        <w:t xml:space="preserve"> Act is that the state of mind and/or conduct of a director may be imputed to a body corporate for the purpose of a proceeding against it for an offence against a listed OHS offence under the </w:t>
      </w:r>
      <w:r w:rsidR="00AD2F18">
        <w:t xml:space="preserve">OPGGS </w:t>
      </w:r>
      <w:r w:rsidRPr="007165D4">
        <w:t xml:space="preserve">Act </w:t>
      </w:r>
      <w:r w:rsidRPr="00C53E4C">
        <w:t>unless</w:t>
      </w:r>
      <w:r>
        <w:t xml:space="preserve">, in the case of conduct, </w:t>
      </w:r>
      <w:r w:rsidRPr="00C53E4C">
        <w:t xml:space="preserve">it </w:t>
      </w:r>
      <w:r>
        <w:t xml:space="preserve">is established that </w:t>
      </w:r>
      <w:r w:rsidRPr="00C53E4C">
        <w:t xml:space="preserve">it </w:t>
      </w:r>
      <w:r w:rsidRPr="007165D4">
        <w:t>‘took reasonable precautions and exercised due diligence’</w:t>
      </w:r>
      <w:r w:rsidRPr="00C53E4C">
        <w:t xml:space="preserve"> to avoid the conduct</w:t>
      </w:r>
      <w:r w:rsidRPr="007165D4">
        <w:t xml:space="preserve"> – refer section 90 of Schedule 3 OHS of the </w:t>
      </w:r>
      <w:r w:rsidR="00AD2F18">
        <w:t xml:space="preserve">OPGGS </w:t>
      </w:r>
      <w:r w:rsidRPr="007165D4">
        <w:t xml:space="preserve">Act. This falls well short of imposing personal liability upon a director or other officer that can be enforced under the </w:t>
      </w:r>
      <w:r w:rsidR="00AD2F18">
        <w:t xml:space="preserve">OPGGS </w:t>
      </w:r>
      <w:r w:rsidRPr="007165D4">
        <w:t>Act.</w:t>
      </w:r>
    </w:p>
    <w:p w14:paraId="4BFD21B9" w14:textId="18C9DF48" w:rsidR="007165D4" w:rsidRPr="007165D4" w:rsidRDefault="007165D4" w:rsidP="0027287B">
      <w:pPr>
        <w:pStyle w:val="BodyCopyNEW"/>
      </w:pPr>
      <w:r w:rsidRPr="007165D4">
        <w:lastRenderedPageBreak/>
        <w:t xml:space="preserve">This omission deprives NOPSEMA, in its capacity as the regulator, from reliance upon the following that significantly enhance compliance with the </w:t>
      </w:r>
      <w:r w:rsidR="00AD2F18">
        <w:t xml:space="preserve">OPGGS </w:t>
      </w:r>
      <w:r w:rsidRPr="007165D4">
        <w:t>Act:</w:t>
      </w:r>
    </w:p>
    <w:p w14:paraId="49038854" w14:textId="190553BD" w:rsidR="007165D4" w:rsidRPr="007165D4" w:rsidRDefault="007165D4" w:rsidP="000C1F53">
      <w:pPr>
        <w:pStyle w:val="BodycopyNEW0"/>
        <w:numPr>
          <w:ilvl w:val="0"/>
          <w:numId w:val="23"/>
        </w:numPr>
        <w:ind w:left="378"/>
      </w:pPr>
      <w:r w:rsidRPr="007165D4">
        <w:t>A positive due diligence duty requiring officers (directors and others) to proactively discharge a continuous duty to ensure compliance by entities they control with WHS duties and obligations under the</w:t>
      </w:r>
      <w:r w:rsidR="00AD2F18">
        <w:t xml:space="preserve"> OPGGS</w:t>
      </w:r>
      <w:r w:rsidRPr="007165D4">
        <w:t xml:space="preserve"> Act </w:t>
      </w:r>
    </w:p>
    <w:p w14:paraId="2198E78F" w14:textId="505121C3" w:rsidR="007165D4" w:rsidRPr="007165D4" w:rsidRDefault="007165D4" w:rsidP="000C1F53">
      <w:pPr>
        <w:pStyle w:val="BodycopyNEW0"/>
        <w:numPr>
          <w:ilvl w:val="0"/>
          <w:numId w:val="23"/>
        </w:numPr>
        <w:ind w:left="378"/>
      </w:pPr>
      <w:r w:rsidRPr="007165D4">
        <w:t xml:space="preserve">Clear legislative guidance provided to officers by means of a non-exhaustive list of steps they must take to discharge their due diligence duties and ensure compliance by the entity they control with WHS laws – refer section 27(5) of harmonised WHS laws (NOTE: ‘due diligence’ referred to in section 90 of Schedule 3 OHS of the </w:t>
      </w:r>
      <w:r w:rsidR="00AD2F18">
        <w:t xml:space="preserve">OPGGS </w:t>
      </w:r>
      <w:r w:rsidRPr="007165D4">
        <w:t>Act is not defined by the Act and, accordingly, there is no legislative guidance similar to section 27 of WHS harmonised laws)</w:t>
      </w:r>
    </w:p>
    <w:p w14:paraId="27FB157D" w14:textId="00151A79" w:rsidR="007165D4" w:rsidRDefault="007165D4" w:rsidP="000C1F53">
      <w:pPr>
        <w:pStyle w:val="BodycopyNEW0"/>
        <w:numPr>
          <w:ilvl w:val="0"/>
          <w:numId w:val="23"/>
        </w:numPr>
        <w:ind w:left="378"/>
      </w:pPr>
      <w:r w:rsidRPr="007165D4">
        <w:t>Imposition of personal liability upon an officer by, ultimately</w:t>
      </w:r>
      <w:r w:rsidRPr="001C5881">
        <w:rPr>
          <w:szCs w:val="18"/>
        </w:rPr>
        <w:t>, lifting of the corporate veil</w:t>
      </w:r>
      <w:r w:rsidR="00085AF4" w:rsidRPr="001C5881">
        <w:rPr>
          <w:rStyle w:val="FootnoteReference"/>
          <w:sz w:val="18"/>
          <w:szCs w:val="18"/>
        </w:rPr>
        <w:footnoteReference w:id="25"/>
      </w:r>
      <w:r w:rsidRPr="001C5881">
        <w:rPr>
          <w:szCs w:val="18"/>
        </w:rPr>
        <w:t xml:space="preserve"> and enabling</w:t>
      </w:r>
      <w:r w:rsidRPr="007165D4">
        <w:t xml:space="preserve"> enforcement action to be taken directly against individual ‘officers’ in the event of breaches of the </w:t>
      </w:r>
      <w:r w:rsidR="00AD2F18">
        <w:t xml:space="preserve">OPGGS </w:t>
      </w:r>
      <w:r w:rsidRPr="007165D4">
        <w:t xml:space="preserve">Act thereby increasing the likelihood of compliance with the </w:t>
      </w:r>
      <w:r w:rsidR="00AD2F18">
        <w:t xml:space="preserve">OPGGS </w:t>
      </w:r>
      <w:r w:rsidRPr="007165D4">
        <w:t>Act – unlike a corporation or other entity an officer ‘has soul that may be damned and a body to be kicked’</w:t>
      </w:r>
    </w:p>
    <w:p w14:paraId="1318A084" w14:textId="5204A0C7" w:rsidR="007165D4" w:rsidRPr="007165D4" w:rsidRDefault="007165D4" w:rsidP="000C1F53">
      <w:pPr>
        <w:pStyle w:val="BodycopyNEW0"/>
        <w:numPr>
          <w:ilvl w:val="0"/>
          <w:numId w:val="23"/>
        </w:numPr>
        <w:ind w:left="378"/>
      </w:pPr>
      <w:r w:rsidRPr="007165D4">
        <w:t xml:space="preserve">Taking enforcement action against an officer for a breach of the </w:t>
      </w:r>
      <w:r w:rsidR="00AD2F18">
        <w:t xml:space="preserve">OPGGS </w:t>
      </w:r>
      <w:r w:rsidRPr="007165D4">
        <w:t xml:space="preserve">Act that has both a specific deterrent effect but, more significantly, a broader general deterrent effect across industry resulting in greater compliance with the </w:t>
      </w:r>
      <w:r w:rsidR="00AD2F18">
        <w:t xml:space="preserve">OPGGS </w:t>
      </w:r>
      <w:r w:rsidRPr="007165D4">
        <w:t>Act</w:t>
      </w:r>
      <w:r w:rsidR="00B63993">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4B0A33" w:rsidRPr="00040C83" w14:paraId="22CF9205" w14:textId="77777777" w:rsidTr="009D3577">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0F11394A" w14:textId="3212F292" w:rsidR="004B0A33" w:rsidRPr="00A470B1" w:rsidRDefault="004B0A33" w:rsidP="00053250">
            <w:pPr>
              <w:pStyle w:val="TableHeadingLeft"/>
              <w:rPr>
                <w:bCs/>
              </w:rPr>
            </w:pPr>
            <w:r w:rsidRPr="00A470B1">
              <w:rPr>
                <w:bCs/>
              </w:rPr>
              <w:t>Recommendation</w:t>
            </w:r>
            <w:r w:rsidR="005C36C3" w:rsidRPr="00A470B1">
              <w:rPr>
                <w:bCs/>
              </w:rPr>
              <w:t xml:space="preserve"> #</w:t>
            </w:r>
            <w:r w:rsidR="003D79E0">
              <w:rPr>
                <w:bCs/>
              </w:rPr>
              <w:t>8</w:t>
            </w:r>
          </w:p>
        </w:tc>
      </w:tr>
      <w:tr w:rsidR="00040C83" w:rsidRPr="00040C83" w14:paraId="6FE776E1" w14:textId="77777777" w:rsidTr="009D3577">
        <w:tc>
          <w:tcPr>
            <w:tcW w:w="9864" w:type="dxa"/>
            <w:tcBorders>
              <w:bottom w:val="nil"/>
            </w:tcBorders>
            <w:shd w:val="clear" w:color="auto" w:fill="F2F2F2" w:themeFill="background1" w:themeFillShade="F2"/>
          </w:tcPr>
          <w:p w14:paraId="10217DE5" w14:textId="5327EF0E" w:rsidR="004B0A33" w:rsidRPr="00D805E2" w:rsidRDefault="00763FBB" w:rsidP="0027287B">
            <w:pPr>
              <w:pStyle w:val="BodyCopyNEW"/>
              <w:rPr>
                <w:rFonts w:cs="Calibri"/>
                <w:szCs w:val="18"/>
              </w:rPr>
            </w:pPr>
            <w:r>
              <w:t>The Government should consider amending the OPGGS Act to include provisions similar to</w:t>
            </w:r>
            <w:r w:rsidRPr="004367F1">
              <w:rPr>
                <w:rFonts w:cs="Calibri"/>
                <w:szCs w:val="18"/>
              </w:rPr>
              <w:t xml:space="preserve"> </w:t>
            </w:r>
            <w:r w:rsidRPr="004367F1">
              <w:rPr>
                <w:szCs w:val="18"/>
              </w:rPr>
              <w:t>a ‘section 27 offence’ under the Australian Work Health and Safety harmonised laws (that is, for officers of the organisations to have a duty to demonstrate they have exercised due diligence to ensure the organisation has complied with its duty under the OPGGS Act).</w:t>
            </w:r>
          </w:p>
        </w:tc>
      </w:tr>
    </w:tbl>
    <w:p w14:paraId="37279C67" w14:textId="5B897BD0" w:rsidR="00913564" w:rsidRDefault="00913564" w:rsidP="00784E0E">
      <w:pPr>
        <w:pStyle w:val="Heading3"/>
        <w:numPr>
          <w:ilvl w:val="2"/>
          <w:numId w:val="1"/>
        </w:numPr>
      </w:pPr>
      <w:r>
        <w:t>NOPTA and NOPSEMA’s cooperation on enforcement matters</w:t>
      </w:r>
    </w:p>
    <w:p w14:paraId="2782D93E" w14:textId="45A8A72F" w:rsidR="00AB63D4" w:rsidRDefault="00AB63D4" w:rsidP="008756EF">
      <w:pPr>
        <w:rPr>
          <w:rFonts w:ascii="Calibri Light" w:hAnsi="Calibri Light" w:cs="Calibri Light"/>
        </w:rPr>
      </w:pPr>
      <w:r>
        <w:rPr>
          <w:rFonts w:ascii="Calibri Light" w:hAnsi="Calibri Light" w:cs="Calibri Light"/>
          <w:b/>
          <w:bCs/>
          <w:sz w:val="20"/>
          <w:szCs w:val="20"/>
        </w:rPr>
        <w:t xml:space="preserve">NOPSEMA should proactively </w:t>
      </w:r>
      <w:r w:rsidR="00BF3620">
        <w:rPr>
          <w:rFonts w:ascii="Calibri Light" w:hAnsi="Calibri Light" w:cs="Calibri Light"/>
          <w:b/>
          <w:bCs/>
          <w:sz w:val="20"/>
          <w:szCs w:val="20"/>
        </w:rPr>
        <w:t>assist with advising</w:t>
      </w:r>
      <w:r>
        <w:rPr>
          <w:rFonts w:ascii="Calibri Light" w:hAnsi="Calibri Light" w:cs="Calibri Light"/>
          <w:b/>
          <w:bCs/>
          <w:sz w:val="20"/>
          <w:szCs w:val="20"/>
        </w:rPr>
        <w:t xml:space="preserve"> NOPTA on </w:t>
      </w:r>
      <w:r w:rsidR="00BF3620">
        <w:rPr>
          <w:rFonts w:ascii="Calibri Light" w:hAnsi="Calibri Light" w:cs="Calibri Light"/>
          <w:b/>
          <w:bCs/>
          <w:sz w:val="20"/>
          <w:szCs w:val="20"/>
        </w:rPr>
        <w:t>instances where NOPSEMA’s</w:t>
      </w:r>
      <w:r w:rsidR="006605CD">
        <w:rPr>
          <w:rFonts w:ascii="Calibri Light" w:hAnsi="Calibri Light" w:cs="Calibri Light"/>
          <w:b/>
          <w:bCs/>
          <w:sz w:val="20"/>
          <w:szCs w:val="20"/>
        </w:rPr>
        <w:t xml:space="preserve"> </w:t>
      </w:r>
      <w:r w:rsidR="00C10336">
        <w:rPr>
          <w:rFonts w:ascii="Calibri Light" w:hAnsi="Calibri Light" w:cs="Calibri Light"/>
          <w:b/>
          <w:bCs/>
          <w:sz w:val="20"/>
          <w:szCs w:val="20"/>
        </w:rPr>
        <w:t>enforcement powers might be applied in support of desired titles administrator outcomes</w:t>
      </w:r>
      <w:r w:rsidR="006605CD">
        <w:rPr>
          <w:rFonts w:ascii="Calibri Light" w:hAnsi="Calibri Light" w:cs="Calibri Light"/>
          <w:b/>
          <w:bCs/>
          <w:sz w:val="20"/>
          <w:szCs w:val="20"/>
        </w:rPr>
        <w:t xml:space="preserve"> </w:t>
      </w:r>
    </w:p>
    <w:p w14:paraId="0A0C7107" w14:textId="573CF6B2" w:rsidR="008756EF" w:rsidRPr="00C33D0A" w:rsidRDefault="00C10336" w:rsidP="00077A9D">
      <w:pPr>
        <w:rPr>
          <w:rFonts w:ascii="Calibri Light" w:hAnsi="Calibri Light" w:cs="Calibri Light"/>
        </w:rPr>
      </w:pPr>
      <w:r w:rsidRPr="00C33D0A">
        <w:rPr>
          <w:rFonts w:ascii="Calibri Light" w:hAnsi="Calibri Light" w:cs="Calibri Light"/>
        </w:rPr>
        <w:t xml:space="preserve">In brief, </w:t>
      </w:r>
      <w:r w:rsidR="008756EF" w:rsidRPr="00C33D0A">
        <w:rPr>
          <w:rFonts w:ascii="Calibri Light" w:hAnsi="Calibri Light" w:cs="Calibri Light"/>
        </w:rPr>
        <w:t>NOPTA as an administrator has limited enforcement powers directly. NOPTA can advise on the use of enforcement action</w:t>
      </w:r>
      <w:r w:rsidRPr="00C33D0A">
        <w:rPr>
          <w:rFonts w:ascii="Calibri Light" w:hAnsi="Calibri Light" w:cs="Calibri Light"/>
        </w:rPr>
        <w:t xml:space="preserve"> v</w:t>
      </w:r>
      <w:r w:rsidR="008756EF" w:rsidRPr="00C33D0A">
        <w:rPr>
          <w:rFonts w:ascii="Calibri Light" w:hAnsi="Calibri Light" w:cs="Calibri Light"/>
        </w:rPr>
        <w:t>ia NOPSEMA, as the offshore legislative framework’s regulator</w:t>
      </w:r>
      <w:r w:rsidR="00331E8A">
        <w:rPr>
          <w:rFonts w:ascii="Calibri Light" w:hAnsi="Calibri Light" w:cs="Calibri Light"/>
        </w:rPr>
        <w:t xml:space="preserve"> to help ensure compliance with activities such as work programs or data submissions by titleholders.</w:t>
      </w:r>
    </w:p>
    <w:p w14:paraId="5AA4658A" w14:textId="50001DC0" w:rsidR="008756EF" w:rsidRPr="00077A9D" w:rsidRDefault="008756EF" w:rsidP="008756EF">
      <w:pPr>
        <w:rPr>
          <w:rFonts w:ascii="Calibri Light" w:eastAsia="Times New Roman" w:hAnsi="Calibri Light" w:cs="Calibri Light"/>
        </w:rPr>
      </w:pPr>
      <w:r w:rsidRPr="00C33D0A">
        <w:rPr>
          <w:rFonts w:ascii="Calibri Light" w:hAnsi="Calibri Light" w:cs="Calibri Light"/>
        </w:rPr>
        <w:t>NOPTA may, under section 601 of the OPGGS Act (‘NOPSEMA Laws’), call on NOPSEMA’s enforcement powers as the single offshore regulator who is, among other things, responsible for the compliance and enforcement activities for Australia’s offshore regime under the OPGGS Act</w:t>
      </w:r>
      <w:r w:rsidR="008079C6" w:rsidRPr="00077A9D">
        <w:rPr>
          <w:rStyle w:val="FootnoteReference"/>
          <w:rFonts w:cs="Calibri Light"/>
          <w:sz w:val="18"/>
        </w:rPr>
        <w:footnoteReference w:id="26"/>
      </w:r>
      <w:r w:rsidRPr="00C33D0A">
        <w:rPr>
          <w:rFonts w:ascii="Calibri Light" w:hAnsi="Calibri Light" w:cs="Calibri Light"/>
        </w:rPr>
        <w:t xml:space="preserve">. By way of example only, specific laws </w:t>
      </w:r>
      <w:r w:rsidR="00331E8A">
        <w:rPr>
          <w:rFonts w:ascii="Calibri Light" w:hAnsi="Calibri Light" w:cs="Calibri Light"/>
        </w:rPr>
        <w:t>(referring to</w:t>
      </w:r>
      <w:r w:rsidR="00F8476B" w:rsidRPr="00F8476B">
        <w:rPr>
          <w:rFonts w:ascii="Calibri Light" w:hAnsi="Calibri Light" w:cs="Calibri Light"/>
        </w:rPr>
        <w:t xml:space="preserve"> </w:t>
      </w:r>
      <w:r w:rsidR="00F8476B" w:rsidRPr="00F8476B">
        <w:rPr>
          <w:rFonts w:ascii="Calibri Light" w:hAnsi="Calibri Light" w:cs="Calibri Light"/>
          <w:b/>
          <w:bCs/>
        </w:rPr>
        <w:fldChar w:fldCharType="begin"/>
      </w:r>
      <w:r w:rsidR="00F8476B" w:rsidRPr="00F8476B">
        <w:rPr>
          <w:rFonts w:ascii="Calibri Light" w:hAnsi="Calibri Light" w:cs="Calibri Light"/>
          <w:b/>
          <w:bCs/>
        </w:rPr>
        <w:instrText xml:space="preserve"> REF _Ref58705727 \h  \* MERGEFORMAT </w:instrText>
      </w:r>
      <w:r w:rsidR="00F8476B" w:rsidRPr="00F8476B">
        <w:rPr>
          <w:rFonts w:ascii="Calibri Light" w:hAnsi="Calibri Light" w:cs="Calibri Light"/>
          <w:b/>
          <w:bCs/>
        </w:rPr>
      </w:r>
      <w:r w:rsidR="00F8476B" w:rsidRPr="00F8476B">
        <w:rPr>
          <w:rFonts w:ascii="Calibri Light" w:hAnsi="Calibri Light" w:cs="Calibri Light"/>
          <w:b/>
          <w:bCs/>
        </w:rPr>
        <w:fldChar w:fldCharType="separate"/>
      </w:r>
      <w:r w:rsidR="00E816B8" w:rsidRPr="00E816B8">
        <w:rPr>
          <w:rFonts w:ascii="Calibri Light" w:hAnsi="Calibri Light" w:cs="Calibri Light"/>
          <w:b/>
          <w:bCs/>
        </w:rPr>
        <w:t xml:space="preserve">Table </w:t>
      </w:r>
      <w:r w:rsidR="00E816B8" w:rsidRPr="00E816B8">
        <w:rPr>
          <w:rFonts w:ascii="Calibri Light" w:hAnsi="Calibri Light" w:cs="Calibri Light"/>
          <w:b/>
          <w:bCs/>
          <w:noProof/>
        </w:rPr>
        <w:t>6.5</w:t>
      </w:r>
      <w:r w:rsidR="00F8476B" w:rsidRPr="00F8476B">
        <w:rPr>
          <w:rFonts w:ascii="Calibri Light" w:hAnsi="Calibri Light" w:cs="Calibri Light"/>
          <w:b/>
          <w:bCs/>
        </w:rPr>
        <w:fldChar w:fldCharType="end"/>
      </w:r>
      <w:r w:rsidR="00F8476B" w:rsidRPr="00F8476B">
        <w:rPr>
          <w:rFonts w:ascii="Calibri Light" w:hAnsi="Calibri Light" w:cs="Calibri Light"/>
          <w:b/>
          <w:bCs/>
        </w:rPr>
        <w:t xml:space="preserve"> </w:t>
      </w:r>
      <w:r w:rsidR="00331E8A" w:rsidRPr="00901C7B">
        <w:rPr>
          <w:rFonts w:ascii="Calibri Light" w:hAnsi="Calibri Light" w:cs="Calibri Light"/>
        </w:rPr>
        <w:t>above)</w:t>
      </w:r>
      <w:r w:rsidR="00F8476B">
        <w:t xml:space="preserve"> </w:t>
      </w:r>
      <w:r w:rsidRPr="00C33D0A">
        <w:rPr>
          <w:rFonts w:ascii="Calibri Light" w:hAnsi="Calibri Light" w:cs="Calibri Light"/>
        </w:rPr>
        <w:t>that could be viewed as being beyond the scope of NOPSEMA’s current regulatory focus (i.e. safety, well integrity, or environment) include:</w:t>
      </w:r>
    </w:p>
    <w:p w14:paraId="6FD838B5" w14:textId="2BFD9058" w:rsidR="008756EF" w:rsidRPr="00C33D0A" w:rsidRDefault="008756EF" w:rsidP="000C1F53">
      <w:pPr>
        <w:pStyle w:val="ListParagraph"/>
        <w:numPr>
          <w:ilvl w:val="0"/>
          <w:numId w:val="22"/>
        </w:numPr>
        <w:spacing w:after="120" w:line="240" w:lineRule="auto"/>
        <w:ind w:left="357" w:hanging="357"/>
        <w:contextualSpacing w:val="0"/>
        <w:rPr>
          <w:rFonts w:ascii="Calibri Light" w:hAnsi="Calibri Light" w:cs="Calibri Light"/>
        </w:rPr>
      </w:pPr>
      <w:r w:rsidRPr="00C33D0A">
        <w:rPr>
          <w:rFonts w:ascii="Calibri Light" w:hAnsi="Calibri Light" w:cs="Calibri Light"/>
        </w:rPr>
        <w:t xml:space="preserve">1: Chapter 2 of the </w:t>
      </w:r>
      <w:r w:rsidR="009248AD">
        <w:rPr>
          <w:rFonts w:ascii="Calibri Light" w:hAnsi="Calibri Light" w:cs="Calibri Light"/>
        </w:rPr>
        <w:t xml:space="preserve">OPGGS </w:t>
      </w:r>
      <w:r w:rsidRPr="00C33D0A">
        <w:rPr>
          <w:rFonts w:ascii="Calibri Light" w:hAnsi="Calibri Light" w:cs="Calibri Light"/>
        </w:rPr>
        <w:t xml:space="preserve">Act – regulation of activities related to petroleum </w:t>
      </w:r>
    </w:p>
    <w:p w14:paraId="55046A8B" w14:textId="008BF6F2" w:rsidR="008756EF" w:rsidRPr="00C33D0A" w:rsidRDefault="008756EF" w:rsidP="000C1F53">
      <w:pPr>
        <w:pStyle w:val="ListParagraph"/>
        <w:numPr>
          <w:ilvl w:val="0"/>
          <w:numId w:val="22"/>
        </w:numPr>
        <w:spacing w:after="120" w:line="240" w:lineRule="auto"/>
        <w:ind w:left="357" w:hanging="357"/>
        <w:contextualSpacing w:val="0"/>
        <w:rPr>
          <w:rFonts w:ascii="Calibri Light" w:hAnsi="Calibri Light" w:cs="Calibri Light"/>
        </w:rPr>
      </w:pPr>
      <w:r w:rsidRPr="00C33D0A">
        <w:rPr>
          <w:rFonts w:ascii="Calibri Light" w:hAnsi="Calibri Light" w:cs="Calibri Light"/>
        </w:rPr>
        <w:t xml:space="preserve">2: Chapter 4 of the </w:t>
      </w:r>
      <w:r w:rsidR="009248AD">
        <w:rPr>
          <w:rFonts w:ascii="Calibri Light" w:hAnsi="Calibri Light" w:cs="Calibri Light"/>
        </w:rPr>
        <w:t xml:space="preserve">OPGGS </w:t>
      </w:r>
      <w:r w:rsidRPr="00C33D0A">
        <w:rPr>
          <w:rFonts w:ascii="Calibri Light" w:hAnsi="Calibri Light" w:cs="Calibri Light"/>
        </w:rPr>
        <w:t>Act – registration of transfers of, and dealings in, petroleum titles</w:t>
      </w:r>
    </w:p>
    <w:p w14:paraId="25783AD4" w14:textId="5B70E4C6" w:rsidR="008756EF" w:rsidRPr="00C33D0A" w:rsidRDefault="008756EF" w:rsidP="000C1F53">
      <w:pPr>
        <w:pStyle w:val="ListParagraph"/>
        <w:numPr>
          <w:ilvl w:val="0"/>
          <w:numId w:val="22"/>
        </w:numPr>
        <w:spacing w:after="120" w:line="240" w:lineRule="auto"/>
        <w:ind w:left="357" w:hanging="357"/>
        <w:contextualSpacing w:val="0"/>
        <w:rPr>
          <w:rFonts w:ascii="Calibri Light" w:hAnsi="Calibri Light" w:cs="Calibri Light"/>
        </w:rPr>
      </w:pPr>
      <w:r w:rsidRPr="00C33D0A">
        <w:rPr>
          <w:rFonts w:ascii="Calibri Light" w:hAnsi="Calibri Light" w:cs="Calibri Light"/>
        </w:rPr>
        <w:t xml:space="preserve">3: Sections 568 and 569 of the </w:t>
      </w:r>
      <w:r w:rsidR="009248AD">
        <w:rPr>
          <w:rFonts w:ascii="Calibri Light" w:hAnsi="Calibri Light" w:cs="Calibri Light"/>
        </w:rPr>
        <w:t xml:space="preserve">OPGGS </w:t>
      </w:r>
      <w:r w:rsidRPr="00C33D0A">
        <w:rPr>
          <w:rFonts w:ascii="Calibri Light" w:hAnsi="Calibri Light" w:cs="Calibri Light"/>
        </w:rPr>
        <w:t>Act – works and operations obligation of petroleum titleholders</w:t>
      </w:r>
    </w:p>
    <w:p w14:paraId="107592D0" w14:textId="4692B3D7" w:rsidR="008756EF" w:rsidRPr="00C33D0A" w:rsidRDefault="008756EF" w:rsidP="000C1F53">
      <w:pPr>
        <w:pStyle w:val="ListParagraph"/>
        <w:numPr>
          <w:ilvl w:val="0"/>
          <w:numId w:val="22"/>
        </w:numPr>
        <w:spacing w:after="120" w:line="240" w:lineRule="auto"/>
        <w:ind w:left="357" w:hanging="357"/>
        <w:contextualSpacing w:val="0"/>
        <w:rPr>
          <w:rFonts w:ascii="Calibri Light" w:hAnsi="Calibri Light" w:cs="Calibri Light"/>
        </w:rPr>
      </w:pPr>
      <w:r w:rsidRPr="00C33D0A">
        <w:rPr>
          <w:rFonts w:ascii="Calibri Light" w:hAnsi="Calibri Light" w:cs="Calibri Light"/>
        </w:rPr>
        <w:t>4: Sections 571 and 572 of the</w:t>
      </w:r>
      <w:r w:rsidR="009248AD">
        <w:rPr>
          <w:rFonts w:ascii="Calibri Light" w:hAnsi="Calibri Light" w:cs="Calibri Light"/>
        </w:rPr>
        <w:t xml:space="preserve"> OPGGS</w:t>
      </w:r>
      <w:r w:rsidRPr="00C33D0A">
        <w:rPr>
          <w:rFonts w:ascii="Calibri Light" w:hAnsi="Calibri Light" w:cs="Calibri Light"/>
        </w:rPr>
        <w:t xml:space="preserve"> Act – insurance and property obligations of petroleum titleholders</w:t>
      </w:r>
    </w:p>
    <w:p w14:paraId="098DE718" w14:textId="77777777" w:rsidR="008756EF" w:rsidRPr="00C33D0A" w:rsidRDefault="008756EF" w:rsidP="000C1F53">
      <w:pPr>
        <w:pStyle w:val="ListParagraph"/>
        <w:numPr>
          <w:ilvl w:val="0"/>
          <w:numId w:val="22"/>
        </w:numPr>
        <w:spacing w:after="120" w:line="240" w:lineRule="auto"/>
        <w:ind w:left="357" w:hanging="357"/>
        <w:contextualSpacing w:val="0"/>
        <w:rPr>
          <w:rFonts w:ascii="Calibri Light" w:hAnsi="Calibri Light" w:cs="Calibri Light"/>
        </w:rPr>
      </w:pPr>
      <w:r w:rsidRPr="00C33D0A">
        <w:rPr>
          <w:rFonts w:ascii="Calibri Light" w:hAnsi="Calibri Light" w:cs="Calibri Light"/>
        </w:rPr>
        <w:t>9: Part 6.7 – collection of fees and royalties payable to the Titles Administrator or the Commonwealth</w:t>
      </w:r>
    </w:p>
    <w:p w14:paraId="23E739AB" w14:textId="77777777" w:rsidR="008756EF" w:rsidRPr="00C33D0A" w:rsidRDefault="008756EF" w:rsidP="000C1F53">
      <w:pPr>
        <w:pStyle w:val="ListParagraph"/>
        <w:numPr>
          <w:ilvl w:val="0"/>
          <w:numId w:val="22"/>
        </w:numPr>
        <w:spacing w:after="120" w:line="240" w:lineRule="auto"/>
        <w:ind w:left="357" w:hanging="357"/>
        <w:contextualSpacing w:val="0"/>
        <w:rPr>
          <w:rFonts w:ascii="Calibri Light" w:hAnsi="Calibri Light" w:cs="Calibri Light"/>
        </w:rPr>
      </w:pPr>
      <w:r w:rsidRPr="00C33D0A">
        <w:rPr>
          <w:rFonts w:ascii="Calibri Light" w:hAnsi="Calibri Light" w:cs="Calibri Light"/>
        </w:rPr>
        <w:t>11: Division 4 of Part 6.10 – collection of fees and levies payable to the Titles Administrator.</w:t>
      </w:r>
    </w:p>
    <w:p w14:paraId="789C2691" w14:textId="77777777" w:rsidR="008756EF" w:rsidRPr="00C33D0A" w:rsidRDefault="008756EF" w:rsidP="008756EF">
      <w:pPr>
        <w:rPr>
          <w:rFonts w:ascii="Calibri Light" w:hAnsi="Calibri Light" w:cs="Calibri Light"/>
        </w:rPr>
      </w:pPr>
      <w:r w:rsidRPr="00C33D0A">
        <w:rPr>
          <w:rFonts w:ascii="Calibri Light" w:hAnsi="Calibri Light" w:cs="Calibri Light"/>
        </w:rPr>
        <w:t xml:space="preserve">Additionally, the NOPSEMA CEO may, under section 602(1)(b) of the OPGGS Act, appoint as a NOPSEMA inspector </w:t>
      </w:r>
      <w:r w:rsidRPr="00077A9D">
        <w:rPr>
          <w:rFonts w:ascii="Calibri Light" w:hAnsi="Calibri Light" w:cs="Calibri Light"/>
          <w:i/>
        </w:rPr>
        <w:t>“an employee of the Commonwealth or of a Commonwealth authority”</w:t>
      </w:r>
      <w:r w:rsidRPr="00C33D0A">
        <w:rPr>
          <w:rFonts w:ascii="Calibri Light" w:hAnsi="Calibri Light" w:cs="Calibri Light"/>
        </w:rPr>
        <w:t xml:space="preserve"> (of which NOPTA staff fall under).</w:t>
      </w:r>
    </w:p>
    <w:p w14:paraId="19807387" w14:textId="12D3A3CE" w:rsidR="008756EF" w:rsidRPr="001C4690" w:rsidRDefault="008756EF" w:rsidP="00077A9D">
      <w:pPr>
        <w:pStyle w:val="BodycopyNEW0"/>
        <w:rPr>
          <w:rFonts w:cs="Calibri Light"/>
          <w:szCs w:val="18"/>
        </w:rPr>
      </w:pPr>
      <w:r w:rsidRPr="004C6DE4">
        <w:rPr>
          <w:szCs w:val="18"/>
        </w:rPr>
        <w:t>NOPTA and NOPSEMA have established the Determination No. 2019/1</w:t>
      </w:r>
      <w:r w:rsidRPr="004C6DE4">
        <w:rPr>
          <w:rFonts w:cs="Calibri Light"/>
          <w:i/>
          <w:szCs w:val="18"/>
        </w:rPr>
        <w:t xml:space="preserve"> Payments for NOPSEMA inspectors</w:t>
      </w:r>
      <w:r w:rsidRPr="00C33D0A">
        <w:rPr>
          <w:rFonts w:cs="Calibri Light"/>
          <w:szCs w:val="18"/>
        </w:rPr>
        <w:t xml:space="preserve">, which outlines the amount to be paid by NOPTA to NOPSEMA if the services of NOPSEMA inspectors are required for the exercise of powers relating to the Titles </w:t>
      </w:r>
      <w:r w:rsidRPr="00C33D0A">
        <w:rPr>
          <w:rFonts w:cs="Calibri Light"/>
          <w:szCs w:val="18"/>
        </w:rPr>
        <w:lastRenderedPageBreak/>
        <w:t>Administrator, as described above. The document also details an understanding by both parties that the Titles Administrator may give written directions to a NOPSEMA inspector to exercise powers of entry, monitoring and investigation for the purposes of the OPGGS Act</w:t>
      </w:r>
      <w:r w:rsidR="008079C6" w:rsidRPr="004C6DE4">
        <w:rPr>
          <w:rStyle w:val="FootnoteReference"/>
          <w:rFonts w:cs="Calibri Light"/>
          <w:sz w:val="18"/>
          <w:szCs w:val="18"/>
        </w:rPr>
        <w:footnoteReference w:id="27"/>
      </w:r>
      <w:r w:rsidR="00314065">
        <w:rPr>
          <w:rFonts w:cs="Calibri Light"/>
          <w:szCs w:val="18"/>
        </w:rPr>
        <w:t>.</w:t>
      </w:r>
    </w:p>
    <w:p w14:paraId="29DE7FA1" w14:textId="29F78950" w:rsidR="00C91594" w:rsidRPr="001C4690" w:rsidRDefault="00C91594" w:rsidP="00077A9D">
      <w:pPr>
        <w:pStyle w:val="BodycopyNEW0"/>
        <w:rPr>
          <w:rFonts w:cs="Calibri Light"/>
          <w:szCs w:val="18"/>
        </w:rPr>
      </w:pPr>
      <w:r w:rsidRPr="004C6DE4">
        <w:rPr>
          <w:szCs w:val="18"/>
        </w:rPr>
        <w:t xml:space="preserve">NOPTA advised </w:t>
      </w:r>
      <w:r w:rsidR="00947705">
        <w:rPr>
          <w:szCs w:val="18"/>
        </w:rPr>
        <w:t xml:space="preserve">us that </w:t>
      </w:r>
      <w:r w:rsidRPr="004C6DE4">
        <w:rPr>
          <w:szCs w:val="18"/>
        </w:rPr>
        <w:t xml:space="preserve">they had not been required to </w:t>
      </w:r>
      <w:r w:rsidRPr="00C33D0A">
        <w:rPr>
          <w:rFonts w:cs="Calibri Light"/>
          <w:szCs w:val="18"/>
        </w:rPr>
        <w:t xml:space="preserve">draw on the NOPSEMA enforcement powers during the review period as all compliance outcomes during the period were achieved and met without the need to rely upon </w:t>
      </w:r>
      <w:r w:rsidR="00B73A6D">
        <w:rPr>
          <w:rFonts w:cs="Calibri Light"/>
          <w:szCs w:val="18"/>
        </w:rPr>
        <w:t>NOPSEMA’s</w:t>
      </w:r>
      <w:r w:rsidRPr="00C33D0A">
        <w:rPr>
          <w:rFonts w:cs="Calibri Light"/>
          <w:szCs w:val="18"/>
        </w:rPr>
        <w:t xml:space="preserve"> powers. </w:t>
      </w:r>
      <w:r w:rsidR="0027103F" w:rsidRPr="00077A9D">
        <w:rPr>
          <w:rFonts w:cs="Calibri Light"/>
          <w:szCs w:val="18"/>
        </w:rPr>
        <w:t xml:space="preserve">NOPSEMA advised us that they are prepared to </w:t>
      </w:r>
      <w:r w:rsidR="00AF380C" w:rsidRPr="00077A9D">
        <w:rPr>
          <w:rFonts w:cs="Calibri Light"/>
          <w:szCs w:val="18"/>
        </w:rPr>
        <w:t xml:space="preserve">assist NOPTA in this regard but </w:t>
      </w:r>
      <w:r w:rsidR="001F4B8C">
        <w:rPr>
          <w:rFonts w:cs="Calibri Light"/>
          <w:szCs w:val="18"/>
        </w:rPr>
        <w:t>were not</w:t>
      </w:r>
      <w:r w:rsidR="00AF380C" w:rsidRPr="00077A9D">
        <w:rPr>
          <w:rFonts w:cs="Calibri Light"/>
          <w:szCs w:val="18"/>
        </w:rPr>
        <w:t xml:space="preserve"> asked to do so across the review period.</w:t>
      </w:r>
      <w:r w:rsidRPr="00077A9D">
        <w:rPr>
          <w:rFonts w:cs="Calibri Light"/>
          <w:szCs w:val="18"/>
        </w:rPr>
        <w:t xml:space="preserve"> </w:t>
      </w:r>
      <w:r w:rsidRPr="00C33D0A">
        <w:rPr>
          <w:rFonts w:cs="Calibri Light"/>
          <w:szCs w:val="18"/>
        </w:rPr>
        <w:t>NOPTA acknowledged they may need to rely upon the powers at some time in the future and are ready, willing, and able to do so. We encourage NOPTA and NOPSEMA to ensure opportunities are identified where the regulator could assist the administrator with applying a graduated enforcement approach. That is, ensuring consideration for NOPSEMA’s involvement is not only limited to situations where a serious breach or prosecutable offence may have occurred.</w:t>
      </w:r>
    </w:p>
    <w:p w14:paraId="57D31FA6" w14:textId="38C8699A" w:rsidR="00C91594" w:rsidRPr="00077A9D" w:rsidRDefault="00C91594" w:rsidP="00077A9D">
      <w:pPr>
        <w:pStyle w:val="BodycopyNEW0"/>
        <w:rPr>
          <w:rFonts w:cs="Calibri Light"/>
        </w:rPr>
      </w:pPr>
      <w:r w:rsidRPr="004C6DE4">
        <w:rPr>
          <w:szCs w:val="18"/>
        </w:rPr>
        <w:t>In the event NOPTA is required to rely upon NOPSEMA’s enforcement powers in the future, clarity would need to be provided to industr</w:t>
      </w:r>
      <w:r w:rsidRPr="00C33D0A">
        <w:rPr>
          <w:rFonts w:cs="Calibri Light"/>
          <w:szCs w:val="18"/>
        </w:rPr>
        <w:t xml:space="preserve">y as a whole as to NOPSEMA’s involvement and their role (on behalf of NOPTA) in taking enforcement actions for titles administration-related matters. We are of the </w:t>
      </w:r>
      <w:r w:rsidR="00B81FA1" w:rsidRPr="00077A9D">
        <w:rPr>
          <w:rFonts w:cs="Calibri Light"/>
          <w:szCs w:val="18"/>
        </w:rPr>
        <w:t>view</w:t>
      </w:r>
      <w:r w:rsidRPr="00C33D0A">
        <w:rPr>
          <w:rFonts w:cs="Calibri Light"/>
          <w:szCs w:val="18"/>
        </w:rPr>
        <w:t xml:space="preserve"> that many stakeholders in the industry are likely not aware that NOPSEMA inspectors may be requested to exercise their regulatory powers on behalf of the Titles Administrator for the purposes of the OPGGS Act. This matter could be addressed as part of our earlier recommendation on bringing additional clarity on the roles and responsibilities within the offshore legislative framework.</w:t>
      </w:r>
    </w:p>
    <w:p w14:paraId="6DA53691" w14:textId="0D0FEDEF" w:rsidR="00DC4AA6" w:rsidRPr="00C80C12" w:rsidRDefault="00051505" w:rsidP="00784E0E">
      <w:pPr>
        <w:pStyle w:val="Heading3"/>
        <w:numPr>
          <w:ilvl w:val="2"/>
          <w:numId w:val="1"/>
        </w:numPr>
      </w:pPr>
      <w:r>
        <w:t>Industry perceptions of NOPSEMA’s enforcement actions</w:t>
      </w:r>
    </w:p>
    <w:p w14:paraId="3E597FBB" w14:textId="5C675BE1" w:rsidR="009359E6" w:rsidRDefault="00ED7297" w:rsidP="0027287B">
      <w:pPr>
        <w:pStyle w:val="BodyCopyNEW"/>
      </w:pPr>
      <w:r>
        <w:t xml:space="preserve">Based on our industry consultation activities, we identified that </w:t>
      </w:r>
      <w:r w:rsidR="00E31A90">
        <w:t xml:space="preserve">only </w:t>
      </w:r>
      <w:r w:rsidR="00690E16">
        <w:t>35</w:t>
      </w:r>
      <w:r w:rsidR="00E31A90">
        <w:t xml:space="preserve">% of </w:t>
      </w:r>
      <w:r>
        <w:t xml:space="preserve">respondents </w:t>
      </w:r>
      <w:r w:rsidR="00E31A90">
        <w:t xml:space="preserve">positively </w:t>
      </w:r>
      <w:r>
        <w:t xml:space="preserve">agreed that NOPSEMA has the right </w:t>
      </w:r>
      <w:r w:rsidR="001D4D8F">
        <w:t xml:space="preserve">technical </w:t>
      </w:r>
      <w:r>
        <w:t xml:space="preserve">capability </w:t>
      </w:r>
      <w:r w:rsidR="00682459">
        <w:t>to</w:t>
      </w:r>
      <w:r>
        <w:t xml:space="preserve"> </w:t>
      </w:r>
      <w:r w:rsidR="001D4D8F">
        <w:t>initiate enforcement activities</w:t>
      </w:r>
      <w:r>
        <w:t xml:space="preserve">. </w:t>
      </w:r>
      <w:r w:rsidR="00F6274C">
        <w:t>Stakeholders also provided specific i</w:t>
      </w:r>
      <w:r w:rsidR="00DE61DB">
        <w:t>tems of feedback, including the below:</w:t>
      </w:r>
    </w:p>
    <w:p w14:paraId="78EAF34E" w14:textId="77777777" w:rsidR="006E6DA1" w:rsidRDefault="00ED7297" w:rsidP="000C1F53">
      <w:pPr>
        <w:pStyle w:val="BodycopyNEW0"/>
        <w:numPr>
          <w:ilvl w:val="0"/>
          <w:numId w:val="23"/>
        </w:numPr>
        <w:ind w:left="378"/>
      </w:pPr>
      <w:r w:rsidRPr="00B30436">
        <w:t xml:space="preserve">Enforcement activities are not </w:t>
      </w:r>
      <w:r w:rsidR="008F75F6">
        <w:t xml:space="preserve">always </w:t>
      </w:r>
      <w:r w:rsidRPr="00B30436">
        <w:t>equally applied and</w:t>
      </w:r>
      <w:r w:rsidR="008F75F6">
        <w:t>/or</w:t>
      </w:r>
      <w:r w:rsidRPr="00B30436">
        <w:t xml:space="preserve"> reluctantly applied</w:t>
      </w:r>
      <w:r w:rsidR="00C90FFF">
        <w:t xml:space="preserve">, or </w:t>
      </w:r>
      <w:r w:rsidR="00C90FFF" w:rsidRPr="00C90FFF">
        <w:t>enforcement is not always commensurate with the risk/breach</w:t>
      </w:r>
      <w:r w:rsidR="006E6DA1">
        <w:t xml:space="preserve"> (this sentiment was strongest from non-industry stakeholders)</w:t>
      </w:r>
    </w:p>
    <w:p w14:paraId="6E0C17CD" w14:textId="03368F71" w:rsidR="00AE5BE3" w:rsidRDefault="00AE5BE3" w:rsidP="000C1F53">
      <w:pPr>
        <w:pStyle w:val="BodycopyNEW0"/>
        <w:numPr>
          <w:ilvl w:val="0"/>
          <w:numId w:val="23"/>
        </w:numPr>
        <w:ind w:left="378"/>
      </w:pPr>
      <w:r>
        <w:t>Recognition NOPSEMA has a broad range of enforcement powers, but does not use them</w:t>
      </w:r>
      <w:r w:rsidR="008F75F6">
        <w:t xml:space="preserve"> sufficiently</w:t>
      </w:r>
      <w:r w:rsidR="00366DF2">
        <w:t>,</w:t>
      </w:r>
      <w:r w:rsidR="008F75F6">
        <w:t xml:space="preserve"> </w:t>
      </w:r>
      <w:r w:rsidR="00366DF2">
        <w:t xml:space="preserve">in some cases contributing to an increasing level of public distrust with the industry </w:t>
      </w:r>
      <w:r w:rsidR="008F75F6">
        <w:t xml:space="preserve">(this sentiment was strongest from </w:t>
      </w:r>
      <w:r w:rsidR="00C93007">
        <w:t>non-industry stakeholders)</w:t>
      </w:r>
    </w:p>
    <w:p w14:paraId="1C4B320D" w14:textId="2F390EA7" w:rsidR="003B6830" w:rsidRDefault="003B6830" w:rsidP="000C1F53">
      <w:pPr>
        <w:pStyle w:val="BodycopyNEW0"/>
        <w:numPr>
          <w:ilvl w:val="0"/>
          <w:numId w:val="23"/>
        </w:numPr>
        <w:ind w:left="378"/>
      </w:pPr>
      <w:r>
        <w:t xml:space="preserve">NOPSEMA being extremely risk averse, to the point </w:t>
      </w:r>
      <w:r w:rsidR="001E004D">
        <w:t>there is a perception NOPSEMA endeavour to identify a technical reason to not exercise an enforcement power</w:t>
      </w:r>
    </w:p>
    <w:p w14:paraId="53AA15E5" w14:textId="14FFC889" w:rsidR="00D37C31" w:rsidRDefault="00C90FFF" w:rsidP="000C1F53">
      <w:pPr>
        <w:pStyle w:val="BodycopyNEW0"/>
        <w:numPr>
          <w:ilvl w:val="0"/>
          <w:numId w:val="23"/>
        </w:numPr>
        <w:ind w:left="378"/>
      </w:pPr>
      <w:r w:rsidRPr="00C90FFF">
        <w:t>NOPSEMA could support the industry as a whole better if they focused some enforcement energy and powers on the poor performers in the industry</w:t>
      </w:r>
      <w:r w:rsidR="00D02F99">
        <w:t>. Perception that NOPSEMA has “</w:t>
      </w:r>
      <w:r w:rsidR="00D02F99" w:rsidRPr="00D02F99">
        <w:t>inherent trust in the 'big boys' of the industry</w:t>
      </w:r>
      <w:r w:rsidR="00D02F99">
        <w:t>”</w:t>
      </w:r>
      <w:r w:rsidR="00001CAE">
        <w:t xml:space="preserve"> (industry)</w:t>
      </w:r>
      <w:r w:rsidR="00D02F99">
        <w:t>.</w:t>
      </w:r>
    </w:p>
    <w:p w14:paraId="30B7E186" w14:textId="561B0E34" w:rsidR="00C64E1C" w:rsidRDefault="00D37C31" w:rsidP="0027287B">
      <w:pPr>
        <w:pStyle w:val="BodyCopyNEW"/>
      </w:pPr>
      <w:r>
        <w:t xml:space="preserve">We understand that, to many stakeholders, evidence of NOPSEMA’s use of </w:t>
      </w:r>
      <w:r w:rsidR="00D22E92">
        <w:t xml:space="preserve">sufficient </w:t>
      </w:r>
      <w:r>
        <w:t xml:space="preserve">enforcement is tied to the volume of prosecutions NOPSEMA, through the CDPP, pursues. </w:t>
      </w:r>
      <w:r w:rsidR="007F24BC">
        <w:t xml:space="preserve">The reality is that NOPSEMA’s enforcement actions extend beyond </w:t>
      </w:r>
      <w:r w:rsidR="008D426A">
        <w:t xml:space="preserve">the pursuit of prosecutions. </w:t>
      </w:r>
      <w:r>
        <w:t>There is value in NOPSEMA more actively providing visibility over its general approach to enforcement to stakeholders, to provide greater confidence in its oversight of the industry.</w:t>
      </w:r>
      <w:r w:rsidR="00D22E92">
        <w:t xml:space="preserve"> NOPSEMA </w:t>
      </w:r>
      <w:r w:rsidR="00845579">
        <w:t>should consider publi</w:t>
      </w:r>
      <w:r w:rsidR="00632FE9">
        <w:t xml:space="preserve">shing clearer </w:t>
      </w:r>
      <w:r w:rsidR="00574DEC">
        <w:t xml:space="preserve">rationale for how it applies its enforcement approach in support of </w:t>
      </w:r>
      <w:r w:rsidR="005701F5">
        <w:t>improving compliance and regulatory outcomes.</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5E70D9" w:rsidRPr="00040C83" w14:paraId="2144038E" w14:textId="77777777" w:rsidTr="009D3577">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2CC1C8E0" w14:textId="3F571D9B" w:rsidR="005E70D9" w:rsidRPr="00314065" w:rsidRDefault="005E70D9" w:rsidP="00053250">
            <w:pPr>
              <w:pStyle w:val="TableHeadingLeft"/>
              <w:rPr>
                <w:bCs/>
              </w:rPr>
            </w:pPr>
            <w:r w:rsidRPr="00314065">
              <w:rPr>
                <w:bCs/>
              </w:rPr>
              <w:t>Opportunity #</w:t>
            </w:r>
            <w:r w:rsidR="00C224DC">
              <w:rPr>
                <w:bCs/>
              </w:rPr>
              <w:t>6</w:t>
            </w:r>
          </w:p>
        </w:tc>
      </w:tr>
      <w:tr w:rsidR="00040C83" w:rsidRPr="00040C83" w14:paraId="1803CAE9" w14:textId="77777777" w:rsidTr="009D3577">
        <w:tc>
          <w:tcPr>
            <w:tcW w:w="5000" w:type="pct"/>
            <w:tcBorders>
              <w:bottom w:val="nil"/>
            </w:tcBorders>
            <w:shd w:val="clear" w:color="auto" w:fill="F2F2F2" w:themeFill="background1" w:themeFillShade="F2"/>
          </w:tcPr>
          <w:p w14:paraId="494931AE" w14:textId="2B601DAC" w:rsidR="00A611FB" w:rsidRPr="00040C83" w:rsidRDefault="00A611FB" w:rsidP="00A611FB">
            <w:pPr>
              <w:pStyle w:val="BodyCopyNEW"/>
            </w:pPr>
            <w:r w:rsidRPr="00040C83">
              <w:rPr>
                <w:szCs w:val="18"/>
              </w:rPr>
              <w:t>NOPSEMA is encouraged to more visibly publish its approach to enforcement activities across its graduated set of enforcement options. Clarity should be provided to stakeholders on the rigour and rationale of NOPSEMA’s approach to enforcement actions.</w:t>
            </w:r>
          </w:p>
        </w:tc>
      </w:tr>
    </w:tbl>
    <w:p w14:paraId="5F9047D2" w14:textId="77777777" w:rsidR="001E3F70" w:rsidRDefault="001E3F70" w:rsidP="00E94BB2">
      <w:pPr>
        <w:spacing w:after="120" w:line="240" w:lineRule="auto"/>
        <w:rPr>
          <w:rFonts w:asciiTheme="majorHAnsi" w:hAnsiTheme="majorHAnsi" w:cs="Calibri"/>
        </w:rPr>
        <w:sectPr w:rsidR="001E3F70" w:rsidSect="002B0B05">
          <w:headerReference w:type="default" r:id="rId44"/>
          <w:type w:val="continuous"/>
          <w:pgSz w:w="11906" w:h="16838" w:code="9"/>
          <w:pgMar w:top="1985" w:right="1021" w:bottom="1134" w:left="1021" w:header="680" w:footer="425" w:gutter="0"/>
          <w:cols w:space="284"/>
          <w:docGrid w:linePitch="360"/>
        </w:sectPr>
      </w:pPr>
    </w:p>
    <w:p w14:paraId="014345A6" w14:textId="5781A0C8" w:rsidR="00461A9E" w:rsidRDefault="001D32BA" w:rsidP="00340637">
      <w:pPr>
        <w:pStyle w:val="Heading1"/>
        <w:ind w:right="3627"/>
      </w:pPr>
      <w:bookmarkStart w:id="64" w:name="_Ref55990509"/>
      <w:bookmarkStart w:id="65" w:name="_Toc63970844"/>
      <w:r>
        <w:lastRenderedPageBreak/>
        <w:t xml:space="preserve">How does </w:t>
      </w:r>
      <w:r w:rsidR="00327ACB" w:rsidRPr="0027287B">
        <w:t>NOPSEMA</w:t>
      </w:r>
      <w:r>
        <w:t xml:space="preserve"> regulate and respond to industry through its</w:t>
      </w:r>
      <w:r w:rsidR="00327ACB" w:rsidRPr="0027287B">
        <w:t xml:space="preserve"> </w:t>
      </w:r>
      <w:r w:rsidR="00461A9E" w:rsidRPr="0027287B">
        <w:t>capability and capacity</w:t>
      </w:r>
      <w:bookmarkEnd w:id="64"/>
      <w:r>
        <w:t>?</w:t>
      </w:r>
      <w:bookmarkEnd w:id="65"/>
    </w:p>
    <w:p w14:paraId="529EB3D8" w14:textId="77777777" w:rsidR="00340637" w:rsidRDefault="00340637" w:rsidP="00340637">
      <w:pPr>
        <w:pStyle w:val="Keypoints"/>
      </w:pPr>
    </w:p>
    <w:p w14:paraId="3F5F114F" w14:textId="77777777" w:rsidR="0009767E" w:rsidRDefault="0009767E" w:rsidP="00340637">
      <w:pPr>
        <w:pStyle w:val="Keypoints"/>
      </w:pPr>
    </w:p>
    <w:p w14:paraId="7210732A" w14:textId="52987F78" w:rsidR="00340637" w:rsidRPr="00A706C4" w:rsidRDefault="00340637" w:rsidP="00340637">
      <w:pPr>
        <w:pStyle w:val="Keypoints"/>
      </w:pPr>
      <w:r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5812"/>
        <w:gridCol w:w="4052"/>
      </w:tblGrid>
      <w:tr w:rsidR="00340637" w14:paraId="0C2ADEA9" w14:textId="77777777" w:rsidTr="00040C83">
        <w:trPr>
          <w:cnfStyle w:val="100000000000" w:firstRow="1" w:lastRow="0" w:firstColumn="0" w:lastColumn="0" w:oddVBand="0" w:evenVBand="0" w:oddHBand="0" w:evenHBand="0" w:firstRowFirstColumn="0" w:firstRowLastColumn="0" w:lastRowFirstColumn="0" w:lastRowLastColumn="0"/>
        </w:trPr>
        <w:tc>
          <w:tcPr>
            <w:tcW w:w="5812" w:type="dxa"/>
            <w:shd w:val="clear" w:color="auto" w:fill="auto"/>
          </w:tcPr>
          <w:p w14:paraId="315C4F6D" w14:textId="279B70EC" w:rsidR="00334E98" w:rsidRPr="00040C83" w:rsidRDefault="00334E98" w:rsidP="00901C7B">
            <w:pPr>
              <w:widowControl w:val="0"/>
              <w:spacing w:after="120"/>
              <w:rPr>
                <w:rFonts w:ascii="Calibri Light" w:hAnsi="Calibri Light"/>
                <w:sz w:val="20"/>
                <w:szCs w:val="20"/>
              </w:rPr>
            </w:pPr>
            <w:r w:rsidRPr="00040C83">
              <w:rPr>
                <w:rFonts w:ascii="Calibri" w:hAnsi="Calibri"/>
                <w:b/>
                <w:bCs/>
                <w:sz w:val="20"/>
                <w:szCs w:val="20"/>
              </w:rPr>
              <w:t>NOPSEMA’s capabilities and capacity will need to evolve to meet the demands of a maturing industry and its new renewables remit</w:t>
            </w:r>
            <w:r w:rsidRPr="00040C83" w:rsidDel="00334E98">
              <w:rPr>
                <w:rFonts w:ascii="Calibri" w:hAnsi="Calibri"/>
                <w:b/>
                <w:bCs/>
                <w:sz w:val="20"/>
                <w:szCs w:val="20"/>
              </w:rPr>
              <w:t xml:space="preserve"> </w:t>
            </w:r>
          </w:p>
          <w:p w14:paraId="07A77163" w14:textId="4BB16124" w:rsidR="00340637" w:rsidRPr="00091692" w:rsidRDefault="00340637" w:rsidP="00340637">
            <w:pPr>
              <w:widowControl w:val="0"/>
              <w:spacing w:before="120" w:after="120"/>
              <w:rPr>
                <w:rFonts w:ascii="Calibri Light" w:hAnsi="Calibri Light"/>
              </w:rPr>
            </w:pPr>
            <w:r w:rsidRPr="00091692">
              <w:rPr>
                <w:rFonts w:ascii="Calibri Light" w:hAnsi="Calibri Light"/>
              </w:rPr>
              <w:t xml:space="preserve">NOPSEMA’s structure has remained relatively static across the assessment period, with a marginal increase in Full-time Equivalent (FTE) employees. </w:t>
            </w:r>
          </w:p>
          <w:p w14:paraId="3DB5A50D" w14:textId="68BE4E57" w:rsidR="00340637" w:rsidRPr="00091692" w:rsidRDefault="00340637" w:rsidP="00340637">
            <w:pPr>
              <w:widowControl w:val="0"/>
              <w:spacing w:before="120" w:after="120"/>
              <w:rPr>
                <w:rFonts w:ascii="Calibri Light" w:hAnsi="Calibri Light"/>
              </w:rPr>
            </w:pPr>
            <w:r w:rsidRPr="00091692">
              <w:rPr>
                <w:rFonts w:ascii="Calibri Light" w:hAnsi="Calibri Light"/>
              </w:rPr>
              <w:t>NOPSEMA and its stakeholders view NOPSEMA’s capacity as</w:t>
            </w:r>
            <w:r w:rsidR="00B3498E" w:rsidRPr="00091692">
              <w:rPr>
                <w:rFonts w:ascii="Calibri Light" w:hAnsi="Calibri Light"/>
              </w:rPr>
              <w:t xml:space="preserve"> generally</w:t>
            </w:r>
            <w:r w:rsidRPr="00091692">
              <w:rPr>
                <w:rFonts w:ascii="Calibri Light" w:hAnsi="Calibri Light"/>
              </w:rPr>
              <w:t xml:space="preserve"> sufficient. One area of concern raised by </w:t>
            </w:r>
            <w:r w:rsidR="00627F51" w:rsidRPr="00091692">
              <w:rPr>
                <w:rFonts w:ascii="Calibri Light" w:hAnsi="Calibri Light"/>
              </w:rPr>
              <w:t xml:space="preserve">NOPSEMA and industry stakeholders </w:t>
            </w:r>
            <w:r w:rsidRPr="00091692">
              <w:rPr>
                <w:rFonts w:ascii="Calibri Light" w:hAnsi="Calibri Light"/>
              </w:rPr>
              <w:t>is the apparent under capacity of NOPSEMA’s Well Integrity function. To enable NOPSEMA to undertake a balanced approach to assessments and inspections, this capacity constraint should be addressed</w:t>
            </w:r>
            <w:r w:rsidR="006D635A" w:rsidRPr="00091692">
              <w:rPr>
                <w:rFonts w:ascii="Calibri Light" w:hAnsi="Calibri Light"/>
              </w:rPr>
              <w:t xml:space="preserve"> – be it through process</w:t>
            </w:r>
            <w:r w:rsidR="00AF1312" w:rsidRPr="00091692">
              <w:rPr>
                <w:rFonts w:ascii="Calibri Light" w:hAnsi="Calibri Light"/>
              </w:rPr>
              <w:t xml:space="preserve"> or job redesign, technology improvement, or sourcing of additional talent</w:t>
            </w:r>
            <w:r w:rsidRPr="00091692">
              <w:rPr>
                <w:rFonts w:ascii="Calibri Light" w:hAnsi="Calibri Light"/>
              </w:rPr>
              <w:t xml:space="preserve">. </w:t>
            </w:r>
          </w:p>
          <w:p w14:paraId="4C6AC146" w14:textId="0891A0E4" w:rsidR="00340637" w:rsidRPr="00091692" w:rsidRDefault="00340637" w:rsidP="00340637">
            <w:pPr>
              <w:widowControl w:val="0"/>
              <w:spacing w:before="120" w:after="120"/>
              <w:rPr>
                <w:rFonts w:ascii="Calibri Light" w:hAnsi="Calibri Light"/>
              </w:rPr>
            </w:pPr>
            <w:r w:rsidRPr="00091692">
              <w:rPr>
                <w:rFonts w:ascii="Calibri Light" w:hAnsi="Calibri Light"/>
              </w:rPr>
              <w:t xml:space="preserve">NOPSEMA’s capabilities were, in the main, viewed </w:t>
            </w:r>
            <w:r w:rsidR="00391F7E" w:rsidRPr="00091692">
              <w:rPr>
                <w:rFonts w:ascii="Calibri Light" w:hAnsi="Calibri Light"/>
              </w:rPr>
              <w:t>as sufficient</w:t>
            </w:r>
            <w:r w:rsidR="00AF1312" w:rsidRPr="00091692">
              <w:rPr>
                <w:rFonts w:ascii="Calibri Light" w:hAnsi="Calibri Light"/>
              </w:rPr>
              <w:t xml:space="preserve"> in their depth</w:t>
            </w:r>
            <w:r w:rsidR="00391F7E" w:rsidRPr="00091692">
              <w:rPr>
                <w:rFonts w:ascii="Calibri Light" w:hAnsi="Calibri Light"/>
              </w:rPr>
              <w:t xml:space="preserve"> </w:t>
            </w:r>
            <w:r w:rsidRPr="00091692">
              <w:rPr>
                <w:rFonts w:ascii="Calibri Light" w:hAnsi="Calibri Light"/>
              </w:rPr>
              <w:t xml:space="preserve">by stakeholders. </w:t>
            </w:r>
            <w:r w:rsidR="00C94A22">
              <w:rPr>
                <w:rFonts w:ascii="Calibri Light" w:hAnsi="Calibri Light"/>
              </w:rPr>
              <w:t xml:space="preserve">Our analysis </w:t>
            </w:r>
            <w:r w:rsidR="00822706">
              <w:rPr>
                <w:rFonts w:ascii="Calibri Light" w:hAnsi="Calibri Light"/>
              </w:rPr>
              <w:t xml:space="preserve">shows </w:t>
            </w:r>
            <w:r w:rsidR="00822706" w:rsidRPr="00091692">
              <w:rPr>
                <w:rFonts w:ascii="Calibri Light" w:hAnsi="Calibri Light"/>
              </w:rPr>
              <w:t>that</w:t>
            </w:r>
            <w:r w:rsidRPr="00091692">
              <w:rPr>
                <w:rFonts w:ascii="Calibri Light" w:hAnsi="Calibri Light"/>
              </w:rPr>
              <w:t xml:space="preserve"> NOPSEMA has developed strong skillsets across its OHS, well integrity, and environment functions. Stakeholders were generally complimentary of NOPSEMA’s Safety Inspector skillsets. In contrast, NOPSEMA’s technical capability in undertaking enforcement was less favourably perceived and stakeholders noted a perceived gap in the applied experience of </w:t>
            </w:r>
            <w:r w:rsidR="0097561D">
              <w:rPr>
                <w:rFonts w:ascii="Calibri Light" w:hAnsi="Calibri Light"/>
              </w:rPr>
              <w:t>NOPSEMA’s</w:t>
            </w:r>
            <w:r w:rsidRPr="00091692">
              <w:rPr>
                <w:rFonts w:ascii="Calibri Light" w:hAnsi="Calibri Light"/>
              </w:rPr>
              <w:t xml:space="preserve"> Environment Division. </w:t>
            </w:r>
          </w:p>
          <w:p w14:paraId="4283A55C" w14:textId="55D5FDA1" w:rsidR="00340637" w:rsidRPr="00091692" w:rsidRDefault="00340637" w:rsidP="00340637">
            <w:pPr>
              <w:widowControl w:val="0"/>
              <w:spacing w:before="120" w:after="120"/>
              <w:rPr>
                <w:rFonts w:ascii="Calibri Light" w:hAnsi="Calibri Light"/>
              </w:rPr>
            </w:pPr>
            <w:r w:rsidRPr="00091692">
              <w:rPr>
                <w:rFonts w:ascii="Calibri Light" w:hAnsi="Calibri Light"/>
              </w:rPr>
              <w:t xml:space="preserve">We </w:t>
            </w:r>
            <w:r w:rsidR="00A6159E">
              <w:rPr>
                <w:rFonts w:ascii="Calibri Light" w:hAnsi="Calibri Light"/>
              </w:rPr>
              <w:t>found</w:t>
            </w:r>
            <w:r w:rsidRPr="00091692">
              <w:rPr>
                <w:rFonts w:ascii="Calibri Light" w:hAnsi="Calibri Light"/>
              </w:rPr>
              <w:t xml:space="preserve"> emerging capability gaps</w:t>
            </w:r>
            <w:r w:rsidR="00165BF0" w:rsidRPr="00091692">
              <w:rPr>
                <w:rFonts w:ascii="Calibri Light" w:hAnsi="Calibri Light"/>
              </w:rPr>
              <w:t xml:space="preserve"> for NOPSEMA</w:t>
            </w:r>
            <w:r w:rsidRPr="00091692">
              <w:rPr>
                <w:rFonts w:ascii="Calibri Light" w:hAnsi="Calibri Light"/>
              </w:rPr>
              <w:t>, from now, in financial assurance</w:t>
            </w:r>
            <w:r w:rsidR="006809A0" w:rsidRPr="00091692">
              <w:rPr>
                <w:rFonts w:ascii="Calibri Light" w:hAnsi="Calibri Light"/>
              </w:rPr>
              <w:t xml:space="preserve"> for decommissioning and</w:t>
            </w:r>
            <w:r w:rsidRPr="00091692">
              <w:rPr>
                <w:rFonts w:ascii="Calibri Light" w:hAnsi="Calibri Light"/>
              </w:rPr>
              <w:t xml:space="preserve"> digital literacy. </w:t>
            </w:r>
            <w:r w:rsidR="00E46916" w:rsidRPr="00091692">
              <w:rPr>
                <w:rFonts w:ascii="Calibri Light" w:hAnsi="Calibri Light"/>
              </w:rPr>
              <w:t xml:space="preserve">Addressing these capability gaps will be a priority to help address the broader industry shift </w:t>
            </w:r>
            <w:r w:rsidR="006C73A9" w:rsidRPr="00091692">
              <w:rPr>
                <w:rFonts w:ascii="Calibri Light" w:hAnsi="Calibri Light"/>
              </w:rPr>
              <w:t xml:space="preserve">and subsequent increase in decommissioning activity. </w:t>
            </w:r>
            <w:r w:rsidRPr="00091692">
              <w:rPr>
                <w:rFonts w:ascii="Calibri Light" w:hAnsi="Calibri Light"/>
              </w:rPr>
              <w:t>NOPSEMA</w:t>
            </w:r>
            <w:r w:rsidR="00A61882">
              <w:rPr>
                <w:rFonts w:ascii="Calibri Light" w:hAnsi="Calibri Light"/>
              </w:rPr>
              <w:t xml:space="preserve"> told us it</w:t>
            </w:r>
            <w:r w:rsidRPr="00091692">
              <w:rPr>
                <w:rFonts w:ascii="Calibri Light" w:hAnsi="Calibri Light"/>
              </w:rPr>
              <w:t xml:space="preserve"> is aware of these emergent capability requirements. </w:t>
            </w:r>
          </w:p>
          <w:p w14:paraId="718C21FA" w14:textId="77BC5212" w:rsidR="006C73A9" w:rsidRPr="00340637" w:rsidRDefault="006C73A9" w:rsidP="00340637">
            <w:pPr>
              <w:widowControl w:val="0"/>
              <w:spacing w:before="120" w:after="120"/>
              <w:rPr>
                <w:rFonts w:ascii="Calibri Light" w:hAnsi="Calibri Light"/>
                <w:sz w:val="20"/>
                <w:szCs w:val="20"/>
              </w:rPr>
            </w:pPr>
            <w:r w:rsidRPr="00091692">
              <w:rPr>
                <w:rFonts w:ascii="Calibri Light" w:hAnsi="Calibri Light"/>
              </w:rPr>
              <w:t xml:space="preserve">To support its capability building, NOPSEMA </w:t>
            </w:r>
            <w:r w:rsidR="0091463C" w:rsidRPr="00091692">
              <w:rPr>
                <w:rFonts w:ascii="Calibri Light" w:hAnsi="Calibri Light"/>
              </w:rPr>
              <w:t xml:space="preserve">has an adequate workforce planning approach. NOPSEMA also undertakes performance management and talent development activities, although managing underperformance and </w:t>
            </w:r>
            <w:r w:rsidR="00F7018D" w:rsidRPr="00091692">
              <w:rPr>
                <w:rFonts w:ascii="Calibri Light" w:hAnsi="Calibri Light"/>
              </w:rPr>
              <w:t>more explicit linking of performance management outcomes to personnel development plans remains an area of focus.</w:t>
            </w:r>
          </w:p>
        </w:tc>
        <w:tc>
          <w:tcPr>
            <w:tcW w:w="4052" w:type="dxa"/>
            <w:shd w:val="clear" w:color="auto" w:fill="auto"/>
          </w:tcPr>
          <w:p w14:paraId="1C56A21C" w14:textId="77777777" w:rsidR="00340637" w:rsidRPr="00340637" w:rsidRDefault="00340637" w:rsidP="00340637">
            <w:pPr>
              <w:spacing w:after="120"/>
              <w:rPr>
                <w:rFonts w:ascii="Calibri" w:hAnsi="Calibri"/>
                <w:b/>
                <w:bCs/>
                <w:sz w:val="20"/>
                <w:szCs w:val="20"/>
              </w:rPr>
            </w:pPr>
            <w:r w:rsidRPr="00340637">
              <w:rPr>
                <w:rFonts w:ascii="Calibri" w:hAnsi="Calibri"/>
                <w:b/>
                <w:bCs/>
                <w:sz w:val="20"/>
                <w:szCs w:val="20"/>
              </w:rPr>
              <w:t>A transition to a ‘One NOPSEMA’ operating model is required</w:t>
            </w:r>
          </w:p>
          <w:p w14:paraId="4295DC32" w14:textId="1D3FBBDA" w:rsidR="00340637" w:rsidRPr="00091692" w:rsidRDefault="00340637" w:rsidP="00340637">
            <w:pPr>
              <w:widowControl w:val="0"/>
              <w:spacing w:before="120" w:after="120"/>
              <w:rPr>
                <w:rFonts w:ascii="Calibri Light" w:hAnsi="Calibri Light"/>
              </w:rPr>
            </w:pPr>
            <w:r w:rsidRPr="00091692">
              <w:rPr>
                <w:rFonts w:ascii="Calibri Light" w:hAnsi="Calibri Light"/>
              </w:rPr>
              <w:t>Since 2018-19</w:t>
            </w:r>
            <w:r w:rsidR="00107DC2" w:rsidRPr="00091692">
              <w:rPr>
                <w:rFonts w:ascii="Calibri Light" w:hAnsi="Calibri Light"/>
              </w:rPr>
              <w:t>,</w:t>
            </w:r>
            <w:r w:rsidRPr="00091692">
              <w:rPr>
                <w:rFonts w:ascii="Calibri Light" w:hAnsi="Calibri Light"/>
              </w:rPr>
              <w:t xml:space="preserve"> NOPSEMA leadership have sought to affect a shift in ways of working, with a focus on breaking down divisional silos to foster greater collaboration and coordination. In light of increasingly complex work, the use of cross-functional teams</w:t>
            </w:r>
            <w:r w:rsidR="00B35704" w:rsidRPr="00091692">
              <w:rPr>
                <w:rFonts w:ascii="Calibri Light" w:hAnsi="Calibri Light"/>
              </w:rPr>
              <w:t>,</w:t>
            </w:r>
            <w:r w:rsidRPr="00091692">
              <w:rPr>
                <w:rFonts w:ascii="Calibri Light" w:hAnsi="Calibri Light"/>
              </w:rPr>
              <w:t xml:space="preserve"> </w:t>
            </w:r>
            <w:r w:rsidR="00B35704" w:rsidRPr="00091692">
              <w:rPr>
                <w:rFonts w:ascii="Calibri Light" w:hAnsi="Calibri Light"/>
              </w:rPr>
              <w:t xml:space="preserve">and the </w:t>
            </w:r>
            <w:r w:rsidRPr="00091692">
              <w:rPr>
                <w:rFonts w:ascii="Calibri Light" w:hAnsi="Calibri Light"/>
              </w:rPr>
              <w:t>bring</w:t>
            </w:r>
            <w:r w:rsidR="00B35704" w:rsidRPr="00091692">
              <w:rPr>
                <w:rFonts w:ascii="Calibri Light" w:hAnsi="Calibri Light"/>
              </w:rPr>
              <w:t>ing</w:t>
            </w:r>
            <w:r w:rsidRPr="00091692">
              <w:rPr>
                <w:rFonts w:ascii="Calibri Light" w:hAnsi="Calibri Light"/>
              </w:rPr>
              <w:t xml:space="preserve"> </w:t>
            </w:r>
            <w:r w:rsidR="00B35704" w:rsidRPr="00091692">
              <w:rPr>
                <w:rFonts w:ascii="Calibri Light" w:hAnsi="Calibri Light"/>
              </w:rPr>
              <w:t xml:space="preserve">together of </w:t>
            </w:r>
            <w:r w:rsidRPr="00091692">
              <w:rPr>
                <w:rFonts w:ascii="Calibri Light" w:hAnsi="Calibri Light"/>
              </w:rPr>
              <w:t xml:space="preserve">multi-disciplinary capabilities is essential. We have observed an improvement in cross-divisional ways of working since the 2015 Operational Review but note a strong theme of feedback from industry stakeholders </w:t>
            </w:r>
            <w:r w:rsidR="00853C7C" w:rsidRPr="00091692">
              <w:rPr>
                <w:rFonts w:ascii="Calibri Light" w:hAnsi="Calibri Light"/>
              </w:rPr>
              <w:t>around</w:t>
            </w:r>
            <w:r w:rsidRPr="00091692">
              <w:rPr>
                <w:rFonts w:ascii="Calibri Light" w:hAnsi="Calibri Light"/>
              </w:rPr>
              <w:t xml:space="preserve"> perceived inconsistenc</w:t>
            </w:r>
            <w:r w:rsidR="00853C7C" w:rsidRPr="00091692">
              <w:rPr>
                <w:rFonts w:ascii="Calibri Light" w:hAnsi="Calibri Light"/>
              </w:rPr>
              <w:t>ies</w:t>
            </w:r>
            <w:r w:rsidRPr="00091692">
              <w:rPr>
                <w:rFonts w:ascii="Calibri Light" w:hAnsi="Calibri Light"/>
              </w:rPr>
              <w:t xml:space="preserve"> in approaches and outcomes across NOPSEMA’s divisions. </w:t>
            </w:r>
          </w:p>
          <w:p w14:paraId="0A2D43B5" w14:textId="1CC33163" w:rsidR="00340637" w:rsidRPr="00091692" w:rsidRDefault="00340637" w:rsidP="00340637">
            <w:pPr>
              <w:widowControl w:val="0"/>
              <w:spacing w:before="120" w:after="120"/>
              <w:rPr>
                <w:rFonts w:ascii="Calibri Light" w:hAnsi="Calibri Light"/>
              </w:rPr>
            </w:pPr>
            <w:r w:rsidRPr="00091692">
              <w:rPr>
                <w:rFonts w:ascii="Calibri Light" w:hAnsi="Calibri Light"/>
              </w:rPr>
              <w:t xml:space="preserve">NOPSEMA has acknowledged further work is required to encourage greater collaboration and coordination. </w:t>
            </w:r>
            <w:r w:rsidR="00782C33">
              <w:rPr>
                <w:rFonts w:ascii="Calibri Light" w:hAnsi="Calibri Light"/>
              </w:rPr>
              <w:t>T</w:t>
            </w:r>
            <w:r w:rsidRPr="00091692">
              <w:rPr>
                <w:rFonts w:ascii="Calibri Light" w:hAnsi="Calibri Light"/>
              </w:rPr>
              <w:t>o achieve the consistency, further collaboration and coordination is required, NOPSEMA needs to effect change across its operating model to respond as ‘One NOPSEMA.’</w:t>
            </w:r>
          </w:p>
          <w:p w14:paraId="058B2C8E" w14:textId="77777777" w:rsidR="00340637" w:rsidRDefault="00340637" w:rsidP="00340637">
            <w:pPr>
              <w:widowControl w:val="0"/>
              <w:spacing w:before="120" w:after="120"/>
            </w:pPr>
          </w:p>
          <w:p w14:paraId="47390719" w14:textId="52E5689E" w:rsidR="00340637" w:rsidRPr="009C39BA" w:rsidRDefault="00340637" w:rsidP="00340637">
            <w:pPr>
              <w:widowControl w:val="0"/>
              <w:spacing w:before="120" w:after="120"/>
              <w:rPr>
                <w:rFonts w:ascii="Calibri" w:hAnsi="Calibri"/>
                <w:b/>
                <w:bCs/>
                <w:color w:val="00ABAB"/>
              </w:rPr>
            </w:pPr>
            <w:r w:rsidRPr="009C39BA">
              <w:rPr>
                <w:rFonts w:ascii="Calibri" w:hAnsi="Calibri"/>
                <w:b/>
                <w:bCs/>
              </w:rPr>
              <w:t xml:space="preserve">Recommendations: </w:t>
            </w:r>
            <w:r w:rsidR="000D0E4F" w:rsidRPr="009C39BA">
              <w:rPr>
                <w:rFonts w:ascii="Calibri" w:hAnsi="Calibri"/>
                <w:b/>
                <w:bCs/>
                <w:color w:val="00ABAB"/>
              </w:rPr>
              <w:t>9, 10, 11</w:t>
            </w:r>
          </w:p>
          <w:p w14:paraId="453E9019" w14:textId="5AF15128" w:rsidR="00340637" w:rsidRPr="00A706C4" w:rsidRDefault="00340637" w:rsidP="00340637">
            <w:pPr>
              <w:spacing w:after="120"/>
              <w:rPr>
                <w:rFonts w:ascii="Calibri" w:hAnsi="Calibri"/>
                <w:b/>
                <w:bCs/>
                <w:sz w:val="20"/>
                <w:szCs w:val="20"/>
              </w:rPr>
            </w:pPr>
            <w:r w:rsidRPr="009C39BA">
              <w:rPr>
                <w:rFonts w:ascii="Calibri" w:hAnsi="Calibri"/>
                <w:b/>
                <w:bCs/>
              </w:rPr>
              <w:t xml:space="preserve">Opportunities: </w:t>
            </w:r>
            <w:r w:rsidRPr="009C39BA">
              <w:rPr>
                <w:rFonts w:ascii="Calibri" w:hAnsi="Calibri"/>
                <w:b/>
                <w:bCs/>
                <w:color w:val="00ABAB"/>
              </w:rPr>
              <w:t>7, 8, 9, 10</w:t>
            </w:r>
            <w:r w:rsidR="00A545F4" w:rsidRPr="009C39BA">
              <w:rPr>
                <w:rFonts w:ascii="Calibri" w:hAnsi="Calibri"/>
                <w:b/>
                <w:bCs/>
                <w:color w:val="00ABAB"/>
              </w:rPr>
              <w:t>, 11</w:t>
            </w:r>
            <w:r w:rsidR="000D0E4F" w:rsidRPr="009C39BA">
              <w:rPr>
                <w:rFonts w:ascii="Calibri" w:hAnsi="Calibri"/>
                <w:b/>
                <w:bCs/>
                <w:color w:val="00ABAB"/>
              </w:rPr>
              <w:t>, 12</w:t>
            </w:r>
          </w:p>
        </w:tc>
      </w:tr>
    </w:tbl>
    <w:p w14:paraId="0FE3FFFB" w14:textId="074AF8BC" w:rsidR="00340637" w:rsidRDefault="00340637" w:rsidP="00340637"/>
    <w:p w14:paraId="156EBCA0" w14:textId="77777777" w:rsidR="001E3F70" w:rsidRDefault="001E3F70" w:rsidP="0027287B">
      <w:pPr>
        <w:pStyle w:val="BodyCopyNEW"/>
        <w:sectPr w:rsidR="001E3F70" w:rsidSect="002B0B05">
          <w:headerReference w:type="default" r:id="rId45"/>
          <w:type w:val="continuous"/>
          <w:pgSz w:w="11906" w:h="16838" w:code="9"/>
          <w:pgMar w:top="1985" w:right="1021" w:bottom="1134" w:left="1021" w:header="680" w:footer="425" w:gutter="0"/>
          <w:cols w:space="284"/>
          <w:docGrid w:linePitch="360"/>
        </w:sectPr>
      </w:pPr>
    </w:p>
    <w:p w14:paraId="5049E550" w14:textId="5116171D" w:rsidR="001E3F70" w:rsidRDefault="002B0B05">
      <w:pPr>
        <w:spacing w:after="0"/>
        <w:rPr>
          <w:rFonts w:ascii="Calibri Light" w:hAnsi="Calibri Light" w:cs="Calibri Light"/>
          <w:sz w:val="20"/>
          <w:szCs w:val="20"/>
        </w:rPr>
      </w:pPr>
      <w:r>
        <w:rPr>
          <w:noProof/>
          <w:lang w:eastAsia="en-AU"/>
        </w:rPr>
        <w:drawing>
          <wp:anchor distT="0" distB="0" distL="114300" distR="114300" simplePos="0" relativeHeight="251658247" behindDoc="1" locked="0" layoutInCell="1" allowOverlap="1" wp14:anchorId="725C1C87" wp14:editId="4506ADAB">
            <wp:simplePos x="0" y="0"/>
            <wp:positionH relativeFrom="page">
              <wp:posOffset>0</wp:posOffset>
            </wp:positionH>
            <wp:positionV relativeFrom="paragraph">
              <wp:posOffset>-9483725</wp:posOffset>
            </wp:positionV>
            <wp:extent cx="7559675" cy="10693400"/>
            <wp:effectExtent l="0" t="0" r="317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r w:rsidR="001E3F70">
        <w:br w:type="page"/>
      </w:r>
    </w:p>
    <w:p w14:paraId="005FACAE" w14:textId="54CDB1EB" w:rsidR="00C12A78" w:rsidRPr="00461A9E" w:rsidRDefault="00826BD6" w:rsidP="00C12A78">
      <w:pPr>
        <w:pStyle w:val="BodyCopyNEW"/>
      </w:pPr>
      <w:r>
        <w:lastRenderedPageBreak/>
        <w:t xml:space="preserve">In this section we assess whether NOPSEMA </w:t>
      </w:r>
      <w:r w:rsidR="00F158E8">
        <w:t>has</w:t>
      </w:r>
      <w:r>
        <w:t xml:space="preserve"> the capability, capacity, and resource management practices to regulate effectively. </w:t>
      </w:r>
      <w:r w:rsidR="00C12A78" w:rsidRPr="00461A9E">
        <w:t xml:space="preserve">Having the right capability and capacity underpins the effectiveness of NOPSEMA and confidence in its ability to regulate. In an objective-based </w:t>
      </w:r>
      <w:r w:rsidR="00C12A78">
        <w:t>framework</w:t>
      </w:r>
      <w:r w:rsidR="00C12A78" w:rsidRPr="00461A9E">
        <w:t>, such as that set out in the OPGGS Act, the competence of the regulator is particularly critical given its role as ‘assessor</w:t>
      </w:r>
      <w:r w:rsidR="00C12A78">
        <w:t xml:space="preserve"> and inspector</w:t>
      </w:r>
      <w:r w:rsidR="00C12A78" w:rsidRPr="00461A9E">
        <w:t>’ of the industry’s ability to appropriately manage risk.</w:t>
      </w:r>
    </w:p>
    <w:p w14:paraId="0035D59E" w14:textId="41574879" w:rsidR="00826BD6" w:rsidRPr="00D7258D" w:rsidRDefault="00826BD6" w:rsidP="00826BD6">
      <w:pPr>
        <w:pStyle w:val="BodyCopyNEW"/>
      </w:pPr>
      <w:r>
        <w:t>We begin with an assessment of NOPSEMA’s operating model (</w:t>
      </w:r>
      <w:r w:rsidRPr="002027C8">
        <w:rPr>
          <w:b/>
          <w:bCs/>
        </w:rPr>
        <w:t xml:space="preserve">subsection </w:t>
      </w:r>
      <w:r w:rsidR="00A124B6">
        <w:rPr>
          <w:b/>
          <w:bCs/>
        </w:rPr>
        <w:fldChar w:fldCharType="begin"/>
      </w:r>
      <w:r w:rsidR="00A124B6">
        <w:rPr>
          <w:b/>
          <w:bCs/>
        </w:rPr>
        <w:instrText xml:space="preserve"> REF _Ref58593441 \r \h </w:instrText>
      </w:r>
      <w:r w:rsidR="00A124B6">
        <w:rPr>
          <w:b/>
          <w:bCs/>
        </w:rPr>
      </w:r>
      <w:r w:rsidR="00A124B6">
        <w:rPr>
          <w:b/>
          <w:bCs/>
        </w:rPr>
        <w:fldChar w:fldCharType="separate"/>
      </w:r>
      <w:r w:rsidR="00E816B8">
        <w:rPr>
          <w:b/>
          <w:bCs/>
        </w:rPr>
        <w:t>7.1</w:t>
      </w:r>
      <w:r w:rsidR="00A124B6">
        <w:rPr>
          <w:b/>
          <w:bCs/>
        </w:rPr>
        <w:fldChar w:fldCharType="end"/>
      </w:r>
      <w:r>
        <w:t>) and capacity (</w:t>
      </w:r>
      <w:r w:rsidRPr="00901C7B">
        <w:rPr>
          <w:b/>
          <w:bCs/>
        </w:rPr>
        <w:t>s</w:t>
      </w:r>
      <w:r w:rsidRPr="002027C8">
        <w:rPr>
          <w:b/>
          <w:bCs/>
        </w:rPr>
        <w:t xml:space="preserve">ubsection </w:t>
      </w:r>
      <w:r w:rsidR="00A124B6">
        <w:rPr>
          <w:b/>
          <w:bCs/>
        </w:rPr>
        <w:fldChar w:fldCharType="begin"/>
      </w:r>
      <w:r w:rsidR="00A124B6">
        <w:rPr>
          <w:b/>
          <w:bCs/>
        </w:rPr>
        <w:instrText xml:space="preserve"> REF _Ref58593446 \r \h </w:instrText>
      </w:r>
      <w:r w:rsidR="00A124B6">
        <w:rPr>
          <w:b/>
          <w:bCs/>
        </w:rPr>
      </w:r>
      <w:r w:rsidR="00A124B6">
        <w:rPr>
          <w:b/>
          <w:bCs/>
        </w:rPr>
        <w:fldChar w:fldCharType="separate"/>
      </w:r>
      <w:r w:rsidR="00E816B8">
        <w:rPr>
          <w:b/>
          <w:bCs/>
        </w:rPr>
        <w:t>7.2</w:t>
      </w:r>
      <w:r w:rsidR="00A124B6">
        <w:rPr>
          <w:b/>
          <w:bCs/>
        </w:rPr>
        <w:fldChar w:fldCharType="end"/>
      </w:r>
      <w:r w:rsidRPr="00901C7B">
        <w:t>)</w:t>
      </w:r>
      <w:r>
        <w:t xml:space="preserve">. We then </w:t>
      </w:r>
      <w:r w:rsidR="00D7258D">
        <w:t>examine NOPSEMA’s current and future capability requirements and its approach to workforce planning (</w:t>
      </w:r>
      <w:r w:rsidR="00D7258D">
        <w:rPr>
          <w:b/>
          <w:bCs/>
        </w:rPr>
        <w:t xml:space="preserve">subsection </w:t>
      </w:r>
      <w:r w:rsidR="00A124B6">
        <w:rPr>
          <w:b/>
          <w:bCs/>
        </w:rPr>
        <w:fldChar w:fldCharType="begin"/>
      </w:r>
      <w:r w:rsidR="00A124B6">
        <w:rPr>
          <w:b/>
          <w:bCs/>
        </w:rPr>
        <w:instrText xml:space="preserve"> REF _Ref58593452 \r \h </w:instrText>
      </w:r>
      <w:r w:rsidR="00A124B6">
        <w:rPr>
          <w:b/>
          <w:bCs/>
        </w:rPr>
      </w:r>
      <w:r w:rsidR="00A124B6">
        <w:rPr>
          <w:b/>
          <w:bCs/>
        </w:rPr>
        <w:fldChar w:fldCharType="separate"/>
      </w:r>
      <w:r w:rsidR="00E816B8">
        <w:rPr>
          <w:b/>
          <w:bCs/>
        </w:rPr>
        <w:t>7.3</w:t>
      </w:r>
      <w:r w:rsidR="00A124B6">
        <w:rPr>
          <w:b/>
          <w:bCs/>
        </w:rPr>
        <w:fldChar w:fldCharType="end"/>
      </w:r>
      <w:r w:rsidR="00D7258D" w:rsidRPr="00901C7B">
        <w:t xml:space="preserve">). </w:t>
      </w:r>
      <w:r w:rsidR="002D4286" w:rsidRPr="00901C7B">
        <w:t xml:space="preserve">Next, we </w:t>
      </w:r>
      <w:r w:rsidR="002D5900" w:rsidRPr="00901C7B">
        <w:t>discuss NOPSEMA’s current approach to performance management</w:t>
      </w:r>
      <w:r w:rsidR="00A124B6" w:rsidRPr="00901C7B">
        <w:t xml:space="preserve"> (</w:t>
      </w:r>
      <w:r w:rsidR="00A124B6">
        <w:rPr>
          <w:b/>
          <w:bCs/>
        </w:rPr>
        <w:t xml:space="preserve">subsection </w:t>
      </w:r>
      <w:r w:rsidR="00C12A78">
        <w:rPr>
          <w:b/>
          <w:bCs/>
        </w:rPr>
        <w:fldChar w:fldCharType="begin"/>
      </w:r>
      <w:r w:rsidR="00C12A78">
        <w:rPr>
          <w:b/>
          <w:bCs/>
        </w:rPr>
        <w:instrText xml:space="preserve"> REF _Ref58593460 \r \h </w:instrText>
      </w:r>
      <w:r w:rsidR="00C12A78">
        <w:rPr>
          <w:b/>
          <w:bCs/>
        </w:rPr>
      </w:r>
      <w:r w:rsidR="00C12A78">
        <w:rPr>
          <w:b/>
          <w:bCs/>
        </w:rPr>
        <w:fldChar w:fldCharType="separate"/>
      </w:r>
      <w:r w:rsidR="00E816B8">
        <w:rPr>
          <w:b/>
          <w:bCs/>
        </w:rPr>
        <w:t>7.4</w:t>
      </w:r>
      <w:r w:rsidR="00C12A78">
        <w:rPr>
          <w:b/>
          <w:bCs/>
        </w:rPr>
        <w:fldChar w:fldCharType="end"/>
      </w:r>
      <w:r w:rsidR="00A124B6" w:rsidRPr="00901C7B">
        <w:t>)</w:t>
      </w:r>
      <w:r w:rsidR="002D5900" w:rsidRPr="00901C7B">
        <w:t xml:space="preserve">, </w:t>
      </w:r>
      <w:r w:rsidR="00D43AB5" w:rsidRPr="00901C7B">
        <w:t>its resourcing and career progression arrangements</w:t>
      </w:r>
      <w:r w:rsidR="00A124B6" w:rsidRPr="00901C7B">
        <w:t xml:space="preserve"> (</w:t>
      </w:r>
      <w:r w:rsidR="00A124B6">
        <w:rPr>
          <w:b/>
          <w:bCs/>
        </w:rPr>
        <w:t xml:space="preserve">subsection </w:t>
      </w:r>
      <w:r w:rsidR="00C12A78">
        <w:rPr>
          <w:b/>
          <w:bCs/>
        </w:rPr>
        <w:fldChar w:fldCharType="begin"/>
      </w:r>
      <w:r w:rsidR="00C12A78">
        <w:rPr>
          <w:b/>
          <w:bCs/>
        </w:rPr>
        <w:instrText xml:space="preserve"> REF _Ref58593479 \r \h </w:instrText>
      </w:r>
      <w:r w:rsidR="00C12A78">
        <w:rPr>
          <w:b/>
          <w:bCs/>
        </w:rPr>
      </w:r>
      <w:r w:rsidR="00C12A78">
        <w:rPr>
          <w:b/>
          <w:bCs/>
        </w:rPr>
        <w:fldChar w:fldCharType="separate"/>
      </w:r>
      <w:r w:rsidR="00E816B8">
        <w:rPr>
          <w:b/>
          <w:bCs/>
        </w:rPr>
        <w:t>7.5</w:t>
      </w:r>
      <w:r w:rsidR="00C12A78">
        <w:rPr>
          <w:b/>
          <w:bCs/>
        </w:rPr>
        <w:fldChar w:fldCharType="end"/>
      </w:r>
      <w:r w:rsidR="00A124B6" w:rsidRPr="00901C7B">
        <w:t>)</w:t>
      </w:r>
      <w:r w:rsidR="00D43AB5" w:rsidRPr="00901C7B">
        <w:t>, and whether or not its people are seen to embo</w:t>
      </w:r>
      <w:r w:rsidR="00A124B6">
        <w:t>d</w:t>
      </w:r>
      <w:r w:rsidR="00D43AB5" w:rsidRPr="00901C7B">
        <w:t>y its organisational values (</w:t>
      </w:r>
      <w:r w:rsidR="00D43AB5">
        <w:rPr>
          <w:b/>
          <w:bCs/>
        </w:rPr>
        <w:t>subsection</w:t>
      </w:r>
      <w:r w:rsidR="00A124B6">
        <w:rPr>
          <w:b/>
          <w:bCs/>
        </w:rPr>
        <w:t xml:space="preserve"> </w:t>
      </w:r>
      <w:r w:rsidR="00C12A78">
        <w:rPr>
          <w:b/>
          <w:bCs/>
        </w:rPr>
        <w:fldChar w:fldCharType="begin"/>
      </w:r>
      <w:r w:rsidR="00C12A78">
        <w:rPr>
          <w:b/>
          <w:bCs/>
        </w:rPr>
        <w:instrText xml:space="preserve"> REF _Ref58593488 \r \h </w:instrText>
      </w:r>
      <w:r w:rsidR="00C12A78">
        <w:rPr>
          <w:b/>
          <w:bCs/>
        </w:rPr>
      </w:r>
      <w:r w:rsidR="00C12A78">
        <w:rPr>
          <w:b/>
          <w:bCs/>
        </w:rPr>
        <w:fldChar w:fldCharType="separate"/>
      </w:r>
      <w:r w:rsidR="00E816B8">
        <w:rPr>
          <w:b/>
          <w:bCs/>
        </w:rPr>
        <w:t>7.6</w:t>
      </w:r>
      <w:r w:rsidR="00C12A78">
        <w:rPr>
          <w:b/>
          <w:bCs/>
        </w:rPr>
        <w:fldChar w:fldCharType="end"/>
      </w:r>
      <w:r w:rsidR="00A124B6" w:rsidRPr="00901C7B">
        <w:t>).</w:t>
      </w:r>
    </w:p>
    <w:p w14:paraId="6C786046" w14:textId="77777777" w:rsidR="00461A9E" w:rsidRPr="00461A9E" w:rsidRDefault="00461A9E" w:rsidP="0027287B">
      <w:pPr>
        <w:pStyle w:val="Heading2"/>
      </w:pPr>
      <w:bookmarkStart w:id="66" w:name="_Ref58593441"/>
      <w:r w:rsidRPr="00461A9E">
        <w:t>NOPSEMA’s structure and ways of working</w:t>
      </w:r>
      <w:bookmarkEnd w:id="66"/>
    </w:p>
    <w:p w14:paraId="61125414" w14:textId="0106A759" w:rsidR="00461A9E" w:rsidRPr="00461A9E" w:rsidRDefault="00461A9E" w:rsidP="0027287B">
      <w:pPr>
        <w:pStyle w:val="Heading3NoNumber"/>
      </w:pPr>
      <w:r w:rsidRPr="00461A9E">
        <w:t xml:space="preserve">NOPSEMA’s structure has remained relatively static across the </w:t>
      </w:r>
      <w:r w:rsidR="00664A88">
        <w:t>review</w:t>
      </w:r>
      <w:r w:rsidR="00664A88" w:rsidRPr="00461A9E">
        <w:t xml:space="preserve"> </w:t>
      </w:r>
      <w:r w:rsidRPr="00461A9E">
        <w:t>period, with a marginal increase in headcount</w:t>
      </w:r>
    </w:p>
    <w:p w14:paraId="362E5DF2" w14:textId="25D4FAB8" w:rsidR="00461A9E" w:rsidRDefault="00461A9E" w:rsidP="0027287B">
      <w:pPr>
        <w:pStyle w:val="BodyCopyNEW"/>
      </w:pPr>
      <w:r w:rsidRPr="00461A9E">
        <w:t xml:space="preserve">NOPSEMA </w:t>
      </w:r>
      <w:r w:rsidR="00221D8A">
        <w:t xml:space="preserve">has three </w:t>
      </w:r>
      <w:r w:rsidR="00DB1926">
        <w:t>D</w:t>
      </w:r>
      <w:r w:rsidR="00221D8A">
        <w:t>ivisions</w:t>
      </w:r>
      <w:r w:rsidR="00834563">
        <w:t xml:space="preserve"> (Safety and Integrity, Environment, and Regulatory Support) which are </w:t>
      </w:r>
      <w:r w:rsidR="00DB1926">
        <w:t xml:space="preserve">each </w:t>
      </w:r>
      <w:r w:rsidR="00834563">
        <w:t xml:space="preserve">led by </w:t>
      </w:r>
      <w:r w:rsidR="00155467">
        <w:t>a</w:t>
      </w:r>
      <w:r w:rsidR="00DB1926">
        <w:t xml:space="preserve"> respective</w:t>
      </w:r>
      <w:r w:rsidR="00155467">
        <w:t xml:space="preserve"> Head of Division</w:t>
      </w:r>
      <w:r w:rsidR="001E01CC">
        <w:t xml:space="preserve"> (</w:t>
      </w:r>
      <w:r w:rsidR="001E01CC" w:rsidRPr="001E01CC">
        <w:rPr>
          <w:b/>
          <w:bCs/>
        </w:rPr>
        <w:t>HOD</w:t>
      </w:r>
      <w:r w:rsidR="001E01CC">
        <w:t>), and a Legal Unit that is led by a General Counsel (</w:t>
      </w:r>
      <w:r w:rsidR="001E01CC" w:rsidRPr="001E01CC">
        <w:rPr>
          <w:b/>
          <w:bCs/>
        </w:rPr>
        <w:t>GC</w:t>
      </w:r>
      <w:r w:rsidR="001E01CC">
        <w:t>). T</w:t>
      </w:r>
      <w:r w:rsidR="00944B0C">
        <w:t>he HODs and GC</w:t>
      </w:r>
      <w:r w:rsidRPr="00461A9E">
        <w:t xml:space="preserve"> report to the </w:t>
      </w:r>
      <w:r>
        <w:t>CEO</w:t>
      </w:r>
      <w:r w:rsidR="00944B0C">
        <w:t xml:space="preserve">, and </w:t>
      </w:r>
      <w:r w:rsidR="005E0544">
        <w:t xml:space="preserve">they </w:t>
      </w:r>
      <w:r w:rsidR="00E03E06">
        <w:t>(</w:t>
      </w:r>
      <w:r w:rsidR="00B73CCC">
        <w:t>CEO</w:t>
      </w:r>
      <w:r w:rsidR="00E03E06">
        <w:t xml:space="preserve">, HODs and GC) </w:t>
      </w:r>
      <w:r w:rsidR="005E0544">
        <w:t>collectively form</w:t>
      </w:r>
      <w:r w:rsidR="009C0EA9">
        <w:t xml:space="preserve"> the NOPSEMA Leadership Team</w:t>
      </w:r>
      <w:r w:rsidR="005E0544">
        <w:t xml:space="preserve"> (</w:t>
      </w:r>
      <w:r w:rsidR="005E0544" w:rsidRPr="005E0544">
        <w:rPr>
          <w:b/>
          <w:bCs/>
        </w:rPr>
        <w:t>NLT</w:t>
      </w:r>
      <w:r w:rsidR="005E0544">
        <w:t>)</w:t>
      </w:r>
      <w:r w:rsidR="009C0EA9">
        <w:t xml:space="preserve">. </w:t>
      </w:r>
      <w:r w:rsidR="00D616D9" w:rsidRPr="00D616D9">
        <w:rPr>
          <w:b/>
          <w:bCs/>
        </w:rPr>
        <w:fldChar w:fldCharType="begin"/>
      </w:r>
      <w:r w:rsidR="00D616D9" w:rsidRPr="00D616D9">
        <w:rPr>
          <w:b/>
          <w:bCs/>
        </w:rPr>
        <w:instrText xml:space="preserve"> REF _Ref58446076 \h </w:instrText>
      </w:r>
      <w:r w:rsidR="00D616D9">
        <w:rPr>
          <w:b/>
          <w:bCs/>
        </w:rPr>
        <w:instrText xml:space="preserve"> \* MERGEFORMAT </w:instrText>
      </w:r>
      <w:r w:rsidR="00D616D9" w:rsidRPr="00D616D9">
        <w:rPr>
          <w:b/>
          <w:bCs/>
        </w:rPr>
      </w:r>
      <w:r w:rsidR="00D616D9" w:rsidRPr="00D616D9">
        <w:rPr>
          <w:b/>
          <w:bCs/>
        </w:rPr>
        <w:fldChar w:fldCharType="separate"/>
      </w:r>
      <w:r w:rsidR="00E816B8" w:rsidRPr="00E816B8">
        <w:rPr>
          <w:b/>
          <w:bCs/>
        </w:rPr>
        <w:t xml:space="preserve">Figure </w:t>
      </w:r>
      <w:r w:rsidR="00E816B8" w:rsidRPr="00E816B8">
        <w:rPr>
          <w:b/>
          <w:bCs/>
          <w:noProof/>
        </w:rPr>
        <w:t>7.1</w:t>
      </w:r>
      <w:r w:rsidR="00D616D9" w:rsidRPr="00D616D9">
        <w:rPr>
          <w:b/>
          <w:bCs/>
        </w:rPr>
        <w:fldChar w:fldCharType="end"/>
      </w:r>
      <w:r w:rsidR="00D616D9">
        <w:t xml:space="preserve"> </w:t>
      </w:r>
      <w:r w:rsidRPr="00461A9E">
        <w:t xml:space="preserve">outlines NOPSEMA’s organisational structure as </w:t>
      </w:r>
      <w:r w:rsidR="005C0866">
        <w:t>at</w:t>
      </w:r>
      <w:r w:rsidRPr="00461A9E">
        <w:t xml:space="preserve"> 30 June 2020.</w:t>
      </w:r>
    </w:p>
    <w:p w14:paraId="17FF1FD8" w14:textId="77CE504D" w:rsidR="00D616D9" w:rsidRPr="002A6AC8" w:rsidRDefault="00D616D9" w:rsidP="00E25B4F">
      <w:pPr>
        <w:pStyle w:val="Caption"/>
        <w:keepNext/>
        <w:rPr>
          <w:rFonts w:cs="Calibri"/>
        </w:rPr>
      </w:pPr>
      <w:bookmarkStart w:id="67" w:name="_Ref58446076"/>
      <w:r w:rsidRPr="002A6AC8">
        <w:rPr>
          <w:rFonts w:cs="Calibri"/>
        </w:rPr>
        <w:t xml:space="preserve">Figure </w:t>
      </w:r>
      <w:r w:rsidR="00AD41F8">
        <w:rPr>
          <w:rFonts w:cs="Calibri"/>
        </w:rPr>
        <w:fldChar w:fldCharType="begin"/>
      </w:r>
      <w:r w:rsidR="00AD41F8">
        <w:rPr>
          <w:rFonts w:cs="Calibri"/>
        </w:rPr>
        <w:instrText xml:space="preserve"> STYLEREF 1 \s </w:instrText>
      </w:r>
      <w:r w:rsidR="00AD41F8">
        <w:rPr>
          <w:rFonts w:cs="Calibri"/>
        </w:rPr>
        <w:fldChar w:fldCharType="separate"/>
      </w:r>
      <w:r w:rsidR="00E816B8">
        <w:rPr>
          <w:rFonts w:cs="Calibri"/>
          <w:noProof/>
        </w:rPr>
        <w:t>7</w:t>
      </w:r>
      <w:r w:rsidR="00AD41F8">
        <w:rPr>
          <w:rFonts w:cs="Calibri"/>
        </w:rPr>
        <w:fldChar w:fldCharType="end"/>
      </w:r>
      <w:r w:rsidR="00AD41F8">
        <w:rPr>
          <w:rFonts w:cs="Calibri"/>
        </w:rPr>
        <w:t>.</w:t>
      </w:r>
      <w:r w:rsidR="00AD41F8">
        <w:rPr>
          <w:rFonts w:cs="Calibri"/>
        </w:rPr>
        <w:fldChar w:fldCharType="begin"/>
      </w:r>
      <w:r w:rsidR="00AD41F8">
        <w:rPr>
          <w:rFonts w:cs="Calibri"/>
        </w:rPr>
        <w:instrText xml:space="preserve"> SEQ Figure \* ARABIC \s 1 </w:instrText>
      </w:r>
      <w:r w:rsidR="00AD41F8">
        <w:rPr>
          <w:rFonts w:cs="Calibri"/>
        </w:rPr>
        <w:fldChar w:fldCharType="separate"/>
      </w:r>
      <w:r w:rsidR="00E816B8">
        <w:rPr>
          <w:rFonts w:cs="Calibri"/>
          <w:noProof/>
        </w:rPr>
        <w:t>1</w:t>
      </w:r>
      <w:r w:rsidR="00AD41F8">
        <w:rPr>
          <w:rFonts w:cs="Calibri"/>
        </w:rPr>
        <w:fldChar w:fldCharType="end"/>
      </w:r>
      <w:bookmarkEnd w:id="67"/>
      <w:r w:rsidRPr="002A6AC8">
        <w:rPr>
          <w:rFonts w:cs="Calibri"/>
        </w:rPr>
        <w:t xml:space="preserve">: </w:t>
      </w:r>
      <w:r w:rsidRPr="00AB4CA3">
        <w:t>NOPSEMA’s</w:t>
      </w:r>
      <w:r w:rsidRPr="002A6AC8">
        <w:rPr>
          <w:rFonts w:cs="Calibri"/>
        </w:rPr>
        <w:t xml:space="preserve"> organisation chart (as at 30 June 2020)</w:t>
      </w:r>
    </w:p>
    <w:p w14:paraId="6DC9D282" w14:textId="3EDF5047" w:rsidR="00461A9E" w:rsidRPr="00461A9E" w:rsidRDefault="462CEF18" w:rsidP="007E00CF">
      <w:pPr>
        <w:pStyle w:val="BodyCopyNEW"/>
      </w:pPr>
      <w:r>
        <w:rPr>
          <w:noProof/>
          <w:lang w:eastAsia="en-AU"/>
        </w:rPr>
        <w:drawing>
          <wp:inline distT="0" distB="0" distL="0" distR="0" wp14:anchorId="3FF59679" wp14:editId="5865F844">
            <wp:extent cx="6264002" cy="3978668"/>
            <wp:effectExtent l="0" t="0" r="3810" b="3175"/>
            <wp:docPr id="1179951879" name="Picture 117995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951879"/>
                    <pic:cNvPicPr/>
                  </pic:nvPicPr>
                  <pic:blipFill>
                    <a:blip r:embed="rId46">
                      <a:extLst>
                        <a:ext uri="{28A0092B-C50C-407E-A947-70E740481C1C}">
                          <a14:useLocalDpi xmlns:a14="http://schemas.microsoft.com/office/drawing/2010/main"/>
                        </a:ext>
                      </a:extLst>
                    </a:blip>
                    <a:stretch>
                      <a:fillRect/>
                    </a:stretch>
                  </pic:blipFill>
                  <pic:spPr>
                    <a:xfrm>
                      <a:off x="0" y="0"/>
                      <a:ext cx="6264002" cy="3978668"/>
                    </a:xfrm>
                    <a:prstGeom prst="rect">
                      <a:avLst/>
                    </a:prstGeom>
                  </pic:spPr>
                </pic:pic>
              </a:graphicData>
            </a:graphic>
          </wp:inline>
        </w:drawing>
      </w:r>
    </w:p>
    <w:p w14:paraId="729DB517" w14:textId="2A2D3AA7" w:rsidR="00461A9E" w:rsidRPr="00901C7B" w:rsidRDefault="00461A9E" w:rsidP="00A067D9">
      <w:pPr>
        <w:pStyle w:val="Caption"/>
        <w:rPr>
          <w:b w:val="0"/>
          <w:bCs/>
          <w:i/>
          <w:iCs w:val="0"/>
          <w:color w:val="75787B" w:themeColor="accent6"/>
        </w:rPr>
      </w:pPr>
      <w:r w:rsidRPr="00901C7B">
        <w:rPr>
          <w:b w:val="0"/>
          <w:bCs/>
          <w:i/>
          <w:iCs w:val="0"/>
          <w:color w:val="75787B" w:themeColor="accent6"/>
        </w:rPr>
        <w:t xml:space="preserve">Source: </w:t>
      </w:r>
      <w:r w:rsidR="00264998" w:rsidRPr="00901C7B">
        <w:rPr>
          <w:b w:val="0"/>
          <w:bCs/>
          <w:i/>
          <w:iCs w:val="0"/>
          <w:color w:val="75787B" w:themeColor="accent6"/>
        </w:rPr>
        <w:t xml:space="preserve">Adapted from </w:t>
      </w:r>
      <w:r w:rsidRPr="00901C7B">
        <w:rPr>
          <w:b w:val="0"/>
          <w:bCs/>
          <w:i/>
          <w:iCs w:val="0"/>
          <w:color w:val="75787B" w:themeColor="accent6"/>
        </w:rPr>
        <w:t>NOPSEMA</w:t>
      </w:r>
      <w:r w:rsidR="00264998" w:rsidRPr="00901C7B">
        <w:rPr>
          <w:b w:val="0"/>
          <w:bCs/>
          <w:i/>
          <w:iCs w:val="0"/>
          <w:color w:val="75787B" w:themeColor="accent6"/>
        </w:rPr>
        <w:t xml:space="preserve"> internal document</w:t>
      </w:r>
    </w:p>
    <w:p w14:paraId="17622D6F" w14:textId="3D033A9B" w:rsidR="002A6AC8" w:rsidRPr="00E25B4F" w:rsidRDefault="00461A9E" w:rsidP="00E25B4F">
      <w:pPr>
        <w:pStyle w:val="BodyCopyNEW"/>
        <w:rPr>
          <w:rFonts w:cs="OpenSansRegular"/>
          <w:i/>
          <w:iCs/>
        </w:rPr>
      </w:pPr>
      <w:r w:rsidRPr="00461A9E">
        <w:t xml:space="preserve">As of 30 June 2020, NOPSEMA had 123.8 </w:t>
      </w:r>
      <w:r w:rsidR="00685947">
        <w:t>FTEs</w:t>
      </w:r>
      <w:r w:rsidRPr="00461A9E">
        <w:t xml:space="preserve">, of which 20% </w:t>
      </w:r>
      <w:r w:rsidR="00E24B87">
        <w:t>were</w:t>
      </w:r>
      <w:r w:rsidR="00E24B87" w:rsidRPr="00461A9E">
        <w:t xml:space="preserve"> </w:t>
      </w:r>
      <w:r w:rsidRPr="00461A9E">
        <w:t>‘non-</w:t>
      </w:r>
      <w:r w:rsidR="001001B1">
        <w:t>on</w:t>
      </w:r>
      <w:r w:rsidRPr="00461A9E">
        <w:t xml:space="preserve">going </w:t>
      </w:r>
      <w:r w:rsidR="00741028">
        <w:t>personnel</w:t>
      </w:r>
      <w:r w:rsidRPr="00461A9E">
        <w:t>’ (a person engaged on a temporary basis for a specified term or the duration of a specified task under s</w:t>
      </w:r>
      <w:r w:rsidR="00685947">
        <w:t xml:space="preserve">ection </w:t>
      </w:r>
      <w:r w:rsidRPr="00461A9E">
        <w:t xml:space="preserve">22(2)(b) of the </w:t>
      </w:r>
      <w:r w:rsidRPr="00461A9E">
        <w:rPr>
          <w:i/>
          <w:iCs/>
        </w:rPr>
        <w:t>Public Service Act 1999</w:t>
      </w:r>
      <w:r w:rsidRPr="00461A9E">
        <w:t xml:space="preserve">). </w:t>
      </w:r>
      <w:r w:rsidR="002A6AC8" w:rsidRPr="002A6AC8">
        <w:rPr>
          <w:b/>
          <w:bCs/>
          <w:highlight w:val="yellow"/>
        </w:rPr>
        <w:fldChar w:fldCharType="begin"/>
      </w:r>
      <w:r w:rsidR="002A6AC8" w:rsidRPr="002A6AC8">
        <w:rPr>
          <w:b/>
          <w:bCs/>
        </w:rPr>
        <w:instrText xml:space="preserve"> REF _Ref58446155 \h </w:instrText>
      </w:r>
      <w:r w:rsidR="002A6AC8" w:rsidRPr="002A6AC8">
        <w:rPr>
          <w:b/>
          <w:bCs/>
          <w:highlight w:val="yellow"/>
        </w:rPr>
        <w:instrText xml:space="preserve"> \* MERGEFORMAT </w:instrText>
      </w:r>
      <w:r w:rsidR="002A6AC8" w:rsidRPr="002A6AC8">
        <w:rPr>
          <w:b/>
          <w:bCs/>
          <w:highlight w:val="yellow"/>
        </w:rPr>
      </w:r>
      <w:r w:rsidR="002A6AC8" w:rsidRPr="002A6AC8">
        <w:rPr>
          <w:b/>
          <w:bCs/>
          <w:highlight w:val="yellow"/>
        </w:rPr>
        <w:fldChar w:fldCharType="separate"/>
      </w:r>
      <w:r w:rsidR="00E816B8" w:rsidRPr="00E816B8">
        <w:rPr>
          <w:b/>
          <w:bCs/>
        </w:rPr>
        <w:t xml:space="preserve">Figure </w:t>
      </w:r>
      <w:r w:rsidR="00E816B8" w:rsidRPr="00E816B8">
        <w:rPr>
          <w:b/>
          <w:bCs/>
          <w:noProof/>
        </w:rPr>
        <w:t>7.2</w:t>
      </w:r>
      <w:r w:rsidR="002A6AC8" w:rsidRPr="002A6AC8">
        <w:rPr>
          <w:b/>
          <w:bCs/>
          <w:highlight w:val="yellow"/>
        </w:rPr>
        <w:fldChar w:fldCharType="end"/>
      </w:r>
      <w:r w:rsidR="002A6AC8">
        <w:rPr>
          <w:b/>
          <w:bCs/>
        </w:rPr>
        <w:t xml:space="preserve"> </w:t>
      </w:r>
      <w:r w:rsidRPr="00461A9E">
        <w:t xml:space="preserve">shows NOPSEMA’s FTE profile by division across the </w:t>
      </w:r>
      <w:r w:rsidR="00664A88">
        <w:t>review</w:t>
      </w:r>
      <w:r w:rsidR="00664A88" w:rsidRPr="00461A9E">
        <w:t xml:space="preserve"> </w:t>
      </w:r>
      <w:r w:rsidRPr="00461A9E">
        <w:t xml:space="preserve">period. </w:t>
      </w:r>
      <w:r w:rsidRPr="00461A9E">
        <w:rPr>
          <w:noProof/>
        </w:rPr>
        <w:t>Since 2015-16</w:t>
      </w:r>
      <w:r w:rsidRPr="00461A9E">
        <w:rPr>
          <w:rFonts w:cs="OpenSansRegular"/>
        </w:rPr>
        <w:t xml:space="preserve"> NOPSEMA’s structure has remained largely static. We have observed a gradual increase in</w:t>
      </w:r>
      <w:r w:rsidR="00DD1D4B">
        <w:rPr>
          <w:rFonts w:cs="OpenSansRegular"/>
        </w:rPr>
        <w:t xml:space="preserve"> </w:t>
      </w:r>
      <w:r w:rsidR="001B6ACF">
        <w:rPr>
          <w:rFonts w:cs="OpenSansRegular"/>
        </w:rPr>
        <w:t>W</w:t>
      </w:r>
      <w:r w:rsidR="00DD1D4B">
        <w:rPr>
          <w:rFonts w:cs="OpenSansRegular"/>
        </w:rPr>
        <w:t>ell Integrity</w:t>
      </w:r>
      <w:r w:rsidRPr="00461A9E">
        <w:rPr>
          <w:rFonts w:cs="OpenSansRegular"/>
        </w:rPr>
        <w:t xml:space="preserve"> FTE’s since </w:t>
      </w:r>
      <w:r w:rsidRPr="00A25D7B">
        <w:rPr>
          <w:rFonts w:cs="OpenSansRegular"/>
        </w:rPr>
        <w:t>2016-17</w:t>
      </w:r>
      <w:r w:rsidR="00A25D7B" w:rsidRPr="00A25D7B">
        <w:rPr>
          <w:rFonts w:cs="OpenSansRegular"/>
        </w:rPr>
        <w:t xml:space="preserve"> (from</w:t>
      </w:r>
      <w:r w:rsidR="00A25D7B" w:rsidRPr="00A25D7B">
        <w:rPr>
          <w:rFonts w:cs="OpenSansRegular"/>
          <w:color w:val="FF0000"/>
        </w:rPr>
        <w:t xml:space="preserve"> </w:t>
      </w:r>
      <w:r w:rsidR="00A25D7B" w:rsidRPr="00A25D7B">
        <w:rPr>
          <w:rFonts w:cs="OpenSansRegular"/>
        </w:rPr>
        <w:t>7.6 FTE in 2015 to 9.6 FTE in 2020)</w:t>
      </w:r>
      <w:r w:rsidRPr="00A25D7B">
        <w:rPr>
          <w:rFonts w:cs="OpenSansRegular"/>
        </w:rPr>
        <w:t>,</w:t>
      </w:r>
      <w:r w:rsidRPr="00461A9E">
        <w:rPr>
          <w:rFonts w:cs="OpenSansRegular"/>
        </w:rPr>
        <w:t xml:space="preserve"> although this has stabilised since 2018-19. The increase in </w:t>
      </w:r>
      <w:r w:rsidR="00E53A31">
        <w:rPr>
          <w:rFonts w:cs="OpenSansRegular"/>
        </w:rPr>
        <w:t xml:space="preserve">Well Integrity </w:t>
      </w:r>
      <w:r w:rsidRPr="00461A9E">
        <w:rPr>
          <w:rFonts w:cs="OpenSansRegular"/>
        </w:rPr>
        <w:t xml:space="preserve">FTEs was due to increase in workload and need for additional capability (e.g. production technology capability) to support the outcomes of </w:t>
      </w:r>
      <w:r w:rsidR="000F29AC">
        <w:rPr>
          <w:rFonts w:cs="OpenSansRegular"/>
        </w:rPr>
        <w:t>DISER’s</w:t>
      </w:r>
      <w:r w:rsidR="000F29AC" w:rsidRPr="00461A9E">
        <w:rPr>
          <w:rFonts w:cs="OpenSansRegular"/>
        </w:rPr>
        <w:t xml:space="preserve"> </w:t>
      </w:r>
      <w:r w:rsidRPr="00461A9E">
        <w:rPr>
          <w:rFonts w:cs="OpenSansRegular"/>
        </w:rPr>
        <w:t xml:space="preserve">review of the well integrity portion of the </w:t>
      </w:r>
      <w:r w:rsidR="00330887" w:rsidRPr="00330887">
        <w:rPr>
          <w:rFonts w:cs="OpenSansRegular"/>
        </w:rPr>
        <w:t>RMA</w:t>
      </w:r>
      <w:r w:rsidRPr="00330887">
        <w:rPr>
          <w:rFonts w:cs="OpenSansRegular"/>
        </w:rPr>
        <w:t xml:space="preserve"> Regulations</w:t>
      </w:r>
      <w:r w:rsidR="00330887">
        <w:rPr>
          <w:rFonts w:cs="OpenSansRegular"/>
          <w:i/>
          <w:iCs/>
        </w:rPr>
        <w:t>.</w:t>
      </w:r>
    </w:p>
    <w:p w14:paraId="40B9C531" w14:textId="4591B8CB" w:rsidR="002A6AC8" w:rsidRPr="002A6AC8" w:rsidRDefault="002A6AC8" w:rsidP="00E25B4F">
      <w:pPr>
        <w:pStyle w:val="Caption"/>
        <w:keepNext/>
      </w:pPr>
      <w:bookmarkStart w:id="68" w:name="_Ref58446155"/>
      <w:r>
        <w:lastRenderedPageBreak/>
        <w:t xml:space="preserve">Figure </w:t>
      </w:r>
      <w:r w:rsidR="00AD41F8">
        <w:fldChar w:fldCharType="begin"/>
      </w:r>
      <w:r w:rsidR="00AD41F8">
        <w:instrText xml:space="preserve"> STYLEREF 1 \s </w:instrText>
      </w:r>
      <w:r w:rsidR="00AD41F8">
        <w:fldChar w:fldCharType="separate"/>
      </w:r>
      <w:r w:rsidR="00E816B8">
        <w:rPr>
          <w:noProof/>
        </w:rPr>
        <w:t>7</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2</w:t>
      </w:r>
      <w:r w:rsidR="00AD41F8">
        <w:fldChar w:fldCharType="end"/>
      </w:r>
      <w:bookmarkEnd w:id="68"/>
      <w:r>
        <w:t>: NOPSEMA’s FTE profile by division from 2014-15 to 2019-20</w:t>
      </w:r>
    </w:p>
    <w:p w14:paraId="2EED1328" w14:textId="77777777" w:rsidR="00461A9E" w:rsidRPr="00461A9E" w:rsidRDefault="00461A9E" w:rsidP="00461A9E">
      <w:pPr>
        <w:rPr>
          <w:rFonts w:cs="OpenSansRegular"/>
          <w:sz w:val="17"/>
          <w:szCs w:val="17"/>
        </w:rPr>
      </w:pPr>
      <w:r w:rsidRPr="00461A9E">
        <w:rPr>
          <w:noProof/>
          <w:lang w:eastAsia="en-AU"/>
        </w:rPr>
        <w:drawing>
          <wp:inline distT="0" distB="0" distL="0" distR="0" wp14:anchorId="3D6D4245" wp14:editId="6F895767">
            <wp:extent cx="6166713" cy="2736000"/>
            <wp:effectExtent l="0" t="0" r="5715" b="7620"/>
            <wp:docPr id="1347981909" name="Chart 134798190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F67BF99-D58D-473A-A20E-21780CC066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5804B1CF" w14:textId="1CE3CDF5" w:rsidR="00461A9E" w:rsidRPr="00901C7B" w:rsidRDefault="00461A9E" w:rsidP="00A067D9">
      <w:pPr>
        <w:pStyle w:val="Caption"/>
        <w:rPr>
          <w:b w:val="0"/>
          <w:bCs/>
          <w:i/>
          <w:iCs w:val="0"/>
          <w:color w:val="75787B" w:themeColor="accent6"/>
        </w:rPr>
      </w:pPr>
      <w:r w:rsidRPr="00901C7B">
        <w:rPr>
          <w:b w:val="0"/>
          <w:bCs/>
          <w:i/>
          <w:iCs w:val="0"/>
          <w:color w:val="75787B" w:themeColor="accent6"/>
        </w:rPr>
        <w:t xml:space="preserve">Source: </w:t>
      </w:r>
      <w:r w:rsidR="00961581" w:rsidRPr="00300717">
        <w:rPr>
          <w:b w:val="0"/>
          <w:bCs/>
          <w:i/>
          <w:iCs w:val="0"/>
          <w:color w:val="75787B" w:themeColor="accent6"/>
        </w:rPr>
        <w:t>Deloitte analysis adapted from NOPSEMA data</w:t>
      </w:r>
    </w:p>
    <w:p w14:paraId="1DF01342" w14:textId="67541240" w:rsidR="00461A9E" w:rsidRPr="00461A9E" w:rsidRDefault="00F060D7" w:rsidP="0027287B">
      <w:pPr>
        <w:pStyle w:val="BodyCopyNEW"/>
      </w:pPr>
      <w:r>
        <w:t>Over the review period, t</w:t>
      </w:r>
      <w:r w:rsidRPr="00461A9E">
        <w:t xml:space="preserve">he </w:t>
      </w:r>
      <w:r w:rsidR="00461A9E" w:rsidRPr="00461A9E">
        <w:t xml:space="preserve">NOPSEMA Leadership Team has reduced in size, with support functions (i.e. </w:t>
      </w:r>
      <w:r w:rsidR="00B20CFB" w:rsidRPr="00B20CFB">
        <w:t>Information and Communications Technology</w:t>
      </w:r>
      <w:r w:rsidR="00B20CFB">
        <w:t xml:space="preserve"> (</w:t>
      </w:r>
      <w:r w:rsidR="00461A9E" w:rsidRPr="00E87159">
        <w:rPr>
          <w:b/>
        </w:rPr>
        <w:t>ICT</w:t>
      </w:r>
      <w:r w:rsidR="00B20CFB">
        <w:t>)</w:t>
      </w:r>
      <w:r w:rsidR="00461A9E" w:rsidRPr="00461A9E">
        <w:t xml:space="preserve">, Human Resources, and Finance) </w:t>
      </w:r>
      <w:r w:rsidR="00A53C10">
        <w:t xml:space="preserve">now </w:t>
      </w:r>
      <w:r w:rsidR="00461A9E" w:rsidRPr="00461A9E">
        <w:t xml:space="preserve">reporting to the Head of Regulatory </w:t>
      </w:r>
      <w:r w:rsidR="000A1F9B">
        <w:t xml:space="preserve">Support </w:t>
      </w:r>
      <w:r w:rsidR="00AC61A4">
        <w:t>D</w:t>
      </w:r>
      <w:r w:rsidR="00461A9E" w:rsidRPr="00461A9E">
        <w:t xml:space="preserve">ivision. Feedback from the NOPSEMA Leadership Team is that this restructure has enabled more strategic discussions to occur at the executive level. In addition to structural changes, NOPSEMA </w:t>
      </w:r>
      <w:r>
        <w:t>has</w:t>
      </w:r>
      <w:r w:rsidR="00461A9E" w:rsidRPr="00461A9E">
        <w:t xml:space="preserve"> established several committees to enable strategic oversight and decision-making at a ‘whole</w:t>
      </w:r>
      <w:r w:rsidR="00330887">
        <w:t>-</w:t>
      </w:r>
      <w:r w:rsidR="00461A9E" w:rsidRPr="00461A9E">
        <w:t>of</w:t>
      </w:r>
      <w:r w:rsidR="00330887">
        <w:t>-</w:t>
      </w:r>
      <w:r w:rsidR="00461A9E" w:rsidRPr="00461A9E">
        <w:t xml:space="preserve">organisation’ level. </w:t>
      </w:r>
    </w:p>
    <w:p w14:paraId="1E1F7BC2" w14:textId="77777777" w:rsidR="00461A9E" w:rsidRPr="00461A9E" w:rsidRDefault="00461A9E" w:rsidP="0027287B">
      <w:pPr>
        <w:pStyle w:val="Heading3NoNumber"/>
      </w:pPr>
      <w:r w:rsidRPr="00461A9E">
        <w:t>A ‘One NOPSEMA’ approach is required</w:t>
      </w:r>
    </w:p>
    <w:p w14:paraId="38DB7E78" w14:textId="6059F079" w:rsidR="00461A9E" w:rsidRPr="00461A9E" w:rsidRDefault="00461A9E" w:rsidP="0027287B">
      <w:pPr>
        <w:pStyle w:val="BodyCopyNEW"/>
      </w:pPr>
      <w:r w:rsidRPr="00461A9E">
        <w:t>Since 2018-19</w:t>
      </w:r>
      <w:r w:rsidR="009F725E">
        <w:t>,</w:t>
      </w:r>
      <w:r w:rsidRPr="00461A9E">
        <w:t xml:space="preserve"> NOPSEMA leadership have sought to affect a shift in ways of working, with a focus on breaking down divisional silos to foster greater collaboration and coordination. For example, the introduction of joint inspections with </w:t>
      </w:r>
      <w:r w:rsidR="00741028">
        <w:t>personnel</w:t>
      </w:r>
      <w:r w:rsidRPr="00461A9E">
        <w:t xml:space="preserve"> from Safety, Integrity and Environment forming cross-functional ‘project teams’. </w:t>
      </w:r>
      <w:r w:rsidR="004D152B">
        <w:t>Improvements</w:t>
      </w:r>
      <w:r w:rsidRPr="00461A9E">
        <w:t xml:space="preserve"> to </w:t>
      </w:r>
      <w:r w:rsidR="004D152B">
        <w:t>c</w:t>
      </w:r>
      <w:r w:rsidRPr="00461A9E">
        <w:t>ross-divisional collaboration has enabled a broader perspective of risk identification and management to be undertaken.</w:t>
      </w:r>
    </w:p>
    <w:p w14:paraId="578F95E3" w14:textId="1A9251C8" w:rsidR="00461A9E" w:rsidRDefault="00D0500F" w:rsidP="0027287B">
      <w:pPr>
        <w:pStyle w:val="BodyCopyNEW"/>
      </w:pPr>
      <w:r>
        <w:t xml:space="preserve">While there has been </w:t>
      </w:r>
      <w:r w:rsidR="00461A9E" w:rsidRPr="00461A9E">
        <w:t>an improvement in cross-divisional ways of working</w:t>
      </w:r>
      <w:r>
        <w:t xml:space="preserve">, </w:t>
      </w:r>
      <w:r w:rsidR="008D3829">
        <w:t xml:space="preserve">some </w:t>
      </w:r>
      <w:r w:rsidR="00461A9E" w:rsidRPr="00461A9E">
        <w:t xml:space="preserve">stakeholders </w:t>
      </w:r>
      <w:r w:rsidR="00BA291A">
        <w:t>observed</w:t>
      </w:r>
      <w:r w:rsidR="00461A9E" w:rsidRPr="00461A9E">
        <w:t xml:space="preserve"> inconsistency in approaches and outcomes across NOPSEMA divisions. </w:t>
      </w:r>
      <w:r w:rsidR="00327ACB">
        <w:t>NOPSEMA has</w:t>
      </w:r>
      <w:r w:rsidR="00461A9E" w:rsidRPr="00461A9E">
        <w:t xml:space="preserve"> acknowledged further work is required to encourage greater collaboration and coordination. Furthermore, NOPSEMA senior leadership noted that </w:t>
      </w:r>
      <w:r w:rsidR="00820330">
        <w:t xml:space="preserve">recent </w:t>
      </w:r>
      <w:r w:rsidR="008D3829">
        <w:t xml:space="preserve">steps </w:t>
      </w:r>
      <w:r w:rsidR="00820330">
        <w:t xml:space="preserve">towards more collaborative </w:t>
      </w:r>
      <w:r w:rsidR="00461A9E" w:rsidRPr="00461A9E">
        <w:t>way</w:t>
      </w:r>
      <w:r w:rsidR="00820330">
        <w:t>s</w:t>
      </w:r>
      <w:r w:rsidR="00461A9E" w:rsidRPr="00461A9E">
        <w:t xml:space="preserve"> of working has been a </w:t>
      </w:r>
      <w:r w:rsidR="008D3829">
        <w:t>positive</w:t>
      </w:r>
      <w:r w:rsidR="008D3829" w:rsidRPr="00461A9E">
        <w:t xml:space="preserve"> </w:t>
      </w:r>
      <w:r w:rsidR="00461A9E" w:rsidRPr="00461A9E">
        <w:t xml:space="preserve">cultural shift </w:t>
      </w:r>
      <w:r w:rsidR="00820330">
        <w:t>for the organisation</w:t>
      </w:r>
      <w:r w:rsidR="00461A9E" w:rsidRPr="00461A9E">
        <w:t xml:space="preserve">. </w:t>
      </w:r>
    </w:p>
    <w:p w14:paraId="08E1FFDE" w14:textId="30FD615A" w:rsidR="007B19A6" w:rsidRPr="00461A9E" w:rsidRDefault="009C7184" w:rsidP="00901C7B">
      <w:pPr>
        <w:pStyle w:val="BodyCopyNEW"/>
      </w:pPr>
      <w:r>
        <w:t xml:space="preserve">Currently NOPSEMA is functionally structured </w:t>
      </w:r>
      <w:r w:rsidR="000E6B3B">
        <w:t xml:space="preserve">relating to </w:t>
      </w:r>
      <w:r>
        <w:t xml:space="preserve">its </w:t>
      </w:r>
      <w:r w:rsidR="00DB59CE">
        <w:t xml:space="preserve">regulatory activities. </w:t>
      </w:r>
      <w:r w:rsidR="00B17384">
        <w:t>R</w:t>
      </w:r>
      <w:r w:rsidR="00DB59CE">
        <w:t xml:space="preserve">ecent trends in </w:t>
      </w:r>
      <w:r w:rsidR="00720265">
        <w:t xml:space="preserve">operating model design have tended to </w:t>
      </w:r>
      <w:r w:rsidR="00630B8A">
        <w:t xml:space="preserve">favour </w:t>
      </w:r>
      <w:r w:rsidR="000301CE">
        <w:t xml:space="preserve">models which more closely align </w:t>
      </w:r>
      <w:r w:rsidR="002D2EC1">
        <w:t>internal resources to</w:t>
      </w:r>
      <w:r w:rsidR="000301CE">
        <w:t xml:space="preserve"> </w:t>
      </w:r>
      <w:r w:rsidR="00531398">
        <w:t>external-facing activities. In NOPSEMA’s case, this could be through the realignment of an operating model to be</w:t>
      </w:r>
      <w:r w:rsidR="00603E4A">
        <w:t xml:space="preserve">, </w:t>
      </w:r>
      <w:r w:rsidR="00E066FB">
        <w:t>by way of example only</w:t>
      </w:r>
      <w:r w:rsidR="00C54D64">
        <w:t>,</w:t>
      </w:r>
      <w:r w:rsidR="00531398">
        <w:t xml:space="preserve"> ‘basin </w:t>
      </w:r>
      <w:r w:rsidR="008604CE">
        <w:t>orientated’. Under such a model NOPSEMA would assemble cross-functional teams aligned to particular geographies</w:t>
      </w:r>
      <w:r w:rsidR="00C54D64">
        <w:t xml:space="preserve"> (i.e. basins)</w:t>
      </w:r>
      <w:r w:rsidR="008604CE">
        <w:t xml:space="preserve">. </w:t>
      </w:r>
      <w:r w:rsidR="00C072DD">
        <w:t>The rationale being the propensity for</w:t>
      </w:r>
      <w:r w:rsidR="005E14B9">
        <w:t xml:space="preserve"> common issues </w:t>
      </w:r>
      <w:r w:rsidR="00FC57D9">
        <w:t>or</w:t>
      </w:r>
      <w:r w:rsidR="005E14B9">
        <w:t xml:space="preserve"> risk</w:t>
      </w:r>
      <w:r w:rsidR="00FC57D9">
        <w:t>s</w:t>
      </w:r>
      <w:r w:rsidR="005E14B9">
        <w:t xml:space="preserve"> </w:t>
      </w:r>
      <w:r w:rsidR="00FC57D9">
        <w:t>arising</w:t>
      </w:r>
      <w:r w:rsidR="005E14B9">
        <w:t xml:space="preserve"> within </w:t>
      </w:r>
      <w:r w:rsidR="00C072DD">
        <w:t>geographies</w:t>
      </w:r>
      <w:r w:rsidR="000266A7">
        <w:t xml:space="preserve">. </w:t>
      </w:r>
      <w:r w:rsidR="00875525">
        <w:t>In addition to improving collaboration</w:t>
      </w:r>
      <w:r w:rsidR="009003BD">
        <w:t xml:space="preserve">, </w:t>
      </w:r>
      <w:r w:rsidR="0097561D">
        <w:t>NOPSEMA</w:t>
      </w:r>
      <w:r w:rsidR="003C52F1">
        <w:t xml:space="preserve"> </w:t>
      </w:r>
      <w:r w:rsidR="00752DE9">
        <w:t xml:space="preserve">inspectors and assessors </w:t>
      </w:r>
      <w:r w:rsidR="003C52F1">
        <w:t xml:space="preserve">would better be able to identify </w:t>
      </w:r>
      <w:r w:rsidR="00703E5C">
        <w:t xml:space="preserve">cross-cutting issues </w:t>
      </w:r>
      <w:r w:rsidR="002D2EC1">
        <w:t xml:space="preserve">at </w:t>
      </w:r>
      <w:r w:rsidR="00752DE9">
        <w:t>a more strategic level</w:t>
      </w:r>
      <w:r w:rsidR="002D2EC1">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461A9E" w:rsidRPr="00040C83" w14:paraId="5DCCEE1E" w14:textId="77777777" w:rsidTr="003006BC">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3A760C91" w14:textId="7B4D9A28" w:rsidR="00461A9E" w:rsidRPr="00A470B1" w:rsidRDefault="00461A9E" w:rsidP="00053250">
            <w:pPr>
              <w:pStyle w:val="TableHeadingLeft"/>
              <w:rPr>
                <w:bCs/>
              </w:rPr>
            </w:pPr>
            <w:r w:rsidRPr="00A470B1">
              <w:rPr>
                <w:bCs/>
              </w:rPr>
              <w:t>Recommendation</w:t>
            </w:r>
            <w:r w:rsidR="002A314F" w:rsidRPr="00A470B1">
              <w:rPr>
                <w:bCs/>
              </w:rPr>
              <w:t xml:space="preserve"> #</w:t>
            </w:r>
            <w:r w:rsidR="003D79E0">
              <w:rPr>
                <w:bCs/>
              </w:rPr>
              <w:t>9</w:t>
            </w:r>
          </w:p>
        </w:tc>
      </w:tr>
      <w:tr w:rsidR="00040C83" w:rsidRPr="00040C83" w14:paraId="21F41CC8" w14:textId="77777777" w:rsidTr="003006BC">
        <w:trPr>
          <w:trHeight w:val="489"/>
        </w:trPr>
        <w:tc>
          <w:tcPr>
            <w:tcW w:w="9864" w:type="dxa"/>
            <w:tcBorders>
              <w:bottom w:val="nil"/>
            </w:tcBorders>
            <w:shd w:val="clear" w:color="auto" w:fill="F2F2F2" w:themeFill="background1" w:themeFillShade="F2"/>
          </w:tcPr>
          <w:p w14:paraId="4B3095EA" w14:textId="5CF86FAD" w:rsidR="001C4BF4" w:rsidRPr="00040C83" w:rsidRDefault="00AE07D3">
            <w:pPr>
              <w:pStyle w:val="BodyCopyNEW"/>
              <w:rPr>
                <w:rFonts w:ascii="Calibri" w:hAnsi="Calibri" w:cs="OpenSansRegular"/>
                <w:sz w:val="17"/>
                <w:szCs w:val="17"/>
              </w:rPr>
            </w:pPr>
            <w:r w:rsidRPr="00040C83">
              <w:rPr>
                <w:szCs w:val="18"/>
              </w:rPr>
              <w:t>NOPSEMA should develop an integrated plan for enabli</w:t>
            </w:r>
            <w:r w:rsidRPr="00040C83">
              <w:t xml:space="preserve">ng a shift to a ‘One NOPSEMA’ operating model which considers cross-functional </w:t>
            </w:r>
            <w:r w:rsidRPr="00040C83">
              <w:rPr>
                <w:szCs w:val="18"/>
              </w:rPr>
              <w:t>alignment of capabilities. This recommendation reflects that people change, process change, and technology change must occur in unison to achieve the desired outcome of a more coordinated, collaborative, and consistent delivery of regulatory functions.</w:t>
            </w:r>
          </w:p>
        </w:tc>
      </w:tr>
    </w:tbl>
    <w:p w14:paraId="5C4986AD" w14:textId="77777777" w:rsidR="00FC57D9" w:rsidRPr="00901C7B" w:rsidRDefault="00FC57D9" w:rsidP="001E3933">
      <w:pPr>
        <w:pStyle w:val="BodyCopyNEW"/>
        <w:spacing w:before="120"/>
      </w:pPr>
      <w:r w:rsidRPr="00901C7B">
        <w:t>Elements to consider in developing this transition plan to a new way of working include:</w:t>
      </w:r>
    </w:p>
    <w:p w14:paraId="0BC07B49" w14:textId="77777777" w:rsidR="00FC57D9" w:rsidRPr="00901C7B" w:rsidRDefault="00FC57D9" w:rsidP="000C1F53">
      <w:pPr>
        <w:pStyle w:val="BodycopyNEW0"/>
        <w:numPr>
          <w:ilvl w:val="0"/>
          <w:numId w:val="23"/>
        </w:numPr>
        <w:ind w:left="378"/>
      </w:pPr>
      <w:r w:rsidRPr="00901C7B">
        <w:t>The application of a basin-centric organisation of cross-functional teams (e.g. pods aligned to a basin with capabilities across safety, environment, well integrity, and regulatory support). Formal reporting lines could remain tied to functional leaders</w:t>
      </w:r>
    </w:p>
    <w:p w14:paraId="72464A3A" w14:textId="77777777" w:rsidR="00FC57D9" w:rsidRPr="00901C7B" w:rsidRDefault="00FC57D9" w:rsidP="000C1F53">
      <w:pPr>
        <w:pStyle w:val="BodycopyNEW0"/>
        <w:numPr>
          <w:ilvl w:val="0"/>
          <w:numId w:val="23"/>
        </w:numPr>
        <w:ind w:left="378"/>
      </w:pPr>
      <w:r w:rsidRPr="00901C7B">
        <w:rPr>
          <w:rFonts w:cs="Times New Roman"/>
        </w:rPr>
        <w:t>Mechanisms for delivering cultural change, including a clear and compelling vision of what ‘</w:t>
      </w:r>
      <w:r w:rsidRPr="00901C7B">
        <w:t>One NOPSEMA’ practically looks like for personnel across the organisation</w:t>
      </w:r>
    </w:p>
    <w:p w14:paraId="0D9A8171" w14:textId="1124398A" w:rsidR="00FC57D9" w:rsidRPr="00901C7B" w:rsidRDefault="00FC57D9" w:rsidP="000C1F53">
      <w:pPr>
        <w:pStyle w:val="BodycopyNEW0"/>
        <w:numPr>
          <w:ilvl w:val="0"/>
          <w:numId w:val="23"/>
        </w:numPr>
        <w:ind w:left="378"/>
      </w:pPr>
      <w:r w:rsidRPr="00901C7B">
        <w:lastRenderedPageBreak/>
        <w:t>How organisational processes (both operational and support) can be redesigned to enable collaboration and coordination</w:t>
      </w:r>
      <w:r w:rsidR="002E7142">
        <w:t xml:space="preserve"> – particularly across inspection and assess</w:t>
      </w:r>
      <w:r w:rsidR="00C557F3">
        <w:t>ment processes</w:t>
      </w:r>
    </w:p>
    <w:p w14:paraId="7B6494F4" w14:textId="77777777" w:rsidR="00FC57D9" w:rsidRPr="00901C7B" w:rsidRDefault="00FC57D9" w:rsidP="000C1F53">
      <w:pPr>
        <w:pStyle w:val="BodycopyNEW0"/>
        <w:numPr>
          <w:ilvl w:val="0"/>
          <w:numId w:val="23"/>
        </w:numPr>
        <w:ind w:left="378"/>
      </w:pPr>
      <w:r w:rsidRPr="00901C7B">
        <w:t>Cross-functional training requirements and knowledge sharing arrangements, to ensure a base level of understanding is established across the organisation of other functional subject matter areas. A base understanding of other roles will assist regulatory personnel to identify opportunities where collaboration is required or would be of benefit</w:t>
      </w:r>
    </w:p>
    <w:p w14:paraId="5CB34ABA" w14:textId="77777777" w:rsidR="00FC57D9" w:rsidRPr="00901C7B" w:rsidRDefault="00FC57D9" w:rsidP="000C1F53">
      <w:pPr>
        <w:pStyle w:val="BodycopyNEW0"/>
        <w:numPr>
          <w:ilvl w:val="0"/>
          <w:numId w:val="23"/>
        </w:numPr>
        <w:ind w:left="378"/>
      </w:pPr>
      <w:r w:rsidRPr="00901C7B">
        <w:t>Clarity in governance and corporate performance reporting, which reinforce collaboration and coordination outcomes</w:t>
      </w:r>
    </w:p>
    <w:p w14:paraId="6546A599" w14:textId="77777777" w:rsidR="00FC57D9" w:rsidRPr="00901C7B" w:rsidRDefault="00FC57D9" w:rsidP="000C1F53">
      <w:pPr>
        <w:pStyle w:val="BodycopyNEW0"/>
        <w:numPr>
          <w:ilvl w:val="0"/>
          <w:numId w:val="23"/>
        </w:numPr>
        <w:ind w:left="378"/>
      </w:pPr>
      <w:r w:rsidRPr="00901C7B">
        <w:t>Design and agreement of ‘One NOPSEMA’ values and behaviours, which should then be integrated into talent management processes</w:t>
      </w:r>
    </w:p>
    <w:p w14:paraId="624BCB3A" w14:textId="77777777" w:rsidR="00FC57D9" w:rsidRPr="00901C7B" w:rsidRDefault="00FC57D9" w:rsidP="000C1F53">
      <w:pPr>
        <w:pStyle w:val="BodycopyNEW0"/>
        <w:numPr>
          <w:ilvl w:val="0"/>
          <w:numId w:val="23"/>
        </w:numPr>
        <w:ind w:left="378"/>
      </w:pPr>
      <w:r w:rsidRPr="00901C7B">
        <w:t>Systems and data that enable collaboration</w:t>
      </w:r>
    </w:p>
    <w:p w14:paraId="10C05873" w14:textId="77777777" w:rsidR="00FC57D9" w:rsidRPr="00901C7B" w:rsidRDefault="00FC57D9" w:rsidP="000C1F53">
      <w:pPr>
        <w:pStyle w:val="BodycopyNEW0"/>
        <w:numPr>
          <w:ilvl w:val="0"/>
          <w:numId w:val="23"/>
        </w:numPr>
        <w:ind w:left="378"/>
        <w:rPr>
          <w:rFonts w:cs="Times New Roman"/>
        </w:rPr>
      </w:pPr>
      <w:r w:rsidRPr="00901C7B">
        <w:t>Facilities, working tools, and workspaces that enable collaboration and coordination</w:t>
      </w:r>
      <w:r w:rsidRPr="00901C7B">
        <w:rPr>
          <w:rFonts w:cs="Times New Roman"/>
        </w:rPr>
        <w:t>.</w:t>
      </w:r>
    </w:p>
    <w:p w14:paraId="28996E2E" w14:textId="062D6796" w:rsidR="00A25D7B" w:rsidRPr="0027287B" w:rsidRDefault="00A25D7B" w:rsidP="0027287B">
      <w:pPr>
        <w:pStyle w:val="Heading2"/>
        <w:rPr>
          <w:rStyle w:val="Hyperlink"/>
          <w:color w:val="007680"/>
          <w:u w:val="none"/>
        </w:rPr>
      </w:pPr>
      <w:bookmarkStart w:id="69" w:name="_Ref58593446"/>
      <w:r w:rsidRPr="0027287B">
        <w:rPr>
          <w:rStyle w:val="Hyperlink"/>
          <w:color w:val="007680"/>
          <w:u w:val="none"/>
        </w:rPr>
        <w:t>NOPSEMA’s capacity</w:t>
      </w:r>
      <w:bookmarkEnd w:id="69"/>
    </w:p>
    <w:p w14:paraId="19418A8C" w14:textId="4D3941AD" w:rsidR="00461A9E" w:rsidRPr="00461A9E" w:rsidRDefault="00461A9E" w:rsidP="0027287B">
      <w:pPr>
        <w:pStyle w:val="Heading3NoNumber"/>
      </w:pPr>
      <w:r w:rsidRPr="00461A9E">
        <w:t>With the exception of Well Integrity, NOPSEMA’s capacity is sufficient</w:t>
      </w:r>
    </w:p>
    <w:p w14:paraId="026CCCAB" w14:textId="498A9927" w:rsidR="00461A9E" w:rsidRPr="00461A9E" w:rsidRDefault="00461A9E" w:rsidP="0027287B">
      <w:pPr>
        <w:pStyle w:val="BodyCopyNEW"/>
      </w:pPr>
      <w:r w:rsidRPr="00461A9E">
        <w:t xml:space="preserve">NOPSEMA leadership did not highlight major concerns with capacity and it was generally felt that the current staffing levels are appropriate for performing the required functions of NOPSEMA. NOPSEMA’s operating efficiency </w:t>
      </w:r>
      <w:r w:rsidR="00B5067F">
        <w:t xml:space="preserve">is analysed </w:t>
      </w:r>
      <w:r w:rsidRPr="00461A9E">
        <w:t xml:space="preserve">further in </w:t>
      </w:r>
      <w:r w:rsidRPr="00152631">
        <w:rPr>
          <w:b/>
        </w:rPr>
        <w:t xml:space="preserve">Section </w:t>
      </w:r>
      <w:r w:rsidR="00152631" w:rsidRPr="00152631">
        <w:rPr>
          <w:b/>
          <w:bCs/>
        </w:rPr>
        <w:fldChar w:fldCharType="begin"/>
      </w:r>
      <w:r w:rsidR="00152631" w:rsidRPr="00152631">
        <w:rPr>
          <w:b/>
          <w:bCs/>
        </w:rPr>
        <w:instrText xml:space="preserve"> REF _Ref55978456 \r \h </w:instrText>
      </w:r>
      <w:r w:rsidR="00152631">
        <w:rPr>
          <w:b/>
          <w:bCs/>
        </w:rPr>
        <w:instrText xml:space="preserve"> \* MERGEFORMAT </w:instrText>
      </w:r>
      <w:r w:rsidR="00152631" w:rsidRPr="00152631">
        <w:rPr>
          <w:b/>
          <w:bCs/>
        </w:rPr>
      </w:r>
      <w:r w:rsidR="00152631" w:rsidRPr="00152631">
        <w:rPr>
          <w:b/>
          <w:bCs/>
        </w:rPr>
        <w:fldChar w:fldCharType="separate"/>
      </w:r>
      <w:r w:rsidR="00E816B8">
        <w:rPr>
          <w:b/>
          <w:bCs/>
        </w:rPr>
        <w:t>10.1.2</w:t>
      </w:r>
      <w:r w:rsidR="00152631" w:rsidRPr="00152631">
        <w:rPr>
          <w:b/>
          <w:bCs/>
        </w:rPr>
        <w:fldChar w:fldCharType="end"/>
      </w:r>
      <w:r w:rsidR="00B5067F">
        <w:t>.</w:t>
      </w:r>
    </w:p>
    <w:p w14:paraId="0A3E2848" w14:textId="3B87C203" w:rsidR="000E406F" w:rsidRDefault="00461A9E" w:rsidP="00687550">
      <w:pPr>
        <w:pStyle w:val="BodyCopyNEW"/>
      </w:pPr>
      <w:r w:rsidRPr="00461A9E">
        <w:t xml:space="preserve">However, concerns were raised </w:t>
      </w:r>
      <w:r w:rsidR="00752DE9">
        <w:t>by NOPSEMA</w:t>
      </w:r>
      <w:r w:rsidR="00CF3E98">
        <w:t xml:space="preserve"> and by stakeholders</w:t>
      </w:r>
      <w:r w:rsidR="00752DE9">
        <w:t xml:space="preserve"> </w:t>
      </w:r>
      <w:r w:rsidRPr="00461A9E">
        <w:t>that the Well Integrity team is resource constrained. It was noted that much of the team’s time is spent reviewing WOMPs, leaving limited time to perform inspections. Referring t</w:t>
      </w:r>
      <w:r w:rsidR="00687550">
        <w:t xml:space="preserve">o </w:t>
      </w:r>
      <w:r w:rsidR="00687550" w:rsidRPr="00687550">
        <w:rPr>
          <w:b/>
          <w:bCs/>
        </w:rPr>
        <w:fldChar w:fldCharType="begin"/>
      </w:r>
      <w:r w:rsidR="00687550" w:rsidRPr="00687550">
        <w:rPr>
          <w:b/>
          <w:bCs/>
        </w:rPr>
        <w:instrText xml:space="preserve"> REF _Ref58446255 \h </w:instrText>
      </w:r>
      <w:r w:rsidR="00687550">
        <w:rPr>
          <w:b/>
          <w:bCs/>
        </w:rPr>
        <w:instrText xml:space="preserve"> \* MERGEFORMAT </w:instrText>
      </w:r>
      <w:r w:rsidR="00687550" w:rsidRPr="00687550">
        <w:rPr>
          <w:b/>
          <w:bCs/>
        </w:rPr>
      </w:r>
      <w:r w:rsidR="00687550" w:rsidRPr="00687550">
        <w:rPr>
          <w:b/>
          <w:bCs/>
        </w:rPr>
        <w:fldChar w:fldCharType="separate"/>
      </w:r>
      <w:r w:rsidR="00E816B8" w:rsidRPr="00E816B8">
        <w:rPr>
          <w:b/>
          <w:bCs/>
        </w:rPr>
        <w:t xml:space="preserve">Table </w:t>
      </w:r>
      <w:r w:rsidR="00E816B8" w:rsidRPr="00E816B8">
        <w:rPr>
          <w:b/>
          <w:bCs/>
          <w:noProof/>
        </w:rPr>
        <w:t>7.1</w:t>
      </w:r>
      <w:r w:rsidR="00687550" w:rsidRPr="00687550">
        <w:rPr>
          <w:b/>
          <w:bCs/>
        </w:rPr>
        <w:fldChar w:fldCharType="end"/>
      </w:r>
      <w:r w:rsidRPr="00461A9E">
        <w:t xml:space="preserve">, we </w:t>
      </w:r>
      <w:r w:rsidR="006B21BE">
        <w:t>highlight</w:t>
      </w:r>
      <w:r w:rsidR="006B21BE" w:rsidRPr="00461A9E">
        <w:t xml:space="preserve"> </w:t>
      </w:r>
      <w:r w:rsidRPr="00461A9E">
        <w:t xml:space="preserve">a gradual increase in the number of Well Integrity assessments and inspections from </w:t>
      </w:r>
      <w:r w:rsidRPr="000213C2">
        <w:rPr>
          <w:szCs w:val="18"/>
        </w:rPr>
        <w:t>2018 onwards</w:t>
      </w:r>
      <w:r w:rsidR="008079C6" w:rsidRPr="000213C2">
        <w:rPr>
          <w:rStyle w:val="FootnoteReference"/>
          <w:rFonts w:cs="OpenSansRegular"/>
          <w:sz w:val="18"/>
          <w:szCs w:val="18"/>
        </w:rPr>
        <w:footnoteReference w:id="28"/>
      </w:r>
      <w:r w:rsidRPr="000213C2">
        <w:rPr>
          <w:szCs w:val="18"/>
        </w:rPr>
        <w:t>.</w:t>
      </w:r>
      <w:r w:rsidR="00E42168" w:rsidRPr="000213C2">
        <w:rPr>
          <w:szCs w:val="18"/>
        </w:rPr>
        <w:t xml:space="preserve"> This</w:t>
      </w:r>
      <w:r w:rsidR="00E42168">
        <w:t xml:space="preserve"> trend could reasonably be expected to continue as the number of well abandonment activities increase in future as the industry matures.</w:t>
      </w:r>
    </w:p>
    <w:p w14:paraId="15C359C3" w14:textId="2416FEAB" w:rsidR="00461A9E" w:rsidRPr="00461A9E" w:rsidRDefault="00687550" w:rsidP="00E25B4F">
      <w:pPr>
        <w:pStyle w:val="Caption"/>
        <w:keepNext/>
      </w:pPr>
      <w:bookmarkStart w:id="70" w:name="_Ref58446255"/>
      <w:r>
        <w:t xml:space="preserve">Table </w:t>
      </w:r>
      <w:r w:rsidR="00F8476B">
        <w:fldChar w:fldCharType="begin"/>
      </w:r>
      <w:r w:rsidR="00F8476B">
        <w:instrText xml:space="preserve"> STYLEREF 1 \s </w:instrText>
      </w:r>
      <w:r w:rsidR="00F8476B">
        <w:fldChar w:fldCharType="separate"/>
      </w:r>
      <w:r w:rsidR="00E816B8">
        <w:rPr>
          <w:noProof/>
        </w:rPr>
        <w:t>7</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1</w:t>
      </w:r>
      <w:r w:rsidR="00F8476B">
        <w:fldChar w:fldCharType="end"/>
      </w:r>
      <w:bookmarkEnd w:id="70"/>
      <w:r>
        <w:t>: Well Integrity assessment and inspection activity from 2011 to Sep 2020</w:t>
      </w:r>
    </w:p>
    <w:tbl>
      <w:tblPr>
        <w:tblStyle w:val="ListTable3-Accent3"/>
        <w:tblW w:w="5000" w:type="pct"/>
        <w:tblBorders>
          <w:top w:val="none" w:sz="0" w:space="0" w:color="auto"/>
          <w:left w:val="none" w:sz="0" w:space="0" w:color="auto"/>
          <w:bottom w:val="none" w:sz="0" w:space="0" w:color="auto"/>
          <w:right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1986"/>
        <w:gridCol w:w="1273"/>
        <w:gridCol w:w="599"/>
        <w:gridCol w:w="600"/>
        <w:gridCol w:w="602"/>
        <w:gridCol w:w="600"/>
        <w:gridCol w:w="600"/>
        <w:gridCol w:w="602"/>
        <w:gridCol w:w="600"/>
        <w:gridCol w:w="600"/>
        <w:gridCol w:w="602"/>
        <w:gridCol w:w="600"/>
        <w:gridCol w:w="600"/>
      </w:tblGrid>
      <w:tr w:rsidR="005B79DB" w:rsidRPr="00461A9E" w14:paraId="457EE4BF" w14:textId="77777777" w:rsidTr="009C6412">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1652" w:type="pct"/>
            <w:gridSpan w:val="2"/>
            <w:tcBorders>
              <w:top w:val="single" w:sz="8" w:space="0" w:color="007680"/>
              <w:bottom w:val="single" w:sz="8" w:space="0" w:color="007680"/>
            </w:tcBorders>
            <w:shd w:val="clear" w:color="auto" w:fill="auto"/>
            <w:hideMark/>
          </w:tcPr>
          <w:p w14:paraId="67663E1F" w14:textId="1ECC4577" w:rsidR="005B79DB" w:rsidRPr="0027287B" w:rsidRDefault="005B79DB" w:rsidP="0027287B">
            <w:pPr>
              <w:pStyle w:val="Tableheader"/>
              <w:rPr>
                <w:b/>
                <w:bCs/>
              </w:rPr>
            </w:pPr>
            <w:r w:rsidRPr="0027287B">
              <w:rPr>
                <w:b/>
                <w:bCs/>
              </w:rPr>
              <w:t>Well integrity assessments and inspections</w:t>
            </w:r>
          </w:p>
        </w:tc>
        <w:tc>
          <w:tcPr>
            <w:tcW w:w="304" w:type="pct"/>
            <w:vMerge w:val="restart"/>
            <w:tcBorders>
              <w:top w:val="single" w:sz="8" w:space="0" w:color="007680"/>
            </w:tcBorders>
            <w:shd w:val="clear" w:color="auto" w:fill="auto"/>
            <w:textDirection w:val="btLr"/>
            <w:vAlign w:val="center"/>
            <w:hideMark/>
          </w:tcPr>
          <w:p w14:paraId="586A2AA4"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27287B">
              <w:rPr>
                <w:b/>
                <w:bCs/>
              </w:rPr>
              <w:t>2011</w:t>
            </w:r>
          </w:p>
        </w:tc>
        <w:tc>
          <w:tcPr>
            <w:tcW w:w="304" w:type="pct"/>
            <w:vMerge w:val="restart"/>
            <w:tcBorders>
              <w:top w:val="single" w:sz="8" w:space="0" w:color="007680"/>
            </w:tcBorders>
            <w:shd w:val="clear" w:color="auto" w:fill="auto"/>
            <w:textDirection w:val="btLr"/>
            <w:vAlign w:val="center"/>
            <w:hideMark/>
          </w:tcPr>
          <w:p w14:paraId="7BF2BE53"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27287B">
              <w:rPr>
                <w:b/>
                <w:bCs/>
              </w:rPr>
              <w:t>2012</w:t>
            </w:r>
          </w:p>
        </w:tc>
        <w:tc>
          <w:tcPr>
            <w:tcW w:w="305" w:type="pct"/>
            <w:vMerge w:val="restart"/>
            <w:tcBorders>
              <w:top w:val="single" w:sz="8" w:space="0" w:color="007680"/>
            </w:tcBorders>
            <w:shd w:val="clear" w:color="auto" w:fill="auto"/>
            <w:textDirection w:val="btLr"/>
            <w:vAlign w:val="center"/>
            <w:hideMark/>
          </w:tcPr>
          <w:p w14:paraId="2A7C73CF"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27287B">
              <w:rPr>
                <w:b/>
                <w:bCs/>
              </w:rPr>
              <w:t>2013</w:t>
            </w:r>
          </w:p>
        </w:tc>
        <w:tc>
          <w:tcPr>
            <w:tcW w:w="304" w:type="pct"/>
            <w:vMerge w:val="restart"/>
            <w:tcBorders>
              <w:top w:val="single" w:sz="8" w:space="0" w:color="007680"/>
            </w:tcBorders>
            <w:shd w:val="clear" w:color="auto" w:fill="auto"/>
            <w:textDirection w:val="btLr"/>
            <w:vAlign w:val="center"/>
            <w:hideMark/>
          </w:tcPr>
          <w:p w14:paraId="03739735"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27287B">
              <w:rPr>
                <w:b/>
                <w:bCs/>
              </w:rPr>
              <w:t>2014</w:t>
            </w:r>
          </w:p>
        </w:tc>
        <w:tc>
          <w:tcPr>
            <w:tcW w:w="304" w:type="pct"/>
            <w:vMerge w:val="restart"/>
            <w:tcBorders>
              <w:top w:val="single" w:sz="8" w:space="0" w:color="007680"/>
            </w:tcBorders>
            <w:shd w:val="clear" w:color="auto" w:fill="auto"/>
            <w:textDirection w:val="btLr"/>
            <w:vAlign w:val="center"/>
            <w:hideMark/>
          </w:tcPr>
          <w:p w14:paraId="047C78EA"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27287B">
              <w:rPr>
                <w:b/>
                <w:bCs/>
              </w:rPr>
              <w:t>2015</w:t>
            </w:r>
          </w:p>
        </w:tc>
        <w:tc>
          <w:tcPr>
            <w:tcW w:w="305" w:type="pct"/>
            <w:vMerge w:val="restart"/>
            <w:tcBorders>
              <w:top w:val="single" w:sz="8" w:space="0" w:color="007680"/>
            </w:tcBorders>
            <w:shd w:val="clear" w:color="auto" w:fill="auto"/>
            <w:textDirection w:val="btLr"/>
            <w:vAlign w:val="center"/>
            <w:hideMark/>
          </w:tcPr>
          <w:p w14:paraId="36376660"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27287B">
              <w:rPr>
                <w:b/>
                <w:bCs/>
              </w:rPr>
              <w:t>2016</w:t>
            </w:r>
          </w:p>
        </w:tc>
        <w:tc>
          <w:tcPr>
            <w:tcW w:w="304" w:type="pct"/>
            <w:vMerge w:val="restart"/>
            <w:tcBorders>
              <w:top w:val="single" w:sz="8" w:space="0" w:color="007680"/>
            </w:tcBorders>
            <w:shd w:val="clear" w:color="auto" w:fill="auto"/>
            <w:textDirection w:val="btLr"/>
            <w:vAlign w:val="center"/>
            <w:hideMark/>
          </w:tcPr>
          <w:p w14:paraId="065F41A7"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27287B">
              <w:rPr>
                <w:b/>
                <w:bCs/>
              </w:rPr>
              <w:t>2017</w:t>
            </w:r>
          </w:p>
        </w:tc>
        <w:tc>
          <w:tcPr>
            <w:tcW w:w="304" w:type="pct"/>
            <w:vMerge w:val="restart"/>
            <w:tcBorders>
              <w:top w:val="single" w:sz="8" w:space="0" w:color="007680"/>
            </w:tcBorders>
            <w:shd w:val="clear" w:color="auto" w:fill="auto"/>
            <w:textDirection w:val="btLr"/>
            <w:vAlign w:val="center"/>
            <w:hideMark/>
          </w:tcPr>
          <w:p w14:paraId="0F664FCE"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27287B">
              <w:rPr>
                <w:b/>
                <w:bCs/>
              </w:rPr>
              <w:t>2018</w:t>
            </w:r>
          </w:p>
        </w:tc>
        <w:tc>
          <w:tcPr>
            <w:tcW w:w="305" w:type="pct"/>
            <w:vMerge w:val="restart"/>
            <w:tcBorders>
              <w:top w:val="single" w:sz="8" w:space="0" w:color="007680"/>
            </w:tcBorders>
            <w:shd w:val="clear" w:color="auto" w:fill="auto"/>
            <w:textDirection w:val="btLr"/>
            <w:vAlign w:val="center"/>
            <w:hideMark/>
          </w:tcPr>
          <w:p w14:paraId="631044C9"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27287B">
              <w:rPr>
                <w:b/>
                <w:bCs/>
              </w:rPr>
              <w:t>2019</w:t>
            </w:r>
          </w:p>
        </w:tc>
        <w:tc>
          <w:tcPr>
            <w:tcW w:w="304" w:type="pct"/>
            <w:vMerge w:val="restart"/>
            <w:tcBorders>
              <w:top w:val="single" w:sz="8" w:space="0" w:color="007680"/>
            </w:tcBorders>
            <w:shd w:val="clear" w:color="auto" w:fill="auto"/>
            <w:textDirection w:val="btLr"/>
            <w:vAlign w:val="center"/>
            <w:hideMark/>
          </w:tcPr>
          <w:p w14:paraId="022BC0A5" w14:textId="77777777" w:rsidR="005B79DB" w:rsidRPr="0027287B" w:rsidRDefault="005B79DB" w:rsidP="00901C7B">
            <w:pPr>
              <w:pStyle w:val="Tableheader"/>
              <w:spacing w:line="216" w:lineRule="auto"/>
              <w:jc w:val="center"/>
              <w:cnfStyle w:val="100000000000" w:firstRow="1" w:lastRow="0" w:firstColumn="0" w:lastColumn="0" w:oddVBand="0" w:evenVBand="0" w:oddHBand="0" w:evenHBand="0" w:firstRowFirstColumn="0" w:firstRowLastColumn="0" w:lastRowFirstColumn="0" w:lastRowLastColumn="0"/>
              <w:rPr>
                <w:b/>
                <w:bCs/>
              </w:rPr>
            </w:pPr>
            <w:r w:rsidRPr="0027287B">
              <w:rPr>
                <w:b/>
                <w:bCs/>
              </w:rPr>
              <w:t>Jan - Sep 2020</w:t>
            </w:r>
          </w:p>
        </w:tc>
        <w:tc>
          <w:tcPr>
            <w:tcW w:w="305" w:type="pct"/>
            <w:vMerge w:val="restart"/>
            <w:tcBorders>
              <w:top w:val="single" w:sz="8" w:space="0" w:color="007680"/>
            </w:tcBorders>
            <w:shd w:val="clear" w:color="auto" w:fill="auto"/>
            <w:textDirection w:val="btLr"/>
            <w:vAlign w:val="center"/>
            <w:hideMark/>
          </w:tcPr>
          <w:p w14:paraId="638A2373"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rPr>
                <w:b/>
                <w:bCs/>
              </w:rPr>
            </w:pPr>
            <w:r w:rsidRPr="0027287B">
              <w:rPr>
                <w:b/>
                <w:bCs/>
              </w:rPr>
              <w:t>Total</w:t>
            </w:r>
          </w:p>
        </w:tc>
      </w:tr>
      <w:tr w:rsidR="005B79DB" w:rsidRPr="00461A9E" w14:paraId="054E76DF" w14:textId="77777777" w:rsidTr="009C6412">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100" w:firstRow="0" w:lastRow="0" w:firstColumn="1" w:lastColumn="0" w:oddVBand="0" w:evenVBand="0" w:oddHBand="0" w:evenHBand="0" w:firstRowFirstColumn="1" w:firstRowLastColumn="0" w:lastRowFirstColumn="0" w:lastRowLastColumn="0"/>
            <w:tcW w:w="1007" w:type="pct"/>
            <w:tcBorders>
              <w:top w:val="single" w:sz="8" w:space="0" w:color="007680"/>
              <w:bottom w:val="single" w:sz="8" w:space="0" w:color="007680"/>
            </w:tcBorders>
            <w:shd w:val="clear" w:color="auto" w:fill="auto"/>
          </w:tcPr>
          <w:p w14:paraId="7230B139" w14:textId="77777777" w:rsidR="005B79DB" w:rsidRPr="0027287B" w:rsidRDefault="005B79DB" w:rsidP="0027287B">
            <w:pPr>
              <w:pStyle w:val="Tableheader"/>
              <w:rPr>
                <w:b/>
                <w:bCs/>
              </w:rPr>
            </w:pPr>
          </w:p>
        </w:tc>
        <w:tc>
          <w:tcPr>
            <w:tcW w:w="646" w:type="pct"/>
            <w:tcBorders>
              <w:top w:val="single" w:sz="8" w:space="0" w:color="007680"/>
              <w:bottom w:val="single" w:sz="8" w:space="0" w:color="007680"/>
              <w:right w:val="nil"/>
            </w:tcBorders>
            <w:shd w:val="clear" w:color="auto" w:fill="auto"/>
          </w:tcPr>
          <w:p w14:paraId="6BFE832F" w14:textId="37E1AD0D" w:rsidR="005B79DB" w:rsidRPr="009C560D" w:rsidRDefault="005B79DB" w:rsidP="009C560D">
            <w:pPr>
              <w:pStyle w:val="BodyCopyNEW"/>
              <w:spacing w:after="0"/>
              <w:cnfStyle w:val="100000000000" w:firstRow="1" w:lastRow="0" w:firstColumn="0" w:lastColumn="0" w:oddVBand="0" w:evenVBand="0" w:oddHBand="0" w:evenHBand="0" w:firstRowFirstColumn="0" w:firstRowLastColumn="0" w:lastRowFirstColumn="0" w:lastRowLastColumn="0"/>
              <w:rPr>
                <w:color w:val="auto"/>
                <w:lang w:eastAsia="en-AU"/>
              </w:rPr>
            </w:pPr>
            <w:r w:rsidRPr="002C336C">
              <w:rPr>
                <w:rFonts w:ascii="Calibri" w:eastAsia="Verdana" w:hAnsi="Calibri" w:cs="Calibri"/>
                <w:color w:val="007680"/>
                <w:sz w:val="20"/>
                <w:lang w:eastAsia="en-AU"/>
              </w:rPr>
              <w:t>Subtype</w:t>
            </w:r>
          </w:p>
        </w:tc>
        <w:tc>
          <w:tcPr>
            <w:tcW w:w="304" w:type="pct"/>
            <w:vMerge/>
            <w:tcBorders>
              <w:bottom w:val="single" w:sz="8" w:space="0" w:color="007680"/>
            </w:tcBorders>
            <w:shd w:val="clear" w:color="auto" w:fill="auto"/>
            <w:textDirection w:val="btLr"/>
            <w:vAlign w:val="center"/>
          </w:tcPr>
          <w:p w14:paraId="1DFB9970"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pPr>
          </w:p>
        </w:tc>
        <w:tc>
          <w:tcPr>
            <w:tcW w:w="304" w:type="pct"/>
            <w:vMerge/>
            <w:tcBorders>
              <w:bottom w:val="single" w:sz="8" w:space="0" w:color="007680"/>
            </w:tcBorders>
            <w:shd w:val="clear" w:color="auto" w:fill="auto"/>
            <w:textDirection w:val="btLr"/>
            <w:vAlign w:val="center"/>
          </w:tcPr>
          <w:p w14:paraId="583A1ECD"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pPr>
          </w:p>
        </w:tc>
        <w:tc>
          <w:tcPr>
            <w:tcW w:w="305" w:type="pct"/>
            <w:vMerge/>
            <w:tcBorders>
              <w:bottom w:val="single" w:sz="8" w:space="0" w:color="007680"/>
            </w:tcBorders>
            <w:shd w:val="clear" w:color="auto" w:fill="auto"/>
            <w:textDirection w:val="btLr"/>
            <w:vAlign w:val="center"/>
          </w:tcPr>
          <w:p w14:paraId="48BC7264"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pPr>
          </w:p>
        </w:tc>
        <w:tc>
          <w:tcPr>
            <w:tcW w:w="304" w:type="pct"/>
            <w:vMerge/>
            <w:tcBorders>
              <w:bottom w:val="single" w:sz="8" w:space="0" w:color="007680"/>
            </w:tcBorders>
            <w:shd w:val="clear" w:color="auto" w:fill="auto"/>
            <w:textDirection w:val="btLr"/>
            <w:vAlign w:val="center"/>
          </w:tcPr>
          <w:p w14:paraId="007D50F5"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pPr>
          </w:p>
        </w:tc>
        <w:tc>
          <w:tcPr>
            <w:tcW w:w="304" w:type="pct"/>
            <w:vMerge/>
            <w:tcBorders>
              <w:bottom w:val="single" w:sz="8" w:space="0" w:color="007680"/>
            </w:tcBorders>
            <w:shd w:val="clear" w:color="auto" w:fill="auto"/>
            <w:textDirection w:val="btLr"/>
            <w:vAlign w:val="center"/>
          </w:tcPr>
          <w:p w14:paraId="62976652"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pPr>
          </w:p>
        </w:tc>
        <w:tc>
          <w:tcPr>
            <w:tcW w:w="305" w:type="pct"/>
            <w:vMerge/>
            <w:tcBorders>
              <w:bottom w:val="single" w:sz="8" w:space="0" w:color="007680"/>
            </w:tcBorders>
            <w:shd w:val="clear" w:color="auto" w:fill="auto"/>
            <w:textDirection w:val="btLr"/>
            <w:vAlign w:val="center"/>
          </w:tcPr>
          <w:p w14:paraId="653D5525"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pPr>
          </w:p>
        </w:tc>
        <w:tc>
          <w:tcPr>
            <w:tcW w:w="304" w:type="pct"/>
            <w:vMerge/>
            <w:tcBorders>
              <w:bottom w:val="single" w:sz="8" w:space="0" w:color="007680"/>
            </w:tcBorders>
            <w:shd w:val="clear" w:color="auto" w:fill="auto"/>
            <w:textDirection w:val="btLr"/>
            <w:vAlign w:val="center"/>
          </w:tcPr>
          <w:p w14:paraId="7CF84D52"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pPr>
          </w:p>
        </w:tc>
        <w:tc>
          <w:tcPr>
            <w:tcW w:w="304" w:type="pct"/>
            <w:vMerge/>
            <w:tcBorders>
              <w:bottom w:val="single" w:sz="8" w:space="0" w:color="007680"/>
            </w:tcBorders>
            <w:shd w:val="clear" w:color="auto" w:fill="auto"/>
            <w:textDirection w:val="btLr"/>
            <w:vAlign w:val="center"/>
          </w:tcPr>
          <w:p w14:paraId="5CBB3DAC"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pPr>
          </w:p>
        </w:tc>
        <w:tc>
          <w:tcPr>
            <w:tcW w:w="305" w:type="pct"/>
            <w:vMerge/>
            <w:tcBorders>
              <w:bottom w:val="single" w:sz="8" w:space="0" w:color="007680"/>
            </w:tcBorders>
            <w:shd w:val="clear" w:color="auto" w:fill="auto"/>
            <w:textDirection w:val="btLr"/>
            <w:vAlign w:val="center"/>
          </w:tcPr>
          <w:p w14:paraId="1639C521"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pPr>
          </w:p>
        </w:tc>
        <w:tc>
          <w:tcPr>
            <w:tcW w:w="304" w:type="pct"/>
            <w:vMerge/>
            <w:tcBorders>
              <w:bottom w:val="single" w:sz="8" w:space="0" w:color="007680"/>
            </w:tcBorders>
            <w:shd w:val="clear" w:color="auto" w:fill="auto"/>
            <w:textDirection w:val="btLr"/>
            <w:vAlign w:val="center"/>
          </w:tcPr>
          <w:p w14:paraId="414C4E11" w14:textId="77777777" w:rsidR="005B79DB" w:rsidRPr="0027287B" w:rsidRDefault="005B79DB" w:rsidP="00901C7B">
            <w:pPr>
              <w:pStyle w:val="Tableheader"/>
              <w:spacing w:line="216" w:lineRule="auto"/>
              <w:jc w:val="center"/>
              <w:cnfStyle w:val="100000000000" w:firstRow="1" w:lastRow="0" w:firstColumn="0" w:lastColumn="0" w:oddVBand="0" w:evenVBand="0" w:oddHBand="0" w:evenHBand="0" w:firstRowFirstColumn="0" w:firstRowLastColumn="0" w:lastRowFirstColumn="0" w:lastRowLastColumn="0"/>
            </w:pPr>
          </w:p>
        </w:tc>
        <w:tc>
          <w:tcPr>
            <w:tcW w:w="305" w:type="pct"/>
            <w:vMerge/>
            <w:tcBorders>
              <w:bottom w:val="single" w:sz="8" w:space="0" w:color="007680"/>
            </w:tcBorders>
            <w:shd w:val="clear" w:color="auto" w:fill="auto"/>
            <w:textDirection w:val="btLr"/>
            <w:vAlign w:val="center"/>
          </w:tcPr>
          <w:p w14:paraId="275BBC2B" w14:textId="77777777" w:rsidR="005B79DB" w:rsidRPr="0027287B" w:rsidRDefault="005B79DB" w:rsidP="00901C7B">
            <w:pPr>
              <w:pStyle w:val="Tableheader"/>
              <w:jc w:val="center"/>
              <w:cnfStyle w:val="100000000000" w:firstRow="1" w:lastRow="0" w:firstColumn="0" w:lastColumn="0" w:oddVBand="0" w:evenVBand="0" w:oddHBand="0" w:evenHBand="0" w:firstRowFirstColumn="0" w:firstRowLastColumn="0" w:lastRowFirstColumn="0" w:lastRowLastColumn="0"/>
            </w:pPr>
          </w:p>
        </w:tc>
      </w:tr>
      <w:tr w:rsidR="001E3933" w:rsidRPr="00461A9E" w14:paraId="34689C8D" w14:textId="77777777" w:rsidTr="009C6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2" w:type="pct"/>
            <w:gridSpan w:val="2"/>
            <w:tcBorders>
              <w:top w:val="single" w:sz="8" w:space="0" w:color="007680"/>
              <w:bottom w:val="single" w:sz="4" w:space="0" w:color="BFBFBF" w:themeColor="background1" w:themeShade="BF"/>
            </w:tcBorders>
            <w:hideMark/>
          </w:tcPr>
          <w:p w14:paraId="301A486E" w14:textId="6FAAAF4F" w:rsidR="00461A9E" w:rsidRPr="003B6978" w:rsidRDefault="00461A9E" w:rsidP="0027287B">
            <w:pPr>
              <w:pStyle w:val="BodyCopyNEW"/>
              <w:rPr>
                <w:lang w:eastAsia="en-AU"/>
              </w:rPr>
            </w:pPr>
            <w:r w:rsidRPr="003B6978">
              <w:rPr>
                <w:lang w:eastAsia="en-AU"/>
              </w:rPr>
              <w:t xml:space="preserve">Well Integrity </w:t>
            </w:r>
            <w:r w:rsidR="009C560D">
              <w:rPr>
                <w:lang w:eastAsia="en-AU"/>
              </w:rPr>
              <w:br/>
            </w:r>
            <w:r w:rsidRPr="003B6978">
              <w:rPr>
                <w:lang w:eastAsia="en-AU"/>
              </w:rPr>
              <w:t>Inspection</w:t>
            </w:r>
          </w:p>
        </w:tc>
        <w:tc>
          <w:tcPr>
            <w:tcW w:w="304" w:type="pct"/>
            <w:tcBorders>
              <w:top w:val="single" w:sz="8" w:space="0" w:color="007680"/>
              <w:bottom w:val="single" w:sz="4" w:space="0" w:color="BFBFBF" w:themeColor="background1" w:themeShade="BF"/>
            </w:tcBorders>
            <w:vAlign w:val="center"/>
            <w:hideMark/>
          </w:tcPr>
          <w:p w14:paraId="7B598404"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4" w:type="pct"/>
            <w:tcBorders>
              <w:top w:val="single" w:sz="8" w:space="0" w:color="007680"/>
              <w:bottom w:val="single" w:sz="4" w:space="0" w:color="BFBFBF" w:themeColor="background1" w:themeShade="BF"/>
            </w:tcBorders>
            <w:vAlign w:val="center"/>
            <w:hideMark/>
          </w:tcPr>
          <w:p w14:paraId="342A8869"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4</w:t>
            </w:r>
          </w:p>
        </w:tc>
        <w:tc>
          <w:tcPr>
            <w:tcW w:w="305" w:type="pct"/>
            <w:tcBorders>
              <w:top w:val="single" w:sz="8" w:space="0" w:color="007680"/>
              <w:bottom w:val="single" w:sz="4" w:space="0" w:color="BFBFBF" w:themeColor="background1" w:themeShade="BF"/>
            </w:tcBorders>
            <w:vAlign w:val="center"/>
            <w:hideMark/>
          </w:tcPr>
          <w:p w14:paraId="5EC000D4"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5</w:t>
            </w:r>
          </w:p>
        </w:tc>
        <w:tc>
          <w:tcPr>
            <w:tcW w:w="304" w:type="pct"/>
            <w:tcBorders>
              <w:top w:val="single" w:sz="8" w:space="0" w:color="007680"/>
              <w:bottom w:val="single" w:sz="4" w:space="0" w:color="BFBFBF" w:themeColor="background1" w:themeShade="BF"/>
            </w:tcBorders>
            <w:vAlign w:val="center"/>
            <w:hideMark/>
          </w:tcPr>
          <w:p w14:paraId="06ECB94F"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5</w:t>
            </w:r>
          </w:p>
        </w:tc>
        <w:tc>
          <w:tcPr>
            <w:tcW w:w="304" w:type="pct"/>
            <w:tcBorders>
              <w:top w:val="single" w:sz="8" w:space="0" w:color="007680"/>
              <w:bottom w:val="single" w:sz="4" w:space="0" w:color="BFBFBF" w:themeColor="background1" w:themeShade="BF"/>
            </w:tcBorders>
            <w:vAlign w:val="center"/>
            <w:hideMark/>
          </w:tcPr>
          <w:p w14:paraId="428DBB94"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12</w:t>
            </w:r>
          </w:p>
        </w:tc>
        <w:tc>
          <w:tcPr>
            <w:tcW w:w="305" w:type="pct"/>
            <w:tcBorders>
              <w:top w:val="single" w:sz="8" w:space="0" w:color="007680"/>
              <w:bottom w:val="single" w:sz="4" w:space="0" w:color="BFBFBF" w:themeColor="background1" w:themeShade="BF"/>
            </w:tcBorders>
            <w:vAlign w:val="center"/>
            <w:hideMark/>
          </w:tcPr>
          <w:p w14:paraId="5261F93A"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6</w:t>
            </w:r>
          </w:p>
        </w:tc>
        <w:tc>
          <w:tcPr>
            <w:tcW w:w="304" w:type="pct"/>
            <w:tcBorders>
              <w:top w:val="single" w:sz="8" w:space="0" w:color="007680"/>
              <w:bottom w:val="single" w:sz="4" w:space="0" w:color="BFBFBF" w:themeColor="background1" w:themeShade="BF"/>
            </w:tcBorders>
            <w:vAlign w:val="center"/>
            <w:hideMark/>
          </w:tcPr>
          <w:p w14:paraId="13A30575"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8</w:t>
            </w:r>
          </w:p>
        </w:tc>
        <w:tc>
          <w:tcPr>
            <w:tcW w:w="304" w:type="pct"/>
            <w:tcBorders>
              <w:top w:val="single" w:sz="8" w:space="0" w:color="007680"/>
              <w:bottom w:val="single" w:sz="4" w:space="0" w:color="BFBFBF" w:themeColor="background1" w:themeShade="BF"/>
            </w:tcBorders>
            <w:vAlign w:val="center"/>
            <w:hideMark/>
          </w:tcPr>
          <w:p w14:paraId="701515BE"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11</w:t>
            </w:r>
          </w:p>
        </w:tc>
        <w:tc>
          <w:tcPr>
            <w:tcW w:w="305" w:type="pct"/>
            <w:tcBorders>
              <w:top w:val="single" w:sz="8" w:space="0" w:color="007680"/>
              <w:bottom w:val="single" w:sz="4" w:space="0" w:color="BFBFBF" w:themeColor="background1" w:themeShade="BF"/>
            </w:tcBorders>
            <w:vAlign w:val="center"/>
            <w:hideMark/>
          </w:tcPr>
          <w:p w14:paraId="73F01BB9"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10</w:t>
            </w:r>
          </w:p>
        </w:tc>
        <w:tc>
          <w:tcPr>
            <w:tcW w:w="304" w:type="pct"/>
            <w:tcBorders>
              <w:top w:val="single" w:sz="8" w:space="0" w:color="007680"/>
              <w:bottom w:val="single" w:sz="4" w:space="0" w:color="BFBFBF" w:themeColor="background1" w:themeShade="BF"/>
            </w:tcBorders>
            <w:vAlign w:val="center"/>
            <w:hideMark/>
          </w:tcPr>
          <w:p w14:paraId="5D64723B"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21</w:t>
            </w:r>
          </w:p>
        </w:tc>
        <w:tc>
          <w:tcPr>
            <w:tcW w:w="305" w:type="pct"/>
            <w:tcBorders>
              <w:top w:val="single" w:sz="8" w:space="0" w:color="007680"/>
              <w:bottom w:val="single" w:sz="4" w:space="0" w:color="BFBFBF" w:themeColor="background1" w:themeShade="BF"/>
            </w:tcBorders>
            <w:vAlign w:val="center"/>
            <w:hideMark/>
          </w:tcPr>
          <w:p w14:paraId="717F1C2B"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82</w:t>
            </w:r>
          </w:p>
        </w:tc>
      </w:tr>
      <w:tr w:rsidR="001E3933" w:rsidRPr="00461A9E" w14:paraId="677D9741" w14:textId="77777777" w:rsidTr="009C6412">
        <w:trPr>
          <w:trHeight w:val="300"/>
        </w:trPr>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BFBFBF" w:themeColor="background1" w:themeShade="BF"/>
              <w:bottom w:val="single" w:sz="4" w:space="0" w:color="BFBFBF" w:themeColor="background1" w:themeShade="BF"/>
            </w:tcBorders>
            <w:hideMark/>
          </w:tcPr>
          <w:p w14:paraId="2C4A9BAD" w14:textId="77777777" w:rsidR="00461A9E" w:rsidRPr="0027287B" w:rsidRDefault="00461A9E" w:rsidP="0027287B">
            <w:pPr>
              <w:pStyle w:val="BodyCopyNEW"/>
              <w:rPr>
                <w:b w:val="0"/>
                <w:bCs w:val="0"/>
                <w:lang w:eastAsia="en-AU"/>
              </w:rPr>
            </w:pPr>
            <w:r w:rsidRPr="0027287B">
              <w:rPr>
                <w:b w:val="0"/>
                <w:bCs w:val="0"/>
                <w:lang w:eastAsia="en-AU"/>
              </w:rPr>
              <w:t>Well Activity Application</w:t>
            </w:r>
          </w:p>
        </w:tc>
        <w:tc>
          <w:tcPr>
            <w:tcW w:w="646" w:type="pct"/>
            <w:tcBorders>
              <w:top w:val="single" w:sz="4" w:space="0" w:color="BFBFBF" w:themeColor="background1" w:themeShade="BF"/>
              <w:bottom w:val="single" w:sz="4" w:space="0" w:color="BFBFBF" w:themeColor="background1" w:themeShade="BF"/>
            </w:tcBorders>
            <w:hideMark/>
          </w:tcPr>
          <w:p w14:paraId="4542F624" w14:textId="77777777" w:rsidR="00461A9E" w:rsidRPr="00461A9E" w:rsidRDefault="00461A9E" w:rsidP="0027287B">
            <w:pPr>
              <w:pStyle w:val="BodyCopyNEW"/>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Not Applicable</w:t>
            </w:r>
          </w:p>
        </w:tc>
        <w:tc>
          <w:tcPr>
            <w:tcW w:w="304" w:type="pct"/>
            <w:tcBorders>
              <w:top w:val="single" w:sz="4" w:space="0" w:color="BFBFBF" w:themeColor="background1" w:themeShade="BF"/>
              <w:bottom w:val="single" w:sz="4" w:space="0" w:color="BFBFBF" w:themeColor="background1" w:themeShade="BF"/>
            </w:tcBorders>
            <w:vAlign w:val="center"/>
            <w:hideMark/>
          </w:tcPr>
          <w:p w14:paraId="34E9A90E"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1</w:t>
            </w:r>
          </w:p>
        </w:tc>
        <w:tc>
          <w:tcPr>
            <w:tcW w:w="304" w:type="pct"/>
            <w:tcBorders>
              <w:top w:val="single" w:sz="4" w:space="0" w:color="BFBFBF" w:themeColor="background1" w:themeShade="BF"/>
              <w:bottom w:val="single" w:sz="4" w:space="0" w:color="BFBFBF" w:themeColor="background1" w:themeShade="BF"/>
            </w:tcBorders>
            <w:vAlign w:val="center"/>
            <w:hideMark/>
          </w:tcPr>
          <w:p w14:paraId="03076019"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84</w:t>
            </w:r>
          </w:p>
        </w:tc>
        <w:tc>
          <w:tcPr>
            <w:tcW w:w="305" w:type="pct"/>
            <w:tcBorders>
              <w:top w:val="single" w:sz="4" w:space="0" w:color="BFBFBF" w:themeColor="background1" w:themeShade="BF"/>
              <w:bottom w:val="single" w:sz="4" w:space="0" w:color="BFBFBF" w:themeColor="background1" w:themeShade="BF"/>
            </w:tcBorders>
            <w:vAlign w:val="center"/>
            <w:hideMark/>
          </w:tcPr>
          <w:p w14:paraId="4CFE42AC"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97</w:t>
            </w:r>
          </w:p>
        </w:tc>
        <w:tc>
          <w:tcPr>
            <w:tcW w:w="304" w:type="pct"/>
            <w:tcBorders>
              <w:top w:val="single" w:sz="4" w:space="0" w:color="BFBFBF" w:themeColor="background1" w:themeShade="BF"/>
              <w:bottom w:val="single" w:sz="4" w:space="0" w:color="BFBFBF" w:themeColor="background1" w:themeShade="BF"/>
            </w:tcBorders>
            <w:vAlign w:val="center"/>
            <w:hideMark/>
          </w:tcPr>
          <w:p w14:paraId="5150A50A"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120</w:t>
            </w:r>
          </w:p>
        </w:tc>
        <w:tc>
          <w:tcPr>
            <w:tcW w:w="304" w:type="pct"/>
            <w:tcBorders>
              <w:top w:val="single" w:sz="4" w:space="0" w:color="BFBFBF" w:themeColor="background1" w:themeShade="BF"/>
              <w:bottom w:val="single" w:sz="4" w:space="0" w:color="BFBFBF" w:themeColor="background1" w:themeShade="BF"/>
            </w:tcBorders>
            <w:vAlign w:val="center"/>
            <w:hideMark/>
          </w:tcPr>
          <w:p w14:paraId="1DD85856"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113</w:t>
            </w:r>
          </w:p>
        </w:tc>
        <w:tc>
          <w:tcPr>
            <w:tcW w:w="305" w:type="pct"/>
            <w:tcBorders>
              <w:top w:val="single" w:sz="4" w:space="0" w:color="BFBFBF" w:themeColor="background1" w:themeShade="BF"/>
              <w:bottom w:val="single" w:sz="4" w:space="0" w:color="BFBFBF" w:themeColor="background1" w:themeShade="BF"/>
            </w:tcBorders>
            <w:vAlign w:val="center"/>
            <w:hideMark/>
          </w:tcPr>
          <w:p w14:paraId="0FC19DB5"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53</w:t>
            </w:r>
          </w:p>
        </w:tc>
        <w:tc>
          <w:tcPr>
            <w:tcW w:w="304" w:type="pct"/>
            <w:tcBorders>
              <w:top w:val="single" w:sz="4" w:space="0" w:color="BFBFBF" w:themeColor="background1" w:themeShade="BF"/>
              <w:bottom w:val="single" w:sz="4" w:space="0" w:color="BFBFBF" w:themeColor="background1" w:themeShade="BF"/>
            </w:tcBorders>
            <w:vAlign w:val="center"/>
            <w:hideMark/>
          </w:tcPr>
          <w:p w14:paraId="11CBE0A7"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43</w:t>
            </w:r>
          </w:p>
        </w:tc>
        <w:tc>
          <w:tcPr>
            <w:tcW w:w="304" w:type="pct"/>
            <w:tcBorders>
              <w:top w:val="single" w:sz="4" w:space="0" w:color="BFBFBF" w:themeColor="background1" w:themeShade="BF"/>
              <w:bottom w:val="single" w:sz="4" w:space="0" w:color="BFBFBF" w:themeColor="background1" w:themeShade="BF"/>
            </w:tcBorders>
            <w:vAlign w:val="center"/>
            <w:hideMark/>
          </w:tcPr>
          <w:p w14:paraId="55762D79"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31BB6DC0"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7E6E1CB6"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61507AA3"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b/>
                <w:lang w:eastAsia="en-AU"/>
              </w:rPr>
            </w:pPr>
            <w:r w:rsidRPr="00461A9E">
              <w:rPr>
                <w:b/>
                <w:lang w:eastAsia="en-AU"/>
              </w:rPr>
              <w:t>511</w:t>
            </w:r>
          </w:p>
        </w:tc>
      </w:tr>
      <w:tr w:rsidR="001E3933" w:rsidRPr="00461A9E" w14:paraId="6BD35096" w14:textId="77777777" w:rsidTr="009C6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vMerge w:val="restart"/>
            <w:tcBorders>
              <w:top w:val="single" w:sz="4" w:space="0" w:color="BFBFBF" w:themeColor="background1" w:themeShade="BF"/>
              <w:bottom w:val="single" w:sz="4" w:space="0" w:color="BFBFBF" w:themeColor="background1" w:themeShade="BF"/>
            </w:tcBorders>
            <w:hideMark/>
          </w:tcPr>
          <w:p w14:paraId="582082DC" w14:textId="77777777" w:rsidR="00461A9E" w:rsidRPr="0027287B" w:rsidRDefault="00461A9E" w:rsidP="0027287B">
            <w:pPr>
              <w:pStyle w:val="BodyCopyNEW"/>
              <w:rPr>
                <w:b w:val="0"/>
                <w:bCs w:val="0"/>
                <w:lang w:eastAsia="en-AU"/>
              </w:rPr>
            </w:pPr>
            <w:r w:rsidRPr="0027287B">
              <w:rPr>
                <w:b w:val="0"/>
                <w:bCs w:val="0"/>
                <w:lang w:eastAsia="en-AU"/>
              </w:rPr>
              <w:t>Well Operations Management Plan</w:t>
            </w:r>
          </w:p>
        </w:tc>
        <w:tc>
          <w:tcPr>
            <w:tcW w:w="646" w:type="pct"/>
            <w:tcBorders>
              <w:top w:val="single" w:sz="4" w:space="0" w:color="BFBFBF" w:themeColor="background1" w:themeShade="BF"/>
              <w:bottom w:val="single" w:sz="4" w:space="0" w:color="BFBFBF" w:themeColor="background1" w:themeShade="BF"/>
            </w:tcBorders>
            <w:hideMark/>
          </w:tcPr>
          <w:p w14:paraId="7249217D" w14:textId="77777777" w:rsidR="00461A9E" w:rsidRPr="00461A9E" w:rsidRDefault="00461A9E" w:rsidP="0027287B">
            <w:pPr>
              <w:pStyle w:val="BodyCopyNEW"/>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New</w:t>
            </w:r>
          </w:p>
        </w:tc>
        <w:tc>
          <w:tcPr>
            <w:tcW w:w="304" w:type="pct"/>
            <w:tcBorders>
              <w:top w:val="single" w:sz="4" w:space="0" w:color="BFBFBF" w:themeColor="background1" w:themeShade="BF"/>
              <w:bottom w:val="single" w:sz="4" w:space="0" w:color="BFBFBF" w:themeColor="background1" w:themeShade="BF"/>
            </w:tcBorders>
            <w:vAlign w:val="center"/>
            <w:hideMark/>
          </w:tcPr>
          <w:p w14:paraId="7A96A401"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25</w:t>
            </w:r>
          </w:p>
        </w:tc>
        <w:tc>
          <w:tcPr>
            <w:tcW w:w="304" w:type="pct"/>
            <w:tcBorders>
              <w:top w:val="single" w:sz="4" w:space="0" w:color="BFBFBF" w:themeColor="background1" w:themeShade="BF"/>
              <w:bottom w:val="single" w:sz="4" w:space="0" w:color="BFBFBF" w:themeColor="background1" w:themeShade="BF"/>
            </w:tcBorders>
            <w:vAlign w:val="center"/>
            <w:hideMark/>
          </w:tcPr>
          <w:p w14:paraId="001EB447"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27</w:t>
            </w:r>
          </w:p>
        </w:tc>
        <w:tc>
          <w:tcPr>
            <w:tcW w:w="305" w:type="pct"/>
            <w:tcBorders>
              <w:top w:val="single" w:sz="4" w:space="0" w:color="BFBFBF" w:themeColor="background1" w:themeShade="BF"/>
              <w:bottom w:val="single" w:sz="4" w:space="0" w:color="BFBFBF" w:themeColor="background1" w:themeShade="BF"/>
            </w:tcBorders>
            <w:vAlign w:val="center"/>
            <w:hideMark/>
          </w:tcPr>
          <w:p w14:paraId="34F6A949"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24</w:t>
            </w:r>
          </w:p>
        </w:tc>
        <w:tc>
          <w:tcPr>
            <w:tcW w:w="304" w:type="pct"/>
            <w:tcBorders>
              <w:top w:val="single" w:sz="4" w:space="0" w:color="BFBFBF" w:themeColor="background1" w:themeShade="BF"/>
              <w:bottom w:val="single" w:sz="4" w:space="0" w:color="BFBFBF" w:themeColor="background1" w:themeShade="BF"/>
            </w:tcBorders>
            <w:vAlign w:val="center"/>
            <w:hideMark/>
          </w:tcPr>
          <w:p w14:paraId="75C936C6"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22</w:t>
            </w:r>
          </w:p>
        </w:tc>
        <w:tc>
          <w:tcPr>
            <w:tcW w:w="304" w:type="pct"/>
            <w:tcBorders>
              <w:top w:val="single" w:sz="4" w:space="0" w:color="BFBFBF" w:themeColor="background1" w:themeShade="BF"/>
              <w:bottom w:val="single" w:sz="4" w:space="0" w:color="BFBFBF" w:themeColor="background1" w:themeShade="BF"/>
            </w:tcBorders>
            <w:vAlign w:val="center"/>
            <w:hideMark/>
          </w:tcPr>
          <w:p w14:paraId="43474FAD"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22</w:t>
            </w:r>
          </w:p>
        </w:tc>
        <w:tc>
          <w:tcPr>
            <w:tcW w:w="305" w:type="pct"/>
            <w:tcBorders>
              <w:top w:val="single" w:sz="4" w:space="0" w:color="BFBFBF" w:themeColor="background1" w:themeShade="BF"/>
              <w:bottom w:val="single" w:sz="4" w:space="0" w:color="BFBFBF" w:themeColor="background1" w:themeShade="BF"/>
            </w:tcBorders>
            <w:vAlign w:val="center"/>
            <w:hideMark/>
          </w:tcPr>
          <w:p w14:paraId="21C88288"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1</w:t>
            </w:r>
          </w:p>
        </w:tc>
        <w:tc>
          <w:tcPr>
            <w:tcW w:w="304" w:type="pct"/>
            <w:tcBorders>
              <w:top w:val="single" w:sz="4" w:space="0" w:color="BFBFBF" w:themeColor="background1" w:themeShade="BF"/>
              <w:bottom w:val="single" w:sz="4" w:space="0" w:color="BFBFBF" w:themeColor="background1" w:themeShade="BF"/>
            </w:tcBorders>
            <w:vAlign w:val="center"/>
            <w:hideMark/>
          </w:tcPr>
          <w:p w14:paraId="2444575A"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6CD7D728"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2F6613F7"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7A18BD13"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221A73A5"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121</w:t>
            </w:r>
          </w:p>
        </w:tc>
      </w:tr>
      <w:tr w:rsidR="001E3933" w:rsidRPr="00461A9E" w14:paraId="06DE7CC9" w14:textId="77777777" w:rsidTr="009C6412">
        <w:trPr>
          <w:trHeight w:val="300"/>
        </w:trPr>
        <w:tc>
          <w:tcPr>
            <w:cnfStyle w:val="001000000000" w:firstRow="0" w:lastRow="0" w:firstColumn="1" w:lastColumn="0" w:oddVBand="0" w:evenVBand="0" w:oddHBand="0" w:evenHBand="0" w:firstRowFirstColumn="0" w:firstRowLastColumn="0" w:lastRowFirstColumn="0" w:lastRowLastColumn="0"/>
            <w:tcW w:w="1007" w:type="pct"/>
            <w:vMerge/>
            <w:tcBorders>
              <w:top w:val="single" w:sz="4" w:space="0" w:color="BFBFBF" w:themeColor="background1" w:themeShade="BF"/>
              <w:bottom w:val="single" w:sz="4" w:space="0" w:color="BFBFBF" w:themeColor="background1" w:themeShade="BF"/>
            </w:tcBorders>
            <w:hideMark/>
          </w:tcPr>
          <w:p w14:paraId="24C78DEB" w14:textId="77777777" w:rsidR="00461A9E" w:rsidRPr="0027287B" w:rsidRDefault="00461A9E" w:rsidP="0027287B">
            <w:pPr>
              <w:pStyle w:val="BodyCopyNEW"/>
              <w:rPr>
                <w:b w:val="0"/>
                <w:bCs w:val="0"/>
                <w:lang w:eastAsia="en-AU"/>
              </w:rPr>
            </w:pPr>
          </w:p>
        </w:tc>
        <w:tc>
          <w:tcPr>
            <w:tcW w:w="646" w:type="pct"/>
            <w:tcBorders>
              <w:top w:val="single" w:sz="4" w:space="0" w:color="BFBFBF" w:themeColor="background1" w:themeShade="BF"/>
              <w:bottom w:val="single" w:sz="4" w:space="0" w:color="BFBFBF" w:themeColor="background1" w:themeShade="BF"/>
            </w:tcBorders>
            <w:hideMark/>
          </w:tcPr>
          <w:p w14:paraId="169C3AED" w14:textId="77777777" w:rsidR="00461A9E" w:rsidRPr="00461A9E" w:rsidRDefault="00461A9E" w:rsidP="0027287B">
            <w:pPr>
              <w:pStyle w:val="BodyCopyNEW"/>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Variation</w:t>
            </w:r>
          </w:p>
        </w:tc>
        <w:tc>
          <w:tcPr>
            <w:tcW w:w="304" w:type="pct"/>
            <w:tcBorders>
              <w:top w:val="single" w:sz="4" w:space="0" w:color="BFBFBF" w:themeColor="background1" w:themeShade="BF"/>
              <w:bottom w:val="single" w:sz="4" w:space="0" w:color="BFBFBF" w:themeColor="background1" w:themeShade="BF"/>
            </w:tcBorders>
            <w:vAlign w:val="center"/>
            <w:hideMark/>
          </w:tcPr>
          <w:p w14:paraId="028D65AD"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1</w:t>
            </w:r>
          </w:p>
        </w:tc>
        <w:tc>
          <w:tcPr>
            <w:tcW w:w="304" w:type="pct"/>
            <w:tcBorders>
              <w:top w:val="single" w:sz="4" w:space="0" w:color="BFBFBF" w:themeColor="background1" w:themeShade="BF"/>
              <w:bottom w:val="single" w:sz="4" w:space="0" w:color="BFBFBF" w:themeColor="background1" w:themeShade="BF"/>
            </w:tcBorders>
            <w:vAlign w:val="center"/>
            <w:hideMark/>
          </w:tcPr>
          <w:p w14:paraId="05824D95"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4</w:t>
            </w:r>
          </w:p>
        </w:tc>
        <w:tc>
          <w:tcPr>
            <w:tcW w:w="305" w:type="pct"/>
            <w:tcBorders>
              <w:top w:val="single" w:sz="4" w:space="0" w:color="BFBFBF" w:themeColor="background1" w:themeShade="BF"/>
              <w:bottom w:val="single" w:sz="4" w:space="0" w:color="BFBFBF" w:themeColor="background1" w:themeShade="BF"/>
            </w:tcBorders>
            <w:vAlign w:val="center"/>
            <w:hideMark/>
          </w:tcPr>
          <w:p w14:paraId="72E6F54A"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6</w:t>
            </w:r>
          </w:p>
        </w:tc>
        <w:tc>
          <w:tcPr>
            <w:tcW w:w="304" w:type="pct"/>
            <w:tcBorders>
              <w:top w:val="single" w:sz="4" w:space="0" w:color="BFBFBF" w:themeColor="background1" w:themeShade="BF"/>
              <w:bottom w:val="single" w:sz="4" w:space="0" w:color="BFBFBF" w:themeColor="background1" w:themeShade="BF"/>
            </w:tcBorders>
            <w:vAlign w:val="center"/>
            <w:hideMark/>
          </w:tcPr>
          <w:p w14:paraId="215D1681"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8</w:t>
            </w:r>
          </w:p>
        </w:tc>
        <w:tc>
          <w:tcPr>
            <w:tcW w:w="304" w:type="pct"/>
            <w:tcBorders>
              <w:top w:val="single" w:sz="4" w:space="0" w:color="BFBFBF" w:themeColor="background1" w:themeShade="BF"/>
              <w:bottom w:val="single" w:sz="4" w:space="0" w:color="BFBFBF" w:themeColor="background1" w:themeShade="BF"/>
            </w:tcBorders>
            <w:vAlign w:val="center"/>
            <w:hideMark/>
          </w:tcPr>
          <w:p w14:paraId="0B351C85"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7</w:t>
            </w:r>
          </w:p>
        </w:tc>
        <w:tc>
          <w:tcPr>
            <w:tcW w:w="305" w:type="pct"/>
            <w:tcBorders>
              <w:top w:val="single" w:sz="4" w:space="0" w:color="BFBFBF" w:themeColor="background1" w:themeShade="BF"/>
              <w:bottom w:val="single" w:sz="4" w:space="0" w:color="BFBFBF" w:themeColor="background1" w:themeShade="BF"/>
            </w:tcBorders>
            <w:vAlign w:val="center"/>
            <w:hideMark/>
          </w:tcPr>
          <w:p w14:paraId="0F93E300"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2</w:t>
            </w:r>
          </w:p>
        </w:tc>
        <w:tc>
          <w:tcPr>
            <w:tcW w:w="304" w:type="pct"/>
            <w:tcBorders>
              <w:top w:val="single" w:sz="4" w:space="0" w:color="BFBFBF" w:themeColor="background1" w:themeShade="BF"/>
              <w:bottom w:val="single" w:sz="4" w:space="0" w:color="BFBFBF" w:themeColor="background1" w:themeShade="BF"/>
            </w:tcBorders>
            <w:vAlign w:val="center"/>
            <w:hideMark/>
          </w:tcPr>
          <w:p w14:paraId="377831D2"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191C0F52"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648481F2"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4A7A13DB"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48588476"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b/>
                <w:lang w:eastAsia="en-AU"/>
              </w:rPr>
            </w:pPr>
            <w:r w:rsidRPr="00461A9E">
              <w:rPr>
                <w:b/>
                <w:lang w:eastAsia="en-AU"/>
              </w:rPr>
              <w:t>28</w:t>
            </w:r>
          </w:p>
        </w:tc>
      </w:tr>
      <w:tr w:rsidR="001E3933" w:rsidRPr="00461A9E" w14:paraId="69919216" w14:textId="77777777" w:rsidTr="009C6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vMerge w:val="restart"/>
            <w:tcBorders>
              <w:top w:val="single" w:sz="4" w:space="0" w:color="BFBFBF" w:themeColor="background1" w:themeShade="BF"/>
              <w:bottom w:val="single" w:sz="4" w:space="0" w:color="BFBFBF" w:themeColor="background1" w:themeShade="BF"/>
            </w:tcBorders>
            <w:hideMark/>
          </w:tcPr>
          <w:p w14:paraId="2065DD4C" w14:textId="77777777" w:rsidR="00461A9E" w:rsidRPr="0027287B" w:rsidRDefault="00461A9E" w:rsidP="0027287B">
            <w:pPr>
              <w:pStyle w:val="BodyCopyNEW"/>
              <w:rPr>
                <w:b w:val="0"/>
                <w:bCs w:val="0"/>
                <w:lang w:eastAsia="en-AU"/>
              </w:rPr>
            </w:pPr>
            <w:r w:rsidRPr="0027287B">
              <w:rPr>
                <w:b w:val="0"/>
                <w:bCs w:val="0"/>
                <w:lang w:eastAsia="en-AU"/>
              </w:rPr>
              <w:t>Well Operations Management Plan (2016)</w:t>
            </w:r>
          </w:p>
        </w:tc>
        <w:tc>
          <w:tcPr>
            <w:tcW w:w="646" w:type="pct"/>
            <w:tcBorders>
              <w:top w:val="single" w:sz="4" w:space="0" w:color="BFBFBF" w:themeColor="background1" w:themeShade="BF"/>
              <w:bottom w:val="single" w:sz="4" w:space="0" w:color="BFBFBF" w:themeColor="background1" w:themeShade="BF"/>
            </w:tcBorders>
            <w:hideMark/>
          </w:tcPr>
          <w:p w14:paraId="7EE781E0" w14:textId="77777777" w:rsidR="00461A9E" w:rsidRPr="00461A9E" w:rsidRDefault="00461A9E" w:rsidP="0027287B">
            <w:pPr>
              <w:pStyle w:val="BodyCopyNEW"/>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New</w:t>
            </w:r>
          </w:p>
        </w:tc>
        <w:tc>
          <w:tcPr>
            <w:tcW w:w="304" w:type="pct"/>
            <w:tcBorders>
              <w:top w:val="single" w:sz="4" w:space="0" w:color="BFBFBF" w:themeColor="background1" w:themeShade="BF"/>
              <w:bottom w:val="single" w:sz="4" w:space="0" w:color="BFBFBF" w:themeColor="background1" w:themeShade="BF"/>
            </w:tcBorders>
            <w:vAlign w:val="center"/>
            <w:hideMark/>
          </w:tcPr>
          <w:p w14:paraId="126E6357"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2FE5C8EA"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1D59775A"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0C446FF8"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38884061"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5E1AA76C" w14:textId="18381C66"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2</w:t>
            </w:r>
            <w:r w:rsidR="00EE309D">
              <w:rPr>
                <w:lang w:eastAsia="en-AU"/>
              </w:rPr>
              <w:t>8</w:t>
            </w:r>
          </w:p>
        </w:tc>
        <w:tc>
          <w:tcPr>
            <w:tcW w:w="304" w:type="pct"/>
            <w:tcBorders>
              <w:top w:val="single" w:sz="4" w:space="0" w:color="BFBFBF" w:themeColor="background1" w:themeShade="BF"/>
              <w:bottom w:val="single" w:sz="4" w:space="0" w:color="BFBFBF" w:themeColor="background1" w:themeShade="BF"/>
            </w:tcBorders>
            <w:vAlign w:val="center"/>
            <w:hideMark/>
          </w:tcPr>
          <w:p w14:paraId="3F95C070"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37</w:t>
            </w:r>
          </w:p>
        </w:tc>
        <w:tc>
          <w:tcPr>
            <w:tcW w:w="304" w:type="pct"/>
            <w:tcBorders>
              <w:top w:val="single" w:sz="4" w:space="0" w:color="BFBFBF" w:themeColor="background1" w:themeShade="BF"/>
              <w:bottom w:val="single" w:sz="4" w:space="0" w:color="BFBFBF" w:themeColor="background1" w:themeShade="BF"/>
            </w:tcBorders>
            <w:vAlign w:val="center"/>
            <w:hideMark/>
          </w:tcPr>
          <w:p w14:paraId="6F04593C"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13</w:t>
            </w:r>
          </w:p>
        </w:tc>
        <w:tc>
          <w:tcPr>
            <w:tcW w:w="305" w:type="pct"/>
            <w:tcBorders>
              <w:top w:val="single" w:sz="4" w:space="0" w:color="BFBFBF" w:themeColor="background1" w:themeShade="BF"/>
              <w:bottom w:val="single" w:sz="4" w:space="0" w:color="BFBFBF" w:themeColor="background1" w:themeShade="BF"/>
            </w:tcBorders>
            <w:vAlign w:val="center"/>
            <w:hideMark/>
          </w:tcPr>
          <w:p w14:paraId="14E036C1"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14</w:t>
            </w:r>
          </w:p>
        </w:tc>
        <w:tc>
          <w:tcPr>
            <w:tcW w:w="304" w:type="pct"/>
            <w:tcBorders>
              <w:top w:val="single" w:sz="4" w:space="0" w:color="BFBFBF" w:themeColor="background1" w:themeShade="BF"/>
              <w:bottom w:val="single" w:sz="4" w:space="0" w:color="BFBFBF" w:themeColor="background1" w:themeShade="BF"/>
            </w:tcBorders>
            <w:vAlign w:val="center"/>
            <w:hideMark/>
          </w:tcPr>
          <w:p w14:paraId="78A14993"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13</w:t>
            </w:r>
          </w:p>
        </w:tc>
        <w:tc>
          <w:tcPr>
            <w:tcW w:w="305" w:type="pct"/>
            <w:tcBorders>
              <w:top w:val="single" w:sz="4" w:space="0" w:color="BFBFBF" w:themeColor="background1" w:themeShade="BF"/>
              <w:bottom w:val="single" w:sz="4" w:space="0" w:color="BFBFBF" w:themeColor="background1" w:themeShade="BF"/>
            </w:tcBorders>
            <w:vAlign w:val="center"/>
            <w:hideMark/>
          </w:tcPr>
          <w:p w14:paraId="5E9086D5" w14:textId="717875F0"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10</w:t>
            </w:r>
            <w:r w:rsidR="00FB701D">
              <w:rPr>
                <w:b/>
                <w:lang w:eastAsia="en-AU"/>
              </w:rPr>
              <w:t>5</w:t>
            </w:r>
          </w:p>
        </w:tc>
      </w:tr>
      <w:tr w:rsidR="001E3933" w:rsidRPr="00461A9E" w14:paraId="20E7A680" w14:textId="77777777" w:rsidTr="009C6412">
        <w:trPr>
          <w:trHeight w:val="300"/>
        </w:trPr>
        <w:tc>
          <w:tcPr>
            <w:cnfStyle w:val="001000000000" w:firstRow="0" w:lastRow="0" w:firstColumn="1" w:lastColumn="0" w:oddVBand="0" w:evenVBand="0" w:oddHBand="0" w:evenHBand="0" w:firstRowFirstColumn="0" w:firstRowLastColumn="0" w:lastRowFirstColumn="0" w:lastRowLastColumn="0"/>
            <w:tcW w:w="1007" w:type="pct"/>
            <w:vMerge/>
            <w:tcBorders>
              <w:top w:val="single" w:sz="4" w:space="0" w:color="BFBFBF" w:themeColor="background1" w:themeShade="BF"/>
              <w:bottom w:val="single" w:sz="4" w:space="0" w:color="BFBFBF" w:themeColor="background1" w:themeShade="BF"/>
            </w:tcBorders>
            <w:hideMark/>
          </w:tcPr>
          <w:p w14:paraId="109E47BD" w14:textId="77777777" w:rsidR="00461A9E" w:rsidRPr="0027287B" w:rsidRDefault="00461A9E" w:rsidP="0027287B">
            <w:pPr>
              <w:pStyle w:val="BodyCopyNEW"/>
              <w:rPr>
                <w:b w:val="0"/>
                <w:bCs w:val="0"/>
                <w:lang w:eastAsia="en-AU"/>
              </w:rPr>
            </w:pPr>
          </w:p>
        </w:tc>
        <w:tc>
          <w:tcPr>
            <w:tcW w:w="646" w:type="pct"/>
            <w:tcBorders>
              <w:top w:val="single" w:sz="4" w:space="0" w:color="BFBFBF" w:themeColor="background1" w:themeShade="BF"/>
              <w:bottom w:val="single" w:sz="4" w:space="0" w:color="BFBFBF" w:themeColor="background1" w:themeShade="BF"/>
            </w:tcBorders>
            <w:hideMark/>
          </w:tcPr>
          <w:p w14:paraId="2332C6CC" w14:textId="77777777" w:rsidR="00461A9E" w:rsidRPr="00461A9E" w:rsidRDefault="00461A9E" w:rsidP="0027287B">
            <w:pPr>
              <w:pStyle w:val="BodyCopyNEW"/>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Revision</w:t>
            </w:r>
          </w:p>
        </w:tc>
        <w:tc>
          <w:tcPr>
            <w:tcW w:w="304" w:type="pct"/>
            <w:tcBorders>
              <w:top w:val="single" w:sz="4" w:space="0" w:color="BFBFBF" w:themeColor="background1" w:themeShade="BF"/>
              <w:bottom w:val="single" w:sz="4" w:space="0" w:color="BFBFBF" w:themeColor="background1" w:themeShade="BF"/>
            </w:tcBorders>
            <w:vAlign w:val="center"/>
            <w:hideMark/>
          </w:tcPr>
          <w:p w14:paraId="6E014F3B"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43498371"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76446D60"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3A24E839"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34ED9F5C"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1B075F4C" w14:textId="0D43BA3E"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04DF960B"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7</w:t>
            </w:r>
          </w:p>
        </w:tc>
        <w:tc>
          <w:tcPr>
            <w:tcW w:w="304" w:type="pct"/>
            <w:tcBorders>
              <w:top w:val="single" w:sz="4" w:space="0" w:color="BFBFBF" w:themeColor="background1" w:themeShade="BF"/>
              <w:bottom w:val="single" w:sz="4" w:space="0" w:color="BFBFBF" w:themeColor="background1" w:themeShade="BF"/>
            </w:tcBorders>
            <w:vAlign w:val="center"/>
            <w:hideMark/>
          </w:tcPr>
          <w:p w14:paraId="108BD6A7"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11</w:t>
            </w:r>
          </w:p>
        </w:tc>
        <w:tc>
          <w:tcPr>
            <w:tcW w:w="305" w:type="pct"/>
            <w:tcBorders>
              <w:top w:val="single" w:sz="4" w:space="0" w:color="BFBFBF" w:themeColor="background1" w:themeShade="BF"/>
              <w:bottom w:val="single" w:sz="4" w:space="0" w:color="BFBFBF" w:themeColor="background1" w:themeShade="BF"/>
            </w:tcBorders>
            <w:vAlign w:val="center"/>
            <w:hideMark/>
          </w:tcPr>
          <w:p w14:paraId="5FB6700D"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11</w:t>
            </w:r>
          </w:p>
        </w:tc>
        <w:tc>
          <w:tcPr>
            <w:tcW w:w="304" w:type="pct"/>
            <w:tcBorders>
              <w:top w:val="single" w:sz="4" w:space="0" w:color="BFBFBF" w:themeColor="background1" w:themeShade="BF"/>
              <w:bottom w:val="single" w:sz="4" w:space="0" w:color="BFBFBF" w:themeColor="background1" w:themeShade="BF"/>
            </w:tcBorders>
            <w:vAlign w:val="center"/>
            <w:hideMark/>
          </w:tcPr>
          <w:p w14:paraId="74F58314"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8</w:t>
            </w:r>
          </w:p>
        </w:tc>
        <w:tc>
          <w:tcPr>
            <w:tcW w:w="305" w:type="pct"/>
            <w:tcBorders>
              <w:top w:val="single" w:sz="4" w:space="0" w:color="BFBFBF" w:themeColor="background1" w:themeShade="BF"/>
              <w:bottom w:val="single" w:sz="4" w:space="0" w:color="BFBFBF" w:themeColor="background1" w:themeShade="BF"/>
            </w:tcBorders>
            <w:vAlign w:val="center"/>
            <w:hideMark/>
          </w:tcPr>
          <w:p w14:paraId="09B286BD" w14:textId="27C08B96"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b/>
                <w:lang w:eastAsia="en-AU"/>
              </w:rPr>
            </w:pPr>
            <w:r w:rsidRPr="00461A9E">
              <w:rPr>
                <w:b/>
                <w:lang w:eastAsia="en-AU"/>
              </w:rPr>
              <w:t>3</w:t>
            </w:r>
            <w:r w:rsidR="0022741F">
              <w:rPr>
                <w:b/>
                <w:lang w:eastAsia="en-AU"/>
              </w:rPr>
              <w:t>7</w:t>
            </w:r>
          </w:p>
        </w:tc>
      </w:tr>
      <w:tr w:rsidR="001E3933" w:rsidRPr="00461A9E" w14:paraId="7042C12B" w14:textId="77777777" w:rsidTr="009C6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BFBFBF" w:themeColor="background1" w:themeShade="BF"/>
              <w:bottom w:val="single" w:sz="4" w:space="0" w:color="BFBFBF" w:themeColor="background1" w:themeShade="BF"/>
            </w:tcBorders>
            <w:hideMark/>
          </w:tcPr>
          <w:p w14:paraId="71EB4BEC" w14:textId="77777777" w:rsidR="00461A9E" w:rsidRPr="0027287B" w:rsidRDefault="00461A9E" w:rsidP="0027287B">
            <w:pPr>
              <w:pStyle w:val="BodyCopyNEW"/>
              <w:rPr>
                <w:b w:val="0"/>
                <w:bCs w:val="0"/>
                <w:lang w:eastAsia="en-AU"/>
              </w:rPr>
            </w:pPr>
            <w:r w:rsidRPr="0027287B">
              <w:rPr>
                <w:b w:val="0"/>
                <w:bCs w:val="0"/>
                <w:lang w:eastAsia="en-AU"/>
              </w:rPr>
              <w:t>Final Abandonment Report</w:t>
            </w:r>
          </w:p>
        </w:tc>
        <w:tc>
          <w:tcPr>
            <w:tcW w:w="646" w:type="pct"/>
            <w:tcBorders>
              <w:top w:val="single" w:sz="4" w:space="0" w:color="BFBFBF" w:themeColor="background1" w:themeShade="BF"/>
              <w:bottom w:val="single" w:sz="4" w:space="0" w:color="BFBFBF" w:themeColor="background1" w:themeShade="BF"/>
            </w:tcBorders>
            <w:hideMark/>
          </w:tcPr>
          <w:p w14:paraId="6ACC8B40" w14:textId="77777777" w:rsidR="00461A9E" w:rsidRPr="00461A9E" w:rsidRDefault="00461A9E" w:rsidP="0027287B">
            <w:pPr>
              <w:pStyle w:val="BodyCopyNEW"/>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Abandonment</w:t>
            </w:r>
          </w:p>
        </w:tc>
        <w:tc>
          <w:tcPr>
            <w:tcW w:w="304" w:type="pct"/>
            <w:tcBorders>
              <w:top w:val="single" w:sz="4" w:space="0" w:color="BFBFBF" w:themeColor="background1" w:themeShade="BF"/>
              <w:bottom w:val="single" w:sz="4" w:space="0" w:color="BFBFBF" w:themeColor="background1" w:themeShade="BF"/>
            </w:tcBorders>
            <w:vAlign w:val="center"/>
            <w:hideMark/>
          </w:tcPr>
          <w:p w14:paraId="44071375"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5E82370F"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44872632"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0FD12DA6"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66D0F8D8"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79E75181"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6</w:t>
            </w:r>
          </w:p>
        </w:tc>
        <w:tc>
          <w:tcPr>
            <w:tcW w:w="304" w:type="pct"/>
            <w:tcBorders>
              <w:top w:val="single" w:sz="4" w:space="0" w:color="BFBFBF" w:themeColor="background1" w:themeShade="BF"/>
              <w:bottom w:val="single" w:sz="4" w:space="0" w:color="BFBFBF" w:themeColor="background1" w:themeShade="BF"/>
            </w:tcBorders>
            <w:vAlign w:val="center"/>
            <w:hideMark/>
          </w:tcPr>
          <w:p w14:paraId="3A2EB64D"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15</w:t>
            </w:r>
          </w:p>
        </w:tc>
        <w:tc>
          <w:tcPr>
            <w:tcW w:w="304" w:type="pct"/>
            <w:tcBorders>
              <w:top w:val="single" w:sz="4" w:space="0" w:color="BFBFBF" w:themeColor="background1" w:themeShade="BF"/>
              <w:bottom w:val="single" w:sz="4" w:space="0" w:color="BFBFBF" w:themeColor="background1" w:themeShade="BF"/>
            </w:tcBorders>
            <w:vAlign w:val="center"/>
            <w:hideMark/>
          </w:tcPr>
          <w:p w14:paraId="2D148C4E"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14</w:t>
            </w:r>
          </w:p>
        </w:tc>
        <w:tc>
          <w:tcPr>
            <w:tcW w:w="305" w:type="pct"/>
            <w:tcBorders>
              <w:top w:val="single" w:sz="4" w:space="0" w:color="BFBFBF" w:themeColor="background1" w:themeShade="BF"/>
              <w:bottom w:val="single" w:sz="4" w:space="0" w:color="BFBFBF" w:themeColor="background1" w:themeShade="BF"/>
            </w:tcBorders>
            <w:vAlign w:val="center"/>
            <w:hideMark/>
          </w:tcPr>
          <w:p w14:paraId="08574822"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25</w:t>
            </w:r>
          </w:p>
        </w:tc>
        <w:tc>
          <w:tcPr>
            <w:tcW w:w="304" w:type="pct"/>
            <w:tcBorders>
              <w:top w:val="single" w:sz="4" w:space="0" w:color="BFBFBF" w:themeColor="background1" w:themeShade="BF"/>
              <w:bottom w:val="single" w:sz="4" w:space="0" w:color="BFBFBF" w:themeColor="background1" w:themeShade="BF"/>
            </w:tcBorders>
            <w:vAlign w:val="center"/>
            <w:hideMark/>
          </w:tcPr>
          <w:p w14:paraId="1776F1E2"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lang w:eastAsia="en-AU"/>
              </w:rPr>
            </w:pPr>
            <w:r w:rsidRPr="00461A9E">
              <w:rPr>
                <w:lang w:eastAsia="en-AU"/>
              </w:rPr>
              <w:t>13</w:t>
            </w:r>
          </w:p>
        </w:tc>
        <w:tc>
          <w:tcPr>
            <w:tcW w:w="305" w:type="pct"/>
            <w:tcBorders>
              <w:top w:val="single" w:sz="4" w:space="0" w:color="BFBFBF" w:themeColor="background1" w:themeShade="BF"/>
              <w:bottom w:val="single" w:sz="4" w:space="0" w:color="BFBFBF" w:themeColor="background1" w:themeShade="BF"/>
            </w:tcBorders>
            <w:vAlign w:val="center"/>
            <w:hideMark/>
          </w:tcPr>
          <w:p w14:paraId="492A210D"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73</w:t>
            </w:r>
          </w:p>
        </w:tc>
      </w:tr>
      <w:tr w:rsidR="001E3933" w:rsidRPr="00461A9E" w14:paraId="667272A4" w14:textId="77777777" w:rsidTr="009C6412">
        <w:trPr>
          <w:trHeight w:val="234"/>
        </w:trPr>
        <w:tc>
          <w:tcPr>
            <w:cnfStyle w:val="001000000000" w:firstRow="0" w:lastRow="0" w:firstColumn="1" w:lastColumn="0" w:oddVBand="0" w:evenVBand="0" w:oddHBand="0" w:evenHBand="0" w:firstRowFirstColumn="0" w:firstRowLastColumn="0" w:lastRowFirstColumn="0" w:lastRowLastColumn="0"/>
            <w:tcW w:w="1007" w:type="pct"/>
            <w:tcBorders>
              <w:top w:val="single" w:sz="4" w:space="0" w:color="BFBFBF" w:themeColor="background1" w:themeShade="BF"/>
              <w:bottom w:val="single" w:sz="4" w:space="0" w:color="BFBFBF" w:themeColor="background1" w:themeShade="BF"/>
            </w:tcBorders>
            <w:hideMark/>
          </w:tcPr>
          <w:p w14:paraId="4BF97978" w14:textId="77777777" w:rsidR="00461A9E" w:rsidRPr="0027287B" w:rsidRDefault="00461A9E" w:rsidP="0027287B">
            <w:pPr>
              <w:pStyle w:val="BodyCopyNEW"/>
              <w:rPr>
                <w:b w:val="0"/>
                <w:bCs w:val="0"/>
                <w:lang w:eastAsia="en-AU"/>
              </w:rPr>
            </w:pPr>
            <w:r w:rsidRPr="0027287B">
              <w:rPr>
                <w:b w:val="0"/>
                <w:bCs w:val="0"/>
                <w:lang w:eastAsia="en-AU"/>
              </w:rPr>
              <w:t>Request to Undertake a Well Activity in a Specified Manner</w:t>
            </w:r>
          </w:p>
        </w:tc>
        <w:tc>
          <w:tcPr>
            <w:tcW w:w="646" w:type="pct"/>
            <w:tcBorders>
              <w:top w:val="single" w:sz="4" w:space="0" w:color="BFBFBF" w:themeColor="background1" w:themeShade="BF"/>
              <w:bottom w:val="single" w:sz="4" w:space="0" w:color="BFBFBF" w:themeColor="background1" w:themeShade="BF"/>
            </w:tcBorders>
            <w:hideMark/>
          </w:tcPr>
          <w:p w14:paraId="3CB5CB55" w14:textId="77777777" w:rsidR="00461A9E" w:rsidRPr="00461A9E" w:rsidRDefault="00461A9E" w:rsidP="0027287B">
            <w:pPr>
              <w:pStyle w:val="BodyCopyNEW"/>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Not Applicable</w:t>
            </w:r>
          </w:p>
        </w:tc>
        <w:tc>
          <w:tcPr>
            <w:tcW w:w="304" w:type="pct"/>
            <w:tcBorders>
              <w:top w:val="single" w:sz="4" w:space="0" w:color="BFBFBF" w:themeColor="background1" w:themeShade="BF"/>
              <w:bottom w:val="single" w:sz="4" w:space="0" w:color="BFBFBF" w:themeColor="background1" w:themeShade="BF"/>
            </w:tcBorders>
            <w:vAlign w:val="center"/>
            <w:hideMark/>
          </w:tcPr>
          <w:p w14:paraId="25465472"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162267B8"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40F1AA34"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121B54C0"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3D8F04A5"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32B1FEF1"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1</w:t>
            </w:r>
          </w:p>
        </w:tc>
        <w:tc>
          <w:tcPr>
            <w:tcW w:w="304" w:type="pct"/>
            <w:tcBorders>
              <w:top w:val="single" w:sz="4" w:space="0" w:color="BFBFBF" w:themeColor="background1" w:themeShade="BF"/>
              <w:bottom w:val="single" w:sz="4" w:space="0" w:color="BFBFBF" w:themeColor="background1" w:themeShade="BF"/>
            </w:tcBorders>
            <w:vAlign w:val="center"/>
            <w:hideMark/>
          </w:tcPr>
          <w:p w14:paraId="718E2496"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4" w:type="pct"/>
            <w:tcBorders>
              <w:top w:val="single" w:sz="4" w:space="0" w:color="BFBFBF" w:themeColor="background1" w:themeShade="BF"/>
              <w:bottom w:val="single" w:sz="4" w:space="0" w:color="BFBFBF" w:themeColor="background1" w:themeShade="BF"/>
            </w:tcBorders>
            <w:vAlign w:val="center"/>
            <w:hideMark/>
          </w:tcPr>
          <w:p w14:paraId="751E81CE"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1</w:t>
            </w:r>
          </w:p>
        </w:tc>
        <w:tc>
          <w:tcPr>
            <w:tcW w:w="305" w:type="pct"/>
            <w:tcBorders>
              <w:top w:val="single" w:sz="4" w:space="0" w:color="BFBFBF" w:themeColor="background1" w:themeShade="BF"/>
              <w:bottom w:val="single" w:sz="4" w:space="0" w:color="BFBFBF" w:themeColor="background1" w:themeShade="BF"/>
            </w:tcBorders>
            <w:vAlign w:val="center"/>
            <w:hideMark/>
          </w:tcPr>
          <w:p w14:paraId="2E66AAA8"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r w:rsidRPr="00461A9E">
              <w:rPr>
                <w:lang w:eastAsia="en-AU"/>
              </w:rPr>
              <w:t>1</w:t>
            </w:r>
          </w:p>
        </w:tc>
        <w:tc>
          <w:tcPr>
            <w:tcW w:w="304" w:type="pct"/>
            <w:tcBorders>
              <w:top w:val="single" w:sz="4" w:space="0" w:color="BFBFBF" w:themeColor="background1" w:themeShade="BF"/>
              <w:bottom w:val="single" w:sz="4" w:space="0" w:color="BFBFBF" w:themeColor="background1" w:themeShade="BF"/>
            </w:tcBorders>
            <w:vAlign w:val="center"/>
            <w:hideMark/>
          </w:tcPr>
          <w:p w14:paraId="33ADBB62"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305" w:type="pct"/>
            <w:tcBorders>
              <w:top w:val="single" w:sz="4" w:space="0" w:color="BFBFBF" w:themeColor="background1" w:themeShade="BF"/>
              <w:bottom w:val="single" w:sz="4" w:space="0" w:color="BFBFBF" w:themeColor="background1" w:themeShade="BF"/>
            </w:tcBorders>
            <w:vAlign w:val="center"/>
            <w:hideMark/>
          </w:tcPr>
          <w:p w14:paraId="2AFA7BF7" w14:textId="77777777" w:rsidR="00461A9E" w:rsidRPr="00461A9E" w:rsidRDefault="00461A9E" w:rsidP="00901C7B">
            <w:pPr>
              <w:pStyle w:val="BodyCopyNEW"/>
              <w:jc w:val="center"/>
              <w:cnfStyle w:val="000000000000" w:firstRow="0" w:lastRow="0" w:firstColumn="0" w:lastColumn="0" w:oddVBand="0" w:evenVBand="0" w:oddHBand="0" w:evenHBand="0" w:firstRowFirstColumn="0" w:firstRowLastColumn="0" w:lastRowFirstColumn="0" w:lastRowLastColumn="0"/>
              <w:rPr>
                <w:b/>
                <w:lang w:eastAsia="en-AU"/>
              </w:rPr>
            </w:pPr>
            <w:r w:rsidRPr="00461A9E">
              <w:rPr>
                <w:b/>
                <w:lang w:eastAsia="en-AU"/>
              </w:rPr>
              <w:t>3</w:t>
            </w:r>
          </w:p>
        </w:tc>
      </w:tr>
      <w:tr w:rsidR="001E3933" w:rsidRPr="00461A9E" w14:paraId="21220632" w14:textId="77777777" w:rsidTr="009C641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2" w:type="pct"/>
            <w:gridSpan w:val="2"/>
            <w:tcBorders>
              <w:top w:val="single" w:sz="4" w:space="0" w:color="BFBFBF" w:themeColor="background1" w:themeShade="BF"/>
              <w:bottom w:val="single" w:sz="4" w:space="0" w:color="BFBFBF" w:themeColor="background1" w:themeShade="BF"/>
            </w:tcBorders>
            <w:noWrap/>
            <w:hideMark/>
          </w:tcPr>
          <w:p w14:paraId="4FA4FB75" w14:textId="77777777" w:rsidR="00461A9E" w:rsidRPr="00461A9E" w:rsidRDefault="00461A9E" w:rsidP="0027287B">
            <w:pPr>
              <w:pStyle w:val="BodyCopyNEW"/>
              <w:rPr>
                <w:lang w:eastAsia="en-AU"/>
              </w:rPr>
            </w:pPr>
            <w:r w:rsidRPr="00461A9E">
              <w:rPr>
                <w:lang w:eastAsia="en-AU"/>
              </w:rPr>
              <w:t>Total activities</w:t>
            </w:r>
          </w:p>
        </w:tc>
        <w:tc>
          <w:tcPr>
            <w:tcW w:w="304" w:type="pct"/>
            <w:tcBorders>
              <w:top w:val="single" w:sz="4" w:space="0" w:color="BFBFBF" w:themeColor="background1" w:themeShade="BF"/>
              <w:bottom w:val="single" w:sz="4" w:space="0" w:color="BFBFBF" w:themeColor="background1" w:themeShade="BF"/>
            </w:tcBorders>
            <w:vAlign w:val="center"/>
            <w:hideMark/>
          </w:tcPr>
          <w:p w14:paraId="074F9757"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27</w:t>
            </w:r>
          </w:p>
        </w:tc>
        <w:tc>
          <w:tcPr>
            <w:tcW w:w="304" w:type="pct"/>
            <w:tcBorders>
              <w:top w:val="single" w:sz="4" w:space="0" w:color="BFBFBF" w:themeColor="background1" w:themeShade="BF"/>
              <w:bottom w:val="single" w:sz="4" w:space="0" w:color="BFBFBF" w:themeColor="background1" w:themeShade="BF"/>
            </w:tcBorders>
            <w:vAlign w:val="center"/>
            <w:hideMark/>
          </w:tcPr>
          <w:p w14:paraId="136DA44C"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119</w:t>
            </w:r>
          </w:p>
        </w:tc>
        <w:tc>
          <w:tcPr>
            <w:tcW w:w="305" w:type="pct"/>
            <w:tcBorders>
              <w:top w:val="single" w:sz="4" w:space="0" w:color="BFBFBF" w:themeColor="background1" w:themeShade="BF"/>
              <w:bottom w:val="single" w:sz="4" w:space="0" w:color="BFBFBF" w:themeColor="background1" w:themeShade="BF"/>
            </w:tcBorders>
            <w:vAlign w:val="center"/>
            <w:hideMark/>
          </w:tcPr>
          <w:p w14:paraId="7044BA38"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132</w:t>
            </w:r>
          </w:p>
        </w:tc>
        <w:tc>
          <w:tcPr>
            <w:tcW w:w="304" w:type="pct"/>
            <w:tcBorders>
              <w:top w:val="single" w:sz="4" w:space="0" w:color="BFBFBF" w:themeColor="background1" w:themeShade="BF"/>
              <w:bottom w:val="single" w:sz="4" w:space="0" w:color="BFBFBF" w:themeColor="background1" w:themeShade="BF"/>
            </w:tcBorders>
            <w:vAlign w:val="center"/>
            <w:hideMark/>
          </w:tcPr>
          <w:p w14:paraId="17A8E28B"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155</w:t>
            </w:r>
          </w:p>
        </w:tc>
        <w:tc>
          <w:tcPr>
            <w:tcW w:w="304" w:type="pct"/>
            <w:tcBorders>
              <w:top w:val="single" w:sz="4" w:space="0" w:color="BFBFBF" w:themeColor="background1" w:themeShade="BF"/>
              <w:bottom w:val="single" w:sz="4" w:space="0" w:color="BFBFBF" w:themeColor="background1" w:themeShade="BF"/>
            </w:tcBorders>
            <w:vAlign w:val="center"/>
            <w:hideMark/>
          </w:tcPr>
          <w:p w14:paraId="4507AD10"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154</w:t>
            </w:r>
          </w:p>
        </w:tc>
        <w:tc>
          <w:tcPr>
            <w:tcW w:w="305" w:type="pct"/>
            <w:tcBorders>
              <w:top w:val="single" w:sz="4" w:space="0" w:color="BFBFBF" w:themeColor="background1" w:themeShade="BF"/>
              <w:bottom w:val="single" w:sz="4" w:space="0" w:color="BFBFBF" w:themeColor="background1" w:themeShade="BF"/>
            </w:tcBorders>
            <w:vAlign w:val="center"/>
            <w:hideMark/>
          </w:tcPr>
          <w:p w14:paraId="52870BFD" w14:textId="64577F6E" w:rsidR="00461A9E" w:rsidRPr="00461A9E" w:rsidRDefault="00C33166"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Pr>
                <w:b/>
                <w:lang w:eastAsia="en-AU"/>
              </w:rPr>
              <w:t>97</w:t>
            </w:r>
          </w:p>
        </w:tc>
        <w:tc>
          <w:tcPr>
            <w:tcW w:w="304" w:type="pct"/>
            <w:tcBorders>
              <w:top w:val="single" w:sz="4" w:space="0" w:color="BFBFBF" w:themeColor="background1" w:themeShade="BF"/>
              <w:bottom w:val="single" w:sz="4" w:space="0" w:color="BFBFBF" w:themeColor="background1" w:themeShade="BF"/>
            </w:tcBorders>
            <w:vAlign w:val="center"/>
            <w:hideMark/>
          </w:tcPr>
          <w:p w14:paraId="21E3C633"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110</w:t>
            </w:r>
          </w:p>
        </w:tc>
        <w:tc>
          <w:tcPr>
            <w:tcW w:w="304" w:type="pct"/>
            <w:tcBorders>
              <w:top w:val="single" w:sz="4" w:space="0" w:color="BFBFBF" w:themeColor="background1" w:themeShade="BF"/>
              <w:bottom w:val="single" w:sz="4" w:space="0" w:color="BFBFBF" w:themeColor="background1" w:themeShade="BF"/>
            </w:tcBorders>
            <w:vAlign w:val="center"/>
            <w:hideMark/>
          </w:tcPr>
          <w:p w14:paraId="3A374B79"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50</w:t>
            </w:r>
          </w:p>
        </w:tc>
        <w:tc>
          <w:tcPr>
            <w:tcW w:w="305" w:type="pct"/>
            <w:tcBorders>
              <w:top w:val="single" w:sz="4" w:space="0" w:color="BFBFBF" w:themeColor="background1" w:themeShade="BF"/>
              <w:bottom w:val="single" w:sz="4" w:space="0" w:color="BFBFBF" w:themeColor="background1" w:themeShade="BF"/>
            </w:tcBorders>
            <w:vAlign w:val="center"/>
            <w:hideMark/>
          </w:tcPr>
          <w:p w14:paraId="76573C97"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61</w:t>
            </w:r>
          </w:p>
        </w:tc>
        <w:tc>
          <w:tcPr>
            <w:tcW w:w="304" w:type="pct"/>
            <w:tcBorders>
              <w:top w:val="single" w:sz="4" w:space="0" w:color="BFBFBF" w:themeColor="background1" w:themeShade="BF"/>
              <w:bottom w:val="single" w:sz="4" w:space="0" w:color="BFBFBF" w:themeColor="background1" w:themeShade="BF"/>
            </w:tcBorders>
            <w:vAlign w:val="center"/>
            <w:hideMark/>
          </w:tcPr>
          <w:p w14:paraId="0BBC72AE" w14:textId="77777777"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55</w:t>
            </w:r>
          </w:p>
        </w:tc>
        <w:tc>
          <w:tcPr>
            <w:tcW w:w="305" w:type="pct"/>
            <w:tcBorders>
              <w:top w:val="single" w:sz="4" w:space="0" w:color="BFBFBF" w:themeColor="background1" w:themeShade="BF"/>
              <w:bottom w:val="single" w:sz="4" w:space="0" w:color="BFBFBF" w:themeColor="background1" w:themeShade="BF"/>
            </w:tcBorders>
            <w:vAlign w:val="center"/>
            <w:hideMark/>
          </w:tcPr>
          <w:p w14:paraId="57884092" w14:textId="2C87A54A" w:rsidR="00461A9E" w:rsidRPr="00461A9E" w:rsidRDefault="00461A9E" w:rsidP="00901C7B">
            <w:pPr>
              <w:pStyle w:val="BodyCopyNEW"/>
              <w:jc w:val="center"/>
              <w:cnfStyle w:val="000000100000" w:firstRow="0" w:lastRow="0" w:firstColumn="0" w:lastColumn="0" w:oddVBand="0" w:evenVBand="0" w:oddHBand="1" w:evenHBand="0" w:firstRowFirstColumn="0" w:firstRowLastColumn="0" w:lastRowFirstColumn="0" w:lastRowLastColumn="0"/>
              <w:rPr>
                <w:b/>
                <w:lang w:eastAsia="en-AU"/>
              </w:rPr>
            </w:pPr>
            <w:r w:rsidRPr="00461A9E">
              <w:rPr>
                <w:b/>
                <w:lang w:eastAsia="en-AU"/>
              </w:rPr>
              <w:t>96</w:t>
            </w:r>
            <w:r w:rsidR="0046526B">
              <w:rPr>
                <w:b/>
                <w:lang w:eastAsia="en-AU"/>
              </w:rPr>
              <w:t>0</w:t>
            </w:r>
          </w:p>
        </w:tc>
      </w:tr>
    </w:tbl>
    <w:p w14:paraId="315467E2" w14:textId="26424679" w:rsidR="00461A9E" w:rsidRPr="00901C7B" w:rsidRDefault="00461A9E" w:rsidP="00A067D9">
      <w:pPr>
        <w:pStyle w:val="Caption"/>
        <w:rPr>
          <w:b w:val="0"/>
          <w:bCs/>
          <w:i/>
          <w:iCs w:val="0"/>
          <w:color w:val="75787B" w:themeColor="accent6"/>
        </w:rPr>
      </w:pPr>
      <w:r w:rsidRPr="00961581">
        <w:rPr>
          <w:b w:val="0"/>
          <w:bCs/>
          <w:i/>
          <w:iCs w:val="0"/>
          <w:color w:val="75787B" w:themeColor="accent6"/>
        </w:rPr>
        <w:t xml:space="preserve">Source: </w:t>
      </w:r>
      <w:r w:rsidR="00961581" w:rsidRPr="00961581">
        <w:rPr>
          <w:b w:val="0"/>
          <w:bCs/>
          <w:i/>
          <w:iCs w:val="0"/>
          <w:color w:val="75787B" w:themeColor="accent6"/>
        </w:rPr>
        <w:t>Deloitte analysis adapted from NOPSEMA data</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4D64E1" w:rsidRPr="00040C83" w14:paraId="5EF30EB6" w14:textId="77777777" w:rsidTr="003006BC">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385639C5" w14:textId="532364E6" w:rsidR="004D64E1" w:rsidRPr="00A470B1" w:rsidRDefault="004D64E1" w:rsidP="00053250">
            <w:pPr>
              <w:pStyle w:val="TableHeadingLeft"/>
              <w:rPr>
                <w:bCs/>
              </w:rPr>
            </w:pPr>
            <w:r w:rsidRPr="00A470B1">
              <w:rPr>
                <w:bCs/>
              </w:rPr>
              <w:lastRenderedPageBreak/>
              <w:t>Recommendation #</w:t>
            </w:r>
            <w:r w:rsidR="00D210AB" w:rsidRPr="00A470B1">
              <w:rPr>
                <w:bCs/>
              </w:rPr>
              <w:t>1</w:t>
            </w:r>
            <w:r w:rsidR="00E77957">
              <w:rPr>
                <w:bCs/>
              </w:rPr>
              <w:t>0</w:t>
            </w:r>
          </w:p>
        </w:tc>
      </w:tr>
      <w:tr w:rsidR="00040C83" w:rsidRPr="00040C83" w14:paraId="62037AD0" w14:textId="77777777" w:rsidTr="003006BC">
        <w:trPr>
          <w:trHeight w:val="489"/>
        </w:trPr>
        <w:tc>
          <w:tcPr>
            <w:tcW w:w="9864" w:type="dxa"/>
            <w:tcBorders>
              <w:bottom w:val="nil"/>
            </w:tcBorders>
            <w:shd w:val="clear" w:color="auto" w:fill="F2F2F2" w:themeFill="background1" w:themeFillShade="F2"/>
          </w:tcPr>
          <w:p w14:paraId="1DE90381" w14:textId="77777777" w:rsidR="00AE07D3" w:rsidRPr="00040C83" w:rsidRDefault="00AE07D3" w:rsidP="00AE07D3">
            <w:pPr>
              <w:pStyle w:val="BodyCopyNEW"/>
              <w:rPr>
                <w:szCs w:val="18"/>
              </w:rPr>
            </w:pPr>
            <w:r w:rsidRPr="00040C83">
              <w:rPr>
                <w:szCs w:val="18"/>
              </w:rPr>
              <w:t>NOPSEMA should increase the capacity of the Well Integrity capability. At minimum, an increase in the capacity of the Well Integrity capability should consider:</w:t>
            </w:r>
          </w:p>
          <w:p w14:paraId="0F382689" w14:textId="77777777" w:rsidR="00AE07D3" w:rsidRPr="00040C83" w:rsidRDefault="00AE07D3" w:rsidP="000C1F53">
            <w:pPr>
              <w:pStyle w:val="BodycopyNEW0"/>
              <w:numPr>
                <w:ilvl w:val="0"/>
                <w:numId w:val="23"/>
              </w:numPr>
              <w:ind w:left="378"/>
              <w:rPr>
                <w:szCs w:val="18"/>
              </w:rPr>
            </w:pPr>
            <w:r w:rsidRPr="00040C83">
              <w:rPr>
                <w:rFonts w:cs="Times New Roman"/>
                <w:szCs w:val="18"/>
              </w:rPr>
              <w:t xml:space="preserve">Likely </w:t>
            </w:r>
            <w:r w:rsidRPr="00040C83">
              <w:rPr>
                <w:szCs w:val="18"/>
              </w:rPr>
              <w:t>industry activity moving forward (the forecast demand for the Well Integrity capability)</w:t>
            </w:r>
          </w:p>
          <w:p w14:paraId="782B11DC" w14:textId="77777777" w:rsidR="00AE07D3" w:rsidRPr="00040C83" w:rsidRDefault="00AE07D3" w:rsidP="000C1F53">
            <w:pPr>
              <w:pStyle w:val="BodycopyNEW0"/>
              <w:numPr>
                <w:ilvl w:val="0"/>
                <w:numId w:val="23"/>
              </w:numPr>
              <w:ind w:left="378"/>
              <w:rPr>
                <w:szCs w:val="18"/>
              </w:rPr>
            </w:pPr>
            <w:r w:rsidRPr="00040C83">
              <w:rPr>
                <w:szCs w:val="18"/>
              </w:rPr>
              <w:t>The actual and desired allocation of the Well Integrity team’s effort across inspection and assessment activities</w:t>
            </w:r>
          </w:p>
          <w:p w14:paraId="0FB65C66" w14:textId="275918B0" w:rsidR="00AE07D3" w:rsidRPr="00040C83" w:rsidRDefault="00AE07D3" w:rsidP="000C1F53">
            <w:pPr>
              <w:pStyle w:val="BodycopyNEW0"/>
              <w:numPr>
                <w:ilvl w:val="0"/>
                <w:numId w:val="23"/>
              </w:numPr>
              <w:ind w:left="378"/>
              <w:rPr>
                <w:rFonts w:asciiTheme="majorHAnsi" w:hAnsiTheme="majorHAnsi"/>
              </w:rPr>
            </w:pPr>
            <w:r w:rsidRPr="00040C83">
              <w:rPr>
                <w:szCs w:val="18"/>
              </w:rPr>
              <w:t>Identifying potential operational efficiencies through process redesign, technology improvement, job design and/or, where a gap remains, addressing capacity shortages through the sourcing of talent</w:t>
            </w:r>
            <w:r w:rsidRPr="00040C83">
              <w:rPr>
                <w:rFonts w:cs="Times New Roman"/>
                <w:szCs w:val="18"/>
              </w:rPr>
              <w:t>.</w:t>
            </w:r>
          </w:p>
        </w:tc>
      </w:tr>
    </w:tbl>
    <w:p w14:paraId="65491E15" w14:textId="187CE500" w:rsidR="00687550" w:rsidRDefault="00461A9E" w:rsidP="00901C7B">
      <w:pPr>
        <w:pStyle w:val="BodyCopyNEW"/>
        <w:spacing w:before="120"/>
        <w:rPr>
          <w:rFonts w:ascii="Calibri" w:hAnsi="Calibri"/>
          <w:b/>
          <w:iCs/>
        </w:rPr>
      </w:pPr>
      <w:r w:rsidRPr="00461A9E">
        <w:t xml:space="preserve">Feedback from stakeholders we consulted with as part of our </w:t>
      </w:r>
      <w:r w:rsidR="00664A88">
        <w:t>review</w:t>
      </w:r>
      <w:r w:rsidR="00664A88" w:rsidRPr="00461A9E">
        <w:t xml:space="preserve"> </w:t>
      </w:r>
      <w:r w:rsidRPr="00461A9E">
        <w:t xml:space="preserve">was consistent with </w:t>
      </w:r>
      <w:r w:rsidR="00862A7E">
        <w:t xml:space="preserve">our </w:t>
      </w:r>
      <w:r w:rsidR="00F66BCF">
        <w:t>analysis above</w:t>
      </w:r>
      <w:r w:rsidR="006B21BE">
        <w:t xml:space="preserve"> and NOPSEMA </w:t>
      </w:r>
      <w:r w:rsidR="002C5127">
        <w:t>feedback</w:t>
      </w:r>
      <w:r w:rsidRPr="00461A9E">
        <w:t>. Stakeholders tended to view NOPSEMA’s capacity as sufficient (see</w:t>
      </w:r>
      <w:r w:rsidR="00687550">
        <w:rPr>
          <w:b/>
          <w:bCs/>
        </w:rPr>
        <w:t xml:space="preserve"> </w:t>
      </w:r>
      <w:r w:rsidR="00687550" w:rsidRPr="00687550">
        <w:rPr>
          <w:b/>
          <w:bCs/>
          <w:highlight w:val="yellow"/>
        </w:rPr>
        <w:fldChar w:fldCharType="begin"/>
      </w:r>
      <w:r w:rsidR="00687550" w:rsidRPr="00687550">
        <w:rPr>
          <w:b/>
          <w:bCs/>
        </w:rPr>
        <w:instrText xml:space="preserve"> REF _Ref58446311 \h </w:instrText>
      </w:r>
      <w:r w:rsidR="00687550" w:rsidRPr="00687550">
        <w:rPr>
          <w:b/>
          <w:bCs/>
          <w:highlight w:val="yellow"/>
        </w:rPr>
        <w:instrText xml:space="preserve"> \* MERGEFORMAT </w:instrText>
      </w:r>
      <w:r w:rsidR="00687550" w:rsidRPr="00687550">
        <w:rPr>
          <w:b/>
          <w:bCs/>
          <w:highlight w:val="yellow"/>
        </w:rPr>
      </w:r>
      <w:r w:rsidR="00687550" w:rsidRPr="00687550">
        <w:rPr>
          <w:b/>
          <w:bCs/>
          <w:highlight w:val="yellow"/>
        </w:rPr>
        <w:fldChar w:fldCharType="separate"/>
      </w:r>
      <w:r w:rsidR="00E816B8" w:rsidRPr="00E816B8">
        <w:rPr>
          <w:b/>
          <w:bCs/>
        </w:rPr>
        <w:t xml:space="preserve">Figure </w:t>
      </w:r>
      <w:r w:rsidR="00E816B8" w:rsidRPr="00E816B8">
        <w:rPr>
          <w:b/>
          <w:bCs/>
          <w:noProof/>
        </w:rPr>
        <w:t>7.3</w:t>
      </w:r>
      <w:r w:rsidR="00687550" w:rsidRPr="00687550">
        <w:rPr>
          <w:b/>
          <w:bCs/>
          <w:highlight w:val="yellow"/>
        </w:rPr>
        <w:fldChar w:fldCharType="end"/>
      </w:r>
      <w:r w:rsidRPr="00461A9E">
        <w:t>)</w:t>
      </w:r>
      <w:r w:rsidR="0081244B">
        <w:t>.</w:t>
      </w:r>
      <w:r w:rsidRPr="00461A9E">
        <w:t xml:space="preserve"> </w:t>
      </w:r>
      <w:r w:rsidR="0081244B">
        <w:t>H</w:t>
      </w:r>
      <w:r w:rsidRPr="00461A9E">
        <w:t xml:space="preserve">owever, there was a perception </w:t>
      </w:r>
      <w:r w:rsidR="0081244B">
        <w:t xml:space="preserve">raised by </w:t>
      </w:r>
      <w:r w:rsidR="009D4F98">
        <w:t xml:space="preserve">some </w:t>
      </w:r>
      <w:r w:rsidR="00EA06AF">
        <w:t>title</w:t>
      </w:r>
      <w:r w:rsidR="001003B9">
        <w:t>holder</w:t>
      </w:r>
      <w:r w:rsidRPr="00461A9E">
        <w:t>s that the Well Integrity function is under capacity</w:t>
      </w:r>
      <w:r w:rsidR="00B827AE">
        <w:t>,</w:t>
      </w:r>
      <w:r w:rsidRPr="00461A9E">
        <w:t xml:space="preserve"> both</w:t>
      </w:r>
      <w:r w:rsidR="00B827AE">
        <w:t xml:space="preserve"> in</w:t>
      </w:r>
      <w:r w:rsidRPr="00461A9E">
        <w:t xml:space="preserve"> their ability to perform timely inspections as well as to receive and assess WOMPs. </w:t>
      </w:r>
    </w:p>
    <w:p w14:paraId="112E2AC1" w14:textId="0BFB2771" w:rsidR="00687550" w:rsidRPr="00687550" w:rsidRDefault="00687550" w:rsidP="009C6412">
      <w:pPr>
        <w:pStyle w:val="Caption"/>
        <w:keepNext/>
      </w:pPr>
      <w:bookmarkStart w:id="71" w:name="_Ref58446311"/>
      <w:r>
        <w:t xml:space="preserve">Figure </w:t>
      </w:r>
      <w:r w:rsidR="00AD41F8">
        <w:fldChar w:fldCharType="begin"/>
      </w:r>
      <w:r w:rsidR="00AD41F8">
        <w:instrText xml:space="preserve"> STYLEREF 1 \s </w:instrText>
      </w:r>
      <w:r w:rsidR="00AD41F8">
        <w:fldChar w:fldCharType="separate"/>
      </w:r>
      <w:r w:rsidR="00E816B8">
        <w:rPr>
          <w:noProof/>
        </w:rPr>
        <w:t>7</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3</w:t>
      </w:r>
      <w:r w:rsidR="00AD41F8">
        <w:fldChar w:fldCharType="end"/>
      </w:r>
      <w:bookmarkEnd w:id="71"/>
      <w:r>
        <w:t>: Survey responses to NOPSEMA’s capacity</w:t>
      </w:r>
    </w:p>
    <w:p w14:paraId="2681B01C" w14:textId="77777777" w:rsidR="00461A9E" w:rsidRPr="00461A9E" w:rsidRDefault="00461A9E" w:rsidP="00461A9E">
      <w:pPr>
        <w:spacing w:after="120"/>
        <w:rPr>
          <w:rFonts w:cs="OpenSansRegular"/>
        </w:rPr>
      </w:pPr>
      <w:r w:rsidRPr="00461A9E">
        <w:rPr>
          <w:rFonts w:cs="OpenSansRegular"/>
          <w:noProof/>
          <w:lang w:eastAsia="en-AU"/>
        </w:rPr>
        <w:drawing>
          <wp:inline distT="0" distB="0" distL="0" distR="0" wp14:anchorId="03CC3426" wp14:editId="79E8F365">
            <wp:extent cx="6264000" cy="3619500"/>
            <wp:effectExtent l="0" t="0" r="3810" b="0"/>
            <wp:docPr id="1347981893" name="Chart 134798189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D6EF64C-B9BB-4721-BA5A-405695C82C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84DEA2D" w14:textId="77777777" w:rsidR="00461A9E" w:rsidRPr="00901C7B" w:rsidRDefault="00461A9E" w:rsidP="00A067D9">
      <w:pPr>
        <w:pStyle w:val="Caption"/>
        <w:rPr>
          <w:b w:val="0"/>
          <w:bCs/>
          <w:i/>
          <w:iCs w:val="0"/>
          <w:color w:val="75787B" w:themeColor="accent6"/>
        </w:rPr>
      </w:pPr>
      <w:r w:rsidRPr="00901C7B">
        <w:rPr>
          <w:b w:val="0"/>
          <w:bCs/>
          <w:i/>
          <w:iCs w:val="0"/>
          <w:color w:val="75787B" w:themeColor="accent6"/>
        </w:rPr>
        <w:t>Source: Deloitte Stakeholder Survey, Deloitte analysis</w:t>
      </w:r>
    </w:p>
    <w:p w14:paraId="44D4172C" w14:textId="5E3A1E60" w:rsidR="00461A9E" w:rsidRPr="00461A9E" w:rsidRDefault="00685CFD" w:rsidP="0027287B">
      <w:pPr>
        <w:pStyle w:val="Heading2"/>
      </w:pPr>
      <w:bookmarkStart w:id="72" w:name="_Ref58593452"/>
      <w:r>
        <w:t>NOPSEMA’s c</w:t>
      </w:r>
      <w:r w:rsidRPr="00461A9E">
        <w:t xml:space="preserve">apability </w:t>
      </w:r>
      <w:r w:rsidR="00461A9E" w:rsidRPr="00461A9E">
        <w:t xml:space="preserve">and </w:t>
      </w:r>
      <w:r>
        <w:t>w</w:t>
      </w:r>
      <w:r w:rsidR="00461A9E" w:rsidRPr="00461A9E">
        <w:t xml:space="preserve">orkforce </w:t>
      </w:r>
      <w:r>
        <w:t>p</w:t>
      </w:r>
      <w:r w:rsidR="00461A9E" w:rsidRPr="00461A9E">
        <w:t>lanning</w:t>
      </w:r>
      <w:bookmarkEnd w:id="72"/>
    </w:p>
    <w:p w14:paraId="1789DF69" w14:textId="77777777" w:rsidR="00461A9E" w:rsidRPr="00461A9E" w:rsidRDefault="00461A9E" w:rsidP="0027287B">
      <w:pPr>
        <w:pStyle w:val="Heading3"/>
      </w:pPr>
      <w:r w:rsidRPr="00461A9E">
        <w:t>NOPSEMA’s practices for building capability</w:t>
      </w:r>
    </w:p>
    <w:p w14:paraId="1F4C6C41" w14:textId="77777777" w:rsidR="00461A9E" w:rsidRPr="00461A9E" w:rsidRDefault="00461A9E" w:rsidP="0027287B">
      <w:pPr>
        <w:pStyle w:val="Heading4"/>
      </w:pPr>
      <w:r w:rsidRPr="00461A9E">
        <w:t>Capability needs identification</w:t>
      </w:r>
    </w:p>
    <w:p w14:paraId="51E1BA6D" w14:textId="789ABD0C" w:rsidR="00461A9E" w:rsidRPr="00461A9E" w:rsidRDefault="00327ACB" w:rsidP="0027287B">
      <w:pPr>
        <w:pStyle w:val="Heading3NoNumber"/>
      </w:pPr>
      <w:r>
        <w:t>NOPSEMA has</w:t>
      </w:r>
      <w:r w:rsidR="00461A9E" w:rsidRPr="00461A9E">
        <w:t xml:space="preserve"> a structured process for identifying talent </w:t>
      </w:r>
      <w:r w:rsidR="00544637">
        <w:t>requirements</w:t>
      </w:r>
    </w:p>
    <w:p w14:paraId="5BB9C602" w14:textId="0785BE5D" w:rsidR="00461A9E" w:rsidRDefault="00461A9E" w:rsidP="0027287B">
      <w:pPr>
        <w:pStyle w:val="BodyCopyNEW"/>
      </w:pPr>
      <w:r w:rsidRPr="00461A9E">
        <w:t>NOPSEMA undertake a three-step process for workforce planning (see</w:t>
      </w:r>
      <w:r w:rsidR="0042514E">
        <w:t xml:space="preserve"> </w:t>
      </w:r>
      <w:r w:rsidR="0042514E" w:rsidRPr="0042514E">
        <w:rPr>
          <w:b/>
          <w:bCs/>
        </w:rPr>
        <w:fldChar w:fldCharType="begin"/>
      </w:r>
      <w:r w:rsidR="0042514E" w:rsidRPr="0042514E">
        <w:rPr>
          <w:b/>
          <w:bCs/>
        </w:rPr>
        <w:instrText xml:space="preserve"> REF _Ref58446697 \h </w:instrText>
      </w:r>
      <w:r w:rsidR="0042514E">
        <w:rPr>
          <w:b/>
          <w:bCs/>
        </w:rPr>
        <w:instrText xml:space="preserve"> \* MERGEFORMAT </w:instrText>
      </w:r>
      <w:r w:rsidR="0042514E" w:rsidRPr="0042514E">
        <w:rPr>
          <w:b/>
          <w:bCs/>
        </w:rPr>
      </w:r>
      <w:r w:rsidR="0042514E" w:rsidRPr="0042514E">
        <w:rPr>
          <w:b/>
          <w:bCs/>
        </w:rPr>
        <w:fldChar w:fldCharType="separate"/>
      </w:r>
      <w:r w:rsidR="00E816B8" w:rsidRPr="00E816B8">
        <w:rPr>
          <w:b/>
          <w:bCs/>
        </w:rPr>
        <w:t xml:space="preserve">Figure </w:t>
      </w:r>
      <w:r w:rsidR="00E816B8" w:rsidRPr="00E816B8">
        <w:rPr>
          <w:b/>
          <w:bCs/>
          <w:noProof/>
        </w:rPr>
        <w:t>7.4</w:t>
      </w:r>
      <w:r w:rsidR="0042514E" w:rsidRPr="0042514E">
        <w:rPr>
          <w:b/>
          <w:bCs/>
        </w:rPr>
        <w:fldChar w:fldCharType="end"/>
      </w:r>
      <w:r w:rsidR="0042514E">
        <w:t>)</w:t>
      </w:r>
      <w:r w:rsidRPr="00461A9E">
        <w:t xml:space="preserve">. NOPSEMA review existing capabilities as well as what may be required in the future on an annual basis and when </w:t>
      </w:r>
      <w:r w:rsidR="00741028">
        <w:t>personnel</w:t>
      </w:r>
      <w:r w:rsidRPr="00461A9E">
        <w:t xml:space="preserve"> move on internally or externally. Across the review period there has not been a significant variation to capability requirements (although we note minor changes to the Well Integrity team’s capability requirements following the review of the well integrity portions of the </w:t>
      </w:r>
      <w:r w:rsidR="003854D4" w:rsidRPr="00E94BB2">
        <w:t>RMA Regulations</w:t>
      </w:r>
      <w:r w:rsidR="00EE58F1">
        <w:t>)</w:t>
      </w:r>
      <w:r w:rsidR="00BA6B36">
        <w:t xml:space="preserve"> – the need for some of the emergent capability gaps</w:t>
      </w:r>
      <w:r w:rsidR="003869BD">
        <w:t xml:space="preserve"> we note in this section</w:t>
      </w:r>
      <w:r w:rsidR="00BA6B36">
        <w:t xml:space="preserve"> have been present since the 2015 Operational Review.</w:t>
      </w:r>
    </w:p>
    <w:p w14:paraId="139AF0B1" w14:textId="0695ED86" w:rsidR="00810812" w:rsidRPr="00461A9E" w:rsidRDefault="0042514E" w:rsidP="009C6412">
      <w:pPr>
        <w:pStyle w:val="Caption"/>
        <w:keepNext/>
      </w:pPr>
      <w:bookmarkStart w:id="73" w:name="_Ref58446697"/>
      <w:r>
        <w:lastRenderedPageBreak/>
        <w:t xml:space="preserve">Figure </w:t>
      </w:r>
      <w:r w:rsidR="00AD41F8">
        <w:fldChar w:fldCharType="begin"/>
      </w:r>
      <w:r w:rsidR="00AD41F8">
        <w:instrText xml:space="preserve"> STYLEREF 1 \s </w:instrText>
      </w:r>
      <w:r w:rsidR="00AD41F8">
        <w:fldChar w:fldCharType="separate"/>
      </w:r>
      <w:r w:rsidR="00E816B8">
        <w:rPr>
          <w:noProof/>
        </w:rPr>
        <w:t>7</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4</w:t>
      </w:r>
      <w:r w:rsidR="00AD41F8">
        <w:fldChar w:fldCharType="end"/>
      </w:r>
      <w:bookmarkEnd w:id="73"/>
      <w:r>
        <w:t>: NOPSEMA’s approach to workforce planning</w:t>
      </w:r>
    </w:p>
    <w:p w14:paraId="47D45924" w14:textId="215F752E" w:rsidR="00461A9E" w:rsidRPr="00461A9E" w:rsidRDefault="6F3FD80F" w:rsidP="00D317C9">
      <w:pPr>
        <w:jc w:val="center"/>
        <w:rPr>
          <w:rFonts w:cs="OpenSansRegular"/>
        </w:rPr>
      </w:pPr>
      <w:r>
        <w:rPr>
          <w:noProof/>
          <w:lang w:eastAsia="en-AU"/>
        </w:rPr>
        <w:drawing>
          <wp:inline distT="0" distB="0" distL="0" distR="0" wp14:anchorId="52BB1D23" wp14:editId="5ABA8B4B">
            <wp:extent cx="4204722" cy="4320000"/>
            <wp:effectExtent l="0" t="0" r="571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49">
                      <a:extLst>
                        <a:ext uri="{28A0092B-C50C-407E-A947-70E740481C1C}">
                          <a14:useLocalDpi xmlns:a14="http://schemas.microsoft.com/office/drawing/2010/main"/>
                        </a:ext>
                      </a:extLst>
                    </a:blip>
                    <a:stretch>
                      <a:fillRect/>
                    </a:stretch>
                  </pic:blipFill>
                  <pic:spPr>
                    <a:xfrm>
                      <a:off x="0" y="0"/>
                      <a:ext cx="4204722" cy="4320000"/>
                    </a:xfrm>
                    <a:prstGeom prst="rect">
                      <a:avLst/>
                    </a:prstGeom>
                  </pic:spPr>
                </pic:pic>
              </a:graphicData>
            </a:graphic>
          </wp:inline>
        </w:drawing>
      </w:r>
    </w:p>
    <w:p w14:paraId="386C9F29" w14:textId="02CFE2E2" w:rsidR="00461A9E" w:rsidRPr="00901C7B" w:rsidRDefault="00461A9E" w:rsidP="00A067D9">
      <w:pPr>
        <w:pStyle w:val="Caption"/>
        <w:rPr>
          <w:b w:val="0"/>
          <w:bCs/>
          <w:i/>
          <w:iCs w:val="0"/>
          <w:color w:val="75787B" w:themeColor="accent6"/>
        </w:rPr>
      </w:pPr>
      <w:r w:rsidRPr="00901C7B">
        <w:rPr>
          <w:b w:val="0"/>
          <w:bCs/>
          <w:i/>
          <w:iCs w:val="0"/>
          <w:color w:val="75787B" w:themeColor="accent6"/>
        </w:rPr>
        <w:t xml:space="preserve">Source: NOPSEMA </w:t>
      </w:r>
      <w:r w:rsidR="00987195">
        <w:rPr>
          <w:b w:val="0"/>
          <w:bCs/>
          <w:i/>
          <w:iCs w:val="0"/>
          <w:color w:val="75787B" w:themeColor="accent6"/>
        </w:rPr>
        <w:t>Leadership Team</w:t>
      </w:r>
      <w:r w:rsidR="00987195" w:rsidRPr="00901C7B">
        <w:rPr>
          <w:b w:val="0"/>
          <w:bCs/>
          <w:i/>
          <w:iCs w:val="0"/>
          <w:color w:val="75787B" w:themeColor="accent6"/>
        </w:rPr>
        <w:t xml:space="preserve"> </w:t>
      </w:r>
      <w:r w:rsidRPr="00901C7B">
        <w:rPr>
          <w:b w:val="0"/>
          <w:bCs/>
          <w:i/>
          <w:iCs w:val="0"/>
          <w:color w:val="75787B" w:themeColor="accent6"/>
        </w:rPr>
        <w:t>Workforce Planning Presentation</w:t>
      </w:r>
    </w:p>
    <w:p w14:paraId="5E980732" w14:textId="150939CA" w:rsidR="00461A9E" w:rsidRDefault="00CD6E9A" w:rsidP="0027287B">
      <w:pPr>
        <w:pStyle w:val="BodyCopyNEW"/>
      </w:pPr>
      <w:r>
        <w:t xml:space="preserve">The regulatory divisions track their current capabilities. </w:t>
      </w:r>
      <w:r w:rsidR="00461A9E" w:rsidRPr="00544637">
        <w:t xml:space="preserve">The Safety and Integrity </w:t>
      </w:r>
      <w:r>
        <w:t>D</w:t>
      </w:r>
      <w:r w:rsidR="00461A9E" w:rsidRPr="00544637">
        <w:t xml:space="preserve">ivision maintains a </w:t>
      </w:r>
      <w:r w:rsidR="000A3FB0">
        <w:t>c</w:t>
      </w:r>
      <w:r w:rsidR="00461A9E" w:rsidRPr="00544637">
        <w:t>ompetenc</w:t>
      </w:r>
      <w:r w:rsidR="0042002F">
        <w:t>y</w:t>
      </w:r>
      <w:r w:rsidR="00461A9E" w:rsidRPr="00544637">
        <w:t xml:space="preserve"> </w:t>
      </w:r>
      <w:r w:rsidR="000A3FB0">
        <w:t>register</w:t>
      </w:r>
      <w:r w:rsidR="00461A9E" w:rsidRPr="00544637">
        <w:t xml:space="preserve"> which provides an </w:t>
      </w:r>
      <w:r>
        <w:t>aggregated summary of</w:t>
      </w:r>
      <w:r w:rsidR="00461A9E" w:rsidRPr="00544637">
        <w:t xml:space="preserve"> the competencies held </w:t>
      </w:r>
      <w:r>
        <w:t xml:space="preserve">across </w:t>
      </w:r>
      <w:r w:rsidR="00461A9E" w:rsidRPr="00544637">
        <w:t xml:space="preserve">the </w:t>
      </w:r>
      <w:r w:rsidR="00F67FE8">
        <w:t>D</w:t>
      </w:r>
      <w:r w:rsidR="00461A9E" w:rsidRPr="00544637">
        <w:t xml:space="preserve">ivision </w:t>
      </w:r>
      <w:r>
        <w:t>(</w:t>
      </w:r>
      <w:r w:rsidR="00461A9E" w:rsidRPr="00544637">
        <w:t>including experience, specialism, qualifications and training</w:t>
      </w:r>
      <w:r>
        <w:t>)</w:t>
      </w:r>
      <w:r w:rsidR="00461A9E" w:rsidRPr="00544637">
        <w:t xml:space="preserve">. The Environment </w:t>
      </w:r>
      <w:r w:rsidR="00726E0C">
        <w:t>D</w:t>
      </w:r>
      <w:r w:rsidR="00461A9E" w:rsidRPr="00544637">
        <w:t xml:space="preserve">ivision maintains an </w:t>
      </w:r>
      <w:r w:rsidR="00461A9E" w:rsidRPr="00CD6E9A">
        <w:rPr>
          <w:i/>
          <w:iCs/>
        </w:rPr>
        <w:t xml:space="preserve">Academic Qualifications </w:t>
      </w:r>
      <w:r w:rsidRPr="00CD6E9A">
        <w:rPr>
          <w:i/>
          <w:iCs/>
        </w:rPr>
        <w:t>R</w:t>
      </w:r>
      <w:r w:rsidR="00461A9E" w:rsidRPr="00CD6E9A">
        <w:rPr>
          <w:i/>
          <w:iCs/>
        </w:rPr>
        <w:t>egister</w:t>
      </w:r>
      <w:r w:rsidR="00461A9E" w:rsidRPr="00544637">
        <w:t xml:space="preserve"> as well as a </w:t>
      </w:r>
      <w:r w:rsidR="00461A9E" w:rsidRPr="00CD6E9A">
        <w:rPr>
          <w:i/>
          <w:iCs/>
        </w:rPr>
        <w:t>Technical Matrix</w:t>
      </w:r>
      <w:r w:rsidR="00461A9E" w:rsidRPr="00544637">
        <w:t xml:space="preserve">. The Technical Matrix lists technical topics and associated activities and identifies whether the required capability exists, to what extent it exists or whether it is needed. </w:t>
      </w:r>
    </w:p>
    <w:p w14:paraId="1DCE59C6" w14:textId="512751CC" w:rsidR="00A96504" w:rsidRDefault="00501071" w:rsidP="0027287B">
      <w:pPr>
        <w:pStyle w:val="BodyCopyNEW"/>
      </w:pPr>
      <w:r>
        <w:t xml:space="preserve">Our </w:t>
      </w:r>
      <w:r w:rsidR="00B00406">
        <w:t>analysis found</w:t>
      </w:r>
      <w:r>
        <w:t xml:space="preserve"> that</w:t>
      </w:r>
      <w:r w:rsidR="00A96504">
        <w:t>:</w:t>
      </w:r>
    </w:p>
    <w:p w14:paraId="6A989CD6" w14:textId="49040E17" w:rsidR="00A96504" w:rsidRDefault="00A96504" w:rsidP="000C1F53">
      <w:pPr>
        <w:pStyle w:val="BodycopyNEW0"/>
        <w:numPr>
          <w:ilvl w:val="0"/>
          <w:numId w:val="23"/>
        </w:numPr>
        <w:ind w:left="378"/>
      </w:pPr>
      <w:r>
        <w:t xml:space="preserve">The approach used by NOPSEMA to </w:t>
      </w:r>
      <w:r w:rsidR="003029CD">
        <w:t>workforce planning is adequate for their purpose</w:t>
      </w:r>
      <w:r w:rsidR="00BF62E0">
        <w:t>, with many of the future capability enhancements we identify below being identified by NOPSEMA through the application of this approach to workforce planning</w:t>
      </w:r>
    </w:p>
    <w:p w14:paraId="7C4F3CBC" w14:textId="1C91A9A4" w:rsidR="004303E4" w:rsidRDefault="00A96504" w:rsidP="000C1F53">
      <w:pPr>
        <w:pStyle w:val="BodycopyNEW0"/>
        <w:numPr>
          <w:ilvl w:val="0"/>
          <w:numId w:val="23"/>
        </w:numPr>
        <w:ind w:left="378"/>
      </w:pPr>
      <w:r>
        <w:t>T</w:t>
      </w:r>
      <w:r w:rsidR="004303E4">
        <w:t>here may be further benefit in adopting a</w:t>
      </w:r>
      <w:r w:rsidR="00BF62E0">
        <w:t xml:space="preserve"> more</w:t>
      </w:r>
      <w:r w:rsidR="004303E4">
        <w:t xml:space="preserve"> </w:t>
      </w:r>
      <w:r w:rsidR="00337998">
        <w:t xml:space="preserve">consistent approach </w:t>
      </w:r>
      <w:r w:rsidR="00501071">
        <w:t xml:space="preserve">across divisions </w:t>
      </w:r>
      <w:r w:rsidR="00337998">
        <w:t xml:space="preserve">to capturing current capabilities </w:t>
      </w:r>
      <w:r w:rsidR="00501071">
        <w:t>and</w:t>
      </w:r>
      <w:r w:rsidR="00337998">
        <w:t xml:space="preserve"> future capability requirements</w:t>
      </w:r>
      <w:r w:rsidR="00BF62E0">
        <w:t xml:space="preserve"> to</w:t>
      </w:r>
      <w:r w:rsidR="00221040">
        <w:t xml:space="preserve"> help identify cross-cutting capability gaps across regulatory functions.</w:t>
      </w:r>
    </w:p>
    <w:tbl>
      <w:tblPr>
        <w:tblStyle w:val="TableGrid"/>
        <w:tblW w:w="5000" w:type="pct"/>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53392E" w:rsidRPr="00040C83" w14:paraId="16392EC0" w14:textId="77777777" w:rsidTr="00DA4B5E">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09BF980F" w14:textId="02A0D936" w:rsidR="0053392E" w:rsidRPr="00C01CE6" w:rsidRDefault="0053392E" w:rsidP="00DA4B5E">
            <w:pPr>
              <w:pStyle w:val="TableHeadingLeft"/>
              <w:rPr>
                <w:highlight w:val="green"/>
              </w:rPr>
            </w:pPr>
            <w:r w:rsidRPr="00C01CE6">
              <w:t>Opportunity #</w:t>
            </w:r>
            <w:r w:rsidR="00C224DC">
              <w:t>7</w:t>
            </w:r>
          </w:p>
        </w:tc>
      </w:tr>
      <w:tr w:rsidR="00040C83" w:rsidRPr="00040C83" w14:paraId="324412A5" w14:textId="77777777" w:rsidTr="00DA4B5E">
        <w:trPr>
          <w:trHeight w:val="369"/>
        </w:trPr>
        <w:tc>
          <w:tcPr>
            <w:tcW w:w="5000" w:type="pct"/>
            <w:tcBorders>
              <w:bottom w:val="nil"/>
            </w:tcBorders>
            <w:shd w:val="clear" w:color="auto" w:fill="F2F2F2" w:themeFill="background1" w:themeFillShade="F2"/>
          </w:tcPr>
          <w:p w14:paraId="23709D02" w14:textId="1E75D369" w:rsidR="00A611FB" w:rsidRPr="00040C83" w:rsidRDefault="00A611FB" w:rsidP="00A611FB">
            <w:pPr>
              <w:pStyle w:val="BodyCopyNEW"/>
            </w:pPr>
            <w:r w:rsidRPr="00040C83">
              <w:t>NOPSEMA is encouraged to apply a consistent approach to capturing current and future capability requirements across its divisions.</w:t>
            </w:r>
          </w:p>
        </w:tc>
      </w:tr>
    </w:tbl>
    <w:p w14:paraId="3636BEED" w14:textId="221132EC" w:rsidR="00461A9E" w:rsidRPr="00461A9E" w:rsidRDefault="00461A9E" w:rsidP="0027287B">
      <w:pPr>
        <w:pStyle w:val="Heading4"/>
      </w:pPr>
      <w:r w:rsidRPr="00461A9E">
        <w:t>Sourcing of talent</w:t>
      </w:r>
    </w:p>
    <w:p w14:paraId="6D4764FC" w14:textId="70544EA2" w:rsidR="00461A9E" w:rsidRPr="00461A9E" w:rsidRDefault="00461A9E" w:rsidP="0027287B">
      <w:pPr>
        <w:pStyle w:val="Heading3NoNumber"/>
      </w:pPr>
      <w:r w:rsidRPr="00461A9E">
        <w:t>NOPSEMA favour specialist skillsets and industry experience</w:t>
      </w:r>
    </w:p>
    <w:p w14:paraId="66F9FE0C" w14:textId="2D3669F7" w:rsidR="00461A9E" w:rsidRPr="00461A9E" w:rsidRDefault="00461A9E" w:rsidP="0027287B">
      <w:pPr>
        <w:pStyle w:val="BodyCopyNEW"/>
      </w:pPr>
      <w:r w:rsidRPr="00461A9E">
        <w:t xml:space="preserve">NOPSEMA tend to source talent from the industry for Safety and Well Integrity functions. NOPSEMA seek to hire operational specialists who have been directly exposed to and managed the relevant risks they will assess and inspect in their role. In contrast, we observed that a </w:t>
      </w:r>
      <w:r w:rsidR="00CC1F57">
        <w:t xml:space="preserve">higher </w:t>
      </w:r>
      <w:r w:rsidRPr="00461A9E">
        <w:t>p</w:t>
      </w:r>
      <w:r w:rsidR="00CC1F57">
        <w:t>r</w:t>
      </w:r>
      <w:r w:rsidRPr="00461A9E">
        <w:t>o</w:t>
      </w:r>
      <w:r w:rsidR="00CC1F57">
        <w:t>po</w:t>
      </w:r>
      <w:r w:rsidRPr="00461A9E">
        <w:t xml:space="preserve">rtion of </w:t>
      </w:r>
      <w:r w:rsidR="005D44AC">
        <w:t xml:space="preserve">employees in </w:t>
      </w:r>
      <w:r w:rsidRPr="00461A9E">
        <w:t xml:space="preserve">the Environment </w:t>
      </w:r>
      <w:r w:rsidR="00F67FE8">
        <w:t>D</w:t>
      </w:r>
      <w:r w:rsidRPr="00461A9E">
        <w:t>ivision</w:t>
      </w:r>
      <w:r w:rsidR="002804F4">
        <w:t>, while having industry experience,</w:t>
      </w:r>
      <w:r w:rsidRPr="00461A9E">
        <w:t xml:space="preserve"> </w:t>
      </w:r>
      <w:r w:rsidR="004211AB">
        <w:t xml:space="preserve">have </w:t>
      </w:r>
      <w:r w:rsidR="00652EE9">
        <w:t xml:space="preserve">strong </w:t>
      </w:r>
      <w:r w:rsidR="00652EE9" w:rsidRPr="00461A9E">
        <w:t>academic backgrounds</w:t>
      </w:r>
      <w:r w:rsidR="00652EE9">
        <w:t xml:space="preserve"> with </w:t>
      </w:r>
      <w:r w:rsidR="004211AB">
        <w:t>advance</w:t>
      </w:r>
      <w:r w:rsidR="006D7294">
        <w:t>d</w:t>
      </w:r>
      <w:r w:rsidR="004211AB">
        <w:t xml:space="preserve"> academic qualifications</w:t>
      </w:r>
      <w:r w:rsidR="00590736">
        <w:t xml:space="preserve"> </w:t>
      </w:r>
      <w:r w:rsidR="00987B62">
        <w:t>(i.e. Masters</w:t>
      </w:r>
      <w:r w:rsidR="00DD4331">
        <w:t xml:space="preserve"> and P</w:t>
      </w:r>
      <w:r w:rsidR="00B97813">
        <w:t>h</w:t>
      </w:r>
      <w:r w:rsidR="00DD4331">
        <w:t>D)</w:t>
      </w:r>
      <w:r w:rsidR="00F162B2">
        <w:t xml:space="preserve"> in the </w:t>
      </w:r>
      <w:r w:rsidR="00467A45">
        <w:t>Environment</w:t>
      </w:r>
      <w:r w:rsidR="006060E7">
        <w:t xml:space="preserve"> </w:t>
      </w:r>
      <w:r w:rsidR="005D398E">
        <w:t>discipline</w:t>
      </w:r>
      <w:r w:rsidR="00F0442B">
        <w:t>.</w:t>
      </w:r>
      <w:r w:rsidRPr="00461A9E">
        <w:t xml:space="preserve"> </w:t>
      </w:r>
    </w:p>
    <w:p w14:paraId="1F93FEC8" w14:textId="34F6239B" w:rsidR="00461A9E" w:rsidRPr="00461A9E" w:rsidRDefault="00461A9E" w:rsidP="0027287B">
      <w:pPr>
        <w:pStyle w:val="BodyCopyNEW"/>
      </w:pPr>
      <w:r w:rsidRPr="00461A9E">
        <w:lastRenderedPageBreak/>
        <w:t xml:space="preserve">NOPSEMA has low turnover. For instance, approximately 56% of NOPSEMA employees have a tenure </w:t>
      </w:r>
      <w:r w:rsidR="00D07F61">
        <w:t xml:space="preserve">of </w:t>
      </w:r>
      <w:r w:rsidRPr="00461A9E">
        <w:t>greater than 5 years</w:t>
      </w:r>
      <w:r w:rsidR="009413F9" w:rsidRPr="00461A9E">
        <w:rPr>
          <w:vertAlign w:val="superscript"/>
        </w:rPr>
        <w:footnoteReference w:id="29"/>
      </w:r>
      <w:r w:rsidRPr="00461A9E">
        <w:t xml:space="preserve">. This indicates that a portion of </w:t>
      </w:r>
      <w:r w:rsidR="00741028">
        <w:t>personnel</w:t>
      </w:r>
      <w:r w:rsidRPr="00461A9E">
        <w:t xml:space="preserve"> have spent </w:t>
      </w:r>
      <w:r w:rsidR="000A2AED">
        <w:t xml:space="preserve">a </w:t>
      </w:r>
      <w:r w:rsidRPr="00461A9E">
        <w:t xml:space="preserve">significant </w:t>
      </w:r>
      <w:r w:rsidR="007C176E">
        <w:t>period</w:t>
      </w:r>
      <w:r w:rsidR="007C176E" w:rsidRPr="00461A9E">
        <w:t xml:space="preserve"> </w:t>
      </w:r>
      <w:r w:rsidRPr="00461A9E">
        <w:t xml:space="preserve">of time out of operational roles. As such, NOPSEMA need to manage this risk by ensuring its </w:t>
      </w:r>
      <w:r w:rsidR="00741028">
        <w:t>personnel</w:t>
      </w:r>
      <w:r w:rsidRPr="00461A9E">
        <w:t xml:space="preserve"> are exposed to the requisite level of training on better practice to ensure their knowledge and skillset remains current and relevant to the industry they regulate. </w:t>
      </w:r>
    </w:p>
    <w:p w14:paraId="4113BBA0" w14:textId="211284D1" w:rsidR="00986D95" w:rsidRDefault="00986D95" w:rsidP="0027287B">
      <w:pPr>
        <w:pStyle w:val="BodyCopyNEW"/>
      </w:pPr>
      <w:r w:rsidRPr="0052106A">
        <w:t xml:space="preserve">NOPSEMA </w:t>
      </w:r>
      <w:r w:rsidR="00207A96">
        <w:t>has</w:t>
      </w:r>
      <w:r w:rsidRPr="0052106A">
        <w:t xml:space="preserve"> partial alignment to leading practice resourcing </w:t>
      </w:r>
      <w:r w:rsidR="00CA65A9">
        <w:t xml:space="preserve">approaches </w:t>
      </w:r>
      <w:r w:rsidRPr="0052106A">
        <w:t xml:space="preserve">through their alignment to the APS process. The </w:t>
      </w:r>
      <w:r w:rsidRPr="00B17531">
        <w:rPr>
          <w:i/>
          <w:iCs/>
        </w:rPr>
        <w:t>Bersin High Impact Talent Acquisition Framework</w:t>
      </w:r>
      <w:r>
        <w:t xml:space="preserve"> (see</w:t>
      </w:r>
      <w:r w:rsidR="00A22E69">
        <w:rPr>
          <w:b/>
          <w:bCs/>
        </w:rPr>
        <w:t xml:space="preserve"> </w:t>
      </w:r>
      <w:r w:rsidR="00A22E69" w:rsidRPr="00A22E69">
        <w:rPr>
          <w:b/>
          <w:bCs/>
        </w:rPr>
        <w:fldChar w:fldCharType="begin"/>
      </w:r>
      <w:r w:rsidR="00A22E69" w:rsidRPr="00A22E69">
        <w:rPr>
          <w:b/>
          <w:bCs/>
        </w:rPr>
        <w:instrText xml:space="preserve"> REF _Ref58446851 \h  \* MERGEFORMAT </w:instrText>
      </w:r>
      <w:r w:rsidR="00A22E69" w:rsidRPr="00A22E69">
        <w:rPr>
          <w:b/>
          <w:bCs/>
        </w:rPr>
      </w:r>
      <w:r w:rsidR="00A22E69" w:rsidRPr="00A22E69">
        <w:rPr>
          <w:b/>
          <w:bCs/>
        </w:rPr>
        <w:fldChar w:fldCharType="separate"/>
      </w:r>
      <w:r w:rsidR="00E816B8" w:rsidRPr="00E816B8">
        <w:rPr>
          <w:b/>
          <w:bCs/>
        </w:rPr>
        <w:t xml:space="preserve">Figure </w:t>
      </w:r>
      <w:r w:rsidR="00E816B8" w:rsidRPr="00E816B8">
        <w:rPr>
          <w:b/>
          <w:bCs/>
          <w:noProof/>
        </w:rPr>
        <w:t>7.5</w:t>
      </w:r>
      <w:r w:rsidR="00A22E69" w:rsidRPr="00A22E69">
        <w:rPr>
          <w:b/>
          <w:bCs/>
        </w:rPr>
        <w:fldChar w:fldCharType="end"/>
      </w:r>
      <w:r>
        <w:t>)</w:t>
      </w:r>
      <w:r w:rsidRPr="0052106A">
        <w:t xml:space="preserve"> highlights key activities that could be considered to lift the level of impact of the current talent acquisition process, namely proactive sourcing, as outlined within this report, assessment of team fit</w:t>
      </w:r>
      <w:r w:rsidR="00DB026E">
        <w:t>,</w:t>
      </w:r>
      <w:r w:rsidRPr="0052106A">
        <w:t xml:space="preserve"> and alignment</w:t>
      </w:r>
      <w:r w:rsidR="000B2FE8">
        <w:t>,</w:t>
      </w:r>
      <w:r w:rsidRPr="0052106A">
        <w:t xml:space="preserve"> to the required way of working and mindset, and onboarding. A stronger employer brand and definition of the employee value proposition </w:t>
      </w:r>
      <w:r w:rsidR="005A3A33">
        <w:t xml:space="preserve">(potentially linking to </w:t>
      </w:r>
      <w:r w:rsidR="00DC3C65">
        <w:t xml:space="preserve">benefits of working within the APS) </w:t>
      </w:r>
      <w:r w:rsidRPr="0052106A">
        <w:t xml:space="preserve">would support </w:t>
      </w:r>
      <w:r>
        <w:t>NOPSEMA in</w:t>
      </w:r>
      <w:r w:rsidRPr="0052106A">
        <w:t xml:space="preserve"> attracting key talent from industry for key roles, </w:t>
      </w:r>
      <w:r>
        <w:t xml:space="preserve">particularly </w:t>
      </w:r>
      <w:r w:rsidRPr="0052106A">
        <w:t>whe</w:t>
      </w:r>
      <w:r>
        <w:t>re</w:t>
      </w:r>
      <w:r w:rsidRPr="0052106A">
        <w:t xml:space="preserve"> NOPSEMA is unable to compete with market salaries.</w:t>
      </w:r>
    </w:p>
    <w:p w14:paraId="2FECEC12" w14:textId="3F07BDC9" w:rsidR="00A22E69" w:rsidRDefault="00A22E69" w:rsidP="009C6412">
      <w:pPr>
        <w:pStyle w:val="Caption"/>
        <w:keepNext/>
      </w:pPr>
      <w:bookmarkStart w:id="74" w:name="_Ref58446851"/>
      <w:r>
        <w:t xml:space="preserve">Figure </w:t>
      </w:r>
      <w:r w:rsidR="00AD41F8">
        <w:fldChar w:fldCharType="begin"/>
      </w:r>
      <w:r w:rsidR="00AD41F8">
        <w:instrText xml:space="preserve"> STYLEREF 1 \s </w:instrText>
      </w:r>
      <w:r w:rsidR="00AD41F8">
        <w:fldChar w:fldCharType="separate"/>
      </w:r>
      <w:r w:rsidR="00E816B8">
        <w:rPr>
          <w:noProof/>
        </w:rPr>
        <w:t>7</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5</w:t>
      </w:r>
      <w:r w:rsidR="00AD41F8">
        <w:fldChar w:fldCharType="end"/>
      </w:r>
      <w:bookmarkEnd w:id="74"/>
      <w:r>
        <w:t>: Bersin High Impact Talent Acquisition Framework</w:t>
      </w:r>
    </w:p>
    <w:p w14:paraId="6EB7C67B" w14:textId="7291E2CD" w:rsidR="001E2168" w:rsidRPr="001E2168" w:rsidRDefault="001E2168" w:rsidP="001E2168">
      <w:pPr>
        <w:pStyle w:val="BodyCopyNEW"/>
        <w:rPr>
          <w:lang w:eastAsia="en-AU"/>
        </w:rPr>
      </w:pPr>
      <w:r>
        <w:rPr>
          <w:noProof/>
          <w:lang w:eastAsia="en-AU"/>
        </w:rPr>
        <w:drawing>
          <wp:inline distT="0" distB="0" distL="0" distR="0" wp14:anchorId="61B6B587" wp14:editId="28C53D32">
            <wp:extent cx="6263640" cy="3464560"/>
            <wp:effectExtent l="0" t="0" r="3810" b="2540"/>
            <wp:docPr id="55" name="Picture 5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pic:nvPicPr>
                  <pic:blipFill>
                    <a:blip r:embed="rId50">
                      <a:extLst>
                        <a:ext uri="{28A0092B-C50C-407E-A947-70E740481C1C}">
                          <a14:useLocalDpi xmlns:a14="http://schemas.microsoft.com/office/drawing/2010/main"/>
                        </a:ext>
                      </a:extLst>
                    </a:blip>
                    <a:stretch>
                      <a:fillRect/>
                    </a:stretch>
                  </pic:blipFill>
                  <pic:spPr>
                    <a:xfrm>
                      <a:off x="0" y="0"/>
                      <a:ext cx="6263640" cy="3464560"/>
                    </a:xfrm>
                    <a:prstGeom prst="rect">
                      <a:avLst/>
                    </a:prstGeom>
                  </pic:spPr>
                </pic:pic>
              </a:graphicData>
            </a:graphic>
          </wp:inline>
        </w:drawing>
      </w:r>
    </w:p>
    <w:p w14:paraId="70E5F5CD" w14:textId="6E3C9324" w:rsidR="00986D95" w:rsidRPr="00901C7B" w:rsidRDefault="00986D95" w:rsidP="00A067D9">
      <w:pPr>
        <w:pStyle w:val="Caption"/>
        <w:rPr>
          <w:b w:val="0"/>
          <w:bCs/>
          <w:i/>
          <w:iCs w:val="0"/>
          <w:color w:val="75787B" w:themeColor="accent6"/>
        </w:rPr>
      </w:pPr>
      <w:r w:rsidRPr="00901C7B">
        <w:rPr>
          <w:b w:val="0"/>
          <w:bCs/>
          <w:i/>
          <w:iCs w:val="0"/>
          <w:color w:val="75787B" w:themeColor="accent6"/>
        </w:rPr>
        <w:t>Source: Bersin by Deloitte</w:t>
      </w:r>
    </w:p>
    <w:p w14:paraId="7A992C60" w14:textId="5014CCBC" w:rsidR="00551D3F" w:rsidRPr="00275874" w:rsidRDefault="00551D3F" w:rsidP="0027287B">
      <w:pPr>
        <w:pStyle w:val="BodyCopyNEW"/>
      </w:pPr>
      <w:r w:rsidRPr="00E94BB2">
        <w:t>NOPSEMA indicated that they currently use their Technolo</w:t>
      </w:r>
      <w:r w:rsidR="00D317C9">
        <w:t>g</w:t>
      </w:r>
      <w:r w:rsidRPr="00E94BB2">
        <w:t xml:space="preserve">yOne Finance system to manage their employee data which does not appear to limit their ability to manage talent. A </w:t>
      </w:r>
      <w:r w:rsidR="00D317C9">
        <w:t>Human Resources Management System (</w:t>
      </w:r>
      <w:r w:rsidRPr="00E94BB2">
        <w:rPr>
          <w:b/>
        </w:rPr>
        <w:t>HRM</w:t>
      </w:r>
      <w:r w:rsidR="00DB2C67" w:rsidRPr="00DB2C67">
        <w:rPr>
          <w:b/>
          <w:bCs/>
        </w:rPr>
        <w:t>S</w:t>
      </w:r>
      <w:r w:rsidR="00DB2C67">
        <w:t>)</w:t>
      </w:r>
      <w:r w:rsidRPr="00E94BB2">
        <w:t xml:space="preserve"> may support better management of </w:t>
      </w:r>
      <w:r w:rsidR="00DB2C67">
        <w:t>human resources</w:t>
      </w:r>
      <w:r w:rsidRPr="00E94BB2">
        <w:t xml:space="preserve"> data over</w:t>
      </w:r>
      <w:r w:rsidR="00F06F4F">
        <w:t xml:space="preserve"> </w:t>
      </w:r>
      <w:r w:rsidRPr="00E94BB2">
        <w:t xml:space="preserve">time, enabling trend analysis for activities such as strategic workforce planning and reducing </w:t>
      </w:r>
      <w:r w:rsidR="00DB2C67">
        <w:t>human resources</w:t>
      </w:r>
      <w:r w:rsidRPr="00E94BB2">
        <w:t xml:space="preserve"> administration in maintaining manual</w:t>
      </w:r>
      <w:r w:rsidR="0000228E">
        <w:t xml:space="preserve"> and</w:t>
      </w:r>
      <w:r w:rsidRPr="00E94BB2">
        <w:t xml:space="preserve"> discrete records. The investment in a HRMS needs to be considered alongside the overall maturity of </w:t>
      </w:r>
      <w:r w:rsidR="00DB2C67">
        <w:t>NOPSEMA’s human resources</w:t>
      </w:r>
      <w:r w:rsidRPr="00E94BB2">
        <w:t xml:space="preserve"> function and services required by </w:t>
      </w:r>
      <w:r w:rsidR="00DB2C67">
        <w:t>NOPSEMA</w:t>
      </w:r>
      <w:r w:rsidRPr="00E94BB2">
        <w:t>.</w:t>
      </w:r>
      <w:r w:rsidR="0000228E">
        <w:t xml:space="preserve"> We do not consider this an opportunity for further exploration at this point in time, but the requirement for an HRMS should be monitored by NOPSEMA management.</w:t>
      </w:r>
    </w:p>
    <w:p w14:paraId="0BA21221" w14:textId="77777777" w:rsidR="00461A9E" w:rsidRPr="00461A9E" w:rsidRDefault="00461A9E" w:rsidP="0027287B">
      <w:pPr>
        <w:pStyle w:val="Heading3"/>
      </w:pPr>
      <w:r w:rsidRPr="00461A9E">
        <w:t>Stakeholder perceptions</w:t>
      </w:r>
    </w:p>
    <w:p w14:paraId="639E3CCD" w14:textId="75DEA480" w:rsidR="00461A9E" w:rsidRPr="00461A9E" w:rsidRDefault="00461A9E" w:rsidP="0027287B">
      <w:pPr>
        <w:pStyle w:val="Heading3NoNumber"/>
      </w:pPr>
      <w:r w:rsidRPr="00461A9E">
        <w:t xml:space="preserve">The technical capabilities of NOPSEMA’s </w:t>
      </w:r>
      <w:r w:rsidR="00741028">
        <w:t>personnel</w:t>
      </w:r>
      <w:r w:rsidRPr="00461A9E">
        <w:t xml:space="preserve"> are generally viewed positively by stakeholders</w:t>
      </w:r>
    </w:p>
    <w:p w14:paraId="488F62E2" w14:textId="71A089A1" w:rsidR="00461A9E" w:rsidRPr="00461A9E" w:rsidRDefault="00461A9E" w:rsidP="0027287B">
      <w:pPr>
        <w:pStyle w:val="BodyCopyNEW"/>
      </w:pPr>
      <w:r w:rsidRPr="00461A9E">
        <w:t>Stakeholders had generally favourable perceptions of NOPSEMA’s technical capability. Through our consultations, many stakeholders noted the technical expertise of NOPSEMA was a key strength of the organisation, particularly when inspectors and assessors came from an industry background. Referring to</w:t>
      </w:r>
      <w:r w:rsidR="002C11A5">
        <w:t xml:space="preserve"> </w:t>
      </w:r>
      <w:r w:rsidR="002C11A5" w:rsidRPr="002C11A5">
        <w:rPr>
          <w:b/>
          <w:bCs/>
        </w:rPr>
        <w:fldChar w:fldCharType="begin"/>
      </w:r>
      <w:r w:rsidR="002C11A5" w:rsidRPr="002C11A5">
        <w:rPr>
          <w:b/>
          <w:bCs/>
        </w:rPr>
        <w:instrText xml:space="preserve"> REF _Ref58446918 \h </w:instrText>
      </w:r>
      <w:r w:rsidR="002C11A5">
        <w:rPr>
          <w:b/>
          <w:bCs/>
        </w:rPr>
        <w:instrText xml:space="preserve"> \* MERGEFORMAT </w:instrText>
      </w:r>
      <w:r w:rsidR="002C11A5" w:rsidRPr="002C11A5">
        <w:rPr>
          <w:b/>
          <w:bCs/>
        </w:rPr>
      </w:r>
      <w:r w:rsidR="002C11A5" w:rsidRPr="002C11A5">
        <w:rPr>
          <w:b/>
          <w:bCs/>
        </w:rPr>
        <w:fldChar w:fldCharType="separate"/>
      </w:r>
      <w:r w:rsidR="00E816B8" w:rsidRPr="00E816B8">
        <w:rPr>
          <w:b/>
          <w:bCs/>
        </w:rPr>
        <w:t xml:space="preserve">Figure </w:t>
      </w:r>
      <w:r w:rsidR="00E816B8" w:rsidRPr="00E816B8">
        <w:rPr>
          <w:b/>
          <w:bCs/>
          <w:noProof/>
        </w:rPr>
        <w:t>7.6</w:t>
      </w:r>
      <w:r w:rsidR="002C11A5" w:rsidRPr="002C11A5">
        <w:rPr>
          <w:b/>
          <w:bCs/>
        </w:rPr>
        <w:fldChar w:fldCharType="end"/>
      </w:r>
      <w:r w:rsidR="002C11A5">
        <w:t xml:space="preserve"> </w:t>
      </w:r>
      <w:r w:rsidRPr="00461A9E">
        <w:t>below:</w:t>
      </w:r>
    </w:p>
    <w:p w14:paraId="3FD14CD9" w14:textId="77777777" w:rsidR="00461A9E" w:rsidRPr="00461A9E" w:rsidRDefault="00461A9E" w:rsidP="000C1F53">
      <w:pPr>
        <w:pStyle w:val="BodycopyNEW0"/>
        <w:numPr>
          <w:ilvl w:val="0"/>
          <w:numId w:val="23"/>
        </w:numPr>
        <w:ind w:left="378"/>
      </w:pPr>
      <w:r w:rsidRPr="00461A9E">
        <w:t>Reviews of WOMPs were perceived as a relative strength, with 75% of stakeholders surveyed responding that they ‘strongly agreed’ or ‘agreed’ with this question</w:t>
      </w:r>
    </w:p>
    <w:p w14:paraId="5B7DE504" w14:textId="77777777" w:rsidR="00461A9E" w:rsidRPr="00461A9E" w:rsidRDefault="00461A9E" w:rsidP="000C1F53">
      <w:pPr>
        <w:pStyle w:val="BodycopyNEW0"/>
        <w:numPr>
          <w:ilvl w:val="0"/>
          <w:numId w:val="23"/>
        </w:numPr>
        <w:ind w:left="378"/>
      </w:pPr>
      <w:r w:rsidRPr="00461A9E">
        <w:lastRenderedPageBreak/>
        <w:t>Conversely, only 35% of stakeholders selected ‘strongly agreed’ or ‘agreed’ responses to satisfaction with NOPSEMA’s technical capabilities in relation to enforcement activities (e.g. acting on breaches)</w:t>
      </w:r>
    </w:p>
    <w:p w14:paraId="07C7AF89" w14:textId="5884714C" w:rsidR="00461A9E" w:rsidRPr="00461A9E" w:rsidRDefault="00461A9E" w:rsidP="000C1F53">
      <w:pPr>
        <w:pStyle w:val="BodycopyNEW0"/>
        <w:numPr>
          <w:ilvl w:val="0"/>
          <w:numId w:val="23"/>
        </w:numPr>
        <w:ind w:left="378"/>
      </w:pPr>
      <w:r w:rsidRPr="00461A9E">
        <w:t xml:space="preserve">The remaining questions had generally favourable responses from stakeholders, with </w:t>
      </w:r>
      <w:r w:rsidR="004D0658">
        <w:t>the proportion</w:t>
      </w:r>
      <w:r w:rsidR="000D1A26">
        <w:t xml:space="preserve"> of </w:t>
      </w:r>
      <w:r w:rsidRPr="00461A9E">
        <w:t xml:space="preserve">‘strongly agree’ and ‘agree responses ranging between 54% to 61% of all responses. </w:t>
      </w:r>
    </w:p>
    <w:p w14:paraId="12A5CF86" w14:textId="4770E695" w:rsidR="00461A9E" w:rsidRDefault="00461A9E" w:rsidP="0027287B">
      <w:pPr>
        <w:pStyle w:val="BodyCopyNEW"/>
      </w:pPr>
      <w:r w:rsidRPr="00461A9E">
        <w:t xml:space="preserve">Stakeholders raised </w:t>
      </w:r>
      <w:r w:rsidR="00EB2B03">
        <w:t>a concern</w:t>
      </w:r>
      <w:r w:rsidRPr="00461A9E">
        <w:t xml:space="preserve"> regarding a perceived </w:t>
      </w:r>
      <w:r w:rsidR="000E0D73">
        <w:t>‘</w:t>
      </w:r>
      <w:r w:rsidRPr="00461A9E">
        <w:t>shortage</w:t>
      </w:r>
      <w:r w:rsidR="000E0D73">
        <w:t>’</w:t>
      </w:r>
      <w:r w:rsidRPr="00461A9E">
        <w:t xml:space="preserve"> of </w:t>
      </w:r>
      <w:r w:rsidR="00741028">
        <w:t>personnel</w:t>
      </w:r>
      <w:r w:rsidRPr="00461A9E">
        <w:t xml:space="preserve"> in the Environment Division with applied industry experience, with many having </w:t>
      </w:r>
      <w:r w:rsidR="00EB2B03">
        <w:t xml:space="preserve">personnel noted to have instead </w:t>
      </w:r>
      <w:r w:rsidRPr="00461A9E">
        <w:t xml:space="preserve">come from </w:t>
      </w:r>
      <w:r w:rsidR="00EB2B03">
        <w:t xml:space="preserve">an </w:t>
      </w:r>
      <w:r w:rsidRPr="00461A9E">
        <w:t>academic background.</w:t>
      </w:r>
      <w:r w:rsidR="00D41D1A">
        <w:t xml:space="preserve"> Given the subject matter of environment-related assessments, a balance must be </w:t>
      </w:r>
      <w:r w:rsidR="00A47B13">
        <w:t xml:space="preserve">achieved </w:t>
      </w:r>
      <w:r w:rsidR="00D41D1A">
        <w:t xml:space="preserve">between applied and academic </w:t>
      </w:r>
      <w:r w:rsidR="00AA4BE8">
        <w:t>experience</w:t>
      </w:r>
      <w:r w:rsidR="00D41D1A">
        <w:t>.</w:t>
      </w:r>
    </w:p>
    <w:p w14:paraId="1389B303" w14:textId="1622266A" w:rsidR="008C2A6E" w:rsidRDefault="008C2A6E" w:rsidP="0027287B">
      <w:pPr>
        <w:pStyle w:val="BodyCopyNEW"/>
      </w:pPr>
      <w:r>
        <w:t xml:space="preserve">Furthermore, it was observed by some stakeholders that, while stakeholder engagement capabilities are </w:t>
      </w:r>
      <w:r w:rsidR="00085ADC">
        <w:t>strong</w:t>
      </w:r>
      <w:r>
        <w:t xml:space="preserve"> at an executive level with</w:t>
      </w:r>
      <w:r w:rsidR="00837410">
        <w:t xml:space="preserve">in NOPSEMA, </w:t>
      </w:r>
      <w:r w:rsidR="00804249">
        <w:t xml:space="preserve">there is an opportunity to improve the stakeholder engagement of </w:t>
      </w:r>
      <w:r w:rsidR="00675993">
        <w:t>managers</w:t>
      </w:r>
      <w:r w:rsidR="00A83E5D">
        <w:t>, assessors, and inspectors.</w:t>
      </w:r>
    </w:p>
    <w:p w14:paraId="37286722" w14:textId="63367865" w:rsidR="00A22E69" w:rsidRPr="00461A9E" w:rsidRDefault="002C11A5" w:rsidP="009C6412">
      <w:pPr>
        <w:pStyle w:val="Caption"/>
        <w:keepNext/>
      </w:pPr>
      <w:bookmarkStart w:id="75" w:name="_Ref58446918"/>
      <w:r>
        <w:t xml:space="preserve">Figure </w:t>
      </w:r>
      <w:r w:rsidR="00AD41F8">
        <w:fldChar w:fldCharType="begin"/>
      </w:r>
      <w:r w:rsidR="00AD41F8">
        <w:instrText xml:space="preserve"> STYLEREF 1 \s </w:instrText>
      </w:r>
      <w:r w:rsidR="00AD41F8">
        <w:fldChar w:fldCharType="separate"/>
      </w:r>
      <w:r w:rsidR="00E816B8">
        <w:rPr>
          <w:noProof/>
        </w:rPr>
        <w:t>7</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6</w:t>
      </w:r>
      <w:r w:rsidR="00AD41F8">
        <w:fldChar w:fldCharType="end"/>
      </w:r>
      <w:bookmarkEnd w:id="75"/>
      <w:r>
        <w:t>: Survey responses to NOPSEMA personnel technical capabilities</w:t>
      </w:r>
    </w:p>
    <w:p w14:paraId="19C2ECC3" w14:textId="77777777" w:rsidR="00FB6793" w:rsidRDefault="00461A9E" w:rsidP="00A067D9">
      <w:pPr>
        <w:pStyle w:val="Caption"/>
      </w:pPr>
      <w:r w:rsidRPr="00461A9E">
        <w:rPr>
          <w:noProof/>
          <w:lang w:eastAsia="en-AU"/>
        </w:rPr>
        <w:drawing>
          <wp:inline distT="0" distB="0" distL="0" distR="0" wp14:anchorId="07A51430" wp14:editId="56893147">
            <wp:extent cx="6332220" cy="3876675"/>
            <wp:effectExtent l="0" t="0" r="11430" b="9525"/>
            <wp:docPr id="1347981896" name="Chart 13479818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CE2AD4E-BD50-401B-B469-0606F45414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1F6077B" w14:textId="6601BC3F" w:rsidR="00461A9E" w:rsidRPr="00901C7B" w:rsidRDefault="00461A9E" w:rsidP="00A067D9">
      <w:pPr>
        <w:pStyle w:val="Caption"/>
        <w:rPr>
          <w:b w:val="0"/>
          <w:bCs/>
          <w:i/>
          <w:iCs w:val="0"/>
          <w:color w:val="75787B" w:themeColor="accent6"/>
        </w:rPr>
      </w:pPr>
      <w:r w:rsidRPr="00901C7B">
        <w:rPr>
          <w:b w:val="0"/>
          <w:bCs/>
          <w:i/>
          <w:iCs w:val="0"/>
          <w:color w:val="75787B" w:themeColor="accent6"/>
        </w:rPr>
        <w:t>Source: Deloitte Stakeholder Survey, Deloitte analysis</w:t>
      </w:r>
    </w:p>
    <w:p w14:paraId="6689CE6D" w14:textId="0FEFE388" w:rsidR="00461A9E" w:rsidRPr="00461A9E" w:rsidRDefault="00461A9E" w:rsidP="0027287B">
      <w:pPr>
        <w:pStyle w:val="Heading3"/>
      </w:pPr>
      <w:r w:rsidRPr="00461A9E">
        <w:t xml:space="preserve">Future capability requirements: NOPSEMA strategic workforce planning </w:t>
      </w:r>
    </w:p>
    <w:p w14:paraId="4FC11625" w14:textId="77777777" w:rsidR="00461A9E" w:rsidRPr="00461A9E" w:rsidRDefault="00461A9E" w:rsidP="0027287B">
      <w:pPr>
        <w:pStyle w:val="Heading3NoNumber"/>
      </w:pPr>
      <w:r w:rsidRPr="00461A9E">
        <w:t>There are a number of emerging capability gaps that NOPSEMA will need to address</w:t>
      </w:r>
    </w:p>
    <w:p w14:paraId="3D7B6E85" w14:textId="5E0F5C6C" w:rsidR="00461A9E" w:rsidRPr="00461A9E" w:rsidRDefault="00461A9E" w:rsidP="0027287B">
      <w:pPr>
        <w:pStyle w:val="BodyCopyNEW"/>
      </w:pPr>
      <w:r w:rsidRPr="00461A9E">
        <w:t xml:space="preserve">The industry is at a critical juncture with a number of changes expected to materialise over the next decade. As such, NOPSEMA’s capabilities will need to adjust to respond to these changes. Positively, we have </w:t>
      </w:r>
      <w:r w:rsidR="005374EA">
        <w:t>observed</w:t>
      </w:r>
      <w:r w:rsidRPr="00461A9E">
        <w:t xml:space="preserve"> that </w:t>
      </w:r>
      <w:r w:rsidR="00327ACB">
        <w:t>NOPSEMA has</w:t>
      </w:r>
      <w:r w:rsidRPr="00461A9E">
        <w:t xml:space="preserve"> identified several of these key industry shifts and are considering their associated impact on its </w:t>
      </w:r>
      <w:r w:rsidR="00C2770D">
        <w:t xml:space="preserve">requisite </w:t>
      </w:r>
      <w:r w:rsidRPr="00461A9E">
        <w:t xml:space="preserve">capability mix. For example, </w:t>
      </w:r>
      <w:r w:rsidR="00E15B35">
        <w:t>previous</w:t>
      </w:r>
      <w:r w:rsidRPr="00461A9E">
        <w:t xml:space="preserve"> Strategic Workforce Planning Workshop</w:t>
      </w:r>
      <w:r w:rsidR="009E3956">
        <w:t>s have</w:t>
      </w:r>
      <w:r w:rsidRPr="00461A9E">
        <w:t xml:space="preserve"> identified</w:t>
      </w:r>
      <w:r w:rsidR="00C2770D">
        <w:t>, among other matters,</w:t>
      </w:r>
      <w:r w:rsidRPr="00461A9E">
        <w:t xml:space="preserve"> the following emerging issues:</w:t>
      </w:r>
    </w:p>
    <w:p w14:paraId="434BBF6E" w14:textId="77777777" w:rsidR="00461A9E" w:rsidRPr="00461A9E" w:rsidRDefault="00461A9E" w:rsidP="000C1F53">
      <w:pPr>
        <w:pStyle w:val="BodycopyNEW0"/>
        <w:numPr>
          <w:ilvl w:val="0"/>
          <w:numId w:val="23"/>
        </w:numPr>
        <w:ind w:left="378"/>
      </w:pPr>
      <w:r w:rsidRPr="00461A9E">
        <w:t>Management of late life assets and decommissioning</w:t>
      </w:r>
    </w:p>
    <w:p w14:paraId="4BFBB401" w14:textId="55AC7406" w:rsidR="00461A9E" w:rsidRPr="00461A9E" w:rsidRDefault="00E15B35" w:rsidP="000C1F53">
      <w:pPr>
        <w:pStyle w:val="BodycopyNEW0"/>
        <w:numPr>
          <w:ilvl w:val="0"/>
          <w:numId w:val="23"/>
        </w:numPr>
        <w:ind w:left="378"/>
      </w:pPr>
      <w:r>
        <w:t>A potential</w:t>
      </w:r>
      <w:r w:rsidR="00461A9E" w:rsidRPr="00461A9E">
        <w:t xml:space="preserve"> expansion of NOPSEMA’s regulatory remit to include offshore renewables</w:t>
      </w:r>
      <w:r>
        <w:t xml:space="preserve"> pending formal agreement by the Government</w:t>
      </w:r>
    </w:p>
    <w:p w14:paraId="12356A6D" w14:textId="77777777" w:rsidR="00461A9E" w:rsidRPr="00461A9E" w:rsidRDefault="00461A9E" w:rsidP="000C1F53">
      <w:pPr>
        <w:pStyle w:val="BodycopyNEW0"/>
        <w:numPr>
          <w:ilvl w:val="0"/>
          <w:numId w:val="23"/>
        </w:numPr>
        <w:ind w:left="378"/>
      </w:pPr>
      <w:r w:rsidRPr="00461A9E">
        <w:t>Opportunities to better utilise more advanced technologies.</w:t>
      </w:r>
    </w:p>
    <w:p w14:paraId="264085D5" w14:textId="2C3BD325" w:rsidR="00461A9E" w:rsidRPr="00461A9E" w:rsidRDefault="00461A9E" w:rsidP="0027287B">
      <w:pPr>
        <w:pStyle w:val="BodyCopyNEW"/>
      </w:pPr>
      <w:r w:rsidRPr="00461A9E">
        <w:t xml:space="preserve">We discuss the strategic implications of </w:t>
      </w:r>
      <w:r w:rsidRPr="00F06284">
        <w:t xml:space="preserve">these in </w:t>
      </w:r>
      <w:r w:rsidRPr="00F06284">
        <w:rPr>
          <w:b/>
        </w:rPr>
        <w:t xml:space="preserve">Section </w:t>
      </w:r>
      <w:r w:rsidR="001B673E">
        <w:rPr>
          <w:b/>
          <w:bCs/>
        </w:rPr>
        <w:fldChar w:fldCharType="begin"/>
      </w:r>
      <w:r w:rsidR="001B673E">
        <w:rPr>
          <w:b/>
        </w:rPr>
        <w:instrText xml:space="preserve"> REF _Ref63975462 \r \h </w:instrText>
      </w:r>
      <w:r w:rsidR="001B673E">
        <w:rPr>
          <w:b/>
          <w:bCs/>
        </w:rPr>
      </w:r>
      <w:r w:rsidR="001B673E">
        <w:rPr>
          <w:b/>
          <w:bCs/>
        </w:rPr>
        <w:fldChar w:fldCharType="separate"/>
      </w:r>
      <w:r w:rsidR="00E816B8">
        <w:rPr>
          <w:b/>
        </w:rPr>
        <w:t>12</w:t>
      </w:r>
      <w:r w:rsidR="001B673E">
        <w:rPr>
          <w:b/>
          <w:bCs/>
        </w:rPr>
        <w:fldChar w:fldCharType="end"/>
      </w:r>
      <w:r w:rsidRPr="00F06284">
        <w:t xml:space="preserve"> and</w:t>
      </w:r>
      <w:r w:rsidRPr="00461A9E">
        <w:t xml:space="preserve"> limit the present discussion to examining capability implications of these issues.</w:t>
      </w:r>
    </w:p>
    <w:p w14:paraId="145AF2A1" w14:textId="00851A7B" w:rsidR="00461A9E" w:rsidRPr="00461A9E" w:rsidRDefault="00461A9E" w:rsidP="0027287B">
      <w:pPr>
        <w:pStyle w:val="BodyCopyNEW"/>
      </w:pPr>
      <w:r w:rsidRPr="00461A9E">
        <w:lastRenderedPageBreak/>
        <w:t xml:space="preserve">There are challenges with anticipating likely capability needs due to the volatility of external influences on the industry and uncertainty over timeframes for emergent issues to materialise. To address short-term emergent capability gaps, NOPSEMA </w:t>
      </w:r>
      <w:r w:rsidR="002524DB">
        <w:t>makes</w:t>
      </w:r>
      <w:r w:rsidRPr="00461A9E">
        <w:t xml:space="preserve"> use of non-ongoing contracts and consultants to source capability. We </w:t>
      </w:r>
      <w:r w:rsidR="004C0497">
        <w:t>find</w:t>
      </w:r>
      <w:r w:rsidR="004C0497" w:rsidRPr="00461A9E">
        <w:t xml:space="preserve"> </w:t>
      </w:r>
      <w:r w:rsidRPr="00461A9E">
        <w:t>this align</w:t>
      </w:r>
      <w:r w:rsidR="004C0497">
        <w:t>s</w:t>
      </w:r>
      <w:r w:rsidRPr="00461A9E">
        <w:t xml:space="preserve"> to better practice talent management approaches that encourage flexible </w:t>
      </w:r>
      <w:r w:rsidR="00E731D0">
        <w:t>methods</w:t>
      </w:r>
      <w:r w:rsidR="00E731D0" w:rsidRPr="00461A9E">
        <w:t xml:space="preserve"> </w:t>
      </w:r>
      <w:r w:rsidRPr="00461A9E">
        <w:t xml:space="preserve">to resourcing. There </w:t>
      </w:r>
      <w:r w:rsidR="00AB5534">
        <w:t>will be</w:t>
      </w:r>
      <w:r w:rsidRPr="00461A9E">
        <w:t xml:space="preserve"> additional opportunities for NOPSEMA to </w:t>
      </w:r>
      <w:r w:rsidR="002524DB">
        <w:t>make use of</w:t>
      </w:r>
      <w:r w:rsidR="002524DB" w:rsidRPr="00461A9E">
        <w:t xml:space="preserve"> </w:t>
      </w:r>
      <w:r w:rsidRPr="00461A9E">
        <w:t xml:space="preserve">consultant resourcing for targeted scopes of work where there is scarcity in </w:t>
      </w:r>
      <w:r w:rsidR="002524DB">
        <w:t>talent supply</w:t>
      </w:r>
      <w:r w:rsidRPr="00461A9E">
        <w:t xml:space="preserve">. </w:t>
      </w:r>
    </w:p>
    <w:p w14:paraId="001AD173" w14:textId="77777777" w:rsidR="00461A9E" w:rsidRPr="00461A9E" w:rsidRDefault="00461A9E" w:rsidP="0027287B">
      <w:pPr>
        <w:pStyle w:val="Heading4"/>
      </w:pPr>
      <w:r w:rsidRPr="00461A9E">
        <w:t>Commercial and financial capability</w:t>
      </w:r>
    </w:p>
    <w:p w14:paraId="249BE2F9" w14:textId="035A9B6C" w:rsidR="00277BA6" w:rsidRDefault="00277BA6" w:rsidP="0027287B">
      <w:pPr>
        <w:pStyle w:val="BodyCopyNEW"/>
      </w:pPr>
      <w:r w:rsidRPr="00277BA6">
        <w:t>The OPGGS Act imposes a duty on all titleholders to maintain sufficient financial assurance when undertaking petroleum activities, this is a prior condition to acceptance of an EP. As the industry matures, compliance with this duty will come into focus for government, the regulator, industry</w:t>
      </w:r>
      <w:r w:rsidR="002E1FBE">
        <w:t>,</w:t>
      </w:r>
      <w:r w:rsidRPr="00277BA6">
        <w:t xml:space="preserve"> and the community more broadly.</w:t>
      </w:r>
    </w:p>
    <w:p w14:paraId="36DF9A62" w14:textId="4EC961DD" w:rsidR="00461A9E" w:rsidRPr="00461A9E" w:rsidRDefault="00461A9E" w:rsidP="0027287B">
      <w:pPr>
        <w:pStyle w:val="BodyCopyNEW"/>
      </w:pPr>
      <w:r w:rsidRPr="00461A9E">
        <w:t xml:space="preserve">Practically, this means </w:t>
      </w:r>
      <w:r w:rsidR="00F6322D">
        <w:t xml:space="preserve">NOPSEMA will </w:t>
      </w:r>
      <w:r w:rsidR="00CA3A55">
        <w:t xml:space="preserve">need to continue </w:t>
      </w:r>
      <w:r w:rsidR="00E6510A">
        <w:t xml:space="preserve">to have </w:t>
      </w:r>
      <w:r w:rsidR="00F6322D">
        <w:t xml:space="preserve">enhanced capabilities in commercial and financial matters. </w:t>
      </w:r>
      <w:r w:rsidR="00945495">
        <w:t>Specifically, NOPSEMA will</w:t>
      </w:r>
      <w:r w:rsidR="00115396">
        <w:t xml:space="preserve"> need</w:t>
      </w:r>
      <w:r w:rsidRPr="00461A9E">
        <w:t xml:space="preserve"> </w:t>
      </w:r>
      <w:r w:rsidR="006B54A9">
        <w:t xml:space="preserve">to </w:t>
      </w:r>
      <w:r w:rsidR="00115396">
        <w:t>re</w:t>
      </w:r>
      <w:r w:rsidR="006B54A9">
        <w:t xml:space="preserve">tain </w:t>
      </w:r>
      <w:r w:rsidRPr="00461A9E">
        <w:t>individual</w:t>
      </w:r>
      <w:r w:rsidR="00C2770D">
        <w:t>(</w:t>
      </w:r>
      <w:r w:rsidRPr="00461A9E">
        <w:t>s</w:t>
      </w:r>
      <w:r w:rsidR="00C2770D">
        <w:t>)</w:t>
      </w:r>
      <w:r w:rsidRPr="00461A9E">
        <w:t xml:space="preserve"> with experience in:</w:t>
      </w:r>
    </w:p>
    <w:p w14:paraId="709EB0D6" w14:textId="27A0DF7D" w:rsidR="00115396" w:rsidRPr="00461A9E" w:rsidRDefault="00461A9E" w:rsidP="000C1F53">
      <w:pPr>
        <w:pStyle w:val="BodycopyNEW0"/>
        <w:numPr>
          <w:ilvl w:val="0"/>
          <w:numId w:val="23"/>
        </w:numPr>
        <w:ind w:left="378"/>
      </w:pPr>
      <w:r w:rsidRPr="00461A9E">
        <w:t>Capital asset finance experience in offshore petroleum</w:t>
      </w:r>
      <w:r w:rsidR="00115396">
        <w:t>, including c</w:t>
      </w:r>
      <w:r w:rsidR="00115396" w:rsidRPr="00461A9E">
        <w:t>apital asset project decommissioning</w:t>
      </w:r>
      <w:r w:rsidR="00115396">
        <w:t xml:space="preserve"> (desirable to have a working knowledge of decommissioning and provisioning for decommissioning activities)</w:t>
      </w:r>
    </w:p>
    <w:p w14:paraId="187A6976" w14:textId="56F0DB06" w:rsidR="00461A9E" w:rsidRPr="00461A9E" w:rsidRDefault="00461A9E" w:rsidP="000C1F53">
      <w:pPr>
        <w:pStyle w:val="BodycopyNEW0"/>
        <w:numPr>
          <w:ilvl w:val="0"/>
          <w:numId w:val="23"/>
        </w:numPr>
        <w:ind w:left="378"/>
      </w:pPr>
      <w:r w:rsidRPr="00461A9E">
        <w:t>Extensive experience developing complex financial models</w:t>
      </w:r>
      <w:r w:rsidR="008F3204">
        <w:t xml:space="preserve"> and scenario planning</w:t>
      </w:r>
    </w:p>
    <w:p w14:paraId="2B2C955B" w14:textId="332E36C9" w:rsidR="00461A9E" w:rsidRPr="00461A9E" w:rsidRDefault="00461A9E" w:rsidP="000C1F53">
      <w:pPr>
        <w:pStyle w:val="BodycopyNEW0"/>
        <w:numPr>
          <w:ilvl w:val="0"/>
          <w:numId w:val="23"/>
        </w:numPr>
        <w:ind w:left="378"/>
      </w:pPr>
      <w:r w:rsidRPr="00461A9E">
        <w:t xml:space="preserve">Experience assessing </w:t>
      </w:r>
      <w:r w:rsidR="007C116F">
        <w:t>in</w:t>
      </w:r>
      <w:r w:rsidRPr="00461A9E">
        <w:t xml:space="preserve"> financial capacity and </w:t>
      </w:r>
      <w:r w:rsidR="003F2E2A">
        <w:t xml:space="preserve">project </w:t>
      </w:r>
      <w:r w:rsidRPr="00461A9E">
        <w:t>financing (e.g. debt and equity financing)</w:t>
      </w:r>
    </w:p>
    <w:p w14:paraId="686A9474" w14:textId="77777777" w:rsidR="00461A9E" w:rsidRPr="00461A9E" w:rsidRDefault="00461A9E" w:rsidP="000C1F53">
      <w:pPr>
        <w:pStyle w:val="BodycopyNEW0"/>
        <w:numPr>
          <w:ilvl w:val="0"/>
          <w:numId w:val="23"/>
        </w:numPr>
        <w:ind w:left="378"/>
      </w:pPr>
      <w:r w:rsidRPr="00461A9E">
        <w:t xml:space="preserve">General accountancy skills (CA or CFA equivalent) </w:t>
      </w:r>
    </w:p>
    <w:p w14:paraId="0E0F363D" w14:textId="77777777" w:rsidR="00461A9E" w:rsidRPr="00461A9E" w:rsidRDefault="00461A9E" w:rsidP="000C1F53">
      <w:pPr>
        <w:pStyle w:val="BodycopyNEW0"/>
        <w:numPr>
          <w:ilvl w:val="0"/>
          <w:numId w:val="23"/>
        </w:numPr>
        <w:ind w:left="378"/>
      </w:pPr>
      <w:r w:rsidRPr="00461A9E">
        <w:t>Transaction or due diligence experience (desirable but not essential).</w:t>
      </w:r>
    </w:p>
    <w:p w14:paraId="78A0878A" w14:textId="77777777" w:rsidR="00461A9E" w:rsidRPr="00461A9E" w:rsidRDefault="00461A9E" w:rsidP="0027287B">
      <w:pPr>
        <w:pStyle w:val="Heading4"/>
      </w:pPr>
      <w:r w:rsidRPr="00461A9E">
        <w:t>Decommissioning capability</w:t>
      </w:r>
    </w:p>
    <w:p w14:paraId="417CC0FA" w14:textId="3DB23E52" w:rsidR="00461A9E" w:rsidRPr="00D12861" w:rsidRDefault="00461A9E" w:rsidP="0027287B">
      <w:pPr>
        <w:pStyle w:val="BodyCopyNEW"/>
      </w:pPr>
      <w:r w:rsidRPr="00461A9E">
        <w:t xml:space="preserve">In addition to </w:t>
      </w:r>
      <w:r w:rsidR="001B5645">
        <w:t xml:space="preserve">continuing to </w:t>
      </w:r>
      <w:r w:rsidR="001B5645" w:rsidRPr="00461A9E">
        <w:t>develop</w:t>
      </w:r>
      <w:r w:rsidRPr="00461A9E">
        <w:t xml:space="preserve"> </w:t>
      </w:r>
      <w:r w:rsidR="00115396">
        <w:t xml:space="preserve">the </w:t>
      </w:r>
      <w:r w:rsidRPr="00461A9E">
        <w:t>commercial</w:t>
      </w:r>
      <w:r w:rsidR="00115396">
        <w:t xml:space="preserve"> and </w:t>
      </w:r>
      <w:r w:rsidRPr="00461A9E">
        <w:t>financial capabilities</w:t>
      </w:r>
      <w:r w:rsidR="00115396">
        <w:t xml:space="preserve"> noted above,</w:t>
      </w:r>
      <w:r w:rsidRPr="00461A9E">
        <w:t xml:space="preserve"> NOPSEMA will need to develop further specialist capability in decommissioning</w:t>
      </w:r>
      <w:r w:rsidR="00503FBF">
        <w:t xml:space="preserve"> </w:t>
      </w:r>
      <w:r w:rsidR="00503FBF" w:rsidRPr="00407F7B">
        <w:t xml:space="preserve">(e.g. engineering, </w:t>
      </w:r>
      <w:r w:rsidR="000C1C4E" w:rsidRPr="00407F7B">
        <w:t>service company</w:t>
      </w:r>
      <w:r w:rsidR="002F263E" w:rsidRPr="00407F7B">
        <w:t xml:space="preserve"> and supply chain management for </w:t>
      </w:r>
      <w:r w:rsidR="00401B05" w:rsidRPr="00407F7B">
        <w:t xml:space="preserve">the decommissioning phase, </w:t>
      </w:r>
      <w:r w:rsidR="00CB51D1" w:rsidRPr="00407F7B">
        <w:t xml:space="preserve">end-of-life </w:t>
      </w:r>
      <w:r w:rsidR="00503FBF" w:rsidRPr="00407F7B">
        <w:t>environmental impacts)</w:t>
      </w:r>
      <w:r w:rsidRPr="00407F7B">
        <w:t xml:space="preserve">. </w:t>
      </w:r>
      <w:r w:rsidR="00F85D4E" w:rsidRPr="00407F7B">
        <w:t xml:space="preserve">NOPSEMA </w:t>
      </w:r>
      <w:r w:rsidR="00F158E8">
        <w:t>has</w:t>
      </w:r>
      <w:r w:rsidR="00F85D4E" w:rsidRPr="00407F7B">
        <w:t xml:space="preserve"> begun </w:t>
      </w:r>
      <w:r w:rsidR="00416271" w:rsidRPr="00407F7B">
        <w:t>determining</w:t>
      </w:r>
      <w:r w:rsidR="008115D1" w:rsidRPr="00407F7B">
        <w:t xml:space="preserve"> </w:t>
      </w:r>
      <w:r w:rsidR="008C27E6" w:rsidRPr="00407F7B">
        <w:t xml:space="preserve">technical topics </w:t>
      </w:r>
      <w:r w:rsidR="00480FB2" w:rsidRPr="00407F7B">
        <w:t>related</w:t>
      </w:r>
      <w:r w:rsidR="003831C4" w:rsidRPr="00407F7B">
        <w:t xml:space="preserve"> to decommissioning </w:t>
      </w:r>
      <w:r w:rsidR="00A80A9A" w:rsidRPr="00407F7B">
        <w:t xml:space="preserve">and </w:t>
      </w:r>
      <w:r w:rsidR="00F159F2" w:rsidRPr="00407F7B">
        <w:t>assessing</w:t>
      </w:r>
      <w:r w:rsidR="00D94147" w:rsidRPr="00407F7B">
        <w:t xml:space="preserve"> the current </w:t>
      </w:r>
      <w:r w:rsidR="00347DB1" w:rsidRPr="00407F7B">
        <w:t xml:space="preserve">level of </w:t>
      </w:r>
      <w:r w:rsidR="00D94147" w:rsidRPr="00407F7B">
        <w:t xml:space="preserve">capability </w:t>
      </w:r>
      <w:r w:rsidR="00257018" w:rsidRPr="00407F7B">
        <w:t>with</w:t>
      </w:r>
      <w:r w:rsidR="000A29CF" w:rsidRPr="00407F7B">
        <w:t>in</w:t>
      </w:r>
      <w:r w:rsidR="00D94147" w:rsidRPr="00407F7B">
        <w:t xml:space="preserve"> the organisation</w:t>
      </w:r>
      <w:r w:rsidR="00257018" w:rsidRPr="00407F7B">
        <w:t xml:space="preserve"> </w:t>
      </w:r>
      <w:r w:rsidR="00480FB2" w:rsidRPr="00407F7B">
        <w:t xml:space="preserve">associated </w:t>
      </w:r>
      <w:r w:rsidR="00765780" w:rsidRPr="00407F7B">
        <w:t>to</w:t>
      </w:r>
      <w:r w:rsidR="00480FB2" w:rsidRPr="00407F7B">
        <w:t xml:space="preserve"> the</w:t>
      </w:r>
      <w:r w:rsidR="00257018" w:rsidRPr="00407F7B">
        <w:t>se</w:t>
      </w:r>
      <w:r w:rsidR="00480FB2" w:rsidRPr="00407F7B">
        <w:t xml:space="preserve"> topics</w:t>
      </w:r>
      <w:r w:rsidR="00D94147" w:rsidRPr="00407F7B">
        <w:t>. For example, the Environment division</w:t>
      </w:r>
      <w:r w:rsidR="00416650" w:rsidRPr="00407F7B">
        <w:t xml:space="preserve"> </w:t>
      </w:r>
      <w:r w:rsidR="00CE1579" w:rsidRPr="00407F7B">
        <w:t xml:space="preserve">have </w:t>
      </w:r>
      <w:r w:rsidR="00D06B55" w:rsidRPr="00407F7B">
        <w:t xml:space="preserve">broadly </w:t>
      </w:r>
      <w:r w:rsidR="00F85115" w:rsidRPr="00407F7B">
        <w:t xml:space="preserve">assessed its capability and experience across </w:t>
      </w:r>
      <w:r w:rsidR="001D14B4" w:rsidRPr="00407F7B">
        <w:t xml:space="preserve">the technical topics and have identified </w:t>
      </w:r>
      <w:r w:rsidR="00556E91" w:rsidRPr="00407F7B">
        <w:t xml:space="preserve">areas </w:t>
      </w:r>
      <w:r w:rsidR="000A29CF" w:rsidRPr="00407F7B">
        <w:t xml:space="preserve">of </w:t>
      </w:r>
      <w:r w:rsidR="00F73B42" w:rsidRPr="00407F7B">
        <w:t xml:space="preserve">less operational </w:t>
      </w:r>
      <w:r w:rsidR="000A29CF" w:rsidRPr="00407F7B">
        <w:t xml:space="preserve">experience and </w:t>
      </w:r>
      <w:r w:rsidR="00AF6FC2" w:rsidRPr="00407F7B">
        <w:t xml:space="preserve">capability </w:t>
      </w:r>
      <w:r w:rsidR="00D06B55" w:rsidRPr="00407F7B">
        <w:t>gaps</w:t>
      </w:r>
      <w:r w:rsidR="00416650" w:rsidRPr="00407F7B">
        <w:t xml:space="preserve">. </w:t>
      </w:r>
      <w:r w:rsidR="00503FBF" w:rsidRPr="00407F7B">
        <w:t>To determine</w:t>
      </w:r>
      <w:r w:rsidR="00C90CFE" w:rsidRPr="00407F7B">
        <w:t xml:space="preserve"> and validate</w:t>
      </w:r>
      <w:r w:rsidR="00503FBF" w:rsidRPr="00407F7B">
        <w:t xml:space="preserve"> the specific skillsets required, NOPSEMA should engage with its international peers, such as the UK’s Offshore Petroleum Regulator</w:t>
      </w:r>
      <w:r w:rsidR="00503FBF" w:rsidRPr="00503FBF">
        <w:t xml:space="preserve"> for Environment and Decommissioning</w:t>
      </w:r>
      <w:r w:rsidR="00503FBF">
        <w:t xml:space="preserve"> (</w:t>
      </w:r>
      <w:r w:rsidR="00503FBF" w:rsidRPr="00F84F17">
        <w:rPr>
          <w:b/>
          <w:bCs/>
        </w:rPr>
        <w:t>OPRED</w:t>
      </w:r>
      <w:r w:rsidR="00503FBF">
        <w:t>).</w:t>
      </w:r>
    </w:p>
    <w:p w14:paraId="0C7629C7" w14:textId="2787C0FA" w:rsidR="00D452C0" w:rsidRPr="00461A9E" w:rsidRDefault="00461A9E" w:rsidP="00D452C0">
      <w:pPr>
        <w:pStyle w:val="BodyCopyNEW"/>
      </w:pPr>
      <w:r w:rsidRPr="00461A9E">
        <w:t xml:space="preserve">We note that, given the </w:t>
      </w:r>
      <w:r w:rsidR="00820F1D">
        <w:t>domestic</w:t>
      </w:r>
      <w:r w:rsidRPr="00461A9E">
        <w:t xml:space="preserve"> </w:t>
      </w:r>
      <w:r w:rsidR="00820F1D">
        <w:t xml:space="preserve">offshore petroleum </w:t>
      </w:r>
      <w:r w:rsidRPr="00461A9E">
        <w:t xml:space="preserve">industry’s </w:t>
      </w:r>
      <w:r w:rsidR="00820F1D">
        <w:t>relatively</w:t>
      </w:r>
      <w:r w:rsidRPr="00461A9E">
        <w:t xml:space="preserve"> limited experience with decommissioning, there </w:t>
      </w:r>
      <w:r w:rsidR="00503FBF">
        <w:t>will</w:t>
      </w:r>
      <w:r w:rsidR="00503FBF" w:rsidRPr="00461A9E">
        <w:t xml:space="preserve"> </w:t>
      </w:r>
      <w:r w:rsidRPr="00461A9E">
        <w:t>be challenges in sourcing these skillsets domestically</w:t>
      </w:r>
      <w:r w:rsidR="00503FBF">
        <w:t xml:space="preserve"> and NOPSEMA is likely to need to recruit talent internationally</w:t>
      </w:r>
      <w:r w:rsidRPr="00461A9E">
        <w:t>. Furthermore, as the industry matures, demand for these scar</w:t>
      </w:r>
      <w:r w:rsidR="007A2069">
        <w:t>c</w:t>
      </w:r>
      <w:r w:rsidRPr="00461A9E">
        <w:t>e skillsets will increase, potentially driving up the salary costs for individuals with decommissioning experience.</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461A9E" w:rsidRPr="00040C83" w14:paraId="16F868DB" w14:textId="77777777" w:rsidTr="001E2168">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3AD1A01E" w14:textId="1078E80F" w:rsidR="00461A9E" w:rsidRPr="00A470B1" w:rsidRDefault="00461A9E" w:rsidP="00053250">
            <w:pPr>
              <w:pStyle w:val="TableHeadingLeft"/>
              <w:rPr>
                <w:bCs/>
                <w:highlight w:val="green"/>
              </w:rPr>
            </w:pPr>
            <w:r w:rsidRPr="00A470B1">
              <w:rPr>
                <w:bCs/>
              </w:rPr>
              <w:t>Recommendation</w:t>
            </w:r>
            <w:r w:rsidR="00177304" w:rsidRPr="00A470B1">
              <w:rPr>
                <w:bCs/>
              </w:rPr>
              <w:t xml:space="preserve"> </w:t>
            </w:r>
            <w:r w:rsidR="0064173E" w:rsidRPr="00A470B1">
              <w:rPr>
                <w:bCs/>
              </w:rPr>
              <w:t>#</w:t>
            </w:r>
            <w:r w:rsidR="00D210AB" w:rsidRPr="00A470B1">
              <w:rPr>
                <w:bCs/>
              </w:rPr>
              <w:t>1</w:t>
            </w:r>
            <w:r w:rsidR="005E06AF">
              <w:rPr>
                <w:bCs/>
              </w:rPr>
              <w:t>1</w:t>
            </w:r>
          </w:p>
        </w:tc>
      </w:tr>
      <w:tr w:rsidR="00040C83" w:rsidRPr="00040C83" w14:paraId="32D51FD0" w14:textId="77777777" w:rsidTr="001E2168">
        <w:trPr>
          <w:trHeight w:val="545"/>
        </w:trPr>
        <w:tc>
          <w:tcPr>
            <w:tcW w:w="9864" w:type="dxa"/>
            <w:tcBorders>
              <w:bottom w:val="nil"/>
            </w:tcBorders>
            <w:shd w:val="clear" w:color="auto" w:fill="F2F2F2" w:themeFill="background1" w:themeFillShade="F2"/>
          </w:tcPr>
          <w:p w14:paraId="0AB091C6" w14:textId="3E3405A5" w:rsidR="008A3876" w:rsidRPr="00040C83" w:rsidRDefault="00AE07D3" w:rsidP="00901C7B">
            <w:pPr>
              <w:pStyle w:val="BodyCopyNEW"/>
            </w:pPr>
            <w:r w:rsidRPr="00040C83">
              <w:rPr>
                <w:szCs w:val="18"/>
              </w:rPr>
              <w:t>NOPTA and NOPSEMA should, once the policy framework for offshore decommissioning has been developed and agreed by the Government, coordinate on the building of capability and capacity for decommissioning and aging asset management (including facilities engineering) and financial/commercial analysis (including transaction analysis and financial capacity). NOPTA and NOPSEMA may consider engaging with peers in more mature jurisdictions to identify the specific capability skil</w:t>
            </w:r>
            <w:r w:rsidRPr="00040C83">
              <w:t>lsets required. NOPTA and NOPSEMA should consider opportunities for building a shared capability that can be accessed by both parties to avoid duplication of capabilities and capacity.</w:t>
            </w:r>
          </w:p>
        </w:tc>
      </w:tr>
    </w:tbl>
    <w:p w14:paraId="795DCC01" w14:textId="77777777" w:rsidR="007F1869" w:rsidRPr="00901C7B" w:rsidRDefault="007F1869" w:rsidP="00901C7B">
      <w:pPr>
        <w:pStyle w:val="BodyCopyNEW"/>
        <w:spacing w:before="120"/>
      </w:pPr>
      <w:r w:rsidRPr="00901C7B">
        <w:t>In developing these capabilities, consideration should be given to the following:</w:t>
      </w:r>
    </w:p>
    <w:p w14:paraId="1E6836E1" w14:textId="77777777" w:rsidR="007F1869" w:rsidRPr="00901C7B" w:rsidRDefault="007F1869" w:rsidP="000C1F53">
      <w:pPr>
        <w:pStyle w:val="BodycopyNEW0"/>
        <w:numPr>
          <w:ilvl w:val="0"/>
          <w:numId w:val="23"/>
        </w:numPr>
        <w:ind w:left="378"/>
      </w:pPr>
      <w:r w:rsidRPr="00901C7B">
        <w:t>Seniority and experience of the individuals in question</w:t>
      </w:r>
    </w:p>
    <w:p w14:paraId="1F0E1A9A" w14:textId="77777777" w:rsidR="007F1869" w:rsidRPr="00901C7B" w:rsidRDefault="007F1869" w:rsidP="000C1F53">
      <w:pPr>
        <w:pStyle w:val="BodycopyNEW0"/>
        <w:numPr>
          <w:ilvl w:val="0"/>
          <w:numId w:val="23"/>
        </w:numPr>
        <w:ind w:left="378"/>
      </w:pPr>
      <w:r w:rsidRPr="00901C7B">
        <w:t>Ability to source talent locally (for decommissioning)</w:t>
      </w:r>
    </w:p>
    <w:p w14:paraId="7B1F36A5" w14:textId="77777777" w:rsidR="007F1869" w:rsidRPr="00901C7B" w:rsidRDefault="007F1869" w:rsidP="000C1F53">
      <w:pPr>
        <w:pStyle w:val="BodycopyNEW0"/>
        <w:numPr>
          <w:ilvl w:val="0"/>
          <w:numId w:val="23"/>
        </w:numPr>
        <w:ind w:left="378"/>
        <w:rPr>
          <w:rFonts w:cs="OpenSansRegular"/>
        </w:rPr>
      </w:pPr>
      <w:r w:rsidRPr="00901C7B">
        <w:t>Capacity requirements of the role(s) over time.</w:t>
      </w:r>
    </w:p>
    <w:p w14:paraId="24138997" w14:textId="77805AB0" w:rsidR="007F1869" w:rsidRDefault="007F1869" w:rsidP="00901C7B">
      <w:pPr>
        <w:pStyle w:val="BodyCopyNEW"/>
      </w:pPr>
      <w:r w:rsidRPr="00901C7B">
        <w:rPr>
          <w:rFonts w:cs="OpenSansRegular"/>
        </w:rPr>
        <w:t>NOPSEMA could engage with its international peers to determine the specific skillsets required.</w:t>
      </w:r>
    </w:p>
    <w:p w14:paraId="353241F5" w14:textId="2BE88E57" w:rsidR="00461A9E" w:rsidRPr="00461A9E" w:rsidRDefault="00461A9E" w:rsidP="0027287B">
      <w:pPr>
        <w:pStyle w:val="Heading4"/>
      </w:pPr>
      <w:r w:rsidRPr="00461A9E">
        <w:t xml:space="preserve">Digital </w:t>
      </w:r>
      <w:r w:rsidR="00D95DE4">
        <w:t>readiness capability</w:t>
      </w:r>
    </w:p>
    <w:p w14:paraId="6753D95B" w14:textId="7CB52CA5" w:rsidR="00A12444" w:rsidRPr="007979BE" w:rsidRDefault="00292E68" w:rsidP="0027287B">
      <w:pPr>
        <w:pStyle w:val="BodyCopyNEW"/>
      </w:pPr>
      <w:r w:rsidRPr="00E37A45">
        <w:t xml:space="preserve">The future of regulation, which we discuss further in </w:t>
      </w:r>
      <w:r w:rsidRPr="00E37A45">
        <w:rPr>
          <w:b/>
        </w:rPr>
        <w:t>Section</w:t>
      </w:r>
      <w:r w:rsidR="00DA46C9" w:rsidRPr="00E37A45">
        <w:rPr>
          <w:b/>
        </w:rPr>
        <w:t xml:space="preserve"> </w:t>
      </w:r>
      <w:r w:rsidR="00DA46C9" w:rsidRPr="00E37A45">
        <w:rPr>
          <w:b/>
        </w:rPr>
        <w:fldChar w:fldCharType="begin"/>
      </w:r>
      <w:r w:rsidR="00DA46C9" w:rsidRPr="00E37A45">
        <w:rPr>
          <w:b/>
        </w:rPr>
        <w:instrText xml:space="preserve"> REF _Ref56151440 \r \h </w:instrText>
      </w:r>
      <w:r w:rsidR="00DA46C9" w:rsidRPr="00E37A45">
        <w:rPr>
          <w:b/>
        </w:rPr>
      </w:r>
      <w:r w:rsidR="00DA46C9" w:rsidRPr="00E37A45">
        <w:rPr>
          <w:b/>
        </w:rPr>
        <w:fldChar w:fldCharType="separate"/>
      </w:r>
      <w:r w:rsidR="00E816B8">
        <w:rPr>
          <w:b/>
        </w:rPr>
        <w:t>12.4.2</w:t>
      </w:r>
      <w:r w:rsidR="00DA46C9" w:rsidRPr="00E37A45">
        <w:rPr>
          <w:b/>
        </w:rPr>
        <w:fldChar w:fldCharType="end"/>
      </w:r>
      <w:r w:rsidRPr="00E37A45">
        <w:t xml:space="preserve">, is becoming increasingly digital. </w:t>
      </w:r>
      <w:r w:rsidR="00215E3D" w:rsidRPr="00E37A45">
        <w:t xml:space="preserve">NOPSEMA </w:t>
      </w:r>
      <w:r w:rsidR="008E33D0" w:rsidRPr="00E37A45">
        <w:t>has</w:t>
      </w:r>
      <w:r w:rsidR="00215E3D" w:rsidRPr="00E37A45">
        <w:t xml:space="preserve"> identified</w:t>
      </w:r>
      <w:r w:rsidR="00461A9E" w:rsidRPr="00E37A45">
        <w:t xml:space="preserve"> a need to further embrace digital technologies. </w:t>
      </w:r>
      <w:r w:rsidR="00461A9E" w:rsidRPr="007043F3">
        <w:t xml:space="preserve">The ability for NOPSEMA to successfully utilise digital capabilities is contingent on the digital </w:t>
      </w:r>
      <w:r w:rsidR="00E37A45" w:rsidRPr="007043F3">
        <w:lastRenderedPageBreak/>
        <w:t xml:space="preserve">readiness </w:t>
      </w:r>
      <w:r w:rsidR="00461A9E" w:rsidRPr="007043F3">
        <w:t>of N</w:t>
      </w:r>
      <w:r w:rsidR="00461A9E" w:rsidRPr="00BC4E87">
        <w:t xml:space="preserve">OPSEMA </w:t>
      </w:r>
      <w:r w:rsidR="00741028" w:rsidRPr="00BC4E87">
        <w:t>personnel</w:t>
      </w:r>
      <w:r w:rsidR="00461A9E" w:rsidRPr="00BC4E87">
        <w:t xml:space="preserve">. </w:t>
      </w:r>
      <w:r w:rsidR="0020185E">
        <w:t>The fast</w:t>
      </w:r>
      <w:r w:rsidR="00AC2D29">
        <w:t>-</w:t>
      </w:r>
      <w:r w:rsidR="0020185E">
        <w:t>moving nature of COVD-19 meant that NOPSEMA and industry needed to rapidly change and scale how work was delivered using digital technologies. It is important that NOPSEMA continue build its digital readiness and capabilities to constantly improve how work is done today and be prepared for future uncertainties</w:t>
      </w:r>
      <w:r w:rsidR="00461A9E" w:rsidRPr="00BC4E87">
        <w:t>.</w:t>
      </w:r>
    </w:p>
    <w:tbl>
      <w:tblPr>
        <w:tblStyle w:val="TableGrid"/>
        <w:tblW w:w="5000" w:type="pct"/>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461A9E" w:rsidRPr="00F77618" w14:paraId="77DA820D" w14:textId="77777777" w:rsidTr="001E2168">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0DFB2C2D" w14:textId="3F25AB8F" w:rsidR="00461A9E" w:rsidRPr="00F77618" w:rsidRDefault="00461A9E" w:rsidP="00053250">
            <w:pPr>
              <w:pStyle w:val="TableHeadingLeft"/>
              <w:rPr>
                <w:color w:val="FF0000"/>
                <w:highlight w:val="green"/>
              </w:rPr>
            </w:pPr>
            <w:r w:rsidRPr="00210F69">
              <w:t>Opportunity</w:t>
            </w:r>
            <w:r w:rsidR="008C5F7D" w:rsidRPr="00210F69">
              <w:t xml:space="preserve"> #</w:t>
            </w:r>
            <w:r w:rsidR="00C224DC">
              <w:t>8</w:t>
            </w:r>
          </w:p>
        </w:tc>
      </w:tr>
      <w:tr w:rsidR="00040C83" w:rsidRPr="00F77618" w14:paraId="111A3D06" w14:textId="77777777" w:rsidTr="001E2168">
        <w:trPr>
          <w:trHeight w:val="369"/>
        </w:trPr>
        <w:tc>
          <w:tcPr>
            <w:tcW w:w="5000" w:type="pct"/>
            <w:tcBorders>
              <w:bottom w:val="nil"/>
            </w:tcBorders>
            <w:shd w:val="clear" w:color="auto" w:fill="F2F2F2" w:themeFill="background1" w:themeFillShade="F2"/>
          </w:tcPr>
          <w:p w14:paraId="0FB977F4" w14:textId="77777777" w:rsidR="00A611FB" w:rsidRPr="00286508" w:rsidRDefault="00A611FB" w:rsidP="00A611FB">
            <w:pPr>
              <w:pStyle w:val="BodyCopyNEW"/>
              <w:rPr>
                <w:szCs w:val="18"/>
              </w:rPr>
            </w:pPr>
            <w:r w:rsidRPr="00286508">
              <w:rPr>
                <w:szCs w:val="18"/>
              </w:rPr>
              <w:t>NOPSEMA is encouraged to:</w:t>
            </w:r>
          </w:p>
          <w:p w14:paraId="593B86D5" w14:textId="606D06E8" w:rsidR="00A611FB" w:rsidRDefault="00A611FB" w:rsidP="000C1F53">
            <w:pPr>
              <w:pStyle w:val="BodycopyNEW0"/>
              <w:numPr>
                <w:ilvl w:val="0"/>
                <w:numId w:val="23"/>
              </w:numPr>
              <w:ind w:left="378"/>
              <w:rPr>
                <w:szCs w:val="18"/>
              </w:rPr>
            </w:pPr>
            <w:r w:rsidRPr="00DA117D">
              <w:rPr>
                <w:szCs w:val="18"/>
              </w:rPr>
              <w:t xml:space="preserve">Identify digital capability requirements, with reference to industry and regulatory practice trends globally and </w:t>
            </w:r>
            <w:r w:rsidR="003E0999">
              <w:rPr>
                <w:szCs w:val="18"/>
              </w:rPr>
              <w:t xml:space="preserve">aligned to </w:t>
            </w:r>
            <w:r w:rsidRPr="00DA117D">
              <w:rPr>
                <w:szCs w:val="18"/>
              </w:rPr>
              <w:t>the strategic direction of NOPSEMA</w:t>
            </w:r>
          </w:p>
          <w:p w14:paraId="14BC2669" w14:textId="7E813FA0" w:rsidR="00795134" w:rsidRPr="00CA3207" w:rsidRDefault="00E8246E" w:rsidP="000C1F53">
            <w:pPr>
              <w:pStyle w:val="BodycopyNEW0"/>
              <w:numPr>
                <w:ilvl w:val="0"/>
                <w:numId w:val="23"/>
              </w:numPr>
              <w:ind w:left="378"/>
              <w:rPr>
                <w:szCs w:val="18"/>
              </w:rPr>
            </w:pPr>
            <w:r>
              <w:rPr>
                <w:szCs w:val="18"/>
              </w:rPr>
              <w:t>Identify</w:t>
            </w:r>
            <w:r w:rsidR="00201C90">
              <w:rPr>
                <w:szCs w:val="18"/>
              </w:rPr>
              <w:t xml:space="preserve">, plan, </w:t>
            </w:r>
            <w:r w:rsidR="00AD0AC9">
              <w:rPr>
                <w:szCs w:val="18"/>
              </w:rPr>
              <w:t>test</w:t>
            </w:r>
            <w:r>
              <w:rPr>
                <w:szCs w:val="18"/>
              </w:rPr>
              <w:t xml:space="preserve"> </w:t>
            </w:r>
            <w:r w:rsidR="009C3593">
              <w:rPr>
                <w:szCs w:val="18"/>
              </w:rPr>
              <w:t xml:space="preserve">scenarios </w:t>
            </w:r>
            <w:r w:rsidR="004904B6">
              <w:rPr>
                <w:szCs w:val="18"/>
              </w:rPr>
              <w:t xml:space="preserve">and trial </w:t>
            </w:r>
            <w:r>
              <w:rPr>
                <w:szCs w:val="18"/>
              </w:rPr>
              <w:t xml:space="preserve">digital solutions to </w:t>
            </w:r>
            <w:r w:rsidR="00F845C1">
              <w:rPr>
                <w:szCs w:val="18"/>
              </w:rPr>
              <w:t xml:space="preserve">facilitate and support </w:t>
            </w:r>
            <w:r w:rsidR="004904B6">
              <w:rPr>
                <w:szCs w:val="18"/>
              </w:rPr>
              <w:t>execution of regulatory activities</w:t>
            </w:r>
            <w:r w:rsidR="00A611FB">
              <w:rPr>
                <w:szCs w:val="18"/>
              </w:rPr>
              <w:t>.</w:t>
            </w:r>
          </w:p>
        </w:tc>
      </w:tr>
    </w:tbl>
    <w:p w14:paraId="0B1F6838" w14:textId="00857599" w:rsidR="00FA6B21" w:rsidRDefault="00FA6B21" w:rsidP="00DA4B5E">
      <w:pPr>
        <w:pStyle w:val="Heading4"/>
      </w:pPr>
      <w:r>
        <w:t xml:space="preserve">Stakeholder engagement </w:t>
      </w:r>
    </w:p>
    <w:p w14:paraId="791C6D22" w14:textId="0B5C405E" w:rsidR="00FA6B21" w:rsidRDefault="00FA6B21" w:rsidP="00FA6B21">
      <w:pPr>
        <w:pStyle w:val="BodyCopyNEW"/>
      </w:pPr>
      <w:r>
        <w:t xml:space="preserve">Feedback received from industry was that NOPSEMA’s stakeholder engagement capabilities are </w:t>
      </w:r>
      <w:r w:rsidR="00700864">
        <w:t xml:space="preserve">strong at an executive or senior management level. However, we observed feedback that further capabilities in stakeholder engagement could be developed at the middle management and inspector level. </w:t>
      </w:r>
    </w:p>
    <w:tbl>
      <w:tblPr>
        <w:tblStyle w:val="TableGrid"/>
        <w:tblW w:w="5000" w:type="pct"/>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193DDA" w:rsidRPr="00040C83" w14:paraId="5D46970C" w14:textId="77777777" w:rsidTr="00DA4B5E">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7CDA499A" w14:textId="036BC28C" w:rsidR="00193DDA" w:rsidRPr="00F040FF" w:rsidRDefault="00193DDA" w:rsidP="00DA4B5E">
            <w:pPr>
              <w:pStyle w:val="TableHeadingLeft"/>
              <w:rPr>
                <w:bCs/>
                <w:highlight w:val="green"/>
              </w:rPr>
            </w:pPr>
            <w:r w:rsidRPr="00F040FF">
              <w:rPr>
                <w:bCs/>
              </w:rPr>
              <w:t>Opportunity #</w:t>
            </w:r>
            <w:r w:rsidR="00C224DC">
              <w:rPr>
                <w:bCs/>
              </w:rPr>
              <w:t>9</w:t>
            </w:r>
          </w:p>
        </w:tc>
      </w:tr>
      <w:tr w:rsidR="00040C83" w:rsidRPr="00040C83" w14:paraId="4601FEF4" w14:textId="77777777" w:rsidTr="00DA4B5E">
        <w:trPr>
          <w:trHeight w:val="369"/>
        </w:trPr>
        <w:tc>
          <w:tcPr>
            <w:tcW w:w="5000" w:type="pct"/>
            <w:tcBorders>
              <w:bottom w:val="nil"/>
            </w:tcBorders>
            <w:shd w:val="clear" w:color="auto" w:fill="F2F2F2" w:themeFill="background1" w:themeFillShade="F2"/>
          </w:tcPr>
          <w:p w14:paraId="40102255" w14:textId="6CAC74DF" w:rsidR="00193DDA" w:rsidRPr="00040C83" w:rsidRDefault="00A611FB" w:rsidP="00901C7B">
            <w:pPr>
              <w:pStyle w:val="BodyCopyNEW"/>
              <w:rPr>
                <w:szCs w:val="18"/>
              </w:rPr>
            </w:pPr>
            <w:r w:rsidRPr="00040C83">
              <w:rPr>
                <w:szCs w:val="18"/>
              </w:rPr>
              <w:t>NOPSEMA is encouraged to further develop stakeholder engagement capabilities at the middle management and inspector level.</w:t>
            </w:r>
          </w:p>
        </w:tc>
      </w:tr>
    </w:tbl>
    <w:p w14:paraId="7D5580CA" w14:textId="0A7D7C8A" w:rsidR="00FA6B21" w:rsidRDefault="00FA6B21" w:rsidP="00901C7B">
      <w:pPr>
        <w:pStyle w:val="Heading4"/>
      </w:pPr>
      <w:r>
        <w:t>Developing capability</w:t>
      </w:r>
    </w:p>
    <w:p w14:paraId="455B0297" w14:textId="557179AB" w:rsidR="00461A9E" w:rsidRPr="00CB1629" w:rsidRDefault="00461A9E" w:rsidP="00901C7B">
      <w:pPr>
        <w:pStyle w:val="BodyCopyNEW"/>
        <w:spacing w:before="120"/>
      </w:pPr>
      <w:r w:rsidRPr="00CB1629">
        <w:t xml:space="preserve">Building the capabilities for the future will require a talent strategy that outlines how to ‘buy, build and borrow’ these skill sets over time. </w:t>
      </w:r>
      <w:r w:rsidR="00C41E6A">
        <w:t>Specifically:</w:t>
      </w:r>
    </w:p>
    <w:p w14:paraId="4F7F2615" w14:textId="1A0E6E8C" w:rsidR="00461A9E" w:rsidRPr="00C41E6A" w:rsidRDefault="00461A9E" w:rsidP="000C1F53">
      <w:pPr>
        <w:pStyle w:val="BodycopyNEW0"/>
        <w:numPr>
          <w:ilvl w:val="0"/>
          <w:numId w:val="23"/>
        </w:numPr>
        <w:ind w:left="378"/>
      </w:pPr>
      <w:r w:rsidRPr="00DE495B">
        <w:rPr>
          <w:rFonts w:cs="OpenSansRegular"/>
          <w:b/>
        </w:rPr>
        <w:t>‘</w:t>
      </w:r>
      <w:r w:rsidRPr="001B615C">
        <w:rPr>
          <w:b/>
        </w:rPr>
        <w:t>Buying’</w:t>
      </w:r>
      <w:r w:rsidRPr="00C41E6A">
        <w:t xml:space="preserve"> the capability relies upon an ability to secure a mix of talent through ongoing and non-ongoing contracts</w:t>
      </w:r>
      <w:r w:rsidR="006258C5">
        <w:t>. This n</w:t>
      </w:r>
      <w:r w:rsidRPr="00C41E6A">
        <w:t>eeds to be enabled by process</w:t>
      </w:r>
      <w:r w:rsidR="00306DD4">
        <w:t>ed</w:t>
      </w:r>
      <w:r w:rsidRPr="00C41E6A">
        <w:t xml:space="preserve"> and governance </w:t>
      </w:r>
      <w:r w:rsidR="00306DD4">
        <w:t xml:space="preserve">arrangements </w:t>
      </w:r>
      <w:r w:rsidRPr="00C41E6A">
        <w:t>that support more proactive sourcing in a competitive market</w:t>
      </w:r>
    </w:p>
    <w:p w14:paraId="5BE4DB8E" w14:textId="54F2FBE1" w:rsidR="00461A9E" w:rsidRPr="00C41E6A" w:rsidRDefault="001B615C" w:rsidP="000C1F53">
      <w:pPr>
        <w:pStyle w:val="BodycopyNEW0"/>
        <w:numPr>
          <w:ilvl w:val="0"/>
          <w:numId w:val="23"/>
        </w:numPr>
        <w:ind w:left="378"/>
      </w:pPr>
      <w:r w:rsidRPr="001B615C">
        <w:rPr>
          <w:b/>
          <w:bCs/>
        </w:rPr>
        <w:t>‘</w:t>
      </w:r>
      <w:r w:rsidR="00461A9E" w:rsidRPr="001B615C">
        <w:rPr>
          <w:b/>
          <w:bCs/>
        </w:rPr>
        <w:t>Borrowing</w:t>
      </w:r>
      <w:r w:rsidRPr="001B615C">
        <w:rPr>
          <w:b/>
          <w:bCs/>
        </w:rPr>
        <w:t>’</w:t>
      </w:r>
      <w:r w:rsidR="00461A9E" w:rsidRPr="00C41E6A">
        <w:t xml:space="preserve"> talent is the use of consultants and alliance partners for use on specific projects or activities, essentially acquiring these skillsets without them </w:t>
      </w:r>
      <w:r w:rsidR="00AC5777">
        <w:t>forming</w:t>
      </w:r>
      <w:r w:rsidR="00461A9E" w:rsidRPr="00C41E6A">
        <w:t xml:space="preserve"> </w:t>
      </w:r>
      <w:r w:rsidR="00AC5777">
        <w:t>part of</w:t>
      </w:r>
      <w:r w:rsidR="00461A9E" w:rsidRPr="00C41E6A">
        <w:t xml:space="preserve"> NOPSEMA</w:t>
      </w:r>
      <w:r w:rsidR="00AC5777">
        <w:t>’s</w:t>
      </w:r>
      <w:r w:rsidR="00461A9E" w:rsidRPr="00C41E6A">
        <w:t xml:space="preserve"> payroll.</w:t>
      </w:r>
      <w:r w:rsidR="00AC5777">
        <w:t xml:space="preserve"> </w:t>
      </w:r>
      <w:r w:rsidR="00461A9E" w:rsidRPr="00C41E6A">
        <w:t xml:space="preserve">This borrowed talent could then support capability uplift activities for NOPSEMA </w:t>
      </w:r>
      <w:r w:rsidR="00741028" w:rsidRPr="00C41E6A">
        <w:t>personnel</w:t>
      </w:r>
      <w:r w:rsidR="00AC5777">
        <w:t xml:space="preserve"> (e.g. </w:t>
      </w:r>
      <w:r w:rsidR="00461A9E" w:rsidRPr="00C41E6A">
        <w:t xml:space="preserve">working alongside </w:t>
      </w:r>
      <w:r w:rsidR="00AC5777">
        <w:t>NOPSEMA personnel</w:t>
      </w:r>
      <w:r w:rsidR="00461A9E" w:rsidRPr="00C41E6A">
        <w:t xml:space="preserve"> and</w:t>
      </w:r>
      <w:r w:rsidR="00AC5777">
        <w:t xml:space="preserve"> formally</w:t>
      </w:r>
      <w:r w:rsidR="00461A9E" w:rsidRPr="00C41E6A">
        <w:t xml:space="preserve"> including the requirement for coaching and uplift as a part </w:t>
      </w:r>
      <w:r w:rsidR="00AC5777">
        <w:t xml:space="preserve">associated </w:t>
      </w:r>
      <w:r w:rsidR="00461A9E" w:rsidRPr="00C41E6A">
        <w:t>scope</w:t>
      </w:r>
      <w:r w:rsidR="00AC5777">
        <w:t>s</w:t>
      </w:r>
      <w:r w:rsidR="00461A9E" w:rsidRPr="00C41E6A">
        <w:t xml:space="preserve"> of work</w:t>
      </w:r>
      <w:r w:rsidR="00AC5777">
        <w:t>)</w:t>
      </w:r>
    </w:p>
    <w:p w14:paraId="61C31D99" w14:textId="2CDBFB36" w:rsidR="00040EBD" w:rsidRDefault="001B615C" w:rsidP="000C1F53">
      <w:pPr>
        <w:pStyle w:val="BodycopyNEW0"/>
        <w:numPr>
          <w:ilvl w:val="0"/>
          <w:numId w:val="23"/>
        </w:numPr>
        <w:ind w:left="378"/>
      </w:pPr>
      <w:r w:rsidRPr="001B615C">
        <w:rPr>
          <w:b/>
          <w:bCs/>
        </w:rPr>
        <w:t>‘</w:t>
      </w:r>
      <w:r w:rsidR="00461A9E" w:rsidRPr="001B615C">
        <w:rPr>
          <w:b/>
          <w:bCs/>
        </w:rPr>
        <w:t>Building</w:t>
      </w:r>
      <w:r w:rsidRPr="001B615C">
        <w:rPr>
          <w:b/>
          <w:bCs/>
        </w:rPr>
        <w:t>’</w:t>
      </w:r>
      <w:r w:rsidR="00461A9E" w:rsidRPr="00C41E6A">
        <w:t xml:space="preserve"> the required capabilities will align with the </w:t>
      </w:r>
      <w:r>
        <w:t>‘</w:t>
      </w:r>
      <w:r w:rsidR="00461A9E" w:rsidRPr="00C41E6A">
        <w:t>70:20:10</w:t>
      </w:r>
      <w:r>
        <w:t>’</w:t>
      </w:r>
      <w:r w:rsidR="00461A9E" w:rsidRPr="00C41E6A">
        <w:t xml:space="preserve"> approach to development that NOPSEMA encourage, with 70</w:t>
      </w:r>
      <w:r w:rsidR="009D27C7">
        <w:t>%</w:t>
      </w:r>
      <w:r w:rsidR="00461A9E" w:rsidRPr="00C41E6A">
        <w:t xml:space="preserve"> of learning occurring on the job, 20</w:t>
      </w:r>
      <w:r w:rsidR="009D27C7">
        <w:t>%</w:t>
      </w:r>
      <w:r w:rsidR="00461A9E" w:rsidRPr="00C41E6A">
        <w:t xml:space="preserve"> through exposure and 10</w:t>
      </w:r>
      <w:r w:rsidR="009D27C7">
        <w:t>%</w:t>
      </w:r>
      <w:r w:rsidR="00461A9E" w:rsidRPr="00C41E6A">
        <w:t xml:space="preserve"> through formal learning. Targeted uplift programs for broad capabilities such as digital literacy would be required given the breadth of team members to be included. For more targeted capabilities such </w:t>
      </w:r>
      <w:r w:rsidR="004D7B25">
        <w:t xml:space="preserve">as </w:t>
      </w:r>
      <w:r w:rsidR="00461A9E" w:rsidRPr="00C41E6A">
        <w:t xml:space="preserve">commercial </w:t>
      </w:r>
      <w:r w:rsidR="004D7B25">
        <w:t xml:space="preserve">or financial </w:t>
      </w:r>
      <w:r w:rsidR="00461A9E" w:rsidRPr="00C41E6A">
        <w:t>acumen, specific programs that leverage expertise and experience from within NOPSEMA, coupled with external</w:t>
      </w:r>
      <w:r w:rsidR="0034791C">
        <w:t>ly sourced</w:t>
      </w:r>
      <w:r w:rsidR="00461A9E" w:rsidRPr="00C41E6A">
        <w:t xml:space="preserve"> expertise, </w:t>
      </w:r>
      <w:r w:rsidR="008E4217">
        <w:t xml:space="preserve">could be designed </w:t>
      </w:r>
      <w:r w:rsidR="00461A9E" w:rsidRPr="00C41E6A">
        <w:t xml:space="preserve">to </w:t>
      </w:r>
      <w:r w:rsidR="008E4217">
        <w:t>deliver</w:t>
      </w:r>
      <w:r w:rsidR="00461A9E" w:rsidRPr="00C41E6A">
        <w:t xml:space="preserve"> against these needs.</w:t>
      </w:r>
    </w:p>
    <w:tbl>
      <w:tblPr>
        <w:tblStyle w:val="TableGrid"/>
        <w:tblW w:w="5000" w:type="pct"/>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FD61DC" w:rsidRPr="00040C83" w14:paraId="56DAC486" w14:textId="77777777" w:rsidTr="001E2168">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5B7FF4AF" w14:textId="52A6AF7B" w:rsidR="00FD61DC" w:rsidRPr="00F040FF" w:rsidRDefault="00FD61DC" w:rsidP="00053250">
            <w:pPr>
              <w:pStyle w:val="TableHeadingLeft"/>
              <w:rPr>
                <w:bCs/>
                <w:highlight w:val="green"/>
              </w:rPr>
            </w:pPr>
            <w:r w:rsidRPr="00F040FF">
              <w:rPr>
                <w:bCs/>
              </w:rPr>
              <w:t>Opportunity #</w:t>
            </w:r>
            <w:r w:rsidR="00C224DC">
              <w:rPr>
                <w:bCs/>
              </w:rPr>
              <w:t>10</w:t>
            </w:r>
          </w:p>
        </w:tc>
      </w:tr>
      <w:tr w:rsidR="00040C83" w:rsidRPr="00040C83" w14:paraId="767D56C3" w14:textId="77777777" w:rsidTr="00040EBD">
        <w:trPr>
          <w:trHeight w:val="314"/>
        </w:trPr>
        <w:tc>
          <w:tcPr>
            <w:tcW w:w="5000" w:type="pct"/>
            <w:tcBorders>
              <w:bottom w:val="nil"/>
            </w:tcBorders>
            <w:shd w:val="clear" w:color="auto" w:fill="F2F2F2" w:themeFill="background1" w:themeFillShade="F2"/>
          </w:tcPr>
          <w:p w14:paraId="22E2EBD0" w14:textId="65646C86" w:rsidR="00A611FB" w:rsidRPr="00040C83" w:rsidRDefault="00A611FB" w:rsidP="00A611FB">
            <w:pPr>
              <w:pStyle w:val="BodyCopyNEW"/>
              <w:rPr>
                <w:rFonts w:eastAsia="Verdana"/>
              </w:rPr>
            </w:pPr>
            <w:r w:rsidRPr="00040C83">
              <w:rPr>
                <w:szCs w:val="18"/>
              </w:rPr>
              <w:t>NOPSEMA is encouraged to develop a talent strategy that outlines the required approach to “buy, build and borrow” the capability required for the future.</w:t>
            </w:r>
          </w:p>
        </w:tc>
      </w:tr>
    </w:tbl>
    <w:p w14:paraId="43362F88" w14:textId="77777777" w:rsidR="00EB1893" w:rsidRPr="00461A9E" w:rsidRDefault="00EB1893" w:rsidP="00901C7B">
      <w:pPr>
        <w:pStyle w:val="Heading2"/>
        <w:spacing w:before="120"/>
      </w:pPr>
      <w:bookmarkStart w:id="76" w:name="_Ref58593460"/>
      <w:r w:rsidRPr="00461A9E">
        <w:t xml:space="preserve">Performance management and </w:t>
      </w:r>
      <w:r>
        <w:t>development</w:t>
      </w:r>
      <w:bookmarkEnd w:id="76"/>
    </w:p>
    <w:p w14:paraId="10CA4362" w14:textId="77777777" w:rsidR="00EB1893" w:rsidRPr="00461A9E" w:rsidRDefault="00EB1893" w:rsidP="00EB1893">
      <w:pPr>
        <w:pStyle w:val="Heading3"/>
      </w:pPr>
      <w:r w:rsidRPr="00461A9E">
        <w:t>Performance management framework</w:t>
      </w:r>
    </w:p>
    <w:p w14:paraId="3A87CB50" w14:textId="77777777" w:rsidR="00EB1893" w:rsidRPr="00B827AE" w:rsidRDefault="00EB1893" w:rsidP="00EB1893">
      <w:pPr>
        <w:pStyle w:val="Heading3NoNumber"/>
      </w:pPr>
      <w:r>
        <w:t>NOPSEMA has</w:t>
      </w:r>
      <w:r w:rsidRPr="00B827AE">
        <w:t xml:space="preserve"> an established performance management framework applied to all </w:t>
      </w:r>
      <w:r>
        <w:t>personnel</w:t>
      </w:r>
    </w:p>
    <w:p w14:paraId="068F8532" w14:textId="77777777" w:rsidR="00EB1893" w:rsidRPr="00461A9E" w:rsidRDefault="00EB1893" w:rsidP="00EB1893">
      <w:pPr>
        <w:pStyle w:val="BodyCopyNEW"/>
      </w:pPr>
      <w:r w:rsidRPr="00B9646C">
        <w:rPr>
          <w:i/>
          <w:iCs/>
        </w:rPr>
        <w:t>NOPSEMA’s</w:t>
      </w:r>
      <w:r w:rsidRPr="00B9646C">
        <w:rPr>
          <w:i/>
        </w:rPr>
        <w:t xml:space="preserve"> Performance Management Process</w:t>
      </w:r>
      <w:r w:rsidRPr="00461A9E">
        <w:t xml:space="preserve"> is detailed in the </w:t>
      </w:r>
      <w:r w:rsidRPr="00461A9E">
        <w:rPr>
          <w:i/>
          <w:iCs/>
        </w:rPr>
        <w:t>Employee Performance Management Standard Operating Procedure</w:t>
      </w:r>
      <w:r w:rsidRPr="00461A9E">
        <w:t xml:space="preserve">. </w:t>
      </w:r>
      <w:r>
        <w:t>Performance o</w:t>
      </w:r>
      <w:r w:rsidRPr="00461A9E">
        <w:t xml:space="preserve">bjectives are set between </w:t>
      </w:r>
      <w:r>
        <w:t>personnel</w:t>
      </w:r>
      <w:r w:rsidRPr="00461A9E">
        <w:t xml:space="preserve"> and their leaders at the beginning of each financial year (or upon commencement in a new role). Performance objectives for </w:t>
      </w:r>
      <w:r>
        <w:t>personnel</w:t>
      </w:r>
      <w:r w:rsidRPr="00461A9E">
        <w:t xml:space="preserve"> are linked to NOPSEMA’s </w:t>
      </w:r>
      <w:r w:rsidRPr="00461A9E">
        <w:rPr>
          <w:i/>
          <w:iCs/>
        </w:rPr>
        <w:t>Competency Framework</w:t>
      </w:r>
      <w:r w:rsidRPr="00461A9E">
        <w:t xml:space="preserve">, individual job descriptions, </w:t>
      </w:r>
      <w:r w:rsidRPr="00461A9E">
        <w:rPr>
          <w:i/>
          <w:iCs/>
        </w:rPr>
        <w:t>NOPSEMA’s Corporate Plan</w:t>
      </w:r>
      <w:r w:rsidRPr="00461A9E">
        <w:t xml:space="preserve"> and divisional </w:t>
      </w:r>
      <w:r w:rsidRPr="00B9646C">
        <w:rPr>
          <w:i/>
        </w:rPr>
        <w:t>Annual Operating Plans</w:t>
      </w:r>
      <w:r w:rsidRPr="00461A9E">
        <w:t xml:space="preserve"> (</w:t>
      </w:r>
      <w:r w:rsidRPr="00461A9E">
        <w:rPr>
          <w:b/>
          <w:bCs/>
        </w:rPr>
        <w:t>AOPs</w:t>
      </w:r>
      <w:r w:rsidRPr="00461A9E">
        <w:t xml:space="preserve">), helping link NOPSEMA’s strategic objectives to </w:t>
      </w:r>
      <w:r>
        <w:t>personnel</w:t>
      </w:r>
      <w:r w:rsidRPr="00461A9E">
        <w:t xml:space="preserve"> goals and performance.</w:t>
      </w:r>
    </w:p>
    <w:p w14:paraId="4AF58D6E" w14:textId="77777777" w:rsidR="00EB1893" w:rsidRDefault="00EB1893" w:rsidP="00EB1893">
      <w:pPr>
        <w:pStyle w:val="BodyCopyNEW"/>
      </w:pPr>
      <w:r w:rsidRPr="00461A9E">
        <w:lastRenderedPageBreak/>
        <w:t>Formal performance check</w:t>
      </w:r>
      <w:r>
        <w:t>-</w:t>
      </w:r>
      <w:r w:rsidRPr="00461A9E">
        <w:t xml:space="preserve">ins between </w:t>
      </w:r>
      <w:r>
        <w:t>personnel</w:t>
      </w:r>
      <w:r w:rsidRPr="00461A9E">
        <w:t xml:space="preserve"> members and leadership are required on a quarterly basis with performance notes captured in an online form. At the end of the financial year, </w:t>
      </w:r>
      <w:r>
        <w:t>personnel</w:t>
      </w:r>
      <w:r w:rsidRPr="00461A9E">
        <w:t xml:space="preserve"> receive an overall performance rating of either ‘exceeds position requirements’, ‘meets position requirements’, ‘improvement needed’ or ‘does not meet position requirements’.</w:t>
      </w:r>
    </w:p>
    <w:p w14:paraId="493F8CA0" w14:textId="78DA4585" w:rsidR="00EB1893" w:rsidRPr="00461A9E" w:rsidRDefault="00EB1893" w:rsidP="00EB1893">
      <w:pPr>
        <w:pStyle w:val="BodyCopyNEW"/>
      </w:pPr>
      <w:r>
        <w:t xml:space="preserve">In </w:t>
      </w:r>
      <w:r w:rsidRPr="00461A9E">
        <w:t>the 2019 Australian Public Service (</w:t>
      </w:r>
      <w:r w:rsidRPr="00461A9E">
        <w:rPr>
          <w:b/>
        </w:rPr>
        <w:t>APS</w:t>
      </w:r>
      <w:r w:rsidRPr="00461A9E">
        <w:t>) Census</w:t>
      </w:r>
      <w:r w:rsidRPr="00461A9E">
        <w:rPr>
          <w:vertAlign w:val="superscript"/>
        </w:rPr>
        <w:footnoteReference w:id="30"/>
      </w:r>
      <w:r w:rsidRPr="00461A9E">
        <w:t xml:space="preserve">, a series of questions were asked of NOPSEMA </w:t>
      </w:r>
      <w:r>
        <w:t>personnel</w:t>
      </w:r>
      <w:r w:rsidRPr="00461A9E">
        <w:t xml:space="preserve"> on the topic of Performance Management. Overall, there was a positive perception from </w:t>
      </w:r>
      <w:r>
        <w:t>personnel</w:t>
      </w:r>
      <w:r w:rsidRPr="00461A9E">
        <w:t xml:space="preserve"> on their supervisor providing performance feedback. Specifically:</w:t>
      </w:r>
    </w:p>
    <w:p w14:paraId="2602C3E6" w14:textId="77777777" w:rsidR="00EB1893" w:rsidRPr="00461A9E" w:rsidRDefault="00EB1893" w:rsidP="000C1F53">
      <w:pPr>
        <w:pStyle w:val="BodycopyNEW0"/>
        <w:numPr>
          <w:ilvl w:val="0"/>
          <w:numId w:val="23"/>
        </w:numPr>
        <w:ind w:left="378"/>
      </w:pPr>
      <w:r w:rsidRPr="00461A9E">
        <w:t xml:space="preserve">92% of NOPSEMA </w:t>
      </w:r>
      <w:r>
        <w:t>personnel</w:t>
      </w:r>
      <w:r w:rsidRPr="00461A9E">
        <w:t xml:space="preserve"> answered ‘Yes’ to whether they have received regular and timely feedback from their supervisor in the past 12 months</w:t>
      </w:r>
    </w:p>
    <w:p w14:paraId="53220600" w14:textId="77777777" w:rsidR="00EB1893" w:rsidRDefault="00EB1893" w:rsidP="000C1F53">
      <w:pPr>
        <w:pStyle w:val="BodycopyNEW0"/>
        <w:numPr>
          <w:ilvl w:val="0"/>
          <w:numId w:val="23"/>
        </w:numPr>
        <w:ind w:left="378"/>
      </w:pPr>
      <w:r w:rsidRPr="00461A9E">
        <w:t xml:space="preserve">88% of NOPSEMA </w:t>
      </w:r>
      <w:r>
        <w:t>personnel</w:t>
      </w:r>
      <w:r w:rsidRPr="00461A9E">
        <w:t xml:space="preserve"> answered ‘Yes’ to whether they have received constructive feedback for their supervisor in the past 12 months</w:t>
      </w:r>
      <w:r>
        <w:t>.</w:t>
      </w:r>
    </w:p>
    <w:p w14:paraId="5B4D17B9" w14:textId="77777777" w:rsidR="00EB1893" w:rsidRPr="00461A9E" w:rsidRDefault="00EB1893" w:rsidP="00EB1893">
      <w:pPr>
        <w:pStyle w:val="Heading3NoNumber"/>
      </w:pPr>
      <w:r>
        <w:t>A clearer link between</w:t>
      </w:r>
      <w:r w:rsidRPr="00461A9E">
        <w:t xml:space="preserve"> performance management </w:t>
      </w:r>
      <w:r>
        <w:t xml:space="preserve">outcomes </w:t>
      </w:r>
      <w:r w:rsidRPr="00461A9E">
        <w:t>and learning and development is required</w:t>
      </w:r>
    </w:p>
    <w:p w14:paraId="3793F95C" w14:textId="5921E71C" w:rsidR="00EB1893" w:rsidRPr="00CF0F96" w:rsidRDefault="00EB1893" w:rsidP="00EB1893">
      <w:pPr>
        <w:pStyle w:val="BodyCopyNEW"/>
        <w:rPr>
          <w:szCs w:val="18"/>
        </w:rPr>
      </w:pPr>
      <w:r w:rsidRPr="00CF0F96">
        <w:rPr>
          <w:rFonts w:cs="OpenSansRegular"/>
          <w:szCs w:val="18"/>
        </w:rPr>
        <w:t xml:space="preserve">NOPSEMA has a comprehensive </w:t>
      </w:r>
      <w:r w:rsidRPr="00CF0F96">
        <w:rPr>
          <w:rFonts w:cs="OpenSansRegular"/>
          <w:i/>
          <w:szCs w:val="18"/>
        </w:rPr>
        <w:t>Competency Framework</w:t>
      </w:r>
      <w:r w:rsidRPr="00CF0F96">
        <w:rPr>
          <w:rFonts w:cs="OpenSansRegular"/>
          <w:szCs w:val="18"/>
        </w:rPr>
        <w:t xml:space="preserve"> which can be utilised by personnel to identify ‘career development goals</w:t>
      </w:r>
      <w:r w:rsidRPr="00CF0F96">
        <w:rPr>
          <w:szCs w:val="18"/>
        </w:rPr>
        <w:t>, conduct gap analysis and determine leadership pathways through reviewing competency descriptions and behaviours associate with different levels</w:t>
      </w:r>
      <w:r w:rsidR="009413F9" w:rsidRPr="00CF0F96">
        <w:rPr>
          <w:rStyle w:val="FootnoteReference"/>
          <w:sz w:val="18"/>
          <w:szCs w:val="18"/>
        </w:rPr>
        <w:footnoteReference w:id="31"/>
      </w:r>
      <w:r w:rsidRPr="00CF0F96">
        <w:rPr>
          <w:szCs w:val="18"/>
        </w:rPr>
        <w:t xml:space="preserve">.’ Key inputs into the framework include content from the APS </w:t>
      </w:r>
      <w:r w:rsidRPr="00CF0F96">
        <w:rPr>
          <w:i/>
          <w:szCs w:val="18"/>
        </w:rPr>
        <w:t>Integrated Leadership System</w:t>
      </w:r>
      <w:r w:rsidRPr="00CF0F96">
        <w:rPr>
          <w:szCs w:val="18"/>
        </w:rPr>
        <w:t xml:space="preserve"> (</w:t>
      </w:r>
      <w:r w:rsidRPr="00CF0F96">
        <w:rPr>
          <w:b/>
          <w:szCs w:val="18"/>
        </w:rPr>
        <w:t>ILS</w:t>
      </w:r>
      <w:r w:rsidRPr="00CF0F96">
        <w:rPr>
          <w:szCs w:val="18"/>
        </w:rPr>
        <w:t xml:space="preserve">) and </w:t>
      </w:r>
      <w:r w:rsidRPr="00CF0F96">
        <w:rPr>
          <w:i/>
          <w:szCs w:val="18"/>
        </w:rPr>
        <w:t>Work Level Standards</w:t>
      </w:r>
      <w:r w:rsidRPr="00CF0F96">
        <w:rPr>
          <w:szCs w:val="18"/>
        </w:rPr>
        <w:t xml:space="preserve"> (</w:t>
      </w:r>
      <w:r w:rsidRPr="00CF0F96">
        <w:rPr>
          <w:b/>
          <w:szCs w:val="18"/>
        </w:rPr>
        <w:t>WLS</w:t>
      </w:r>
      <w:r w:rsidRPr="00CF0F96">
        <w:rPr>
          <w:szCs w:val="18"/>
        </w:rPr>
        <w:t xml:space="preserve">), NOPSEMA position descriptions, the relevant </w:t>
      </w:r>
      <w:r w:rsidRPr="00CF0F96">
        <w:rPr>
          <w:i/>
          <w:szCs w:val="18"/>
        </w:rPr>
        <w:t>Corporate Plan</w:t>
      </w:r>
      <w:r w:rsidRPr="00CF0F96">
        <w:rPr>
          <w:szCs w:val="18"/>
        </w:rPr>
        <w:t xml:space="preserve">, and the </w:t>
      </w:r>
      <w:r w:rsidRPr="00CF0F96">
        <w:rPr>
          <w:i/>
          <w:szCs w:val="18"/>
        </w:rPr>
        <w:t>Human Resource Strategy</w:t>
      </w:r>
      <w:r w:rsidRPr="00CF0F96">
        <w:rPr>
          <w:szCs w:val="18"/>
        </w:rPr>
        <w:t xml:space="preserve">. </w:t>
      </w:r>
    </w:p>
    <w:p w14:paraId="42D22081" w14:textId="17FB6C43" w:rsidR="00EB1893" w:rsidRPr="00CF0F96" w:rsidRDefault="00EB1893" w:rsidP="00EB1893">
      <w:pPr>
        <w:pStyle w:val="BodyCopyNEW"/>
        <w:rPr>
          <w:rFonts w:cs="OpenSansRegular"/>
          <w:szCs w:val="18"/>
        </w:rPr>
      </w:pPr>
      <w:r w:rsidRPr="00CF0F96">
        <w:rPr>
          <w:szCs w:val="18"/>
        </w:rPr>
        <w:t xml:space="preserve">The competency framework is suitable for </w:t>
      </w:r>
      <w:r w:rsidR="00FB1AD6" w:rsidRPr="00CF0F96">
        <w:rPr>
          <w:szCs w:val="18"/>
        </w:rPr>
        <w:t xml:space="preserve">an organisation of </w:t>
      </w:r>
      <w:r w:rsidRPr="00CF0F96">
        <w:rPr>
          <w:szCs w:val="18"/>
        </w:rPr>
        <w:t xml:space="preserve">NOPSEMA’s size and </w:t>
      </w:r>
      <w:r w:rsidR="00E312D2" w:rsidRPr="00CF0F96">
        <w:rPr>
          <w:szCs w:val="18"/>
        </w:rPr>
        <w:t>complexity;</w:t>
      </w:r>
      <w:r w:rsidRPr="00CF0F96">
        <w:rPr>
          <w:szCs w:val="18"/>
        </w:rPr>
        <w:t xml:space="preserve"> however, this review did not identify formal, structured technical competencies as a part of this broader framework (outside of the technical skills outlined in job descriptions). Instead, technical training is determined on an individual basis through discussions with managers. In order </w:t>
      </w:r>
      <w:r w:rsidRPr="00CF0F96">
        <w:rPr>
          <w:rFonts w:cs="OpenSansRegular"/>
          <w:szCs w:val="18"/>
        </w:rPr>
        <w:t>to align better with leading practice, NOPSEMA could expand its centralised competency framework to consider the breadth of leadership, professional and technical competencies required, and also include definition of the various levels of proficiency required for roles within their career architecture. This enables greater clarity for personnel in the expectations of their role as well as visibility on the competencies required for other roles across the organisation to support individual development planning activities.</w:t>
      </w:r>
    </w:p>
    <w:p w14:paraId="3929E66E" w14:textId="105DE845" w:rsidR="00040EBD" w:rsidRPr="00CF0F96" w:rsidRDefault="00EB1893" w:rsidP="00114494">
      <w:pPr>
        <w:pStyle w:val="BodyCopyNEW"/>
        <w:rPr>
          <w:szCs w:val="18"/>
        </w:rPr>
      </w:pPr>
      <w:r w:rsidRPr="00CF0F96">
        <w:rPr>
          <w:szCs w:val="18"/>
        </w:rPr>
        <w:t>Despite integrated processes and frameworks, in the 2019 APS Census, only 51% of NOPSEMA personnel responded favourably to the statement ‘My overall experience of performance management in my agency has been useful for my development’. This indicates that that an opportunity remains for NOPSEMA leaders to better link performance management outcomes to personnel learning and development needs and career goals.</w:t>
      </w:r>
    </w:p>
    <w:tbl>
      <w:tblPr>
        <w:tblStyle w:val="TableGrid"/>
        <w:tblW w:w="5000" w:type="pct"/>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EB1893" w:rsidRPr="00040C83" w14:paraId="553F8336" w14:textId="77777777" w:rsidTr="00DA4B5E">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33F19074" w14:textId="1FD5EEA1" w:rsidR="00EB1893" w:rsidRPr="00F040FF" w:rsidRDefault="00EB1893" w:rsidP="00DA4B5E">
            <w:pPr>
              <w:pStyle w:val="TableHeadingLeft"/>
              <w:rPr>
                <w:bCs/>
              </w:rPr>
            </w:pPr>
            <w:r w:rsidRPr="00F040FF">
              <w:rPr>
                <w:bCs/>
              </w:rPr>
              <w:t>Opportunity #</w:t>
            </w:r>
            <w:r w:rsidR="002440A6" w:rsidRPr="00F040FF">
              <w:rPr>
                <w:bCs/>
              </w:rPr>
              <w:t>1</w:t>
            </w:r>
            <w:r w:rsidR="00C224DC">
              <w:rPr>
                <w:bCs/>
              </w:rPr>
              <w:t>1</w:t>
            </w:r>
          </w:p>
        </w:tc>
      </w:tr>
      <w:tr w:rsidR="00040C83" w:rsidRPr="00040C83" w14:paraId="20285EBE" w14:textId="77777777" w:rsidTr="00DA4B5E">
        <w:trPr>
          <w:trHeight w:val="442"/>
        </w:trPr>
        <w:tc>
          <w:tcPr>
            <w:tcW w:w="5000" w:type="pct"/>
            <w:tcBorders>
              <w:bottom w:val="nil"/>
            </w:tcBorders>
            <w:shd w:val="clear" w:color="auto" w:fill="F2F2F2" w:themeFill="background1" w:themeFillShade="F2"/>
          </w:tcPr>
          <w:p w14:paraId="00999CFE" w14:textId="01B146F9" w:rsidR="00A611FB" w:rsidRPr="00040C83" w:rsidRDefault="00A611FB" w:rsidP="00A611FB">
            <w:pPr>
              <w:pStyle w:val="BodyCopyNEW"/>
            </w:pPr>
            <w:r w:rsidRPr="00040C83">
              <w:rPr>
                <w:szCs w:val="18"/>
              </w:rPr>
              <w:t>NOPSEMA is encouraged to ensure performance management outcomes are more explicitly linked to personnel learning and development plans.</w:t>
            </w:r>
          </w:p>
        </w:tc>
      </w:tr>
    </w:tbl>
    <w:p w14:paraId="47C767C8" w14:textId="77777777" w:rsidR="00EB1893" w:rsidRPr="00461A9E" w:rsidRDefault="00EB1893" w:rsidP="00EB1893">
      <w:pPr>
        <w:pStyle w:val="Heading3"/>
      </w:pPr>
      <w:r w:rsidRPr="00461A9E">
        <w:t>Managing underperformance</w:t>
      </w:r>
    </w:p>
    <w:p w14:paraId="47E530F2" w14:textId="77777777" w:rsidR="00EB1893" w:rsidRPr="00461A9E" w:rsidRDefault="00EB1893" w:rsidP="00EB1893">
      <w:pPr>
        <w:pStyle w:val="Heading3NoNumber"/>
      </w:pPr>
      <w:r>
        <w:t>NOPSEMA has</w:t>
      </w:r>
      <w:r w:rsidRPr="00461A9E">
        <w:t xml:space="preserve"> experienced challenges effectively managing underperformance</w:t>
      </w:r>
    </w:p>
    <w:p w14:paraId="3E93886F" w14:textId="77777777" w:rsidR="00EB1893" w:rsidRDefault="00EB1893" w:rsidP="00EB1893">
      <w:pPr>
        <w:pStyle w:val="BodyCopyNEW"/>
      </w:pPr>
      <w:r w:rsidRPr="00461A9E">
        <w:t xml:space="preserve">We observed that </w:t>
      </w:r>
      <w:r>
        <w:t>NOPSEMA has</w:t>
      </w:r>
      <w:r w:rsidRPr="00461A9E">
        <w:t xml:space="preserve"> experienced challenges managing underperformance. For instance, only 22% of NOPSEMA respondents to the 2019 APS Census ‘strongly agreed’ or ‘agreed’ to the question ‘To what extent do you agree that your agency deals with underperformance effectively?’</w:t>
      </w:r>
      <w:r>
        <w:t>, which was comparatively lower to other regulators surveyed</w:t>
      </w:r>
      <w:r w:rsidRPr="00461A9E">
        <w:t xml:space="preserve">. NOPSEMA leadership </w:t>
      </w:r>
      <w:r>
        <w:t>acknowledge</w:t>
      </w:r>
      <w:r w:rsidRPr="00461A9E">
        <w:t xml:space="preserve"> that management of underperformance is a </w:t>
      </w:r>
      <w:r>
        <w:t xml:space="preserve">leadership </w:t>
      </w:r>
      <w:r w:rsidRPr="00461A9E">
        <w:t xml:space="preserve">development area. </w:t>
      </w:r>
    </w:p>
    <w:p w14:paraId="3CE5DFF8" w14:textId="3039F3B0" w:rsidR="00EB1893" w:rsidRPr="00CF0F96" w:rsidRDefault="00EB1893" w:rsidP="00EB1893">
      <w:pPr>
        <w:pStyle w:val="BodyCopyNEW"/>
        <w:rPr>
          <w:szCs w:val="18"/>
        </w:rPr>
      </w:pPr>
      <w:r w:rsidRPr="00461A9E">
        <w:t xml:space="preserve">Some NOPSEMA </w:t>
      </w:r>
      <w:r>
        <w:t>personnel</w:t>
      </w:r>
      <w:r w:rsidRPr="00461A9E">
        <w:t xml:space="preserve"> expressed reluctance in managing underperformance due </w:t>
      </w:r>
      <w:r w:rsidR="00645AAC">
        <w:t xml:space="preserve">to </w:t>
      </w:r>
      <w:r w:rsidRPr="00461A9E">
        <w:t xml:space="preserve">the performance management process being </w:t>
      </w:r>
      <w:r>
        <w:t xml:space="preserve">perceived as </w:t>
      </w:r>
      <w:r w:rsidRPr="00461A9E">
        <w:t xml:space="preserve">too </w:t>
      </w:r>
      <w:r>
        <w:t>difficult to implement</w:t>
      </w:r>
      <w:r w:rsidRPr="00461A9E">
        <w:t xml:space="preserve">. We also observed a concern from some managers of personal repercussion to managing underperformance, with concerns that </w:t>
      </w:r>
      <w:r>
        <w:t>underperforming</w:t>
      </w:r>
      <w:r w:rsidRPr="00461A9E">
        <w:t xml:space="preserve"> </w:t>
      </w:r>
      <w:r>
        <w:t>personnel</w:t>
      </w:r>
      <w:r w:rsidRPr="00461A9E">
        <w:t xml:space="preserve"> may make a complaint of bullying, harassment or discrimination in response to their performance being questioned. Results from the 2019 APS Census showed that 21% of NOPSEMA respondents felt that they had been subject to bullying and harassment. It was not clear the degree or severity of perceived instances of incidents </w:t>
      </w:r>
      <w:r w:rsidRPr="00CF0F96">
        <w:rPr>
          <w:szCs w:val="18"/>
        </w:rPr>
        <w:lastRenderedPageBreak/>
        <w:t>occurring. We were not able to substantiate whether there have been instances of bullying or harassment, as NOPSEMA noted that no formal bullying or harassment complaints had been received by personnel over the past 12 months</w:t>
      </w:r>
      <w:r w:rsidR="009413F9" w:rsidRPr="00CF0F96">
        <w:rPr>
          <w:rStyle w:val="FootnoteReference"/>
          <w:rFonts w:cs="OpenSansRegular"/>
          <w:sz w:val="18"/>
          <w:szCs w:val="18"/>
        </w:rPr>
        <w:footnoteReference w:id="32"/>
      </w:r>
      <w:r w:rsidRPr="00CF0F96">
        <w:rPr>
          <w:szCs w:val="18"/>
        </w:rPr>
        <w:t>.</w:t>
      </w:r>
    </w:p>
    <w:p w14:paraId="23527F4B" w14:textId="77777777" w:rsidR="009C6412" w:rsidRDefault="00EB1893" w:rsidP="00EB1893">
      <w:pPr>
        <w:pStyle w:val="BodyCopyNEW"/>
        <w:rPr>
          <w:color w:val="FF0000"/>
          <w:szCs w:val="18"/>
        </w:rPr>
      </w:pPr>
      <w:r w:rsidRPr="00CF0F96">
        <w:rPr>
          <w:szCs w:val="18"/>
        </w:rPr>
        <w:t xml:space="preserve">NOPSEMA has an existing </w:t>
      </w:r>
      <w:r w:rsidRPr="00CF0F96">
        <w:rPr>
          <w:i/>
          <w:szCs w:val="18"/>
        </w:rPr>
        <w:t>Managing Underperformance Policy</w:t>
      </w:r>
      <w:r w:rsidRPr="00CF0F96">
        <w:rPr>
          <w:szCs w:val="18"/>
        </w:rPr>
        <w:t xml:space="preserve"> and </w:t>
      </w:r>
      <w:r w:rsidRPr="00CF0F96">
        <w:rPr>
          <w:i/>
          <w:szCs w:val="18"/>
        </w:rPr>
        <w:t>Procedure</w:t>
      </w:r>
      <w:r w:rsidRPr="00CF0F96">
        <w:rPr>
          <w:szCs w:val="18"/>
        </w:rPr>
        <w:t xml:space="preserve">, </w:t>
      </w:r>
      <w:r w:rsidR="006F0B6E" w:rsidRPr="00CF0F96">
        <w:rPr>
          <w:szCs w:val="18"/>
        </w:rPr>
        <w:t xml:space="preserve">and </w:t>
      </w:r>
      <w:r w:rsidRPr="00CF0F96">
        <w:rPr>
          <w:szCs w:val="18"/>
        </w:rPr>
        <w:t>provide capability uplift in managing performance through their ‘Management in Action’ program and use of management rotations</w:t>
      </w:r>
      <w:r w:rsidRPr="00CF0F96">
        <w:rPr>
          <w:rStyle w:val="FootnoteReference"/>
          <w:rFonts w:cs="OpenSansRegular"/>
          <w:sz w:val="18"/>
          <w:szCs w:val="18"/>
        </w:rPr>
        <w:footnoteReference w:id="33"/>
      </w:r>
      <w:r w:rsidRPr="00CF0F96">
        <w:rPr>
          <w:szCs w:val="18"/>
        </w:rPr>
        <w:t xml:space="preserve"> as a way to drive objectivity through performance reviews. Underperformance processes are </w:t>
      </w:r>
      <w:r w:rsidR="00B31C00" w:rsidRPr="00CF0F96">
        <w:rPr>
          <w:szCs w:val="18"/>
        </w:rPr>
        <w:t xml:space="preserve">sensitive and need to be </w:t>
      </w:r>
      <w:r w:rsidRPr="00CF0F96">
        <w:rPr>
          <w:szCs w:val="18"/>
        </w:rPr>
        <w:t>treated confidentially</w:t>
      </w:r>
      <w:r w:rsidR="00B31C00" w:rsidRPr="00CF0F96">
        <w:rPr>
          <w:rStyle w:val="CommentReference"/>
          <w:rFonts w:ascii="Verdana" w:hAnsi="Verdana" w:cstheme="minorBidi"/>
          <w:sz w:val="18"/>
          <w:szCs w:val="18"/>
        </w:rPr>
        <w:t>.</w:t>
      </w:r>
      <w:r w:rsidRPr="00CF0F96">
        <w:rPr>
          <w:szCs w:val="18"/>
        </w:rPr>
        <w:t xml:space="preserve"> </w:t>
      </w:r>
      <w:r w:rsidR="00B31C00" w:rsidRPr="00CF0F96">
        <w:rPr>
          <w:szCs w:val="18"/>
        </w:rPr>
        <w:t>This</w:t>
      </w:r>
      <w:r w:rsidRPr="00CF0F96">
        <w:rPr>
          <w:szCs w:val="18"/>
        </w:rPr>
        <w:t xml:space="preserve"> may contribute to the perception </w:t>
      </w:r>
      <w:r w:rsidR="00052325" w:rsidRPr="00CF0F96">
        <w:rPr>
          <w:szCs w:val="18"/>
        </w:rPr>
        <w:t xml:space="preserve">from NOPSEMA personnel </w:t>
      </w:r>
      <w:r w:rsidRPr="00CF0F96">
        <w:rPr>
          <w:szCs w:val="18"/>
        </w:rPr>
        <w:t>that underperformance is not well managed</w:t>
      </w:r>
      <w:r w:rsidR="00B31C00" w:rsidRPr="00CF0F96">
        <w:rPr>
          <w:szCs w:val="18"/>
        </w:rPr>
        <w:t xml:space="preserve"> within </w:t>
      </w:r>
      <w:r w:rsidR="00A50B98" w:rsidRPr="00CF0F96">
        <w:rPr>
          <w:szCs w:val="18"/>
        </w:rPr>
        <w:t>the organisation</w:t>
      </w:r>
      <w:r w:rsidRPr="00CF0F96">
        <w:rPr>
          <w:szCs w:val="18"/>
        </w:rPr>
        <w:t>.</w:t>
      </w:r>
    </w:p>
    <w:p w14:paraId="4DB689F9" w14:textId="56695E46" w:rsidR="00EB1893" w:rsidRPr="009C6412" w:rsidRDefault="00EB1893" w:rsidP="00EB1893">
      <w:pPr>
        <w:pStyle w:val="BodyCopyNEW"/>
        <w:rPr>
          <w:color w:val="FF0000"/>
          <w:szCs w:val="18"/>
        </w:rPr>
      </w:pPr>
      <w:r w:rsidRPr="00CF0F96">
        <w:rPr>
          <w:szCs w:val="18"/>
        </w:rPr>
        <w:t>Improving capability to manage underperformance also formed part of the NOPSEMA 2019 APS Census Action Plan. Actions set include:</w:t>
      </w:r>
    </w:p>
    <w:p w14:paraId="6ED7F510" w14:textId="77777777" w:rsidR="00EB1893" w:rsidRPr="00CF0F96" w:rsidRDefault="00EB1893" w:rsidP="000C1F53">
      <w:pPr>
        <w:pStyle w:val="BodycopyNEW0"/>
        <w:numPr>
          <w:ilvl w:val="0"/>
          <w:numId w:val="23"/>
        </w:numPr>
        <w:ind w:left="378"/>
        <w:rPr>
          <w:szCs w:val="18"/>
        </w:rPr>
      </w:pPr>
      <w:r w:rsidRPr="00CF0F96">
        <w:rPr>
          <w:szCs w:val="18"/>
        </w:rPr>
        <w:t xml:space="preserve">Distributing a new APS Performance Management Guide to the management team </w:t>
      </w:r>
    </w:p>
    <w:p w14:paraId="6DE15E52" w14:textId="77777777" w:rsidR="00EB1893" w:rsidRPr="00CF0F96" w:rsidRDefault="00EB1893" w:rsidP="000C1F53">
      <w:pPr>
        <w:pStyle w:val="BodycopyNEW0"/>
        <w:numPr>
          <w:ilvl w:val="0"/>
          <w:numId w:val="23"/>
        </w:numPr>
        <w:ind w:left="378"/>
        <w:rPr>
          <w:szCs w:val="18"/>
        </w:rPr>
      </w:pPr>
      <w:r w:rsidRPr="00CF0F96">
        <w:rPr>
          <w:szCs w:val="18"/>
        </w:rPr>
        <w:t>Develop a “Managing Probation” online training course for managers with new employees</w:t>
      </w:r>
    </w:p>
    <w:p w14:paraId="79EC6533" w14:textId="77777777" w:rsidR="00EB1893" w:rsidRPr="00CF0F96" w:rsidRDefault="00EB1893" w:rsidP="000C1F53">
      <w:pPr>
        <w:pStyle w:val="BodycopyNEW0"/>
        <w:numPr>
          <w:ilvl w:val="0"/>
          <w:numId w:val="23"/>
        </w:numPr>
        <w:ind w:left="378"/>
        <w:rPr>
          <w:szCs w:val="18"/>
        </w:rPr>
      </w:pPr>
      <w:r w:rsidRPr="00CF0F96">
        <w:rPr>
          <w:szCs w:val="18"/>
        </w:rPr>
        <w:t xml:space="preserve">Review the </w:t>
      </w:r>
      <w:r w:rsidRPr="00CF0F96">
        <w:rPr>
          <w:i/>
          <w:szCs w:val="18"/>
        </w:rPr>
        <w:t>Performance Management Framework</w:t>
      </w:r>
      <w:r w:rsidRPr="00CF0F96">
        <w:rPr>
          <w:szCs w:val="18"/>
        </w:rPr>
        <w:t>.</w:t>
      </w:r>
    </w:p>
    <w:p w14:paraId="7CF347A4" w14:textId="71B6A1EB" w:rsidR="00EB1893" w:rsidRPr="00CF0F96" w:rsidRDefault="007320AF" w:rsidP="00EB1893">
      <w:pPr>
        <w:pStyle w:val="BodyCopyNEW"/>
        <w:rPr>
          <w:szCs w:val="18"/>
        </w:rPr>
      </w:pPr>
      <w:r w:rsidRPr="00CF0F96">
        <w:rPr>
          <w:szCs w:val="18"/>
        </w:rPr>
        <w:t>Undertaking these actions will strengthen NOPSEMA’s ability to manage underperformance</w:t>
      </w:r>
      <w:r w:rsidR="00EB1893" w:rsidRPr="00CF0F96">
        <w:rPr>
          <w:szCs w:val="18"/>
        </w:rPr>
        <w:t>.</w:t>
      </w:r>
    </w:p>
    <w:p w14:paraId="1C1050FF" w14:textId="77777777" w:rsidR="00EB1893" w:rsidRPr="00CF0F96" w:rsidRDefault="00EB1893" w:rsidP="00EB1893">
      <w:pPr>
        <w:pStyle w:val="BodyCopyNEW"/>
        <w:rPr>
          <w:szCs w:val="18"/>
        </w:rPr>
      </w:pPr>
      <w:r w:rsidRPr="00CF0F96">
        <w:rPr>
          <w:szCs w:val="18"/>
        </w:rPr>
        <w:t xml:space="preserve">NOPSEMA has a number of policies in place to promote respect and appropriate workplace behaviours including </w:t>
      </w:r>
      <w:r w:rsidRPr="00CF0F96">
        <w:rPr>
          <w:i/>
          <w:szCs w:val="18"/>
        </w:rPr>
        <w:t>Resolving Workplace Issues, Promoting Respect in the Workplace</w:t>
      </w:r>
      <w:r w:rsidRPr="00CF0F96">
        <w:rPr>
          <w:szCs w:val="18"/>
        </w:rPr>
        <w:t xml:space="preserve">, and the </w:t>
      </w:r>
      <w:r w:rsidRPr="00CF0F96">
        <w:rPr>
          <w:i/>
          <w:szCs w:val="18"/>
        </w:rPr>
        <w:t>Code of Conduct</w:t>
      </w:r>
      <w:r w:rsidRPr="00CF0F96">
        <w:rPr>
          <w:szCs w:val="18"/>
        </w:rPr>
        <w:t xml:space="preserve">. Personnel are encouraged to confidentially raise issues with their leader or the Human Resources team. Personnel also have access to Workplace Conflict Officers who are personnel members trained in assisting personnel with workplace issues. </w:t>
      </w:r>
    </w:p>
    <w:p w14:paraId="39000833" w14:textId="73A82ADA" w:rsidR="00EB1893" w:rsidRPr="00CF0F96" w:rsidRDefault="00EB1893" w:rsidP="00EB1893">
      <w:pPr>
        <w:pStyle w:val="BodyCopyNEW"/>
        <w:rPr>
          <w:rFonts w:cs="OpenSansRegular"/>
          <w:b/>
          <w:color w:val="FF0000"/>
          <w:szCs w:val="18"/>
        </w:rPr>
      </w:pPr>
      <w:r w:rsidRPr="00CF0F96">
        <w:rPr>
          <w:szCs w:val="18"/>
        </w:rPr>
        <w:t xml:space="preserve">Based on the </w:t>
      </w:r>
      <w:r w:rsidR="005374EA" w:rsidRPr="00CF0F96">
        <w:rPr>
          <w:szCs w:val="18"/>
        </w:rPr>
        <w:t xml:space="preserve">information </w:t>
      </w:r>
      <w:r w:rsidRPr="00CF0F96">
        <w:rPr>
          <w:szCs w:val="18"/>
        </w:rPr>
        <w:t xml:space="preserve">we have examined, NOPSEMA’s processes and procedures for managing performance are suitable. </w:t>
      </w:r>
      <w:r w:rsidR="00882C78" w:rsidRPr="00CF0F96">
        <w:rPr>
          <w:szCs w:val="18"/>
        </w:rPr>
        <w:t>F</w:t>
      </w:r>
      <w:r w:rsidRPr="00CF0F96">
        <w:rPr>
          <w:szCs w:val="18"/>
        </w:rPr>
        <w:t>urther opportunity</w:t>
      </w:r>
      <w:r w:rsidR="00882C78" w:rsidRPr="00CF0F96">
        <w:rPr>
          <w:szCs w:val="18"/>
        </w:rPr>
        <w:t xml:space="preserve"> exists</w:t>
      </w:r>
      <w:r w:rsidRPr="00CF0F96">
        <w:rPr>
          <w:szCs w:val="18"/>
        </w:rPr>
        <w:t xml:space="preserve"> for building the confidence and capability of personnel to manage performance and the creation of a safe environment, for both managers and followers, to discuss performance in an open and constructive manner</w:t>
      </w:r>
      <w:r w:rsidRPr="00CF0F96" w:rsidDel="00EC2A1A">
        <w:rPr>
          <w:szCs w:val="18"/>
        </w:rPr>
        <w:t>.</w:t>
      </w:r>
    </w:p>
    <w:tbl>
      <w:tblPr>
        <w:tblStyle w:val="TableGrid"/>
        <w:tblW w:w="0" w:type="auto"/>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EB1893" w:rsidRPr="00040C83" w14:paraId="3AD01A17" w14:textId="77777777" w:rsidTr="00DA4B5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FC2B4"/>
          </w:tcPr>
          <w:p w14:paraId="514763E5" w14:textId="72E27FC2" w:rsidR="00EB1893" w:rsidRPr="00F040FF" w:rsidRDefault="00EB1893" w:rsidP="00DA4B5E">
            <w:pPr>
              <w:pStyle w:val="TableHeadingLeft"/>
              <w:rPr>
                <w:bCs/>
              </w:rPr>
            </w:pPr>
            <w:r w:rsidRPr="00F040FF">
              <w:rPr>
                <w:bCs/>
              </w:rPr>
              <w:t>Opportunity #</w:t>
            </w:r>
            <w:r w:rsidR="00260C86" w:rsidRPr="00F040FF">
              <w:rPr>
                <w:bCs/>
              </w:rPr>
              <w:t>1</w:t>
            </w:r>
            <w:r w:rsidR="00C224DC">
              <w:rPr>
                <w:bCs/>
              </w:rPr>
              <w:t>2</w:t>
            </w:r>
          </w:p>
        </w:tc>
      </w:tr>
      <w:tr w:rsidR="00040C83" w:rsidRPr="00040C83" w14:paraId="0F2F54C0" w14:textId="77777777" w:rsidTr="00C039F1">
        <w:trPr>
          <w:trHeight w:val="190"/>
        </w:trPr>
        <w:tc>
          <w:tcPr>
            <w:tcW w:w="9864" w:type="dxa"/>
            <w:tcBorders>
              <w:bottom w:val="nil"/>
            </w:tcBorders>
            <w:shd w:val="clear" w:color="auto" w:fill="F2F2F2" w:themeFill="background1" w:themeFillShade="F2"/>
          </w:tcPr>
          <w:p w14:paraId="5C85AC49" w14:textId="4B4B7CB1" w:rsidR="00C039F1" w:rsidRPr="00040C83" w:rsidRDefault="00C039F1" w:rsidP="00C039F1">
            <w:pPr>
              <w:pStyle w:val="BodyCopyNEW"/>
              <w:rPr>
                <w:rFonts w:cs="OpenSansRegular"/>
              </w:rPr>
            </w:pPr>
            <w:r w:rsidRPr="00040C83">
              <w:rPr>
                <w:rFonts w:cs="OpenSansRegular"/>
                <w:szCs w:val="18"/>
              </w:rPr>
              <w:t>NOPSEMA is encouraged to continue b</w:t>
            </w:r>
            <w:r w:rsidRPr="00040C83">
              <w:rPr>
                <w:szCs w:val="18"/>
              </w:rPr>
              <w:t>uilding capability in its leaders for managing underperformance through targeted leadership development training. This training should seek to build familiarity and confidence with leading practice techniques for managing underperformance in line with APS guidelines. Consideration should be given to building a culture where leaders and followers feel safe to provide open and constructive feedback to one another.</w:t>
            </w:r>
          </w:p>
        </w:tc>
      </w:tr>
    </w:tbl>
    <w:p w14:paraId="1940E52A" w14:textId="7FB86627" w:rsidR="00461A9E" w:rsidRPr="00461A9E" w:rsidRDefault="00461A9E" w:rsidP="00901C7B">
      <w:pPr>
        <w:pStyle w:val="Heading2"/>
        <w:spacing w:before="120"/>
      </w:pPr>
      <w:bookmarkStart w:id="77" w:name="_Ref58593479"/>
      <w:r w:rsidRPr="00461A9E">
        <w:t>Resourcing and Career Progression</w:t>
      </w:r>
      <w:bookmarkEnd w:id="77"/>
      <w:r w:rsidRPr="00461A9E">
        <w:t xml:space="preserve"> </w:t>
      </w:r>
    </w:p>
    <w:p w14:paraId="69A441CA" w14:textId="77777777" w:rsidR="00461A9E" w:rsidRPr="00461A9E" w:rsidRDefault="00461A9E" w:rsidP="0027287B">
      <w:pPr>
        <w:pStyle w:val="Heading3"/>
        <w:rPr>
          <w:lang w:eastAsia="en-AU"/>
        </w:rPr>
      </w:pPr>
      <w:r w:rsidRPr="00461A9E">
        <w:rPr>
          <w:lang w:eastAsia="en-AU"/>
        </w:rPr>
        <w:t>Resourcing</w:t>
      </w:r>
    </w:p>
    <w:p w14:paraId="5D7CD1CD" w14:textId="77777777" w:rsidR="00461A9E" w:rsidRPr="00461A9E" w:rsidRDefault="00461A9E" w:rsidP="0027287B">
      <w:pPr>
        <w:pStyle w:val="Heading3NoNumber"/>
        <w:rPr>
          <w:lang w:eastAsia="en-AU"/>
        </w:rPr>
      </w:pPr>
      <w:r w:rsidRPr="00461A9E">
        <w:rPr>
          <w:lang w:eastAsia="en-AU"/>
        </w:rPr>
        <w:t>NOPSEMA seek to attract talent through competitive remuneration and use non-ongoing contracts as a means to manage resourcing levels</w:t>
      </w:r>
    </w:p>
    <w:p w14:paraId="18898323" w14:textId="6881E102" w:rsidR="00461A9E" w:rsidRPr="00461A9E" w:rsidRDefault="00461A9E" w:rsidP="0027287B">
      <w:pPr>
        <w:pStyle w:val="BodyCopyNEW"/>
      </w:pPr>
      <w:r w:rsidRPr="00461A9E">
        <w:t xml:space="preserve">NOPSEMA applies a merit-based recruitment process in line with the APS requirements as described in NOPSEMA’s </w:t>
      </w:r>
      <w:r w:rsidRPr="00461A9E">
        <w:rPr>
          <w:i/>
          <w:iCs/>
        </w:rPr>
        <w:t>Recruitment, Selection and Engagement Policy</w:t>
      </w:r>
      <w:r w:rsidRPr="00461A9E">
        <w:t xml:space="preserve"> which is operationalised through the </w:t>
      </w:r>
      <w:r w:rsidRPr="00461A9E">
        <w:rPr>
          <w:i/>
          <w:iCs/>
        </w:rPr>
        <w:t>Recruitment, Selection and Engagement Procedure</w:t>
      </w:r>
      <w:r w:rsidRPr="00461A9E">
        <w:t xml:space="preserve">. Within the boundaries of the APS requirements, NOPSEMA utilise proactive talent sourcing through maintaining </w:t>
      </w:r>
      <w:r w:rsidRPr="00FB47B6">
        <w:rPr>
          <w:i/>
          <w:iCs/>
        </w:rPr>
        <w:t>Employment Registers</w:t>
      </w:r>
      <w:r w:rsidRPr="00461A9E">
        <w:t xml:space="preserve"> across </w:t>
      </w:r>
      <w:r w:rsidR="00FB47B6">
        <w:t>the Safety and Integrity Division, Environment Division, and Regulatory Support Division</w:t>
      </w:r>
      <w:r w:rsidRPr="00461A9E">
        <w:t xml:space="preserve"> to support with non-ongoing vacancies of 18 months or less. </w:t>
      </w:r>
      <w:r w:rsidR="0054179E">
        <w:t>That is, NOPSEMA has the ability to scale capacity in some functions, should it require.</w:t>
      </w:r>
    </w:p>
    <w:p w14:paraId="217EAB1D" w14:textId="0CF7132D" w:rsidR="00461A9E" w:rsidRPr="00461A9E" w:rsidRDefault="00461A9E" w:rsidP="0027287B">
      <w:pPr>
        <w:pStyle w:val="BodyCopyNEW"/>
      </w:pPr>
      <w:r w:rsidRPr="00461A9E">
        <w:t xml:space="preserve">To enable NOPSEMA to attract the right capabilities from within the industry, NOPSEMA holds an exemption from APS for a Regulatory pay classification. This, in effect, allows NOPSEMA to remunerate regulatory </w:t>
      </w:r>
      <w:r w:rsidR="00741028">
        <w:t>personnel</w:t>
      </w:r>
      <w:r w:rsidRPr="00461A9E">
        <w:t xml:space="preserve"> above their usual AP</w:t>
      </w:r>
      <w:r w:rsidR="00A84310">
        <w:t>S</w:t>
      </w:r>
      <w:r w:rsidRPr="00461A9E">
        <w:t xml:space="preserve"> salary band. The rationale is to enable NOPSEMA to attract skilled industry applica</w:t>
      </w:r>
      <w:r w:rsidR="00A84310">
        <w:t>n</w:t>
      </w:r>
      <w:r w:rsidRPr="00461A9E">
        <w:t>ts with competitive remuneration package</w:t>
      </w:r>
      <w:r w:rsidR="00A84310">
        <w:t>s</w:t>
      </w:r>
      <w:r w:rsidRPr="00461A9E">
        <w:t xml:space="preserve">. This exemption is only applicable to </w:t>
      </w:r>
      <w:r w:rsidR="00741028">
        <w:t>personnel</w:t>
      </w:r>
      <w:r w:rsidRPr="00461A9E">
        <w:t xml:space="preserve"> performing regulatory roles (i.e. support divisions are not covered). Feedback from NOPSEMA is that challenges persist. For example, the remuneration gap between APS 6 and EL1 level roles is substantial and does</w:t>
      </w:r>
      <w:r w:rsidR="002445E3">
        <w:t xml:space="preserve"> not</w:t>
      </w:r>
      <w:r w:rsidRPr="00461A9E">
        <w:t xml:space="preserve"> allow for feasible progression. The remuneration gap with industry widens with increased tenure as salary progression within NOPSEMA becomes </w:t>
      </w:r>
      <w:r w:rsidR="002445E3">
        <w:t>constrained</w:t>
      </w:r>
      <w:r w:rsidRPr="00461A9E">
        <w:t>.</w:t>
      </w:r>
      <w:r w:rsidR="00AB02E2">
        <w:t xml:space="preserve"> We do note that the APS has a number of additional, non-salary benefits</w:t>
      </w:r>
      <w:r w:rsidR="00143F4A">
        <w:t xml:space="preserve"> offered as well.</w:t>
      </w:r>
    </w:p>
    <w:p w14:paraId="37A0C20C" w14:textId="77777777" w:rsidR="00461A9E" w:rsidRPr="00461A9E" w:rsidRDefault="00461A9E" w:rsidP="005D061C">
      <w:pPr>
        <w:pStyle w:val="BodyCopyNEW"/>
        <w:rPr>
          <w:lang w:eastAsia="en-AU"/>
        </w:rPr>
      </w:pPr>
      <w:r w:rsidRPr="00461A9E">
        <w:rPr>
          <w:lang w:eastAsia="en-AU"/>
        </w:rPr>
        <w:t>The use of non-ongoing contracts at NOPSEMA has steadily increased over the review period with approximately 20% of employees on non-ongoing contracts, an increase of 10% over the past 4 years.</w:t>
      </w:r>
      <w:r w:rsidRPr="00461A9E">
        <w:rPr>
          <w:color w:val="FF0000"/>
          <w:lang w:eastAsia="en-AU"/>
        </w:rPr>
        <w:t xml:space="preserve"> </w:t>
      </w:r>
      <w:r w:rsidRPr="00461A9E">
        <w:rPr>
          <w:lang w:eastAsia="en-AU"/>
        </w:rPr>
        <w:t>Drivers for the use of non-ongoing contracts include:</w:t>
      </w:r>
    </w:p>
    <w:p w14:paraId="2D411D6D" w14:textId="77777777" w:rsidR="00461A9E" w:rsidRPr="00461A9E" w:rsidRDefault="00461A9E" w:rsidP="000C1F53">
      <w:pPr>
        <w:pStyle w:val="BodycopyNEW0"/>
        <w:numPr>
          <w:ilvl w:val="0"/>
          <w:numId w:val="23"/>
        </w:numPr>
        <w:ind w:left="378"/>
      </w:pPr>
      <w:r w:rsidRPr="00461A9E">
        <w:lastRenderedPageBreak/>
        <w:t>The flexibility they provide in helping manage NOPSEMA’s cost structure, given that the majority of NOPSEMA expenses relate to staffing</w:t>
      </w:r>
    </w:p>
    <w:p w14:paraId="3612BAFC" w14:textId="77777777" w:rsidR="00461A9E" w:rsidRPr="00461A9E" w:rsidRDefault="00461A9E" w:rsidP="000C1F53">
      <w:pPr>
        <w:pStyle w:val="BodycopyNEW0"/>
        <w:numPr>
          <w:ilvl w:val="0"/>
          <w:numId w:val="23"/>
        </w:numPr>
        <w:ind w:left="378"/>
      </w:pPr>
      <w:r w:rsidRPr="00461A9E">
        <w:t>Improved ease in matching workforce ‘supply’ to somewhat volatile industry activity ‘demand’</w:t>
      </w:r>
    </w:p>
    <w:p w14:paraId="079C2DF7" w14:textId="77777777" w:rsidR="00461A9E" w:rsidRPr="00461A9E" w:rsidRDefault="00461A9E" w:rsidP="000C1F53">
      <w:pPr>
        <w:pStyle w:val="BodycopyNEW0"/>
        <w:numPr>
          <w:ilvl w:val="0"/>
          <w:numId w:val="23"/>
        </w:numPr>
        <w:ind w:left="378"/>
        <w:rPr>
          <w:rFonts w:eastAsia="Times New Roman" w:cs="OpenSansRegular"/>
          <w:lang w:eastAsia="en-AU"/>
        </w:rPr>
      </w:pPr>
      <w:r w:rsidRPr="00461A9E">
        <w:t xml:space="preserve">Improved ability to source capability for discreet scopes of work (e.g. projects) or for highly technical, less frequent needs that do not warrant a permanent position. </w:t>
      </w:r>
    </w:p>
    <w:p w14:paraId="0D9C1D19" w14:textId="0A492009" w:rsidR="00461A9E" w:rsidRPr="00461A9E" w:rsidRDefault="00DB2C0F" w:rsidP="005D061C">
      <w:pPr>
        <w:pStyle w:val="BodyCopyNEW"/>
        <w:rPr>
          <w:lang w:eastAsia="en-AU"/>
        </w:rPr>
      </w:pPr>
      <w:r>
        <w:rPr>
          <w:lang w:eastAsia="en-AU"/>
        </w:rPr>
        <w:t>While our observations support</w:t>
      </w:r>
      <w:r w:rsidR="0040750D">
        <w:rPr>
          <w:lang w:eastAsia="en-AU"/>
        </w:rPr>
        <w:t xml:space="preserve"> the use</w:t>
      </w:r>
      <w:r w:rsidR="001215E9">
        <w:rPr>
          <w:lang w:eastAsia="en-AU"/>
        </w:rPr>
        <w:t xml:space="preserve"> of </w:t>
      </w:r>
      <w:r w:rsidR="00461A9E" w:rsidRPr="00461A9E">
        <w:rPr>
          <w:lang w:eastAsia="en-AU"/>
        </w:rPr>
        <w:t xml:space="preserve">the </w:t>
      </w:r>
      <w:r w:rsidR="001215E9">
        <w:rPr>
          <w:lang w:eastAsia="en-AU"/>
        </w:rPr>
        <w:t xml:space="preserve">strategic </w:t>
      </w:r>
      <w:r w:rsidR="00461A9E" w:rsidRPr="00461A9E">
        <w:rPr>
          <w:lang w:eastAsia="en-AU"/>
        </w:rPr>
        <w:t>use of non-ongoing contracts</w:t>
      </w:r>
      <w:r w:rsidR="001215E9">
        <w:rPr>
          <w:lang w:eastAsia="en-AU"/>
        </w:rPr>
        <w:t xml:space="preserve">, there are </w:t>
      </w:r>
      <w:r w:rsidR="00461A9E" w:rsidRPr="00461A9E">
        <w:rPr>
          <w:lang w:eastAsia="en-AU"/>
        </w:rPr>
        <w:t>challenge</w:t>
      </w:r>
      <w:r w:rsidR="001215E9">
        <w:rPr>
          <w:lang w:eastAsia="en-AU"/>
        </w:rPr>
        <w:t>s</w:t>
      </w:r>
      <w:r w:rsidR="00461A9E" w:rsidRPr="00461A9E">
        <w:rPr>
          <w:lang w:eastAsia="en-AU"/>
        </w:rPr>
        <w:t xml:space="preserve"> from the inherent uncertainty of these contracts and perceptions of differences in treatment of </w:t>
      </w:r>
      <w:r w:rsidR="00741028">
        <w:rPr>
          <w:lang w:eastAsia="en-AU"/>
        </w:rPr>
        <w:t>personnel</w:t>
      </w:r>
      <w:r w:rsidR="00461A9E" w:rsidRPr="00461A9E">
        <w:rPr>
          <w:lang w:eastAsia="en-AU"/>
        </w:rPr>
        <w:t xml:space="preserve"> from those held on non-ongoing contracts. To help address uncertainty in contract continuation, NOPSEMA seek to provide non-ongoing contracted employees with three-months’ notice on the extension (or not) of their contract.</w:t>
      </w:r>
    </w:p>
    <w:p w14:paraId="5489F0F1" w14:textId="77777777" w:rsidR="00EB1893" w:rsidRPr="00C048B2" w:rsidRDefault="00EB1893" w:rsidP="00EB1893">
      <w:pPr>
        <w:pStyle w:val="Heading2"/>
      </w:pPr>
      <w:bookmarkStart w:id="78" w:name="_Ref58593488"/>
      <w:r>
        <w:t>Stakeholder perceptions of e</w:t>
      </w:r>
      <w:r w:rsidRPr="00C048B2">
        <w:t>mbodiment of values</w:t>
      </w:r>
      <w:bookmarkEnd w:id="78"/>
    </w:p>
    <w:p w14:paraId="4AED2045" w14:textId="77777777" w:rsidR="00EB1893" w:rsidRDefault="00EB1893" w:rsidP="00EB1893">
      <w:pPr>
        <w:pStyle w:val="Heading3NoNumber"/>
      </w:pPr>
      <w:r w:rsidRPr="00EB390C">
        <w:t>Stakeholders broadly agree NOPSEMA behaviours reflected NOPSEMA’s value</w:t>
      </w:r>
      <w:r>
        <w:t>s, particularly the</w:t>
      </w:r>
      <w:r w:rsidRPr="00EB390C">
        <w:t xml:space="preserve"> professionalism of </w:t>
      </w:r>
      <w:r>
        <w:t>personnel</w:t>
      </w:r>
    </w:p>
    <w:p w14:paraId="05FBE54A" w14:textId="66355EC4" w:rsidR="00EB1893" w:rsidRDefault="00EB1893" w:rsidP="00EB1893">
      <w:pPr>
        <w:pStyle w:val="BodyCopyNEW"/>
      </w:pPr>
      <w:r>
        <w:t>Referring to</w:t>
      </w:r>
      <w:r w:rsidR="001C43B8">
        <w:t xml:space="preserve"> </w:t>
      </w:r>
      <w:r w:rsidR="001C43B8" w:rsidRPr="001C43B8">
        <w:rPr>
          <w:b/>
          <w:bCs/>
        </w:rPr>
        <w:fldChar w:fldCharType="begin"/>
      </w:r>
      <w:r w:rsidR="001C43B8" w:rsidRPr="001C43B8">
        <w:rPr>
          <w:b/>
          <w:bCs/>
        </w:rPr>
        <w:instrText xml:space="preserve"> REF _Ref63329751 \h </w:instrText>
      </w:r>
      <w:r w:rsidR="001C43B8">
        <w:rPr>
          <w:b/>
          <w:bCs/>
        </w:rPr>
        <w:instrText xml:space="preserve"> \* MERGEFORMAT </w:instrText>
      </w:r>
      <w:r w:rsidR="001C43B8" w:rsidRPr="001C43B8">
        <w:rPr>
          <w:b/>
          <w:bCs/>
        </w:rPr>
      </w:r>
      <w:r w:rsidR="001C43B8" w:rsidRPr="001C43B8">
        <w:rPr>
          <w:b/>
          <w:bCs/>
        </w:rPr>
        <w:fldChar w:fldCharType="separate"/>
      </w:r>
      <w:r w:rsidR="00E816B8" w:rsidRPr="00E816B8">
        <w:rPr>
          <w:b/>
          <w:bCs/>
        </w:rPr>
        <w:t xml:space="preserve">Figure </w:t>
      </w:r>
      <w:r w:rsidR="00E816B8" w:rsidRPr="00E816B8">
        <w:rPr>
          <w:b/>
          <w:bCs/>
          <w:noProof/>
        </w:rPr>
        <w:t>7.7</w:t>
      </w:r>
      <w:r w:rsidR="001C43B8" w:rsidRPr="001C43B8">
        <w:rPr>
          <w:b/>
          <w:bCs/>
        </w:rPr>
        <w:fldChar w:fldCharType="end"/>
      </w:r>
      <w:r>
        <w:t>, NOPSEMA personnel were generally seen to exhibit NOPSEMA’s values. Specifically:</w:t>
      </w:r>
    </w:p>
    <w:p w14:paraId="2B9802C7" w14:textId="77777777" w:rsidR="00EB1893" w:rsidRPr="00202C66" w:rsidRDefault="00EB1893" w:rsidP="000C1F53">
      <w:pPr>
        <w:pStyle w:val="BodycopyNEW0"/>
        <w:numPr>
          <w:ilvl w:val="0"/>
          <w:numId w:val="23"/>
        </w:numPr>
        <w:ind w:left="378"/>
      </w:pPr>
      <w:r w:rsidRPr="00202C66">
        <w:t xml:space="preserve">Stakeholders surveyed tended to feel NOPSEMA’s </w:t>
      </w:r>
      <w:r>
        <w:t>personnel</w:t>
      </w:r>
      <w:r w:rsidRPr="00202C66">
        <w:t xml:space="preserve"> behaviours reflected their values for independence (71%), ethics (79%), and professionalism (79%) (percentage of stakeholders who responded ‘strongly agree’ or ‘agree’)</w:t>
      </w:r>
    </w:p>
    <w:p w14:paraId="3BCB8E22" w14:textId="21DFCAD4" w:rsidR="00040EBD" w:rsidRPr="00114494" w:rsidRDefault="00EB1893" w:rsidP="000C1F53">
      <w:pPr>
        <w:pStyle w:val="BodycopyNEW0"/>
        <w:numPr>
          <w:ilvl w:val="0"/>
          <w:numId w:val="23"/>
        </w:numPr>
        <w:ind w:left="378"/>
      </w:pPr>
      <w:r w:rsidRPr="00202C66">
        <w:t>In contrast, NOPSEMA’s leadership (59%) and collegiality (66%) were less favourably viewed.</w:t>
      </w:r>
    </w:p>
    <w:p w14:paraId="3F9AC749" w14:textId="5D7FA6B1" w:rsidR="00EB1893" w:rsidRDefault="00EB1893" w:rsidP="008D69C2">
      <w:pPr>
        <w:pStyle w:val="Caption"/>
        <w:keepNext/>
      </w:pPr>
      <w:bookmarkStart w:id="79" w:name="_Ref63329751"/>
      <w:r>
        <w:t xml:space="preserve">Figure </w:t>
      </w:r>
      <w:r w:rsidR="00AD41F8">
        <w:fldChar w:fldCharType="begin"/>
      </w:r>
      <w:r w:rsidR="00AD41F8">
        <w:instrText xml:space="preserve"> STYLEREF 1 \s </w:instrText>
      </w:r>
      <w:r w:rsidR="00AD41F8">
        <w:fldChar w:fldCharType="separate"/>
      </w:r>
      <w:r w:rsidR="00E816B8">
        <w:rPr>
          <w:noProof/>
        </w:rPr>
        <w:t>7</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7</w:t>
      </w:r>
      <w:r w:rsidR="00AD41F8">
        <w:fldChar w:fldCharType="end"/>
      </w:r>
      <w:bookmarkEnd w:id="79"/>
      <w:r>
        <w:t>: Survey responses to NOPSEMA’s adherence to its values</w:t>
      </w:r>
    </w:p>
    <w:p w14:paraId="2FDC0879" w14:textId="77777777" w:rsidR="00EB1893" w:rsidRDefault="00EB1893" w:rsidP="00EB1893">
      <w:pPr>
        <w:rPr>
          <w:rFonts w:cs="OpenSansRegular"/>
        </w:rPr>
      </w:pPr>
      <w:r w:rsidRPr="0017630D">
        <w:rPr>
          <w:rFonts w:cs="OpenSansRegular"/>
          <w:noProof/>
          <w:lang w:eastAsia="en-AU"/>
        </w:rPr>
        <w:drawing>
          <wp:inline distT="0" distB="0" distL="0" distR="0" wp14:anchorId="0D2D9137" wp14:editId="1670761A">
            <wp:extent cx="6264000" cy="3060000"/>
            <wp:effectExtent l="0" t="0" r="3810" b="7620"/>
            <wp:docPr id="1179951872" name="Chart 117995187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E139C84-F189-47E8-9DA0-95BB353D9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085CE4BA" w14:textId="6D2437AD" w:rsidR="00752E15" w:rsidRPr="00114494" w:rsidRDefault="00EB1893" w:rsidP="00114494">
      <w:pPr>
        <w:pStyle w:val="Caption"/>
        <w:rPr>
          <w:b w:val="0"/>
          <w:i/>
          <w:color w:val="75787B" w:themeColor="accent6"/>
        </w:rPr>
      </w:pPr>
      <w:r w:rsidRPr="00901C7B">
        <w:rPr>
          <w:b w:val="0"/>
          <w:bCs/>
          <w:i/>
          <w:iCs w:val="0"/>
          <w:color w:val="75787B" w:themeColor="accent6"/>
        </w:rPr>
        <w:t>Source: Deloitte Stakeholder Survey, Deloitte analysis</w:t>
      </w:r>
    </w:p>
    <w:p w14:paraId="7C18458D" w14:textId="3F272CD3" w:rsidR="005D5E52" w:rsidRDefault="009C7DE7" w:rsidP="00684A6B">
      <w:pPr>
        <w:pStyle w:val="Heading1"/>
        <w:ind w:right="2351"/>
      </w:pPr>
      <w:bookmarkStart w:id="80" w:name="_Toc63970845"/>
      <w:bookmarkStart w:id="81" w:name="_Ref63972900"/>
      <w:r>
        <w:rPr>
          <w:noProof/>
          <w:lang w:eastAsia="en-AU"/>
        </w:rPr>
        <w:lastRenderedPageBreak/>
        <w:drawing>
          <wp:anchor distT="0" distB="0" distL="114300" distR="114300" simplePos="0" relativeHeight="251658253" behindDoc="1" locked="0" layoutInCell="1" allowOverlap="1" wp14:anchorId="0C1E42E0" wp14:editId="56685D7B">
            <wp:simplePos x="0" y="0"/>
            <wp:positionH relativeFrom="page">
              <wp:posOffset>-2540</wp:posOffset>
            </wp:positionH>
            <wp:positionV relativeFrom="paragraph">
              <wp:posOffset>-1262685</wp:posOffset>
            </wp:positionV>
            <wp:extent cx="7559675" cy="10693400"/>
            <wp:effectExtent l="0" t="0" r="317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r w:rsidR="005D5E52">
        <w:t xml:space="preserve">How </w:t>
      </w:r>
      <w:r w:rsidR="001D32BA">
        <w:t xml:space="preserve">does </w:t>
      </w:r>
      <w:r w:rsidR="00024830">
        <w:t xml:space="preserve">the </w:t>
      </w:r>
      <w:r w:rsidR="005D5E52">
        <w:t xml:space="preserve">NOPSEMA </w:t>
      </w:r>
      <w:r w:rsidR="00900779">
        <w:t>Advisory B</w:t>
      </w:r>
      <w:r w:rsidR="005D5E52">
        <w:t xml:space="preserve">oard </w:t>
      </w:r>
      <w:r w:rsidR="00024830">
        <w:t>enable</w:t>
      </w:r>
      <w:r w:rsidR="001D32BA">
        <w:t xml:space="preserve"> </w:t>
      </w:r>
      <w:r w:rsidR="00C96C76">
        <w:t>NOPSEMA</w:t>
      </w:r>
      <w:r w:rsidR="005D5E52">
        <w:t xml:space="preserve"> to carry out its functions</w:t>
      </w:r>
      <w:r w:rsidR="001D32BA">
        <w:t>?</w:t>
      </w:r>
      <w:bookmarkEnd w:id="80"/>
      <w:bookmarkEnd w:id="81"/>
    </w:p>
    <w:p w14:paraId="78DE6128" w14:textId="77777777" w:rsidR="00684A6B" w:rsidRDefault="00684A6B" w:rsidP="009C7DE7">
      <w:pPr>
        <w:pStyle w:val="Keypoints"/>
      </w:pPr>
    </w:p>
    <w:p w14:paraId="0A4BB0C2" w14:textId="41691F31" w:rsidR="009C7DE7" w:rsidRPr="00A706C4" w:rsidRDefault="009C7DE7" w:rsidP="009C7DE7">
      <w:pPr>
        <w:pStyle w:val="Keypoints"/>
      </w:pPr>
      <w:r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4536"/>
        <w:gridCol w:w="5328"/>
      </w:tblGrid>
      <w:tr w:rsidR="009C7DE7" w14:paraId="3BF852C0" w14:textId="77777777" w:rsidTr="00D446BE">
        <w:trPr>
          <w:cnfStyle w:val="100000000000" w:firstRow="1" w:lastRow="0" w:firstColumn="0" w:lastColumn="0" w:oddVBand="0" w:evenVBand="0" w:oddHBand="0" w:evenHBand="0" w:firstRowFirstColumn="0" w:firstRowLastColumn="0" w:lastRowFirstColumn="0" w:lastRowLastColumn="0"/>
        </w:trPr>
        <w:tc>
          <w:tcPr>
            <w:tcW w:w="4536" w:type="dxa"/>
            <w:shd w:val="clear" w:color="auto" w:fill="auto"/>
          </w:tcPr>
          <w:p w14:paraId="29D72B55" w14:textId="65EA9F4A" w:rsidR="009C7DE7" w:rsidRPr="00040C83" w:rsidRDefault="009C7DE7" w:rsidP="009C7DE7">
            <w:pPr>
              <w:spacing w:after="120"/>
              <w:rPr>
                <w:rFonts w:ascii="Calibri" w:hAnsi="Calibri"/>
                <w:b/>
                <w:bCs/>
                <w:sz w:val="20"/>
                <w:szCs w:val="20"/>
              </w:rPr>
            </w:pPr>
            <w:r w:rsidRPr="00040C83">
              <w:rPr>
                <w:rFonts w:ascii="Calibri" w:hAnsi="Calibri"/>
                <w:b/>
                <w:bCs/>
                <w:sz w:val="20"/>
                <w:szCs w:val="20"/>
              </w:rPr>
              <w:t>NOPSEMA’s advisory board is not a governance boar</w:t>
            </w:r>
            <w:r w:rsidR="00BA31B0" w:rsidRPr="00040C83">
              <w:rPr>
                <w:rFonts w:ascii="Calibri" w:hAnsi="Calibri"/>
                <w:b/>
                <w:bCs/>
                <w:sz w:val="20"/>
                <w:szCs w:val="20"/>
              </w:rPr>
              <w:t>d</w:t>
            </w:r>
          </w:p>
          <w:p w14:paraId="3EA620BD" w14:textId="77777777" w:rsidR="009C7DE7" w:rsidRPr="00091692" w:rsidRDefault="009C7DE7" w:rsidP="009C7DE7">
            <w:pPr>
              <w:widowControl w:val="0"/>
              <w:spacing w:before="120" w:after="120"/>
              <w:rPr>
                <w:rFonts w:ascii="Calibri Light" w:hAnsi="Calibri Light"/>
              </w:rPr>
            </w:pPr>
            <w:r w:rsidRPr="00091692">
              <w:rPr>
                <w:rFonts w:ascii="Calibri Light" w:hAnsi="Calibri Light"/>
              </w:rPr>
              <w:t>The Advisory Board is not a Board as defined by the Corporations Act. The Advisory Board’s functions under the OPGGS Act include (in summary) the provision of advice and make recommendations to the NOPSEMA CEO about operational policies and strategies to be followed by NOPSEMA in the performance of its functions. In addition, the Advisory Board can provide advice and make recommendations to the responsible Commonwealth Minister, a State Petroleum Minister, the Northern Territory Petroleum Minister, and Ministers responsible for mineral and energy resources matters (including GHG storage).</w:t>
            </w:r>
          </w:p>
          <w:p w14:paraId="0642C9BB" w14:textId="77777777" w:rsidR="009C7DE7" w:rsidRPr="00091692" w:rsidRDefault="009C7DE7" w:rsidP="009C7DE7">
            <w:pPr>
              <w:widowControl w:val="0"/>
              <w:spacing w:before="120" w:after="120"/>
              <w:rPr>
                <w:rFonts w:ascii="Calibri Light" w:hAnsi="Calibri Light"/>
              </w:rPr>
            </w:pPr>
            <w:r w:rsidRPr="00091692">
              <w:rPr>
                <w:rFonts w:ascii="Calibri Light" w:hAnsi="Calibri Light"/>
              </w:rPr>
              <w:t>The Advisory Board has not formally established and made public a Terms of Reference or Charter detailing its scope, role, function, and responsibilities.</w:t>
            </w:r>
          </w:p>
          <w:p w14:paraId="4B41C0F5" w14:textId="77777777" w:rsidR="009C7DE7" w:rsidRPr="00040C83" w:rsidRDefault="009C7DE7" w:rsidP="009C7DE7">
            <w:pPr>
              <w:spacing w:after="120"/>
              <w:rPr>
                <w:rFonts w:ascii="Calibri" w:hAnsi="Calibri"/>
                <w:b/>
                <w:bCs/>
                <w:sz w:val="20"/>
                <w:szCs w:val="20"/>
              </w:rPr>
            </w:pPr>
            <w:r w:rsidRPr="00040C83">
              <w:rPr>
                <w:rFonts w:ascii="Calibri" w:hAnsi="Calibri"/>
                <w:b/>
                <w:bCs/>
                <w:sz w:val="20"/>
                <w:szCs w:val="20"/>
              </w:rPr>
              <w:t>The Advisory Board should take a more active role in helping set NOPSEMA’s strategic direction</w:t>
            </w:r>
          </w:p>
          <w:p w14:paraId="34944F6C" w14:textId="022D81CE" w:rsidR="009C7DE7" w:rsidRPr="00091692" w:rsidRDefault="009C7DE7" w:rsidP="009C7DE7">
            <w:pPr>
              <w:widowControl w:val="0"/>
              <w:spacing w:before="120" w:after="120"/>
              <w:rPr>
                <w:rFonts w:ascii="Calibri Light" w:hAnsi="Calibri Light"/>
              </w:rPr>
            </w:pPr>
            <w:r w:rsidRPr="00091692">
              <w:rPr>
                <w:rFonts w:ascii="Calibri Light" w:hAnsi="Calibri Light"/>
              </w:rPr>
              <w:t>Through our conversations with members of the Advisory Board, we identified</w:t>
            </w:r>
            <w:r w:rsidR="00CC0D8D" w:rsidRPr="00091692">
              <w:rPr>
                <w:rFonts w:ascii="Calibri Light" w:hAnsi="Calibri Light"/>
              </w:rPr>
              <w:t>:</w:t>
            </w:r>
          </w:p>
          <w:p w14:paraId="38B7A299" w14:textId="77777777" w:rsidR="009C7DE7" w:rsidRPr="00091692" w:rsidRDefault="009C7DE7" w:rsidP="000C1F53">
            <w:pPr>
              <w:pStyle w:val="ListParagraph"/>
              <w:widowControl w:val="0"/>
              <w:numPr>
                <w:ilvl w:val="0"/>
                <w:numId w:val="30"/>
              </w:numPr>
              <w:spacing w:before="120" w:after="120"/>
              <w:ind w:left="372"/>
              <w:rPr>
                <w:rFonts w:ascii="Calibri Light" w:hAnsi="Calibri Light"/>
              </w:rPr>
            </w:pPr>
            <w:r w:rsidRPr="00091692">
              <w:rPr>
                <w:rFonts w:ascii="Calibri Light" w:hAnsi="Calibri Light"/>
              </w:rPr>
              <w:t>The Advisory Board is not engaged to identify, analyse, and address risks and trends relevant to the industry. NOPSEMA conducts this in-house</w:t>
            </w:r>
          </w:p>
          <w:p w14:paraId="77E5A28B" w14:textId="02A38105" w:rsidR="009C7DE7" w:rsidRPr="00091692" w:rsidRDefault="009C7DE7" w:rsidP="000C1F53">
            <w:pPr>
              <w:pStyle w:val="ListParagraph"/>
              <w:widowControl w:val="0"/>
              <w:numPr>
                <w:ilvl w:val="0"/>
                <w:numId w:val="30"/>
              </w:numPr>
              <w:spacing w:before="120" w:after="120"/>
              <w:ind w:left="372"/>
              <w:rPr>
                <w:rFonts w:ascii="Calibri Light" w:hAnsi="Calibri Light"/>
              </w:rPr>
            </w:pPr>
            <w:r w:rsidRPr="00091692">
              <w:rPr>
                <w:rFonts w:ascii="Calibri Light" w:hAnsi="Calibri Light"/>
              </w:rPr>
              <w:t xml:space="preserve">The Advisory Board is also not engaged or involved in the development of the Corporate Plan. </w:t>
            </w:r>
          </w:p>
          <w:p w14:paraId="37BC417A" w14:textId="748ED322" w:rsidR="009C7DE7" w:rsidRPr="00340637" w:rsidRDefault="00980F4F" w:rsidP="009C7DE7">
            <w:pPr>
              <w:widowControl w:val="0"/>
              <w:spacing w:before="120" w:after="120"/>
              <w:rPr>
                <w:rFonts w:ascii="Calibri Light" w:hAnsi="Calibri Light"/>
                <w:sz w:val="20"/>
                <w:szCs w:val="20"/>
              </w:rPr>
            </w:pPr>
            <w:r>
              <w:rPr>
                <w:rFonts w:ascii="Calibri Light" w:hAnsi="Calibri Light"/>
              </w:rPr>
              <w:t>T</w:t>
            </w:r>
            <w:r w:rsidR="009C7DE7" w:rsidRPr="00091692">
              <w:rPr>
                <w:rFonts w:ascii="Calibri Light" w:hAnsi="Calibri Light"/>
              </w:rPr>
              <w:t>he above two critical points are opportunities missed to access and utilise the significant experience the Advisory Board offers. These are activities the Advisory Board should be involved in given its function of providing ‘advice and making recommendations to the CEO about operational policies and strategies’ (section 654 of the OPGGS Act).</w:t>
            </w:r>
            <w:r w:rsidR="009C7DE7" w:rsidRPr="00040C83">
              <w:rPr>
                <w:rFonts w:ascii="Calibri Light" w:hAnsi="Calibri Light"/>
              </w:rPr>
              <w:t xml:space="preserve"> </w:t>
            </w:r>
          </w:p>
        </w:tc>
        <w:tc>
          <w:tcPr>
            <w:tcW w:w="5328" w:type="dxa"/>
            <w:shd w:val="clear" w:color="auto" w:fill="auto"/>
          </w:tcPr>
          <w:p w14:paraId="6669B940" w14:textId="45F2F079" w:rsidR="009C7DE7" w:rsidRPr="009C7DE7" w:rsidRDefault="009C7DE7" w:rsidP="009C7DE7">
            <w:pPr>
              <w:spacing w:after="120"/>
              <w:rPr>
                <w:rFonts w:ascii="Calibri" w:hAnsi="Calibri"/>
                <w:b/>
                <w:bCs/>
                <w:sz w:val="20"/>
                <w:szCs w:val="20"/>
              </w:rPr>
            </w:pPr>
            <w:r w:rsidRPr="009C7DE7">
              <w:rPr>
                <w:rFonts w:ascii="Calibri" w:hAnsi="Calibri"/>
                <w:b/>
                <w:bCs/>
                <w:sz w:val="20"/>
                <w:szCs w:val="20"/>
              </w:rPr>
              <w:t>Consideration of the Board’s capabilities with reference to</w:t>
            </w:r>
            <w:r w:rsidR="00BA31B0">
              <w:rPr>
                <w:rFonts w:ascii="Calibri" w:hAnsi="Calibri"/>
                <w:b/>
                <w:bCs/>
                <w:sz w:val="20"/>
                <w:szCs w:val="20"/>
              </w:rPr>
              <w:t xml:space="preserve"> </w:t>
            </w:r>
            <w:r w:rsidRPr="009C7DE7">
              <w:rPr>
                <w:rFonts w:ascii="Calibri" w:hAnsi="Calibri"/>
                <w:b/>
                <w:bCs/>
                <w:sz w:val="20"/>
                <w:szCs w:val="20"/>
              </w:rPr>
              <w:t>significant industry issues must be given</w:t>
            </w:r>
          </w:p>
          <w:p w14:paraId="00F4AC03" w14:textId="2F0BA610" w:rsidR="009C7DE7" w:rsidRPr="00091692" w:rsidRDefault="009C7DE7" w:rsidP="009C7DE7">
            <w:pPr>
              <w:widowControl w:val="0"/>
              <w:spacing w:before="120" w:after="120"/>
              <w:rPr>
                <w:rFonts w:ascii="Calibri Light" w:hAnsi="Calibri Light"/>
              </w:rPr>
            </w:pPr>
            <w:r w:rsidRPr="00091692">
              <w:rPr>
                <w:rFonts w:ascii="Calibri Light" w:hAnsi="Calibri Light"/>
              </w:rPr>
              <w:t xml:space="preserve">On examination of the current composition of the Advisory </w:t>
            </w:r>
            <w:r w:rsidR="001B559F" w:rsidRPr="00091692">
              <w:rPr>
                <w:rFonts w:ascii="Calibri Light" w:hAnsi="Calibri Light"/>
              </w:rPr>
              <w:t>Board, it</w:t>
            </w:r>
            <w:r w:rsidRPr="00091692">
              <w:rPr>
                <w:rFonts w:ascii="Calibri Light" w:hAnsi="Calibri Light"/>
              </w:rPr>
              <w:t xml:space="preserve"> has a diverse range of skillsets and industry or academic experience to support NOPSEMA in its decision-making. The Board reflects the current thinking of NOPSEMA in so far as there is a significant focus on </w:t>
            </w:r>
            <w:r w:rsidR="00B52C2B" w:rsidRPr="00091692">
              <w:rPr>
                <w:rFonts w:ascii="Calibri Light" w:hAnsi="Calibri Light"/>
              </w:rPr>
              <w:t>‘</w:t>
            </w:r>
            <w:r w:rsidRPr="00091692">
              <w:rPr>
                <w:rFonts w:ascii="Calibri Light" w:hAnsi="Calibri Light"/>
              </w:rPr>
              <w:t>top-end</w:t>
            </w:r>
            <w:r w:rsidR="00B52C2B" w:rsidRPr="00091692">
              <w:rPr>
                <w:rFonts w:ascii="Calibri Light" w:hAnsi="Calibri Light"/>
              </w:rPr>
              <w:t>’</w:t>
            </w:r>
            <w:r w:rsidRPr="00091692">
              <w:rPr>
                <w:rFonts w:ascii="Calibri Light" w:hAnsi="Calibri Light"/>
              </w:rPr>
              <w:t xml:space="preserve"> MAEs. Whilst</w:t>
            </w:r>
            <w:r w:rsidR="00D2232E">
              <w:rPr>
                <w:rFonts w:ascii="Calibri Light" w:hAnsi="Calibri Light"/>
              </w:rPr>
              <w:t xml:space="preserve"> our findings support that MAEs are</w:t>
            </w:r>
            <w:r w:rsidR="00B52C2B" w:rsidRPr="00091692">
              <w:rPr>
                <w:rFonts w:ascii="Calibri Light" w:hAnsi="Calibri Light"/>
              </w:rPr>
              <w:t xml:space="preserve"> an important focus </w:t>
            </w:r>
            <w:r w:rsidR="001B559F" w:rsidRPr="00091692">
              <w:rPr>
                <w:rFonts w:ascii="Calibri Light" w:hAnsi="Calibri Light"/>
              </w:rPr>
              <w:t>area, there</w:t>
            </w:r>
            <w:r w:rsidRPr="00091692">
              <w:rPr>
                <w:rFonts w:ascii="Calibri Light" w:hAnsi="Calibri Light"/>
              </w:rPr>
              <w:t xml:space="preserve"> are other risk factors that ought to receive </w:t>
            </w:r>
            <w:r w:rsidR="00B52C2B" w:rsidRPr="00091692">
              <w:rPr>
                <w:rFonts w:ascii="Calibri Light" w:hAnsi="Calibri Light"/>
              </w:rPr>
              <w:t>further attention to reflect the</w:t>
            </w:r>
            <w:r w:rsidRPr="00091692">
              <w:rPr>
                <w:rFonts w:ascii="Calibri Light" w:hAnsi="Calibri Light"/>
              </w:rPr>
              <w:t xml:space="preserve"> need</w:t>
            </w:r>
            <w:r w:rsidR="00B52C2B" w:rsidRPr="00091692">
              <w:rPr>
                <w:rFonts w:ascii="Calibri Light" w:hAnsi="Calibri Light"/>
              </w:rPr>
              <w:t>s</w:t>
            </w:r>
            <w:r w:rsidRPr="00091692">
              <w:rPr>
                <w:rFonts w:ascii="Calibri Light" w:hAnsi="Calibri Light"/>
              </w:rPr>
              <w:t xml:space="preserve"> of the industry – factors such as mental health, decommissioning and financial assurance practices.</w:t>
            </w:r>
          </w:p>
          <w:p w14:paraId="7D07B544" w14:textId="77777777" w:rsidR="009C7DE7" w:rsidRDefault="009C7DE7" w:rsidP="009C7DE7">
            <w:pPr>
              <w:spacing w:after="120"/>
              <w:rPr>
                <w:rFonts w:ascii="Calibri" w:hAnsi="Calibri"/>
                <w:b/>
                <w:bCs/>
                <w:sz w:val="20"/>
                <w:szCs w:val="20"/>
              </w:rPr>
            </w:pPr>
            <w:r w:rsidRPr="009C7DE7">
              <w:rPr>
                <w:rFonts w:ascii="Calibri" w:hAnsi="Calibri"/>
                <w:b/>
                <w:bCs/>
                <w:sz w:val="20"/>
                <w:szCs w:val="20"/>
              </w:rPr>
              <w:t>An examination of the merits of an Advisory versus Governing Board structure is warranted</w:t>
            </w:r>
          </w:p>
          <w:p w14:paraId="1CAD2BB1" w14:textId="0941AD19" w:rsidR="00D446BE" w:rsidRPr="00091692" w:rsidRDefault="00855A55" w:rsidP="00D446BE">
            <w:pPr>
              <w:pStyle w:val="BodyCopyNEW"/>
              <w:rPr>
                <w:szCs w:val="18"/>
              </w:rPr>
            </w:pPr>
            <w:r>
              <w:t>A</w:t>
            </w:r>
            <w:r w:rsidR="00D446BE" w:rsidRPr="00091692">
              <w:t xml:space="preserve">dditional value will be obtained by the Advisory Board “stepping in” to provide greater levels of oversight and support to NOPSEMA. The Advisory Board, through its strength of composition, skill, and experience, has value to add to the strategic direction setting and ongoing management of the regulator. The Advisory Board taking a greater role in increasing transparency and demonstrating a level of oversight could help address issues relating to trust and confidence in NOPSEMA. With this increased role for the Board, there should be consideration as to whether an Advisory Board is the correct structure, or a Governing Board should be formed. </w:t>
            </w:r>
            <w:r w:rsidR="00D446BE" w:rsidRPr="00091692">
              <w:rPr>
                <w:szCs w:val="18"/>
              </w:rPr>
              <w:t>A Governing Board could provide more structure with regard to the dual outcomes of compliance and performance. The exact remit of a NOPSEMA Governing Board would need to be thoughtfully considered, but the Board could take on some more formal, traditional Board responsibilities including coaching and supporting the CEO to achieve high levels of compliance and performance and also being involved in evaluating the CEO’s performance.</w:t>
            </w:r>
          </w:p>
          <w:p w14:paraId="09CA31E9" w14:textId="4C201FAD" w:rsidR="00D446BE" w:rsidRPr="009C39BA" w:rsidRDefault="00D446BE" w:rsidP="00D446BE">
            <w:pPr>
              <w:spacing w:after="120"/>
              <w:rPr>
                <w:rFonts w:ascii="Calibri" w:hAnsi="Calibri" w:cstheme="minorHAnsi"/>
                <w:b/>
                <w:bCs/>
              </w:rPr>
            </w:pPr>
            <w:r w:rsidRPr="009C39BA">
              <w:rPr>
                <w:rFonts w:ascii="Calibri" w:hAnsi="Calibri"/>
                <w:b/>
                <w:bCs/>
              </w:rPr>
              <w:t xml:space="preserve">Recommendations: </w:t>
            </w:r>
            <w:r w:rsidR="00CA55E9" w:rsidRPr="009C39BA">
              <w:rPr>
                <w:rFonts w:ascii="Calibri" w:hAnsi="Calibri"/>
                <w:b/>
                <w:bCs/>
                <w:color w:val="00ABAB"/>
              </w:rPr>
              <w:t>12, 13, 14, 15, 16</w:t>
            </w:r>
          </w:p>
          <w:p w14:paraId="4577A7D0" w14:textId="2CE97D41" w:rsidR="009C7DE7" w:rsidRPr="009C7DE7" w:rsidRDefault="00D446BE" w:rsidP="009C7DE7">
            <w:pPr>
              <w:spacing w:after="120"/>
              <w:rPr>
                <w:rFonts w:ascii="Calibri" w:hAnsi="Calibri"/>
                <w:b/>
                <w:bCs/>
                <w:sz w:val="20"/>
                <w:szCs w:val="20"/>
              </w:rPr>
            </w:pPr>
            <w:r w:rsidRPr="009C39BA">
              <w:rPr>
                <w:rFonts w:ascii="Calibri" w:hAnsi="Calibri"/>
                <w:b/>
                <w:bCs/>
              </w:rPr>
              <w:t xml:space="preserve">Opportunities: </w:t>
            </w:r>
            <w:r w:rsidRPr="009C39BA">
              <w:rPr>
                <w:rFonts w:ascii="Calibri" w:hAnsi="Calibri"/>
                <w:b/>
                <w:color w:val="00ABAB"/>
              </w:rPr>
              <w:t>No opportunities were identified in this section</w:t>
            </w:r>
          </w:p>
        </w:tc>
      </w:tr>
    </w:tbl>
    <w:p w14:paraId="58015EE4" w14:textId="7E7E5DD8" w:rsidR="00AF5E83" w:rsidRDefault="00AF5E83" w:rsidP="009D1463">
      <w:pPr>
        <w:spacing w:after="0"/>
        <w:rPr>
          <w:rFonts w:ascii="Calibri Light" w:hAnsi="Calibri Light" w:cs="Calibri Light"/>
          <w:szCs w:val="20"/>
        </w:rPr>
      </w:pPr>
      <w:r>
        <w:br w:type="page"/>
      </w:r>
    </w:p>
    <w:p w14:paraId="1FD70CAA" w14:textId="3B99389A" w:rsidR="00AF5E83" w:rsidRPr="00461A9E" w:rsidRDefault="00AF5E83" w:rsidP="009D1463">
      <w:pPr>
        <w:pStyle w:val="BodyCopyNEW"/>
      </w:pPr>
      <w:r>
        <w:lastRenderedPageBreak/>
        <w:t xml:space="preserve">NOPSEMA’s Advisory Board is a key element of NOPSEMA’s overall </w:t>
      </w:r>
      <w:r w:rsidR="00B52D20">
        <w:t>model</w:t>
      </w:r>
      <w:r w:rsidR="00225AA8">
        <w:t xml:space="preserve">. Properly utilised, the Advisory Board provides a </w:t>
      </w:r>
      <w:r w:rsidR="00A1169C">
        <w:t>sounding board for NOPSEMA leadership, a source of strategic expertise, and a means to improve regulatory effectiveness.</w:t>
      </w:r>
    </w:p>
    <w:p w14:paraId="180D93CD" w14:textId="1F56C56D" w:rsidR="00AF5E83" w:rsidRPr="002027C8" w:rsidRDefault="00AF5E83" w:rsidP="009D1463">
      <w:pPr>
        <w:pStyle w:val="BodyCopyNEW"/>
      </w:pPr>
      <w:r>
        <w:t>We begin with a</w:t>
      </w:r>
      <w:r w:rsidR="00A1169C">
        <w:t xml:space="preserve"> discussion of the role of the Advisory Board and its limitations (</w:t>
      </w:r>
      <w:r w:rsidR="00A1169C" w:rsidRPr="00901C7B">
        <w:rPr>
          <w:b/>
          <w:bCs/>
        </w:rPr>
        <w:t xml:space="preserve">subsection </w:t>
      </w:r>
      <w:r w:rsidR="007C348F">
        <w:rPr>
          <w:b/>
          <w:bCs/>
        </w:rPr>
        <w:fldChar w:fldCharType="begin"/>
      </w:r>
      <w:r w:rsidR="007C348F">
        <w:rPr>
          <w:b/>
          <w:bCs/>
        </w:rPr>
        <w:instrText xml:space="preserve"> REF _Ref58593847 \r \h </w:instrText>
      </w:r>
      <w:r w:rsidR="007C348F">
        <w:rPr>
          <w:b/>
          <w:bCs/>
        </w:rPr>
      </w:r>
      <w:r w:rsidR="007C348F">
        <w:rPr>
          <w:b/>
          <w:bCs/>
        </w:rPr>
        <w:fldChar w:fldCharType="separate"/>
      </w:r>
      <w:r w:rsidR="00E816B8">
        <w:rPr>
          <w:b/>
          <w:bCs/>
        </w:rPr>
        <w:t>8.1</w:t>
      </w:r>
      <w:r w:rsidR="007C348F">
        <w:rPr>
          <w:b/>
          <w:bCs/>
        </w:rPr>
        <w:fldChar w:fldCharType="end"/>
      </w:r>
      <w:r w:rsidR="00A1169C">
        <w:t>). Next, we examine the role of the Advisory Board in helping establish the strategic direction of NOPSEMA (</w:t>
      </w:r>
      <w:r w:rsidR="00A1169C" w:rsidRPr="00901C7B">
        <w:rPr>
          <w:b/>
          <w:bCs/>
        </w:rPr>
        <w:t xml:space="preserve">subsection </w:t>
      </w:r>
      <w:r w:rsidR="007C348F">
        <w:rPr>
          <w:b/>
          <w:bCs/>
        </w:rPr>
        <w:fldChar w:fldCharType="begin"/>
      </w:r>
      <w:r w:rsidR="007C348F">
        <w:rPr>
          <w:b/>
          <w:bCs/>
        </w:rPr>
        <w:instrText xml:space="preserve"> REF _Ref58593854 \r \h </w:instrText>
      </w:r>
      <w:r w:rsidR="007C348F">
        <w:rPr>
          <w:b/>
          <w:bCs/>
        </w:rPr>
      </w:r>
      <w:r w:rsidR="007C348F">
        <w:rPr>
          <w:b/>
          <w:bCs/>
        </w:rPr>
        <w:fldChar w:fldCharType="separate"/>
      </w:r>
      <w:r w:rsidR="00E816B8">
        <w:rPr>
          <w:b/>
          <w:bCs/>
        </w:rPr>
        <w:t>8.2</w:t>
      </w:r>
      <w:r w:rsidR="007C348F">
        <w:rPr>
          <w:b/>
          <w:bCs/>
        </w:rPr>
        <w:fldChar w:fldCharType="end"/>
      </w:r>
      <w:r w:rsidR="00A1169C">
        <w:t>). We then assess the current capabilities and expertise of the Advisory Board with reference to NOPSEMA’s functions and the direction of the industry (</w:t>
      </w:r>
      <w:r w:rsidR="00A1169C" w:rsidRPr="00901C7B">
        <w:rPr>
          <w:b/>
          <w:bCs/>
        </w:rPr>
        <w:t xml:space="preserve">subsection </w:t>
      </w:r>
      <w:r w:rsidR="007C348F">
        <w:rPr>
          <w:b/>
          <w:bCs/>
        </w:rPr>
        <w:fldChar w:fldCharType="begin"/>
      </w:r>
      <w:r w:rsidR="007C348F">
        <w:rPr>
          <w:b/>
          <w:bCs/>
        </w:rPr>
        <w:instrText xml:space="preserve"> REF _Ref58593860 \r \h </w:instrText>
      </w:r>
      <w:r w:rsidR="007C348F">
        <w:rPr>
          <w:b/>
          <w:bCs/>
        </w:rPr>
      </w:r>
      <w:r w:rsidR="007C348F">
        <w:rPr>
          <w:b/>
          <w:bCs/>
        </w:rPr>
        <w:fldChar w:fldCharType="separate"/>
      </w:r>
      <w:r w:rsidR="00E816B8">
        <w:rPr>
          <w:b/>
          <w:bCs/>
        </w:rPr>
        <w:t>8.3</w:t>
      </w:r>
      <w:r w:rsidR="007C348F">
        <w:rPr>
          <w:b/>
          <w:bCs/>
        </w:rPr>
        <w:fldChar w:fldCharType="end"/>
      </w:r>
      <w:r w:rsidR="00A1169C">
        <w:t xml:space="preserve">). We conclude </w:t>
      </w:r>
      <w:r w:rsidR="007C348F">
        <w:t xml:space="preserve">in </w:t>
      </w:r>
      <w:r w:rsidR="007C348F" w:rsidRPr="00901C7B">
        <w:rPr>
          <w:b/>
          <w:bCs/>
        </w:rPr>
        <w:t xml:space="preserve">subsection </w:t>
      </w:r>
      <w:r w:rsidR="007C348F">
        <w:rPr>
          <w:b/>
          <w:bCs/>
        </w:rPr>
        <w:fldChar w:fldCharType="begin"/>
      </w:r>
      <w:r w:rsidR="007C348F">
        <w:rPr>
          <w:b/>
          <w:bCs/>
        </w:rPr>
        <w:instrText xml:space="preserve"> REF _Ref58593866 \r \h </w:instrText>
      </w:r>
      <w:r w:rsidR="007C348F">
        <w:rPr>
          <w:b/>
          <w:bCs/>
        </w:rPr>
      </w:r>
      <w:r w:rsidR="007C348F">
        <w:rPr>
          <w:b/>
          <w:bCs/>
        </w:rPr>
        <w:fldChar w:fldCharType="separate"/>
      </w:r>
      <w:r w:rsidR="00E816B8">
        <w:rPr>
          <w:b/>
          <w:bCs/>
        </w:rPr>
        <w:t>8.4</w:t>
      </w:r>
      <w:r w:rsidR="007C348F">
        <w:rPr>
          <w:b/>
          <w:bCs/>
        </w:rPr>
        <w:fldChar w:fldCharType="end"/>
      </w:r>
      <w:r w:rsidR="007C348F">
        <w:t xml:space="preserve"> </w:t>
      </w:r>
      <w:r w:rsidR="00A1169C">
        <w:t xml:space="preserve">with a </w:t>
      </w:r>
      <w:r w:rsidR="00F824B6">
        <w:t xml:space="preserve">discussion on the learnings from </w:t>
      </w:r>
      <w:r w:rsidR="007C348F">
        <w:t>other reviews into boards and whether or not the Advisory Board should be reformed as a Governing Board.</w:t>
      </w:r>
    </w:p>
    <w:p w14:paraId="65CCCC2B" w14:textId="04C01564" w:rsidR="004640AC" w:rsidRPr="00CD430D" w:rsidRDefault="0071394A" w:rsidP="00AE2D6E">
      <w:pPr>
        <w:pStyle w:val="Heading2"/>
        <w:numPr>
          <w:ilvl w:val="1"/>
          <w:numId w:val="1"/>
        </w:numPr>
      </w:pPr>
      <w:bookmarkStart w:id="82" w:name="_Ref58593847"/>
      <w:r>
        <w:t xml:space="preserve">The </w:t>
      </w:r>
      <w:r w:rsidR="003512BB">
        <w:t xml:space="preserve">role and </w:t>
      </w:r>
      <w:r w:rsidR="00315082">
        <w:t>function</w:t>
      </w:r>
      <w:r w:rsidR="00387531">
        <w:t xml:space="preserve"> of the </w:t>
      </w:r>
      <w:r>
        <w:t>NOPSEMA Advisory Board</w:t>
      </w:r>
      <w:bookmarkEnd w:id="82"/>
    </w:p>
    <w:p w14:paraId="43BA4B93" w14:textId="605207C2" w:rsidR="004A6533" w:rsidRPr="004A6533" w:rsidRDefault="004A6533" w:rsidP="005D061C">
      <w:pPr>
        <w:pStyle w:val="Heading3NoNumber"/>
      </w:pPr>
      <w:r>
        <w:t>The NOPSEMA Advisory Board is not a governing board</w:t>
      </w:r>
    </w:p>
    <w:p w14:paraId="62324371" w14:textId="1FC62E16" w:rsidR="00660E85" w:rsidRPr="005F11FC" w:rsidRDefault="001F40C1" w:rsidP="005D061C">
      <w:pPr>
        <w:pStyle w:val="BodyCopyNEW"/>
      </w:pPr>
      <w:r>
        <w:t>S</w:t>
      </w:r>
      <w:r w:rsidR="002C3309">
        <w:t xml:space="preserve">ection </w:t>
      </w:r>
      <w:r w:rsidR="005F11FC">
        <w:t>653 of the OPGGS Act</w:t>
      </w:r>
      <w:r w:rsidR="004D563A">
        <w:t xml:space="preserve"> establishes </w:t>
      </w:r>
      <w:r w:rsidR="005F11FC">
        <w:t xml:space="preserve">the NOPSEMA </w:t>
      </w:r>
      <w:r w:rsidR="00ED23A3">
        <w:t xml:space="preserve">Advisory </w:t>
      </w:r>
      <w:r w:rsidR="005F11FC">
        <w:t>Board</w:t>
      </w:r>
      <w:r w:rsidR="00FE7338">
        <w:t>. A board</w:t>
      </w:r>
      <w:r w:rsidR="005F11FC">
        <w:t xml:space="preserve"> was </w:t>
      </w:r>
      <w:r w:rsidR="003D7597">
        <w:t xml:space="preserve">initially </w:t>
      </w:r>
      <w:r w:rsidR="005F11FC">
        <w:t xml:space="preserve">established </w:t>
      </w:r>
      <w:r w:rsidR="003512BB">
        <w:t xml:space="preserve">with the formation of NOPSA (and reformed with the </w:t>
      </w:r>
      <w:r w:rsidR="00CE1AA8">
        <w:t xml:space="preserve">expansion of NOPSA’s powers </w:t>
      </w:r>
      <w:r w:rsidR="003512BB">
        <w:t xml:space="preserve">in </w:t>
      </w:r>
      <w:r w:rsidR="00C12664">
        <w:t>2014</w:t>
      </w:r>
      <w:r w:rsidR="00A6633C">
        <w:t>)</w:t>
      </w:r>
      <w:r w:rsidR="005F11FC">
        <w:t>.</w:t>
      </w:r>
      <w:r w:rsidR="00ED6236" w:rsidRPr="00ED6236">
        <w:t xml:space="preserve"> </w:t>
      </w:r>
      <w:r w:rsidR="00660E85">
        <w:t>The Advisory Board’s functions are outlined</w:t>
      </w:r>
      <w:r w:rsidR="00D9397A">
        <w:t xml:space="preserve"> </w:t>
      </w:r>
      <w:r w:rsidR="00660E85">
        <w:t>at s</w:t>
      </w:r>
      <w:r w:rsidR="002C3309">
        <w:t xml:space="preserve">ection </w:t>
      </w:r>
      <w:r w:rsidR="00660E85">
        <w:t>654 of the OPGGS Act to include (in summary):</w:t>
      </w:r>
    </w:p>
    <w:p w14:paraId="3D523851" w14:textId="4FF5551F" w:rsidR="00660E85" w:rsidRPr="00C33D8D" w:rsidRDefault="00660E85" w:rsidP="000C1F53">
      <w:pPr>
        <w:pStyle w:val="BodycopyNEW0"/>
        <w:numPr>
          <w:ilvl w:val="0"/>
          <w:numId w:val="23"/>
        </w:numPr>
        <w:ind w:left="378"/>
      </w:pPr>
      <w:r w:rsidRPr="00C33D8D">
        <w:t xml:space="preserve">To give advice and </w:t>
      </w:r>
      <w:r w:rsidR="000E04F1">
        <w:t>make</w:t>
      </w:r>
      <w:r w:rsidRPr="00C33D8D">
        <w:t xml:space="preserve"> recommendations to the CEO about operational policies and strategies to be followed by NOPSEMA in the performance of its functions</w:t>
      </w:r>
    </w:p>
    <w:p w14:paraId="16475558" w14:textId="15A05CED" w:rsidR="00660E85" w:rsidRDefault="00660E85" w:rsidP="000C1F53">
      <w:pPr>
        <w:pStyle w:val="BodycopyNEW0"/>
        <w:numPr>
          <w:ilvl w:val="0"/>
          <w:numId w:val="23"/>
        </w:numPr>
        <w:ind w:left="378"/>
      </w:pPr>
      <w:r w:rsidRPr="00C33D8D">
        <w:t xml:space="preserve">To </w:t>
      </w:r>
      <w:r w:rsidR="00ED23A3">
        <w:t>advis</w:t>
      </w:r>
      <w:r w:rsidRPr="00C33D8D">
        <w:t>e and made recommendations to the responsible Commonwealth Minister, a State Petroleum Minister, the Northern Territory Petroleum Minister, and Ministers responsible for mineral and energy resources matters</w:t>
      </w:r>
      <w:r>
        <w:t xml:space="preserve"> (including Greenhouse Gas Storage)</w:t>
      </w:r>
      <w:r w:rsidRPr="00C33D8D">
        <w:t xml:space="preserve">. The </w:t>
      </w:r>
      <w:r w:rsidR="00ED23A3">
        <w:t xml:space="preserve">Advisory </w:t>
      </w:r>
      <w:r w:rsidRPr="00C33D8D">
        <w:t>Board</w:t>
      </w:r>
      <w:r w:rsidR="004A6533">
        <w:t>’</w:t>
      </w:r>
      <w:r w:rsidRPr="00C33D8D">
        <w:t xml:space="preserve">s advice can relate to policy or strategic matters relating to OHS of persons engaged in offshore petroleum operations, structural integrity of facilities, wells or well-related equipment in NOPSEMA’s waters, offshore petroleum environmental management, and the performance </w:t>
      </w:r>
      <w:r w:rsidR="00ED23A3">
        <w:t>of</w:t>
      </w:r>
      <w:r w:rsidRPr="00C33D8D">
        <w:t xml:space="preserve"> NOPSEMA </w:t>
      </w:r>
      <w:r w:rsidR="00ED23A3">
        <w:t>in delivering</w:t>
      </w:r>
      <w:r w:rsidRPr="00C33D8D">
        <w:t xml:space="preserve"> its functions</w:t>
      </w:r>
      <w:r w:rsidR="00ED6236">
        <w:t>.</w:t>
      </w:r>
    </w:p>
    <w:p w14:paraId="557F292C" w14:textId="4232406E" w:rsidR="00ED6236" w:rsidRDefault="005F11FC" w:rsidP="005D061C">
      <w:pPr>
        <w:pStyle w:val="BodyCopyNEW"/>
      </w:pPr>
      <w:r>
        <w:t xml:space="preserve">Importantly, the </w:t>
      </w:r>
      <w:r w:rsidR="00ED23A3">
        <w:t>Advisory</w:t>
      </w:r>
      <w:r>
        <w:t xml:space="preserve"> Board is not a Board</w:t>
      </w:r>
      <w:r w:rsidR="002A2CC9">
        <w:t xml:space="preserve"> as defined by the Corporations Act</w:t>
      </w:r>
      <w:r>
        <w:t xml:space="preserve">. The Board was established as an Advisory Board, meaning </w:t>
      </w:r>
      <w:r w:rsidR="00163C9B">
        <w:t>it’s</w:t>
      </w:r>
      <w:r>
        <w:t xml:space="preserve"> remit is limited to the provision of advice either on request (by the CEO or other accepted party</w:t>
      </w:r>
      <w:r w:rsidR="00163C9B">
        <w:t xml:space="preserve"> e.g. Commonwealth Minister</w:t>
      </w:r>
      <w:r>
        <w:t xml:space="preserve">) or proactively if the </w:t>
      </w:r>
      <w:r w:rsidR="00BF6C49">
        <w:t>Advisory</w:t>
      </w:r>
      <w:r>
        <w:t xml:space="preserve"> Board deems there is a risk, issue, or trend that the regulator needs to pay significant attention.</w:t>
      </w:r>
      <w:r w:rsidR="00ED6236" w:rsidRPr="00ED6236">
        <w:t xml:space="preserve"> </w:t>
      </w:r>
      <w:r w:rsidR="00F47B0F">
        <w:t xml:space="preserve">The reason for being an </w:t>
      </w:r>
      <w:r w:rsidR="005C4737">
        <w:t>Advisory</w:t>
      </w:r>
      <w:r w:rsidR="00F47B0F">
        <w:t xml:space="preserve"> Board </w:t>
      </w:r>
      <w:r w:rsidR="002D50A8">
        <w:t xml:space="preserve">now </w:t>
      </w:r>
      <w:r w:rsidR="00F47B0F">
        <w:t xml:space="preserve">is not clear </w:t>
      </w:r>
      <w:r w:rsidR="005C4737">
        <w:t>–</w:t>
      </w:r>
      <w:r w:rsidR="00F47B0F">
        <w:t xml:space="preserve"> </w:t>
      </w:r>
      <w:r w:rsidR="005C4737">
        <w:t>with no specific requirement or expectation outlined in the OPGGS Act</w:t>
      </w:r>
      <w:r w:rsidR="004B2FAE">
        <w:t xml:space="preserve"> or </w:t>
      </w:r>
      <w:r w:rsidR="00E81937">
        <w:t>by government</w:t>
      </w:r>
      <w:r w:rsidR="005C4737">
        <w:t xml:space="preserve">. </w:t>
      </w:r>
      <w:r w:rsidR="00ED6236">
        <w:t xml:space="preserve">The Australian Institute of Company Directors states that </w:t>
      </w:r>
      <w:r w:rsidR="00ED6236" w:rsidRPr="00901C7B">
        <w:rPr>
          <w:i/>
          <w:iCs/>
        </w:rPr>
        <w:t>“good advisory boards can give fresh insights and thinking on emerging or unfamiliar issues, respond to ideas from management, play devil’s advocate and supply high quality objective advice to support the main board’s decision-making</w:t>
      </w:r>
      <w:r w:rsidR="00ED6236" w:rsidRPr="00901C7B">
        <w:rPr>
          <w:rStyle w:val="FootnoteReference"/>
          <w:sz w:val="18"/>
          <w:szCs w:val="18"/>
        </w:rPr>
        <w:footnoteReference w:id="34"/>
      </w:r>
      <w:r w:rsidR="00ED6236">
        <w:t>.</w:t>
      </w:r>
      <w:r w:rsidR="00C51A9F" w:rsidRPr="00901C7B">
        <w:rPr>
          <w:i/>
          <w:iCs/>
        </w:rPr>
        <w:t>”</w:t>
      </w:r>
    </w:p>
    <w:p w14:paraId="715476A7" w14:textId="0C4E1AFC" w:rsidR="00BF6C49" w:rsidRPr="00BF6C49" w:rsidRDefault="00BF6C49" w:rsidP="005D061C">
      <w:pPr>
        <w:pStyle w:val="Heading3NoNumber"/>
      </w:pPr>
      <w:r>
        <w:t xml:space="preserve">There is no Terms of Reference or Charter that defining the </w:t>
      </w:r>
      <w:r w:rsidR="006552F6">
        <w:t>scope, role, functions, and responsibilities of the Advisory Board</w:t>
      </w:r>
    </w:p>
    <w:p w14:paraId="18942C90" w14:textId="10E2B5FF" w:rsidR="005F11FC" w:rsidRDefault="005F11FC" w:rsidP="005D061C">
      <w:pPr>
        <w:pStyle w:val="BodyCopyNEW"/>
      </w:pPr>
      <w:r>
        <w:t xml:space="preserve">NOPSEMA’s Advisory Board members are not ‘directors’ for the purposes of relevant legislation or at general law and do not have a fiduciary duty. Their role should be defined by a term of reference or relevant charter that clearly outlines its scope, </w:t>
      </w:r>
      <w:r w:rsidR="00690292">
        <w:t xml:space="preserve">role, </w:t>
      </w:r>
      <w:r>
        <w:t>function, responsibilities</w:t>
      </w:r>
      <w:r w:rsidR="006552F6">
        <w:t>.</w:t>
      </w:r>
      <w:r>
        <w:t xml:space="preserve"> </w:t>
      </w:r>
      <w:r w:rsidR="006552F6">
        <w:t>This terms of reference or charter should,</w:t>
      </w:r>
      <w:r>
        <w:t xml:space="preserve"> just as important</w:t>
      </w:r>
      <w:r w:rsidR="006552F6">
        <w:t>ly, define</w:t>
      </w:r>
      <w:r>
        <w:t xml:space="preserve"> what </w:t>
      </w:r>
      <w:r w:rsidR="006552F6">
        <w:t xml:space="preserve">the Advisory Board </w:t>
      </w:r>
      <w:r>
        <w:t xml:space="preserve">do not do or </w:t>
      </w:r>
      <w:r w:rsidR="006552F6">
        <w:t>is</w:t>
      </w:r>
      <w:r>
        <w:t xml:space="preserve"> not responsible for.</w:t>
      </w:r>
      <w:r w:rsidR="00690292">
        <w:t xml:space="preserve"> We confirmed that the </w:t>
      </w:r>
      <w:r w:rsidR="006552F6">
        <w:t>Advisory</w:t>
      </w:r>
      <w:r w:rsidR="00690292">
        <w:t xml:space="preserve"> Board has not formally established and made public a Terms of Reference or Charter detailing its scope, role, function, and responsibilities – demonstrating how it adds value to </w:t>
      </w:r>
      <w:r w:rsidR="00A24020">
        <w:t xml:space="preserve">NOPSEMA and the industry at large. We acknowledge the Advisory Board has established a ‘Policy’, which details some high-level information as to the Board’s functioning, but largely refers back to the OPGGS Act, which is, in our opinion, not practical or tangible enough to demonstrate </w:t>
      </w:r>
      <w:r w:rsidR="00D658F6">
        <w:t xml:space="preserve">value to </w:t>
      </w:r>
      <w:r w:rsidR="00D22972">
        <w:t>government</w:t>
      </w:r>
      <w:r w:rsidR="00D658F6">
        <w:t>.</w:t>
      </w:r>
      <w:r w:rsidR="008B576C">
        <w:t xml:space="preserve"> As a function that is cost recovered from industry, greater transparency is required</w:t>
      </w:r>
      <w:r w:rsidR="0083770B">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5F11FC" w:rsidRPr="00040C83" w14:paraId="13D2D8D9" w14:textId="77777777" w:rsidTr="00A86AB1">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077E5015" w14:textId="7494C72D" w:rsidR="005F11FC" w:rsidRPr="00A470B1" w:rsidRDefault="005F11FC" w:rsidP="00053250">
            <w:pPr>
              <w:pStyle w:val="TableHeadingLeft"/>
              <w:rPr>
                <w:bCs/>
              </w:rPr>
            </w:pPr>
            <w:r w:rsidRPr="00A470B1">
              <w:rPr>
                <w:bCs/>
              </w:rPr>
              <w:t>Recommendation</w:t>
            </w:r>
            <w:r w:rsidR="00E45445" w:rsidRPr="00A470B1">
              <w:rPr>
                <w:bCs/>
              </w:rPr>
              <w:t xml:space="preserve"> #1</w:t>
            </w:r>
            <w:r w:rsidR="005E06AF">
              <w:rPr>
                <w:bCs/>
              </w:rPr>
              <w:t>2</w:t>
            </w:r>
          </w:p>
        </w:tc>
      </w:tr>
      <w:tr w:rsidR="00040C83" w:rsidRPr="00040C83" w14:paraId="14FBBFCD" w14:textId="77777777" w:rsidTr="00A86AB1">
        <w:tc>
          <w:tcPr>
            <w:tcW w:w="9864" w:type="dxa"/>
            <w:tcBorders>
              <w:bottom w:val="nil"/>
            </w:tcBorders>
            <w:shd w:val="clear" w:color="auto" w:fill="F2F2F2" w:themeFill="background1" w:themeFillShade="F2"/>
          </w:tcPr>
          <w:p w14:paraId="1AD5BE8C" w14:textId="0D6AF158" w:rsidR="00AE07D3" w:rsidRPr="004367F1" w:rsidRDefault="004367F1" w:rsidP="00AE07D3">
            <w:pPr>
              <w:pStyle w:val="BodyCopyNEW"/>
            </w:pPr>
            <w:r w:rsidRPr="004367F1">
              <w:rPr>
                <w:szCs w:val="18"/>
              </w:rPr>
              <w:t>The NOPSEMA Advisory Board</w:t>
            </w:r>
            <w:r w:rsidRPr="004367F1">
              <w:t xml:space="preserve">, in consultation with the </w:t>
            </w:r>
            <w:r w:rsidRPr="004367F1">
              <w:rPr>
                <w:szCs w:val="18"/>
              </w:rPr>
              <w:t>Minister and NOPSEMA, should develop a Terms of Reference or similar Charter that clearly details its scope, role, function, and responsibilities in the support of NOPSEMA and the industry. The Terms of Reference should clearly outline what it does, as well as what it does not do given its status as an Advisory Board. The Terms of Reference should be made public to continue to drive transparency in approach and direction.</w:t>
            </w:r>
          </w:p>
        </w:tc>
      </w:tr>
    </w:tbl>
    <w:p w14:paraId="690C4041" w14:textId="115EB85E" w:rsidR="00DA7F45" w:rsidRDefault="00DA7F45" w:rsidP="00901C7B">
      <w:pPr>
        <w:pStyle w:val="BodyCopyNEW"/>
        <w:spacing w:before="120"/>
      </w:pPr>
      <w:r>
        <w:t>During the</w:t>
      </w:r>
      <w:r w:rsidDel="00F213BB">
        <w:t xml:space="preserve"> </w:t>
      </w:r>
      <w:r w:rsidR="00F213BB">
        <w:t>review</w:t>
      </w:r>
      <w:r>
        <w:t xml:space="preserve"> period, the CEO made four </w:t>
      </w:r>
      <w:r w:rsidR="000D51CD">
        <w:t xml:space="preserve">formal </w:t>
      </w:r>
      <w:r>
        <w:t xml:space="preserve">requests of the NOPSEMA Advisory Board to provide advice, including NOPSEMA’s regulatory role for allegations of bullying and harassment and ways to improve stakeholder engagement and community confidence in the offshore petroleum environment regulator </w:t>
      </w:r>
      <w:r w:rsidR="00D746F5">
        <w:t>framework</w:t>
      </w:r>
      <w:r>
        <w:t xml:space="preserve">. </w:t>
      </w:r>
      <w:r w:rsidR="00BA51A2">
        <w:t>There</w:t>
      </w:r>
      <w:r>
        <w:t xml:space="preserve"> are a range of other </w:t>
      </w:r>
      <w:r w:rsidR="00FC1078">
        <w:t xml:space="preserve">initiatives, including working groups where </w:t>
      </w:r>
      <w:r w:rsidR="00354E9B">
        <w:lastRenderedPageBreak/>
        <w:t xml:space="preserve">Advisory </w:t>
      </w:r>
      <w:r w:rsidR="00FC1078">
        <w:t xml:space="preserve">Board members get involved (e.g. performance reporting for process safety indicators), as well as providing direct coaching or support to </w:t>
      </w:r>
      <w:r w:rsidR="00354E9B">
        <w:t xml:space="preserve">the </w:t>
      </w:r>
      <w:r w:rsidR="00FC1078">
        <w:t>NOPSEMA Executive, as requested.</w:t>
      </w:r>
    </w:p>
    <w:p w14:paraId="6C260F51" w14:textId="255CBD3B" w:rsidR="00791215" w:rsidRPr="00791215" w:rsidRDefault="00791215" w:rsidP="00AE2D6E">
      <w:pPr>
        <w:pStyle w:val="Heading2"/>
        <w:numPr>
          <w:ilvl w:val="1"/>
          <w:numId w:val="1"/>
        </w:numPr>
      </w:pPr>
      <w:bookmarkStart w:id="83" w:name="_Ref58593854"/>
      <w:r w:rsidRPr="00791215">
        <w:t>The role of the NOPSEMA Advisory Board in strategic decision-</w:t>
      </w:r>
      <w:r>
        <w:t>setting</w:t>
      </w:r>
      <w:bookmarkEnd w:id="83"/>
    </w:p>
    <w:p w14:paraId="700C3090" w14:textId="4A85D932" w:rsidR="00354E9B" w:rsidRPr="00354E9B" w:rsidRDefault="00354E9B" w:rsidP="005D061C">
      <w:pPr>
        <w:pStyle w:val="Heading3NoNumber"/>
      </w:pPr>
      <w:r>
        <w:t>There is an opportunity for the Advisory Board to take a greater role in helping establish NOPSEMA’s strategic direction</w:t>
      </w:r>
    </w:p>
    <w:p w14:paraId="23511769" w14:textId="68337E2E" w:rsidR="00791215" w:rsidRDefault="009369E3" w:rsidP="005D061C">
      <w:pPr>
        <w:pStyle w:val="BodyCopyNEW"/>
      </w:pPr>
      <w:r>
        <w:t xml:space="preserve">NOPSEMA establishes </w:t>
      </w:r>
      <w:r w:rsidR="000D51CD">
        <w:t xml:space="preserve">five </w:t>
      </w:r>
      <w:r w:rsidR="000F2BCB">
        <w:t>year rolling corporate plans</w:t>
      </w:r>
      <w:r w:rsidR="0003038B">
        <w:t xml:space="preserve"> (the current Corporate Plan is for the period 2020 to 2025)</w:t>
      </w:r>
      <w:r w:rsidR="000F2BCB">
        <w:t xml:space="preserve">, which are reported against </w:t>
      </w:r>
      <w:r w:rsidR="0003038B">
        <w:t>publicly</w:t>
      </w:r>
      <w:r w:rsidR="000F2BCB">
        <w:t xml:space="preserve"> on an annual basis. Progress reports are also provided to the NOPSEMA Advisory Board.</w:t>
      </w:r>
    </w:p>
    <w:p w14:paraId="06E552A6" w14:textId="10A70E90" w:rsidR="0003038B" w:rsidRDefault="0003038B" w:rsidP="005D061C">
      <w:pPr>
        <w:pStyle w:val="BodyCopyNEW"/>
      </w:pPr>
      <w:r>
        <w:t>Through our conversations with members of the Advisory Board, we identified</w:t>
      </w:r>
      <w:r w:rsidR="000F30FB">
        <w:t xml:space="preserve"> the Advisory Board is not</w:t>
      </w:r>
      <w:r>
        <w:t>:</w:t>
      </w:r>
    </w:p>
    <w:p w14:paraId="71EE0002" w14:textId="1A7CA1A0" w:rsidR="0003038B" w:rsidRDefault="000F30FB" w:rsidP="000C1F53">
      <w:pPr>
        <w:pStyle w:val="BodycopyNEW0"/>
        <w:numPr>
          <w:ilvl w:val="0"/>
          <w:numId w:val="23"/>
        </w:numPr>
        <w:ind w:left="378"/>
      </w:pPr>
      <w:r>
        <w:t>E</w:t>
      </w:r>
      <w:r w:rsidR="0003038B">
        <w:t>ngaged to identify, analyse, and address risks and trends relevant to the industry. NOPSEMA conducts this in-house through workshops</w:t>
      </w:r>
      <w:r w:rsidR="004432E8">
        <w:t>, which then feeds into broader decision-making (e.g. the development of the Corporate Plan)</w:t>
      </w:r>
    </w:p>
    <w:p w14:paraId="27F78723" w14:textId="58603628" w:rsidR="0003038B" w:rsidRDefault="000F30FB" w:rsidP="000C1F53">
      <w:pPr>
        <w:pStyle w:val="BodycopyNEW0"/>
        <w:numPr>
          <w:ilvl w:val="0"/>
          <w:numId w:val="23"/>
        </w:numPr>
        <w:ind w:left="378"/>
      </w:pPr>
      <w:r>
        <w:t>E</w:t>
      </w:r>
      <w:r w:rsidR="00133F32">
        <w:t xml:space="preserve">ngaged </w:t>
      </w:r>
      <w:r w:rsidR="00542A66">
        <w:t>or involved in the development of the Corporate Plan.</w:t>
      </w:r>
      <w:r w:rsidR="004432E8">
        <w:t xml:space="preserve"> The Advisory Board are consumers of the Corporate Plan and periodic reporting provided </w:t>
      </w:r>
      <w:r w:rsidR="00F12457">
        <w:t>by NOPSEMA.</w:t>
      </w:r>
    </w:p>
    <w:p w14:paraId="27916EFF" w14:textId="79D3A13F" w:rsidR="001C0B70" w:rsidRPr="00542A66" w:rsidRDefault="00F12457" w:rsidP="005D061C">
      <w:pPr>
        <w:pStyle w:val="BodyCopyNEW"/>
      </w:pPr>
      <w:r>
        <w:t xml:space="preserve">While we acknowledge the role of the </w:t>
      </w:r>
      <w:r w:rsidR="00831ABD">
        <w:t>Advisory</w:t>
      </w:r>
      <w:r>
        <w:t xml:space="preserve"> Board is to provide advice and </w:t>
      </w:r>
      <w:r w:rsidR="00831ABD">
        <w:t>it has no executive oversight</w:t>
      </w:r>
      <w:r w:rsidR="000D51CD">
        <w:t xml:space="preserve"> in its current form</w:t>
      </w:r>
      <w:r>
        <w:t xml:space="preserve"> the above two critical points are opportunities missed to access and utilise the significant experience of the Advisory Board</w:t>
      </w:r>
      <w:r w:rsidR="009B2BF3">
        <w:t xml:space="preserve"> in deciding </w:t>
      </w:r>
      <w:r w:rsidR="00C45F16">
        <w:t>NOPSEMA’s</w:t>
      </w:r>
      <w:r w:rsidR="009B2BF3">
        <w:t xml:space="preserve"> future direction. </w:t>
      </w:r>
      <w:r w:rsidR="000F30FB" w:rsidRPr="00946300">
        <w:rPr>
          <w:szCs w:val="18"/>
        </w:rPr>
        <w:t xml:space="preserve">Input from the Advisory Board in this manner may help </w:t>
      </w:r>
      <w:r w:rsidR="000F30FB" w:rsidRPr="00392AAF">
        <w:rPr>
          <w:szCs w:val="18"/>
        </w:rPr>
        <w:t xml:space="preserve">challenge NOPSEMA management’s thinking on strategic direction </w:t>
      </w:r>
      <w:r w:rsidR="000F30FB" w:rsidRPr="007906AC">
        <w:rPr>
          <w:szCs w:val="18"/>
        </w:rPr>
        <w:t xml:space="preserve">and any assumption held. </w:t>
      </w:r>
      <w:r w:rsidR="009B2BF3">
        <w:t xml:space="preserve">We also believe these are activities the </w:t>
      </w:r>
      <w:r w:rsidR="00C45F16">
        <w:t xml:space="preserve">Advisory </w:t>
      </w:r>
      <w:r w:rsidR="009B2BF3">
        <w:t xml:space="preserve">Board should be involved in given </w:t>
      </w:r>
      <w:r w:rsidR="00551EB5">
        <w:t>its</w:t>
      </w:r>
      <w:r w:rsidR="009B2BF3">
        <w:t xml:space="preserve"> </w:t>
      </w:r>
      <w:r w:rsidR="00121340">
        <w:t xml:space="preserve">delegated function of </w:t>
      </w:r>
      <w:r w:rsidR="003F3C40">
        <w:t>providing ‘</w:t>
      </w:r>
      <w:r w:rsidR="00121340" w:rsidRPr="00C33D8D">
        <w:t xml:space="preserve">advice and </w:t>
      </w:r>
      <w:r w:rsidR="003F3C40">
        <w:t xml:space="preserve">making </w:t>
      </w:r>
      <w:r w:rsidR="00121340" w:rsidRPr="00C33D8D">
        <w:t>recommendations to the CEO about operational policies and strategies</w:t>
      </w:r>
      <w:r w:rsidR="003F3C40">
        <w:t>’ (s</w:t>
      </w:r>
      <w:r w:rsidR="00E803AE">
        <w:t xml:space="preserve">ection </w:t>
      </w:r>
      <w:r w:rsidR="003F3C40">
        <w:t xml:space="preserve">654 of the OPGGS Act). </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542A66" w:rsidRPr="00040C83" w14:paraId="56B2E336" w14:textId="77777777" w:rsidTr="00A86AB1">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5BD0073F" w14:textId="37C47D67" w:rsidR="00542A66" w:rsidRPr="00A470B1" w:rsidRDefault="00542A66" w:rsidP="00053250">
            <w:pPr>
              <w:pStyle w:val="TableHeadingLeft"/>
              <w:rPr>
                <w:bCs/>
              </w:rPr>
            </w:pPr>
            <w:r w:rsidRPr="00A470B1">
              <w:rPr>
                <w:bCs/>
              </w:rPr>
              <w:t>Recommendation</w:t>
            </w:r>
            <w:r w:rsidR="00005B1E" w:rsidRPr="00A470B1">
              <w:rPr>
                <w:bCs/>
              </w:rPr>
              <w:t xml:space="preserve"> #1</w:t>
            </w:r>
            <w:r w:rsidR="005E06AF">
              <w:rPr>
                <w:bCs/>
              </w:rPr>
              <w:t>3</w:t>
            </w:r>
          </w:p>
        </w:tc>
      </w:tr>
      <w:tr w:rsidR="00040C83" w:rsidRPr="00040C83" w14:paraId="1151223C" w14:textId="77777777" w:rsidTr="00A86AB1">
        <w:tc>
          <w:tcPr>
            <w:tcW w:w="9864" w:type="dxa"/>
            <w:tcBorders>
              <w:bottom w:val="nil"/>
            </w:tcBorders>
            <w:shd w:val="clear" w:color="auto" w:fill="F2F2F2" w:themeFill="background1" w:themeFillShade="F2"/>
          </w:tcPr>
          <w:p w14:paraId="01137759" w14:textId="77777777" w:rsidR="00AE07D3" w:rsidRPr="00040C83" w:rsidRDefault="00AE07D3" w:rsidP="00AE07D3">
            <w:pPr>
              <w:pStyle w:val="BodyCopyNEW"/>
              <w:rPr>
                <w:szCs w:val="18"/>
              </w:rPr>
            </w:pPr>
            <w:r w:rsidRPr="00040C83">
              <w:rPr>
                <w:szCs w:val="18"/>
              </w:rPr>
              <w:t>NOPSEMA’s Advisory Board should be:</w:t>
            </w:r>
          </w:p>
          <w:p w14:paraId="62D6342C" w14:textId="77777777" w:rsidR="00AE07D3" w:rsidRPr="00040C83" w:rsidRDefault="00AE07D3" w:rsidP="000C1F53">
            <w:pPr>
              <w:pStyle w:val="BodycopyNEW0"/>
              <w:numPr>
                <w:ilvl w:val="0"/>
                <w:numId w:val="23"/>
              </w:numPr>
              <w:ind w:left="378"/>
              <w:rPr>
                <w:szCs w:val="18"/>
              </w:rPr>
            </w:pPr>
            <w:r w:rsidRPr="00040C83">
              <w:rPr>
                <w:szCs w:val="18"/>
              </w:rPr>
              <w:t>Involved in conducting industry-wide risk, issue, and trend analysis to identify areas for NOPSEMA focus or support to industry</w:t>
            </w:r>
          </w:p>
          <w:p w14:paraId="27C37AF7" w14:textId="4E9C6795" w:rsidR="00F647B1" w:rsidRPr="00040C83" w:rsidRDefault="00AE07D3" w:rsidP="000C1F53">
            <w:pPr>
              <w:pStyle w:val="BodycopyNEW0"/>
              <w:numPr>
                <w:ilvl w:val="0"/>
                <w:numId w:val="23"/>
              </w:numPr>
              <w:ind w:left="378"/>
            </w:pPr>
            <w:r w:rsidRPr="00040C83">
              <w:rPr>
                <w:szCs w:val="18"/>
              </w:rPr>
              <w:t>Formally consulted on the build</w:t>
            </w:r>
            <w:r w:rsidRPr="00040C83">
              <w:rPr>
                <w:rFonts w:cs="Times New Roman"/>
                <w:szCs w:val="18"/>
              </w:rPr>
              <w:t xml:space="preserve"> and development of the NOPSEMA Corporate Plan.</w:t>
            </w:r>
          </w:p>
        </w:tc>
      </w:tr>
    </w:tbl>
    <w:p w14:paraId="06969DA8" w14:textId="4290A1C1" w:rsidR="00387531" w:rsidRPr="00387531" w:rsidRDefault="006D3C63" w:rsidP="00901C7B">
      <w:pPr>
        <w:pStyle w:val="Heading2"/>
        <w:numPr>
          <w:ilvl w:val="1"/>
          <w:numId w:val="1"/>
        </w:numPr>
        <w:spacing w:before="120"/>
      </w:pPr>
      <w:bookmarkStart w:id="84" w:name="_Ref58593860"/>
      <w:r>
        <w:t>Skills and make-up of the Advisory Board</w:t>
      </w:r>
      <w:bookmarkEnd w:id="84"/>
    </w:p>
    <w:p w14:paraId="66CC0DDA" w14:textId="77777777" w:rsidR="00217A94" w:rsidRDefault="00217A94" w:rsidP="005D061C">
      <w:pPr>
        <w:pStyle w:val="Heading3NoNumber"/>
      </w:pPr>
      <w:r w:rsidRPr="00217A94">
        <w:t>Consideration of the Board’s capabilities with reference to significant industry issues must be given</w:t>
      </w:r>
    </w:p>
    <w:p w14:paraId="1C02B62D" w14:textId="0781781F" w:rsidR="004640AC" w:rsidRDefault="00992AC6" w:rsidP="005D061C">
      <w:pPr>
        <w:pStyle w:val="BodyCopyNEW"/>
      </w:pPr>
      <w:r>
        <w:t xml:space="preserve">The </w:t>
      </w:r>
      <w:r w:rsidR="00217A94">
        <w:t>Advisory</w:t>
      </w:r>
      <w:r>
        <w:t xml:space="preserve"> Board consists of a Board </w:t>
      </w:r>
      <w:r w:rsidR="004C7307">
        <w:t>Chair</w:t>
      </w:r>
      <w:r>
        <w:t xml:space="preserve"> and at least five (but no more than seven) other members. </w:t>
      </w:r>
      <w:r w:rsidR="00217A94">
        <w:t xml:space="preserve">Advisory </w:t>
      </w:r>
      <w:r>
        <w:t xml:space="preserve">Board members are appointed by the responsible Commonwealth minister </w:t>
      </w:r>
      <w:r w:rsidR="0046060D">
        <w:t xml:space="preserve">and can hold the term for a maximum of three years (and can be re-appointed). </w:t>
      </w:r>
    </w:p>
    <w:p w14:paraId="37E44A34" w14:textId="19AD3192" w:rsidR="00EA7657" w:rsidRDefault="007B66F6" w:rsidP="005D061C">
      <w:pPr>
        <w:pStyle w:val="BodyCopyNEW"/>
      </w:pPr>
      <w:r w:rsidRPr="007B66F6">
        <w:t xml:space="preserve">Given NOPSEMA’s complex regulatory role, members are selected on the basis of their expertise rather than on a representational basis. </w:t>
      </w:r>
      <w:r w:rsidR="00340F2F">
        <w:t xml:space="preserve">Their membership is not designed to </w:t>
      </w:r>
      <w:r w:rsidRPr="007B66F6">
        <w:t>represent other interests</w:t>
      </w:r>
      <w:r w:rsidR="00340F2F">
        <w:t>,</w:t>
      </w:r>
      <w:r w:rsidRPr="007B66F6">
        <w:t xml:space="preserve"> such as those of their employers or other organisations they may hold office in or are affiliated with. </w:t>
      </w:r>
      <w:r w:rsidR="00340F2F">
        <w:t xml:space="preserve">The objective being to enable the </w:t>
      </w:r>
      <w:r w:rsidR="00217A94">
        <w:t xml:space="preserve">Advisory </w:t>
      </w:r>
      <w:r w:rsidRPr="007B66F6">
        <w:t xml:space="preserve">Board to independently oversee NOPSEMA’s activities and provide </w:t>
      </w:r>
      <w:r w:rsidR="005A264A">
        <w:t>appropriate</w:t>
      </w:r>
      <w:r w:rsidR="005A264A" w:rsidRPr="007B66F6">
        <w:t xml:space="preserve"> </w:t>
      </w:r>
      <w:r w:rsidRPr="007B66F6">
        <w:t>advice to the CEO and the responsible Commonwealth Minister.</w:t>
      </w:r>
    </w:p>
    <w:p w14:paraId="1BC7C50D" w14:textId="46E67ED8" w:rsidR="00F27A4B" w:rsidRPr="007B66F6" w:rsidRDefault="00F27A4B" w:rsidP="005D061C">
      <w:pPr>
        <w:pStyle w:val="BodyCopyNEW"/>
      </w:pPr>
      <w:r>
        <w:t>NOPSEMA’s Advisory Board has defined the set of broad competencies members require, including:</w:t>
      </w:r>
    </w:p>
    <w:p w14:paraId="071D5824" w14:textId="77777777" w:rsidR="00F27A4B" w:rsidRPr="00F27A4B" w:rsidRDefault="00F27A4B" w:rsidP="000C1F53">
      <w:pPr>
        <w:pStyle w:val="BodycopyNEW0"/>
        <w:numPr>
          <w:ilvl w:val="0"/>
          <w:numId w:val="23"/>
        </w:numPr>
        <w:ind w:left="378"/>
      </w:pPr>
      <w:r w:rsidRPr="00F27A4B">
        <w:t>Executive/senior leadership experience in the offshore petroleum industry</w:t>
      </w:r>
    </w:p>
    <w:p w14:paraId="0BCB0BB0" w14:textId="1CF7EBCE" w:rsidR="00F27A4B" w:rsidRPr="00F27A4B" w:rsidRDefault="00F27A4B" w:rsidP="000C1F53">
      <w:pPr>
        <w:pStyle w:val="BodycopyNEW0"/>
        <w:numPr>
          <w:ilvl w:val="0"/>
          <w:numId w:val="23"/>
        </w:numPr>
        <w:ind w:left="378"/>
      </w:pPr>
      <w:r w:rsidRPr="00F27A4B">
        <w:t xml:space="preserve">Knowledge of legislation, regulatory </w:t>
      </w:r>
      <w:r w:rsidR="00AB2625">
        <w:t>frameworks</w:t>
      </w:r>
      <w:r w:rsidR="00AB2625" w:rsidRPr="00F27A4B">
        <w:t xml:space="preserve"> </w:t>
      </w:r>
      <w:r w:rsidRPr="00F27A4B">
        <w:t>and the operations of regulatory organisations</w:t>
      </w:r>
    </w:p>
    <w:p w14:paraId="078C11AB" w14:textId="77777777" w:rsidR="00F27A4B" w:rsidRPr="00F27A4B" w:rsidRDefault="00F27A4B" w:rsidP="000C1F53">
      <w:pPr>
        <w:pStyle w:val="BodycopyNEW0"/>
        <w:numPr>
          <w:ilvl w:val="0"/>
          <w:numId w:val="23"/>
        </w:numPr>
        <w:ind w:left="378"/>
      </w:pPr>
      <w:r w:rsidRPr="00F27A4B">
        <w:t>Broad knowledge of maritime matters relating to the petroleum industry</w:t>
      </w:r>
    </w:p>
    <w:p w14:paraId="238E7F7A" w14:textId="77777777" w:rsidR="00F27A4B" w:rsidRPr="00F27A4B" w:rsidRDefault="00F27A4B" w:rsidP="000C1F53">
      <w:pPr>
        <w:pStyle w:val="BodycopyNEW0"/>
        <w:numPr>
          <w:ilvl w:val="0"/>
          <w:numId w:val="23"/>
        </w:numPr>
        <w:ind w:left="378"/>
      </w:pPr>
      <w:r w:rsidRPr="00F27A4B">
        <w:t>Understanding of the safety case approach in regulating major hazard industries</w:t>
      </w:r>
    </w:p>
    <w:p w14:paraId="2CBD2132" w14:textId="77777777" w:rsidR="00F27A4B" w:rsidRPr="00F27A4B" w:rsidRDefault="00F27A4B" w:rsidP="000C1F53">
      <w:pPr>
        <w:pStyle w:val="BodycopyNEW0"/>
        <w:numPr>
          <w:ilvl w:val="0"/>
          <w:numId w:val="23"/>
        </w:numPr>
        <w:ind w:left="378"/>
      </w:pPr>
      <w:r w:rsidRPr="00F27A4B">
        <w:t>Understanding of environmental impact assessment and associated regulatory approaches</w:t>
      </w:r>
    </w:p>
    <w:p w14:paraId="6EAF45A4" w14:textId="77777777" w:rsidR="00F27A4B" w:rsidRPr="00F27A4B" w:rsidRDefault="00F27A4B" w:rsidP="000C1F53">
      <w:pPr>
        <w:pStyle w:val="BodycopyNEW0"/>
        <w:numPr>
          <w:ilvl w:val="0"/>
          <w:numId w:val="23"/>
        </w:numPr>
        <w:ind w:left="378"/>
      </w:pPr>
      <w:r w:rsidRPr="00F27A4B">
        <w:t>Understanding of current best practice and leading research on causes and prevention of major safety and environmental incidents</w:t>
      </w:r>
    </w:p>
    <w:p w14:paraId="550F938C" w14:textId="77777777" w:rsidR="00F27A4B" w:rsidRPr="00F27A4B" w:rsidRDefault="00F27A4B" w:rsidP="000C1F53">
      <w:pPr>
        <w:pStyle w:val="BodycopyNEW0"/>
        <w:numPr>
          <w:ilvl w:val="0"/>
          <w:numId w:val="23"/>
        </w:numPr>
        <w:ind w:left="378"/>
      </w:pPr>
      <w:r w:rsidRPr="00F27A4B">
        <w:t>Understanding of international regulatory practices and trends regarding safety, integrity and environmental management</w:t>
      </w:r>
    </w:p>
    <w:p w14:paraId="519C3C26" w14:textId="261F84E7" w:rsidR="00F27A4B" w:rsidRPr="00F27A4B" w:rsidRDefault="00F27A4B" w:rsidP="000C1F53">
      <w:pPr>
        <w:pStyle w:val="BodycopyNEW0"/>
        <w:numPr>
          <w:ilvl w:val="0"/>
          <w:numId w:val="23"/>
        </w:numPr>
        <w:ind w:left="378"/>
      </w:pPr>
      <w:r w:rsidRPr="00F27A4B">
        <w:t>Strong communication and stakeholder engagement capacities</w:t>
      </w:r>
      <w:r w:rsidR="008924BA">
        <w:t>.</w:t>
      </w:r>
    </w:p>
    <w:p w14:paraId="24840763" w14:textId="4C3A1C6F" w:rsidR="004D1A28" w:rsidRDefault="008924BA" w:rsidP="005D061C">
      <w:pPr>
        <w:pStyle w:val="BodyCopyNEW"/>
      </w:pPr>
      <w:r>
        <w:lastRenderedPageBreak/>
        <w:t xml:space="preserve">Appointed Board members are required to self-assess against the above criteria </w:t>
      </w:r>
      <w:r w:rsidR="00626858">
        <w:t xml:space="preserve">to demonstrate their experience and how they can contribute to the </w:t>
      </w:r>
      <w:r w:rsidR="00170895">
        <w:t xml:space="preserve">Advisory </w:t>
      </w:r>
      <w:r w:rsidR="00626858">
        <w:t>Board (outside of the process applied by the responsible Commonwealth Minister to determine their appointment).</w:t>
      </w:r>
    </w:p>
    <w:p w14:paraId="35F8A4E6" w14:textId="63C0A4F7" w:rsidR="007B66F6" w:rsidRDefault="00626858" w:rsidP="005D061C">
      <w:pPr>
        <w:pStyle w:val="BodyCopyNEW"/>
      </w:pPr>
      <w:r>
        <w:t xml:space="preserve">On examination of the current skills matrix, the </w:t>
      </w:r>
      <w:r w:rsidR="006D6A3F">
        <w:t xml:space="preserve">Advisory </w:t>
      </w:r>
      <w:r>
        <w:t xml:space="preserve">Board has a diverse range of skillsets and </w:t>
      </w:r>
      <w:r w:rsidR="00CE35BE">
        <w:t xml:space="preserve">industry or academic experience </w:t>
      </w:r>
      <w:r w:rsidR="00902718">
        <w:t xml:space="preserve">to support NOPSEMA in its decision-making. However, the Board reflects the current thinking of NOPSEMA, in so far, there is a significant focus on top-end major </w:t>
      </w:r>
      <w:r w:rsidR="001A2D35">
        <w:t>accident</w:t>
      </w:r>
      <w:r w:rsidR="00902718">
        <w:t xml:space="preserve"> events. Whilst </w:t>
      </w:r>
      <w:r w:rsidR="00D2232E">
        <w:t>our findings support that MAEs are an important area of focus, there</w:t>
      </w:r>
      <w:r w:rsidR="00902718">
        <w:t xml:space="preserve"> are other </w:t>
      </w:r>
      <w:r w:rsidR="00913BBA">
        <w:t>risk</w:t>
      </w:r>
      <w:r w:rsidR="00902718">
        <w:t xml:space="preserve"> </w:t>
      </w:r>
      <w:r w:rsidR="001A2D35">
        <w:t>factors that reflect a great priority and need of the industry – factors such as mental health</w:t>
      </w:r>
      <w:r w:rsidR="00913BBA">
        <w:t>, decommissioning and financial assurance practices</w:t>
      </w:r>
      <w:r w:rsidR="00667800">
        <w:t xml:space="preserve"> of the industry</w:t>
      </w:r>
      <w:r w:rsidR="001A2D35">
        <w:t>.</w:t>
      </w:r>
    </w:p>
    <w:p w14:paraId="5E22D639" w14:textId="688A722B" w:rsidR="00F61343" w:rsidRDefault="00174F23" w:rsidP="005D061C">
      <w:pPr>
        <w:pStyle w:val="BodyCopyNEW"/>
      </w:pPr>
      <w:r>
        <w:t xml:space="preserve">Reading the biographies of the current Board members demonstrates an impressive </w:t>
      </w:r>
      <w:r w:rsidR="004D1A28">
        <w:t>group of individuals with backgrounds</w:t>
      </w:r>
      <w:r w:rsidR="00DA4B67">
        <w:t xml:space="preserve"> – both in </w:t>
      </w:r>
      <w:r w:rsidR="009E2DA5">
        <w:t xml:space="preserve">executive operational roles and research – </w:t>
      </w:r>
      <w:r w:rsidR="004D1A28">
        <w:t xml:space="preserve">that can and do add value to NOPSEMA and industry. </w:t>
      </w:r>
      <w:r w:rsidR="009E2DA5">
        <w:t xml:space="preserve">However, the current </w:t>
      </w:r>
      <w:r w:rsidR="00DD72F1">
        <w:t xml:space="preserve">mix of </w:t>
      </w:r>
      <w:r w:rsidR="009E2DA5">
        <w:t xml:space="preserve">Board members could be </w:t>
      </w:r>
      <w:r w:rsidR="00DD72F1">
        <w:t xml:space="preserve">further enhanced by appointing </w:t>
      </w:r>
      <w:r w:rsidR="008504DD">
        <w:t xml:space="preserve">experts in safety regulation outside of the offshore industry. Through various conversations with Board members and NOPSEMA, there appears to be a perception that regulation outside of the offshore industry is prescriptive in nature and application. In our </w:t>
      </w:r>
      <w:r w:rsidR="00A73E9A">
        <w:t>experience</w:t>
      </w:r>
      <w:r w:rsidR="008504DD">
        <w:t>, it is the opposite</w:t>
      </w:r>
      <w:r w:rsidR="003864A0">
        <w:t xml:space="preserve"> – the harmonised </w:t>
      </w:r>
      <w:r w:rsidR="00B57ED8">
        <w:t>WHS</w:t>
      </w:r>
      <w:r w:rsidR="003864A0">
        <w:t xml:space="preserve"> laws in Australia are leading practice regulatory instruments, driving an outcomes focused approach to regulation. </w:t>
      </w:r>
      <w:r w:rsidR="00AF47B7">
        <w:t xml:space="preserve">Based on our examination, we </w:t>
      </w:r>
      <w:r w:rsidR="001254FD">
        <w:t>note</w:t>
      </w:r>
      <w:r w:rsidR="003864A0">
        <w:t xml:space="preserve"> NOPSEMA and the NOPSEMA Advisory Board could learn from </w:t>
      </w:r>
      <w:r w:rsidR="00410D99">
        <w:t>its counterpart state regulators (e.g. WorkSafe Victoria or the NSW Resources Regulator).</w:t>
      </w:r>
      <w:r w:rsidR="00507166" w:rsidRPr="001D19CB" w:rsidDel="00507166">
        <w:t xml:space="preserve"> </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1A2D35" w:rsidRPr="00040C83" w14:paraId="77BEE781" w14:textId="77777777" w:rsidTr="00A86AB1">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6FC51B8D" w14:textId="41EDD4BB" w:rsidR="001A2D35" w:rsidRPr="00A470B1" w:rsidRDefault="001A2D35" w:rsidP="00053250">
            <w:pPr>
              <w:pStyle w:val="TableHeadingLeft"/>
              <w:rPr>
                <w:bCs/>
              </w:rPr>
            </w:pPr>
            <w:r w:rsidRPr="00A470B1">
              <w:rPr>
                <w:bCs/>
              </w:rPr>
              <w:t>Recommendation</w:t>
            </w:r>
            <w:r w:rsidR="000C7D99" w:rsidRPr="00A470B1">
              <w:rPr>
                <w:bCs/>
              </w:rPr>
              <w:t xml:space="preserve"> #</w:t>
            </w:r>
            <w:r w:rsidR="00BD6D84" w:rsidRPr="00A470B1">
              <w:rPr>
                <w:bCs/>
              </w:rPr>
              <w:t>1</w:t>
            </w:r>
            <w:r w:rsidR="005E06AF">
              <w:rPr>
                <w:bCs/>
              </w:rPr>
              <w:t>4</w:t>
            </w:r>
          </w:p>
        </w:tc>
      </w:tr>
      <w:tr w:rsidR="00040C83" w:rsidRPr="00040C83" w14:paraId="161DAD8C" w14:textId="77777777" w:rsidTr="00A86AB1">
        <w:tc>
          <w:tcPr>
            <w:tcW w:w="9864" w:type="dxa"/>
            <w:tcBorders>
              <w:bottom w:val="nil"/>
            </w:tcBorders>
            <w:shd w:val="clear" w:color="auto" w:fill="F2F2F2" w:themeFill="background1" w:themeFillShade="F2"/>
          </w:tcPr>
          <w:p w14:paraId="11D7928C" w14:textId="732617B4" w:rsidR="00AE07D3" w:rsidRPr="00040C83" w:rsidRDefault="00AE07D3" w:rsidP="00AE07D3">
            <w:pPr>
              <w:pStyle w:val="BodyCopyNEW"/>
            </w:pPr>
            <w:r w:rsidRPr="00040C83">
              <w:rPr>
                <w:szCs w:val="18"/>
              </w:rPr>
              <w:t>DISER should, in consultation with the Advisory Board and NOPSEMA, determine the broader range of skills needed to reflect the current industry trends and issues faced by the industry. The Advisory Board mix should then be re-evaluated to determine if there is the right balance of skills as the industry changes (e.g. determine if there is a need for a psychology/mental health expertise, financial assurance, safety regulation to supplement the skillset of the current Board members).</w:t>
            </w:r>
          </w:p>
        </w:tc>
      </w:tr>
    </w:tbl>
    <w:p w14:paraId="04E1DEFA" w14:textId="01838ECC" w:rsidR="007A4A2F" w:rsidRDefault="007A4A2F" w:rsidP="00901C7B">
      <w:pPr>
        <w:pStyle w:val="Heading2"/>
        <w:numPr>
          <w:ilvl w:val="1"/>
          <w:numId w:val="1"/>
        </w:numPr>
        <w:spacing w:before="120"/>
      </w:pPr>
      <w:bookmarkStart w:id="85" w:name="_Ref58593866"/>
      <w:r>
        <w:t xml:space="preserve">Learning from other </w:t>
      </w:r>
      <w:r w:rsidR="000B583B">
        <w:t xml:space="preserve">reviews into </w:t>
      </w:r>
      <w:r w:rsidR="0059297E">
        <w:t xml:space="preserve">Boards and </w:t>
      </w:r>
      <w:r>
        <w:t>governance</w:t>
      </w:r>
      <w:bookmarkEnd w:id="85"/>
    </w:p>
    <w:p w14:paraId="5B02E7EC" w14:textId="224AC92B" w:rsidR="00140F7F" w:rsidRDefault="00A46D94" w:rsidP="005D061C">
      <w:pPr>
        <w:pStyle w:val="BodyCopyNEW"/>
      </w:pPr>
      <w:r w:rsidRPr="00A46D94">
        <w:t>Boards play a key role in the effective governance of an entity</w:t>
      </w:r>
      <w:r>
        <w:t xml:space="preserve"> – regardless of public or private standing</w:t>
      </w:r>
      <w:r w:rsidRPr="00A46D94">
        <w:t xml:space="preserve">. </w:t>
      </w:r>
      <w:r>
        <w:t xml:space="preserve">The </w:t>
      </w:r>
      <w:r w:rsidR="00B57ED8">
        <w:t>ANAO</w:t>
      </w:r>
      <w:r>
        <w:t xml:space="preserve"> outlines </w:t>
      </w:r>
      <w:r w:rsidR="00D91DE9">
        <w:t>that t</w:t>
      </w:r>
      <w:r w:rsidRPr="00A46D94">
        <w:t>he interplay of the ‘hard’ attributes of governance (such as board composition, appointment processes and independence) and the ‘soft’ attributes of governance (such as the chair/CEO relationship, board behaviours and board culture) are critical to good governance and organisational performance.</w:t>
      </w:r>
    </w:p>
    <w:p w14:paraId="2836FB4C" w14:textId="3290FEF4" w:rsidR="0059297E" w:rsidRPr="0059297E" w:rsidRDefault="00140F7F" w:rsidP="005D061C">
      <w:pPr>
        <w:pStyle w:val="BodyCopyNEW"/>
      </w:pPr>
      <w:r>
        <w:t xml:space="preserve">The interplay of hard and soft attributes, and the overall </w:t>
      </w:r>
      <w:r w:rsidR="00A46D94" w:rsidRPr="00A46D94">
        <w:t>importance of board and organisational culture to an entity’s performance, values</w:t>
      </w:r>
      <w:r w:rsidR="007323B6">
        <w:t>,</w:t>
      </w:r>
      <w:r w:rsidR="00A46D94" w:rsidRPr="00A46D94">
        <w:t xml:space="preserve"> and conduct have been central themes in </w:t>
      </w:r>
      <w:r w:rsidR="007323B6">
        <w:t>recent</w:t>
      </w:r>
      <w:r w:rsidR="00A46D94" w:rsidRPr="00A46D94">
        <w:t xml:space="preserve"> Australian reviews into organisational misconduct.</w:t>
      </w:r>
    </w:p>
    <w:p w14:paraId="1C808F04" w14:textId="4E5E0766" w:rsidR="00D72460" w:rsidRDefault="002D4B37" w:rsidP="00784E0E">
      <w:pPr>
        <w:pStyle w:val="Heading3"/>
        <w:numPr>
          <w:ilvl w:val="2"/>
          <w:numId w:val="1"/>
        </w:numPr>
      </w:pPr>
      <w:r>
        <w:t>L</w:t>
      </w:r>
      <w:r w:rsidR="00D72460">
        <w:t xml:space="preserve">earnings from the </w:t>
      </w:r>
      <w:r w:rsidR="007A05B7">
        <w:t>ANAO</w:t>
      </w:r>
      <w:r w:rsidR="00D72460">
        <w:t xml:space="preserve"> </w:t>
      </w:r>
      <w:r w:rsidR="00622CAF">
        <w:t>recommendations into Go</w:t>
      </w:r>
      <w:r w:rsidR="00DD0355">
        <w:t>vernment Boards</w:t>
      </w:r>
    </w:p>
    <w:p w14:paraId="327796B3" w14:textId="77777777" w:rsidR="006D3E0C" w:rsidRDefault="006D3E0C" w:rsidP="005D061C">
      <w:pPr>
        <w:pStyle w:val="Heading3NoNumber"/>
      </w:pPr>
      <w:r>
        <w:t>The Advisory Board should play a more active role in providing oversight of NOPSEMA</w:t>
      </w:r>
    </w:p>
    <w:p w14:paraId="16CA8CD5" w14:textId="1563D6A3" w:rsidR="008C1D07" w:rsidRPr="008C1D07" w:rsidRDefault="007A05B7" w:rsidP="005D061C">
      <w:pPr>
        <w:pStyle w:val="BodyCopyNEW"/>
      </w:pPr>
      <w:r>
        <w:t xml:space="preserve">The ANAO </w:t>
      </w:r>
      <w:r w:rsidR="000D5F23">
        <w:t xml:space="preserve">publishes </w:t>
      </w:r>
      <w:r w:rsidR="00FE45EB">
        <w:t>insights</w:t>
      </w:r>
      <w:r w:rsidR="0079540D">
        <w:t xml:space="preserve"> </w:t>
      </w:r>
      <w:r w:rsidR="00CD2FB0">
        <w:t>as a summary of key messages from recent audits. In May 2019, the ANAO published an insights edition as a result of a range of audits focused on the effectiveness of governance boards in four corporate Commonwealth entities.</w:t>
      </w:r>
    </w:p>
    <w:p w14:paraId="0144A0DD" w14:textId="5B0F5C3B" w:rsidR="008C1D07" w:rsidRPr="008C1D07" w:rsidRDefault="00E34FF2" w:rsidP="005D061C">
      <w:pPr>
        <w:pStyle w:val="BodyCopyNEW"/>
      </w:pPr>
      <w:r>
        <w:t xml:space="preserve">We examined each of the 12 insights relating to Board </w:t>
      </w:r>
      <w:r w:rsidR="004B28DF">
        <w:t>governance</w:t>
      </w:r>
      <w:r>
        <w:t xml:space="preserve"> and app</w:t>
      </w:r>
      <w:r w:rsidR="00C22C9A">
        <w:t xml:space="preserve">lied to the context of NOPSEMA’s Advisory Board. </w:t>
      </w:r>
      <w:r w:rsidR="001254FD">
        <w:t>T</w:t>
      </w:r>
      <w:r w:rsidR="00C22C9A">
        <w:t xml:space="preserve">here are lessons to be learned from the ANAO’s </w:t>
      </w:r>
      <w:r w:rsidR="00FD3B08">
        <w:t>guidance</w:t>
      </w:r>
      <w:r w:rsidR="004B28DF">
        <w:t xml:space="preserve">, specifically </w:t>
      </w:r>
      <w:r w:rsidR="002064DC">
        <w:t>relating</w:t>
      </w:r>
      <w:r w:rsidR="004B28DF">
        <w:t xml:space="preserve"> to:</w:t>
      </w:r>
    </w:p>
    <w:p w14:paraId="5A55868C" w14:textId="649776B9" w:rsidR="004B28DF" w:rsidRDefault="002064DC" w:rsidP="000C1F53">
      <w:pPr>
        <w:pStyle w:val="BodycopyNEW0"/>
        <w:numPr>
          <w:ilvl w:val="0"/>
          <w:numId w:val="23"/>
        </w:numPr>
        <w:ind w:left="378"/>
      </w:pPr>
      <w:r>
        <w:t xml:space="preserve">The Board establishing </w:t>
      </w:r>
      <w:r w:rsidR="00FE16C7">
        <w:t xml:space="preserve">and publishing </w:t>
      </w:r>
      <w:r>
        <w:t xml:space="preserve">a formal charter or terms of reference (recommended above) </w:t>
      </w:r>
      <w:r w:rsidR="007A3501">
        <w:t>to provide greater levels of transparency as to the Board’s role and function</w:t>
      </w:r>
    </w:p>
    <w:p w14:paraId="1992CD1A" w14:textId="769F5F00" w:rsidR="007A3501" w:rsidRDefault="007A3501" w:rsidP="000C1F53">
      <w:pPr>
        <w:pStyle w:val="BodycopyNEW0"/>
        <w:numPr>
          <w:ilvl w:val="0"/>
          <w:numId w:val="23"/>
        </w:numPr>
        <w:ind w:left="378"/>
      </w:pPr>
      <w:r>
        <w:t>The Board has no formal process to conduct periodic evaluations of its performance</w:t>
      </w:r>
      <w:r w:rsidR="002C56A6">
        <w:t xml:space="preserve"> and communicate the results to industry</w:t>
      </w:r>
    </w:p>
    <w:p w14:paraId="4530DCD9" w14:textId="733D24EE" w:rsidR="002C56A6" w:rsidRPr="002064DC" w:rsidRDefault="00EF1712" w:rsidP="000C1F53">
      <w:pPr>
        <w:pStyle w:val="BodycopyNEW0"/>
        <w:numPr>
          <w:ilvl w:val="0"/>
          <w:numId w:val="23"/>
        </w:numPr>
        <w:ind w:left="378"/>
      </w:pPr>
      <w:r>
        <w:t xml:space="preserve">The Board has no formal process or remit in determining current and future board skills and needs. </w:t>
      </w:r>
      <w:r w:rsidR="004765A4">
        <w:t>DISER</w:t>
      </w:r>
      <w:r>
        <w:t xml:space="preserve"> is responsible for the vetting and ultimate recommendations for appointment, with no formal connection to the current Board</w:t>
      </w:r>
    </w:p>
    <w:p w14:paraId="55F8879C" w14:textId="77523014" w:rsidR="00EF1712" w:rsidRPr="002064DC" w:rsidRDefault="00AA184C" w:rsidP="000C1F53">
      <w:pPr>
        <w:pStyle w:val="BodycopyNEW0"/>
        <w:numPr>
          <w:ilvl w:val="0"/>
          <w:numId w:val="23"/>
        </w:numPr>
        <w:ind w:left="378"/>
      </w:pPr>
      <w:r>
        <w:t>The Board has no formal role in the review of key strategic risks and setting risk appetite. Examination of current policy and discussion with the Board highlighted that, as an advisory Board, this is not their role. However, as recommended above, there is a role for the Board to play in strategic risk management and strategy setting given the Board’s diversity and experience</w:t>
      </w:r>
    </w:p>
    <w:p w14:paraId="26657801" w14:textId="2EB33227" w:rsidR="00AA184C" w:rsidRPr="002064DC" w:rsidRDefault="0095284D" w:rsidP="000C1F53">
      <w:pPr>
        <w:pStyle w:val="BodycopyNEW0"/>
        <w:numPr>
          <w:ilvl w:val="0"/>
          <w:numId w:val="23"/>
        </w:numPr>
        <w:ind w:left="378"/>
      </w:pPr>
      <w:r>
        <w:t>The Advisory Board currently plays no role on NOPSEMA’s Audit Committee</w:t>
      </w:r>
      <w:r w:rsidR="008B3EF2">
        <w:t xml:space="preserve">. </w:t>
      </w:r>
      <w:r w:rsidR="1761C4C9">
        <w:t>On the basis</w:t>
      </w:r>
      <w:r w:rsidR="2AC5910C">
        <w:t xml:space="preserve"> the Public Governance, </w:t>
      </w:r>
      <w:r w:rsidR="009A724A">
        <w:t>Performance</w:t>
      </w:r>
      <w:r w:rsidR="2AC5910C">
        <w:t xml:space="preserve"> and A</w:t>
      </w:r>
      <w:r w:rsidR="4857F459">
        <w:t xml:space="preserve">ccountability legislation allows for it, </w:t>
      </w:r>
      <w:r w:rsidR="522D090F">
        <w:t>t</w:t>
      </w:r>
      <w:r w:rsidR="001B559F">
        <w:t>here</w:t>
      </w:r>
      <w:r w:rsidR="008B3EF2">
        <w:t xml:space="preserve"> would be a benefit in connecting the Advisory Board and NOPSEMA’s Audit Committee by a representative of the Board sitting on the Committee as per governing board structures. The Advisory Board can then provide expertise and support to the Audit Committee, as well as the representative being able to inform the Advisory Board of operational matters and performance (e.g. internal audit outcomes, financial performance, strategic risk management)</w:t>
      </w:r>
      <w:r w:rsidR="00FD269B">
        <w:t>.</w:t>
      </w:r>
    </w:p>
    <w:p w14:paraId="7C4622E0" w14:textId="05BF4DC8" w:rsidR="00401C35" w:rsidRDefault="004B28DF" w:rsidP="005D061C">
      <w:pPr>
        <w:pStyle w:val="BodyCopyNEW"/>
      </w:pPr>
      <w:r>
        <w:lastRenderedPageBreak/>
        <w:t xml:space="preserve">Please refer to </w:t>
      </w:r>
      <w:r w:rsidR="007679E7">
        <w:rPr>
          <w:b/>
        </w:rPr>
        <w:t>Appendix F</w:t>
      </w:r>
      <w:r>
        <w:t xml:space="preserve"> for a summary of the ANAO’s </w:t>
      </w:r>
      <w:r w:rsidR="003F540D">
        <w:t>insights</w:t>
      </w:r>
      <w:r w:rsidR="00B82C4C">
        <w:t xml:space="preserve"> and our assessment of the NOPSEMA Advisory Board against these</w:t>
      </w:r>
      <w:r w:rsidR="003F540D">
        <w:t>.</w:t>
      </w:r>
    </w:p>
    <w:tbl>
      <w:tblPr>
        <w:tblStyle w:val="TableGrid"/>
        <w:tblW w:w="0" w:type="auto"/>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B841BE" w:rsidRPr="00040C83" w14:paraId="651F49A6" w14:textId="77777777" w:rsidTr="00751AB3">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622CA0BC" w14:textId="0C7A35D7" w:rsidR="00B841BE" w:rsidRPr="00A470B1" w:rsidRDefault="00B841BE" w:rsidP="00751AB3">
            <w:pPr>
              <w:pStyle w:val="TableHeadingLeft"/>
              <w:rPr>
                <w:bCs/>
              </w:rPr>
            </w:pPr>
            <w:r w:rsidRPr="00A470B1">
              <w:rPr>
                <w:bCs/>
              </w:rPr>
              <w:t>Recommendation #</w:t>
            </w:r>
            <w:r w:rsidR="00D210AB" w:rsidRPr="00A470B1">
              <w:rPr>
                <w:bCs/>
              </w:rPr>
              <w:t>1</w:t>
            </w:r>
            <w:r w:rsidR="005E06AF">
              <w:rPr>
                <w:bCs/>
              </w:rPr>
              <w:t>5</w:t>
            </w:r>
          </w:p>
        </w:tc>
      </w:tr>
      <w:tr w:rsidR="00040C83" w:rsidRPr="00040C83" w14:paraId="0BEE6588" w14:textId="77777777" w:rsidTr="00751AB3">
        <w:tc>
          <w:tcPr>
            <w:tcW w:w="9864" w:type="dxa"/>
            <w:tcBorders>
              <w:bottom w:val="nil"/>
            </w:tcBorders>
            <w:shd w:val="clear" w:color="auto" w:fill="F2F2F2" w:themeFill="background1" w:themeFillShade="F2"/>
          </w:tcPr>
          <w:p w14:paraId="7C596115" w14:textId="5EEF148A" w:rsidR="00AE07D3" w:rsidRPr="00040C83" w:rsidRDefault="00691F60" w:rsidP="00AE07D3">
            <w:pPr>
              <w:pStyle w:val="BodyCopyNEW"/>
            </w:pPr>
            <w:r w:rsidRPr="00040C83">
              <w:rPr>
                <w:szCs w:val="18"/>
              </w:rPr>
              <w:t>The NOPSEMA Advisory Board should perform a self-evaluation against the ANAO insights to identify areas of improvement. We recommend NOPSEMA and the Advisory Board look to address the gaps we have identified in the ANAO board governance recommendations and analysis (</w:t>
            </w:r>
            <w:r w:rsidRPr="00D5690D">
              <w:rPr>
                <w:b/>
                <w:bCs/>
                <w:szCs w:val="18"/>
              </w:rPr>
              <w:t>Appendix F</w:t>
            </w:r>
            <w:r w:rsidRPr="00040C83">
              <w:rPr>
                <w:szCs w:val="18"/>
              </w:rPr>
              <w:t>).</w:t>
            </w:r>
          </w:p>
        </w:tc>
      </w:tr>
    </w:tbl>
    <w:p w14:paraId="445705EB" w14:textId="345E30BD" w:rsidR="00BA394B" w:rsidRDefault="00BA394B" w:rsidP="00784E0E">
      <w:pPr>
        <w:pStyle w:val="Heading3"/>
        <w:numPr>
          <w:ilvl w:val="2"/>
          <w:numId w:val="1"/>
        </w:numPr>
      </w:pPr>
      <w:r w:rsidRPr="00BA394B">
        <w:t xml:space="preserve">Learning </w:t>
      </w:r>
      <w:r w:rsidR="00EE0FB8">
        <w:t xml:space="preserve">from the </w:t>
      </w:r>
      <w:r w:rsidRPr="00BA394B">
        <w:t>Hayne Royal Commission</w:t>
      </w:r>
    </w:p>
    <w:p w14:paraId="167687AF" w14:textId="77777777" w:rsidR="008E4D4F" w:rsidRDefault="008E4D4F" w:rsidP="005D061C">
      <w:pPr>
        <w:pStyle w:val="Heading3NoNumber"/>
      </w:pPr>
      <w:r w:rsidRPr="008E4D4F">
        <w:t>An examination of the merits of an Advisory versus Governing Board structure is warranted</w:t>
      </w:r>
    </w:p>
    <w:p w14:paraId="0EA05AC5" w14:textId="33907047" w:rsidR="00194F61" w:rsidRPr="006D40F9" w:rsidRDefault="00A57D57" w:rsidP="005D061C">
      <w:pPr>
        <w:pStyle w:val="BodyCopyNEW"/>
        <w:rPr>
          <w:szCs w:val="18"/>
        </w:rPr>
      </w:pPr>
      <w:r>
        <w:t xml:space="preserve">The </w:t>
      </w:r>
      <w:r w:rsidRPr="00E94BB2">
        <w:rPr>
          <w:i/>
        </w:rPr>
        <w:t xml:space="preserve">Royal Commission into Misconduct in the Banking, Superannuation and Financial Services </w:t>
      </w:r>
      <w:r w:rsidR="00D13BC5" w:rsidRPr="00E94BB2">
        <w:rPr>
          <w:i/>
        </w:rPr>
        <w:t>Industry</w:t>
      </w:r>
      <w:r>
        <w:t xml:space="preserve"> </w:t>
      </w:r>
      <w:r w:rsidR="00054823">
        <w:t xml:space="preserve">undertaken by the Hon Kenneth Hayne AC QC </w:t>
      </w:r>
      <w:r>
        <w:t xml:space="preserve">(the </w:t>
      </w:r>
      <w:r w:rsidRPr="00D13BC5">
        <w:rPr>
          <w:b/>
          <w:bCs/>
        </w:rPr>
        <w:t>Hayne Royal Commission</w:t>
      </w:r>
      <w:r>
        <w:t>)</w:t>
      </w:r>
      <w:r w:rsidR="00D13BC5">
        <w:t xml:space="preserve"> was concluded in </w:t>
      </w:r>
      <w:r w:rsidR="002C1EF8">
        <w:t xml:space="preserve">February </w:t>
      </w:r>
      <w:r w:rsidR="00D13BC5">
        <w:t xml:space="preserve">2019, with the </w:t>
      </w:r>
      <w:r w:rsidR="002C1EF8">
        <w:t xml:space="preserve">final report being tabled in Parliament. </w:t>
      </w:r>
      <w:r w:rsidR="00194F61" w:rsidRPr="00194F61">
        <w:t xml:space="preserve">The central task of the Commission </w:t>
      </w:r>
      <w:r w:rsidR="002C1EF8">
        <w:t>was</w:t>
      </w:r>
      <w:r w:rsidR="00194F61" w:rsidRPr="00194F61">
        <w:t xml:space="preserve"> to inquire into, and report on, whether any conduct of financial services entities might have </w:t>
      </w:r>
      <w:r w:rsidR="00194F61" w:rsidRPr="006D40F9">
        <w:rPr>
          <w:szCs w:val="18"/>
        </w:rPr>
        <w:t>amounted to misconduct and whether any conduct, practices, behaviour or business activities by those entities fell below community standards and expectations.</w:t>
      </w:r>
    </w:p>
    <w:p w14:paraId="35806982" w14:textId="7CF74795" w:rsidR="002C1EF8" w:rsidRPr="006D40F9" w:rsidRDefault="00CF43B8" w:rsidP="005D061C">
      <w:pPr>
        <w:pStyle w:val="BodyCopyNEW"/>
        <w:rPr>
          <w:szCs w:val="18"/>
        </w:rPr>
      </w:pPr>
      <w:r w:rsidRPr="006D40F9">
        <w:rPr>
          <w:szCs w:val="18"/>
        </w:rPr>
        <w:t>Hayne saw four things clearly</w:t>
      </w:r>
      <w:r w:rsidR="004C1414" w:rsidRPr="00C51A9F">
        <w:rPr>
          <w:rStyle w:val="FootnoteReference"/>
          <w:sz w:val="18"/>
          <w:szCs w:val="18"/>
        </w:rPr>
        <w:footnoteReference w:id="35"/>
      </w:r>
      <w:r w:rsidRPr="006D40F9">
        <w:rPr>
          <w:szCs w:val="18"/>
        </w:rPr>
        <w:t>, which play to the heart of what he thinks went wrong:</w:t>
      </w:r>
    </w:p>
    <w:p w14:paraId="7049FB65" w14:textId="2EFC7466" w:rsidR="00EB70D4" w:rsidRPr="00901C7B" w:rsidRDefault="00EB70D4" w:rsidP="000C1F53">
      <w:pPr>
        <w:pStyle w:val="ListParagraph"/>
        <w:widowControl w:val="0"/>
        <w:numPr>
          <w:ilvl w:val="0"/>
          <w:numId w:val="21"/>
        </w:numPr>
        <w:spacing w:after="120" w:line="264" w:lineRule="auto"/>
        <w:ind w:left="357" w:hanging="357"/>
        <w:contextualSpacing w:val="0"/>
        <w:rPr>
          <w:rFonts w:ascii="Calibri Light" w:hAnsi="Calibri Light" w:cs="Calibri Light"/>
        </w:rPr>
      </w:pPr>
      <w:r w:rsidRPr="00901C7B">
        <w:rPr>
          <w:rFonts w:ascii="Calibri Light" w:hAnsi="Calibri Light" w:cs="Calibri Light"/>
        </w:rPr>
        <w:t>The connection between conduct and reward – since the drivers of nearly every case he considered was both the entity’s pursuit of profit, and the individual's pursuit of gain. Advisers became sellers, and sellers became advisers</w:t>
      </w:r>
    </w:p>
    <w:p w14:paraId="74D82B33" w14:textId="72B54C3A" w:rsidR="00EB70D4" w:rsidRPr="00901C7B" w:rsidRDefault="00EB70D4" w:rsidP="000C1F53">
      <w:pPr>
        <w:pStyle w:val="ListParagraph"/>
        <w:widowControl w:val="0"/>
        <w:numPr>
          <w:ilvl w:val="0"/>
          <w:numId w:val="21"/>
        </w:numPr>
        <w:spacing w:after="120" w:line="264" w:lineRule="auto"/>
        <w:ind w:left="357" w:hanging="357"/>
        <w:contextualSpacing w:val="0"/>
        <w:rPr>
          <w:rFonts w:ascii="Calibri Light" w:hAnsi="Calibri Light" w:cs="Calibri Light"/>
        </w:rPr>
      </w:pPr>
      <w:r w:rsidRPr="00901C7B">
        <w:rPr>
          <w:rFonts w:ascii="Calibri Light" w:hAnsi="Calibri Light" w:cs="Calibri Light"/>
        </w:rPr>
        <w:t>The asymmetry of power and information – between financial services entities and their customers – which enabled firms to act in the way that they did.</w:t>
      </w:r>
    </w:p>
    <w:p w14:paraId="4126FFA9" w14:textId="77345F5B" w:rsidR="00EB70D4" w:rsidRPr="00901C7B" w:rsidRDefault="00EB70D4" w:rsidP="000C1F53">
      <w:pPr>
        <w:pStyle w:val="ListParagraph"/>
        <w:widowControl w:val="0"/>
        <w:numPr>
          <w:ilvl w:val="0"/>
          <w:numId w:val="21"/>
        </w:numPr>
        <w:spacing w:after="120" w:line="264" w:lineRule="auto"/>
        <w:ind w:left="357" w:hanging="357"/>
        <w:contextualSpacing w:val="0"/>
        <w:rPr>
          <w:rFonts w:ascii="Calibri Light" w:hAnsi="Calibri Light" w:cs="Calibri Light"/>
        </w:rPr>
      </w:pPr>
      <w:r w:rsidRPr="00901C7B">
        <w:rPr>
          <w:rFonts w:ascii="Calibri Light" w:hAnsi="Calibri Light" w:cs="Calibri Light"/>
        </w:rPr>
        <w:t>The effect of conflicts between duty and interest – the interests of the client, intermediary and product provider are not only different, they are opposed. Self-interest is too powerful a force in the end; in the face of self-interest, effective management of a conflict collapses. Intermediaries should act only on behalf of, and in the interests of, the party that pays them.</w:t>
      </w:r>
    </w:p>
    <w:p w14:paraId="329A5672" w14:textId="05B1F423" w:rsidR="00CF43B8" w:rsidRPr="00901C7B" w:rsidRDefault="00EB70D4" w:rsidP="000C1F53">
      <w:pPr>
        <w:pStyle w:val="ListParagraph"/>
        <w:widowControl w:val="0"/>
        <w:numPr>
          <w:ilvl w:val="0"/>
          <w:numId w:val="21"/>
        </w:numPr>
        <w:spacing w:after="120" w:line="264" w:lineRule="auto"/>
        <w:ind w:left="357" w:hanging="357"/>
        <w:contextualSpacing w:val="0"/>
        <w:rPr>
          <w:rFonts w:ascii="Calibri Light" w:hAnsi="Calibri Light" w:cs="Calibri Light"/>
        </w:rPr>
      </w:pPr>
      <w:r w:rsidRPr="00901C7B">
        <w:rPr>
          <w:rFonts w:ascii="Calibri Light" w:hAnsi="Calibri Light" w:cs="Calibri Light"/>
        </w:rPr>
        <w:t>Holding entities to account – deterrence depends on entities actually believing that misconduct will be detected, denounced and justly punished. Communities expect someone to be held to account. Issuing a media release just doesn’t cut it.</w:t>
      </w:r>
    </w:p>
    <w:p w14:paraId="2C1F2557" w14:textId="22C066A5" w:rsidR="00A943A6" w:rsidRPr="006D40F9" w:rsidRDefault="00A72F90" w:rsidP="005D061C">
      <w:pPr>
        <w:pStyle w:val="BodyCopyNEW"/>
        <w:rPr>
          <w:szCs w:val="18"/>
        </w:rPr>
      </w:pPr>
      <w:r w:rsidRPr="006D40F9">
        <w:rPr>
          <w:szCs w:val="18"/>
        </w:rPr>
        <w:t xml:space="preserve">Given NOPSEMA’s </w:t>
      </w:r>
      <w:r w:rsidR="00902EE0" w:rsidRPr="006D40F9">
        <w:rPr>
          <w:szCs w:val="18"/>
        </w:rPr>
        <w:t xml:space="preserve">Advisory </w:t>
      </w:r>
      <w:r w:rsidRPr="006D40F9">
        <w:rPr>
          <w:szCs w:val="18"/>
        </w:rPr>
        <w:t xml:space="preserve">Board plays an advisory capacity, </w:t>
      </w:r>
      <w:r w:rsidR="005C545E" w:rsidRPr="006D40F9">
        <w:rPr>
          <w:szCs w:val="18"/>
        </w:rPr>
        <w:t xml:space="preserve">there can be arguments that the findings of the Hayne Royal Commission may not be relevant. However, there are </w:t>
      </w:r>
      <w:r w:rsidR="00902EE0" w:rsidRPr="006D40F9">
        <w:rPr>
          <w:szCs w:val="18"/>
        </w:rPr>
        <w:t>relevant</w:t>
      </w:r>
      <w:r w:rsidR="005C545E" w:rsidRPr="006D40F9">
        <w:rPr>
          <w:szCs w:val="18"/>
        </w:rPr>
        <w:t xml:space="preserve"> lessons to be learned. Lessons that focus on </w:t>
      </w:r>
      <w:r w:rsidR="006729B1" w:rsidRPr="006D40F9">
        <w:rPr>
          <w:szCs w:val="18"/>
        </w:rPr>
        <w:t xml:space="preserve">a </w:t>
      </w:r>
      <w:r w:rsidR="005C545E" w:rsidRPr="006D40F9">
        <w:rPr>
          <w:szCs w:val="18"/>
        </w:rPr>
        <w:t xml:space="preserve">Board stepping forward and </w:t>
      </w:r>
      <w:r w:rsidR="00AC21F8" w:rsidRPr="006D40F9">
        <w:rPr>
          <w:szCs w:val="18"/>
        </w:rPr>
        <w:t xml:space="preserve">driving </w:t>
      </w:r>
      <w:r w:rsidR="005C545E" w:rsidRPr="006D40F9">
        <w:rPr>
          <w:szCs w:val="18"/>
        </w:rPr>
        <w:t xml:space="preserve">the strategic </w:t>
      </w:r>
      <w:r w:rsidR="00AC21F8" w:rsidRPr="006D40F9">
        <w:rPr>
          <w:szCs w:val="18"/>
        </w:rPr>
        <w:t xml:space="preserve">direction </w:t>
      </w:r>
      <w:r w:rsidR="005C545E" w:rsidRPr="006D40F9">
        <w:rPr>
          <w:szCs w:val="18"/>
        </w:rPr>
        <w:t xml:space="preserve">and </w:t>
      </w:r>
      <w:r w:rsidR="00AC21F8" w:rsidRPr="006D40F9">
        <w:rPr>
          <w:szCs w:val="18"/>
        </w:rPr>
        <w:t xml:space="preserve">supporting or providing oversight to </w:t>
      </w:r>
      <w:r w:rsidR="005C545E" w:rsidRPr="006D40F9">
        <w:rPr>
          <w:szCs w:val="18"/>
        </w:rPr>
        <w:t>operational matters. Whilst the Hayne Royal Commission focused on financial services</w:t>
      </w:r>
      <w:r w:rsidR="00D1012F" w:rsidRPr="006D40F9">
        <w:rPr>
          <w:szCs w:val="18"/>
        </w:rPr>
        <w:t xml:space="preserve">, the findings </w:t>
      </w:r>
      <w:r w:rsidR="008E323D" w:rsidRPr="006D40F9">
        <w:rPr>
          <w:szCs w:val="18"/>
        </w:rPr>
        <w:t>are industry</w:t>
      </w:r>
      <w:r w:rsidR="00CF4C88" w:rsidRPr="006D40F9">
        <w:rPr>
          <w:szCs w:val="18"/>
        </w:rPr>
        <w:t xml:space="preserve"> agnostic</w:t>
      </w:r>
      <w:r w:rsidR="008E323D" w:rsidRPr="006D40F9">
        <w:rPr>
          <w:szCs w:val="18"/>
        </w:rPr>
        <w:t xml:space="preserve">, requiring </w:t>
      </w:r>
      <w:r w:rsidR="00D1012F" w:rsidRPr="006D40F9">
        <w:rPr>
          <w:szCs w:val="18"/>
        </w:rPr>
        <w:t xml:space="preserve">entities </w:t>
      </w:r>
      <w:r w:rsidR="008E323D" w:rsidRPr="006D40F9">
        <w:rPr>
          <w:szCs w:val="18"/>
        </w:rPr>
        <w:t xml:space="preserve">being held to </w:t>
      </w:r>
      <w:r w:rsidR="00D1012F" w:rsidRPr="006D40F9">
        <w:rPr>
          <w:szCs w:val="18"/>
        </w:rPr>
        <w:t xml:space="preserve">account and meeting community expectations </w:t>
      </w:r>
      <w:r w:rsidR="008E323D" w:rsidRPr="006D40F9">
        <w:rPr>
          <w:szCs w:val="18"/>
        </w:rPr>
        <w:t xml:space="preserve">– which we see to be the </w:t>
      </w:r>
      <w:r w:rsidR="00D1012F" w:rsidRPr="006D40F9">
        <w:rPr>
          <w:szCs w:val="18"/>
        </w:rPr>
        <w:t xml:space="preserve">foundation </w:t>
      </w:r>
      <w:r w:rsidR="008E323D" w:rsidRPr="006D40F9">
        <w:rPr>
          <w:szCs w:val="18"/>
        </w:rPr>
        <w:t xml:space="preserve">of </w:t>
      </w:r>
      <w:r w:rsidR="00D1012F" w:rsidRPr="006D40F9">
        <w:rPr>
          <w:szCs w:val="18"/>
        </w:rPr>
        <w:t xml:space="preserve">NOPSEMA’s role as the </w:t>
      </w:r>
      <w:r w:rsidR="0020008E" w:rsidRPr="006D40F9">
        <w:rPr>
          <w:szCs w:val="18"/>
        </w:rPr>
        <w:t>independent</w:t>
      </w:r>
      <w:r w:rsidR="00D1012F" w:rsidRPr="006D40F9">
        <w:rPr>
          <w:szCs w:val="18"/>
        </w:rPr>
        <w:t xml:space="preserve"> statutory authority regulating the offshore sector.</w:t>
      </w:r>
    </w:p>
    <w:p w14:paraId="4C020BE6" w14:textId="794C2F79" w:rsidR="0003149F" w:rsidRPr="006D40F9" w:rsidRDefault="007C1F19" w:rsidP="00901C7B">
      <w:pPr>
        <w:pStyle w:val="BodyCopyNEW"/>
        <w:rPr>
          <w:szCs w:val="18"/>
        </w:rPr>
      </w:pPr>
      <w:r w:rsidRPr="006D40F9">
        <w:rPr>
          <w:szCs w:val="18"/>
        </w:rPr>
        <w:t>T</w:t>
      </w:r>
      <w:r w:rsidR="0020008E" w:rsidRPr="006D40F9">
        <w:rPr>
          <w:szCs w:val="18"/>
        </w:rPr>
        <w:t xml:space="preserve">he NOPSEMA Board should “step in” more to </w:t>
      </w:r>
      <w:r w:rsidR="00CA5111" w:rsidRPr="006D40F9">
        <w:rPr>
          <w:szCs w:val="18"/>
        </w:rPr>
        <w:t>provide greater levels of oversight and support to NOPSEMA and its people. The Board, through its strength of composition</w:t>
      </w:r>
      <w:r w:rsidR="00C64B19" w:rsidRPr="006D40F9">
        <w:rPr>
          <w:szCs w:val="18"/>
        </w:rPr>
        <w:t>, skill, and experience</w:t>
      </w:r>
      <w:r w:rsidR="00CA5111" w:rsidRPr="006D40F9">
        <w:rPr>
          <w:szCs w:val="18"/>
        </w:rPr>
        <w:t>, has value to add to the strategic direction setting and ongoing management</w:t>
      </w:r>
      <w:r w:rsidR="007254F3" w:rsidRPr="006D40F9">
        <w:rPr>
          <w:szCs w:val="18"/>
        </w:rPr>
        <w:t xml:space="preserve"> of the regulator. </w:t>
      </w:r>
      <w:r w:rsidR="00967336" w:rsidRPr="006D40F9">
        <w:rPr>
          <w:szCs w:val="18"/>
        </w:rPr>
        <w:t xml:space="preserve">NOPSEMA as a regulator continues to have industry perception issues relating to </w:t>
      </w:r>
      <w:r w:rsidR="00025087" w:rsidRPr="006D40F9">
        <w:rPr>
          <w:szCs w:val="18"/>
        </w:rPr>
        <w:t xml:space="preserve">trust and confidence in its approach and decisions. The Board taking a greater role in increasing </w:t>
      </w:r>
      <w:r w:rsidR="005C4737" w:rsidRPr="006D40F9">
        <w:rPr>
          <w:szCs w:val="18"/>
        </w:rPr>
        <w:t>transparency and</w:t>
      </w:r>
      <w:r w:rsidR="00025087" w:rsidRPr="006D40F9">
        <w:rPr>
          <w:szCs w:val="18"/>
        </w:rPr>
        <w:t xml:space="preserve"> demonstrating a level of oversight</w:t>
      </w:r>
      <w:r w:rsidR="002C0146" w:rsidRPr="006D40F9">
        <w:rPr>
          <w:szCs w:val="18"/>
        </w:rPr>
        <w:t xml:space="preserve"> may help address </w:t>
      </w:r>
      <w:r w:rsidR="00D45D1A" w:rsidRPr="006D40F9">
        <w:rPr>
          <w:szCs w:val="18"/>
        </w:rPr>
        <w:t>concerns of trust and confidence of NOPSEMA</w:t>
      </w:r>
      <w:r w:rsidR="005C4737" w:rsidRPr="006D40F9">
        <w:rPr>
          <w:szCs w:val="18"/>
        </w:rPr>
        <w:t xml:space="preserve">. With this increased role, there should be consideration as to whether an Advisory Board is the correct </w:t>
      </w:r>
      <w:r w:rsidR="005447F5" w:rsidRPr="006D40F9">
        <w:rPr>
          <w:szCs w:val="18"/>
        </w:rPr>
        <w:t>structure,</w:t>
      </w:r>
      <w:r w:rsidR="005C4737" w:rsidRPr="006D40F9">
        <w:rPr>
          <w:szCs w:val="18"/>
        </w:rPr>
        <w:t xml:space="preserve"> or a Governing Board be formed.</w:t>
      </w:r>
    </w:p>
    <w:p w14:paraId="01879266" w14:textId="7AC62BCA" w:rsidR="0025378E" w:rsidRPr="006D40F9" w:rsidRDefault="0025378E" w:rsidP="0025378E">
      <w:pPr>
        <w:pStyle w:val="BodyCopyNEW"/>
        <w:rPr>
          <w:szCs w:val="18"/>
        </w:rPr>
      </w:pPr>
      <w:r w:rsidRPr="006D40F9">
        <w:rPr>
          <w:szCs w:val="18"/>
        </w:rPr>
        <w:t>However, the Advisory Board over the review period was used by NOPSEMA to address specific issues as requested by the Chief Executive Officer (</w:t>
      </w:r>
      <w:r w:rsidRPr="006D40F9">
        <w:rPr>
          <w:b/>
          <w:szCs w:val="18"/>
        </w:rPr>
        <w:t>CEO</w:t>
      </w:r>
      <w:r w:rsidRPr="006D40F9">
        <w:rPr>
          <w:szCs w:val="18"/>
        </w:rPr>
        <w:t>), and the Board is likely being underutilised relative to the advice and guidance they could provide. Specifically, the Advisory Board could have been more active in helping set NOPSEMA’s strategic direction and in providing greater input into non-Major Accident Event (</w:t>
      </w:r>
      <w:r w:rsidRPr="006D40F9">
        <w:rPr>
          <w:b/>
          <w:szCs w:val="18"/>
        </w:rPr>
        <w:t>MAE</w:t>
      </w:r>
      <w:r w:rsidRPr="006D40F9">
        <w:rPr>
          <w:szCs w:val="18"/>
        </w:rPr>
        <w:t xml:space="preserve">) risk factors pertinent to the industry – factors such as mental health, decommissioning and financial assurance practices. Input from the Advisory Board in this manner may help challenge NOPSEMA management’s thinking on strategic direction and any assumptions or cognitive bias. </w:t>
      </w:r>
    </w:p>
    <w:tbl>
      <w:tblPr>
        <w:tblStyle w:val="TableGrid"/>
        <w:tblW w:w="0" w:type="auto"/>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DB7233" w:rsidRPr="00040C83" w14:paraId="07941A3C" w14:textId="77777777" w:rsidTr="00A86AB1">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101EC5BA" w14:textId="38D7DA5B" w:rsidR="00DB7233" w:rsidRPr="00A470B1" w:rsidRDefault="00DB7233" w:rsidP="00053250">
            <w:pPr>
              <w:pStyle w:val="TableHeadingLeft"/>
              <w:rPr>
                <w:bCs/>
              </w:rPr>
            </w:pPr>
            <w:r w:rsidRPr="00A470B1">
              <w:rPr>
                <w:bCs/>
              </w:rPr>
              <w:t>Recommendation</w:t>
            </w:r>
            <w:r w:rsidR="00F40D15" w:rsidRPr="00A470B1">
              <w:rPr>
                <w:bCs/>
              </w:rPr>
              <w:t xml:space="preserve"> #</w:t>
            </w:r>
            <w:r w:rsidR="00197F8C" w:rsidRPr="00A470B1">
              <w:rPr>
                <w:bCs/>
              </w:rPr>
              <w:t>1</w:t>
            </w:r>
            <w:r w:rsidR="005E06AF">
              <w:rPr>
                <w:bCs/>
              </w:rPr>
              <w:t>6</w:t>
            </w:r>
          </w:p>
        </w:tc>
      </w:tr>
      <w:tr w:rsidR="00040C83" w:rsidRPr="00040C83" w14:paraId="5AAD869E" w14:textId="77777777" w:rsidTr="00A86AB1">
        <w:tc>
          <w:tcPr>
            <w:tcW w:w="9864" w:type="dxa"/>
            <w:tcBorders>
              <w:bottom w:val="nil"/>
            </w:tcBorders>
            <w:shd w:val="clear" w:color="auto" w:fill="F2F2F2" w:themeFill="background1" w:themeFillShade="F2"/>
          </w:tcPr>
          <w:p w14:paraId="57BF22F9" w14:textId="06D15252" w:rsidR="00DB7233" w:rsidRPr="00040C83" w:rsidRDefault="00507166" w:rsidP="005D061C">
            <w:pPr>
              <w:pStyle w:val="BodyCopyNEW"/>
            </w:pPr>
            <w:r w:rsidRPr="00040C83">
              <w:rPr>
                <w:szCs w:val="18"/>
              </w:rPr>
              <w:t xml:space="preserve">DISER, in consultation with the NOPSEMA Advisory Board and the </w:t>
            </w:r>
            <w:r w:rsidR="00AE07D3" w:rsidRPr="00040C83">
              <w:rPr>
                <w:szCs w:val="18"/>
              </w:rPr>
              <w:t>CEO</w:t>
            </w:r>
            <w:r w:rsidRPr="00040C83">
              <w:rPr>
                <w:szCs w:val="18"/>
              </w:rPr>
              <w:t xml:space="preserve"> of NOPSEMA, </w:t>
            </w:r>
            <w:r w:rsidR="00AE07D3" w:rsidRPr="00040C83">
              <w:rPr>
                <w:szCs w:val="18"/>
              </w:rPr>
              <w:t>should consider whether the Advisory Board should be retained, or whether it should be restructured to become a Governing Board.</w:t>
            </w:r>
          </w:p>
        </w:tc>
      </w:tr>
    </w:tbl>
    <w:p w14:paraId="01B42AB9" w14:textId="77777777" w:rsidR="001E29D2" w:rsidRDefault="001E29D2" w:rsidP="001E29D2">
      <w:pPr>
        <w:pStyle w:val="BodyCopyNEW"/>
        <w:spacing w:before="120"/>
      </w:pPr>
      <w:r>
        <w:lastRenderedPageBreak/>
        <w:t xml:space="preserve">A move to become a Governing Board could provide more structure with regard to the dual outcomes of compliance and performance. The exact remit of a NOPSEMA Governing Board would need to be thoughtfully considered, but the Board could take on some more formal, traditional Board responsibilities including supporting the CEO to achieve high levels of compliance and performance and also being involved in evaluating the CEO’s performance. </w:t>
      </w:r>
    </w:p>
    <w:p w14:paraId="02799D3E" w14:textId="6B46E845" w:rsidR="00FD3956" w:rsidRDefault="00FD3956" w:rsidP="00901C7B">
      <w:pPr>
        <w:pStyle w:val="BodyCopyNEW"/>
        <w:spacing w:before="120"/>
      </w:pPr>
      <w:r>
        <w:t xml:space="preserve">We also observe that, should the Government ultimately pursue the integration of the administrative arm (NOPTA) into the regulatory arm (NOPSEMA) of the offshore regime, the expanded remit of the resultant entity would likely require the degree of oversight offered by a Governing Board structure. The exploration of an integrated administrator and regulator is </w:t>
      </w:r>
      <w:r w:rsidR="000F6630">
        <w:t>discussed further</w:t>
      </w:r>
      <w:r>
        <w:t xml:space="preserve"> in </w:t>
      </w:r>
      <w:r w:rsidRPr="00901C7B">
        <w:rPr>
          <w:b/>
          <w:bCs/>
        </w:rPr>
        <w:t xml:space="preserve">Section </w:t>
      </w:r>
      <w:r w:rsidR="00C076C7">
        <w:rPr>
          <w:b/>
          <w:bCs/>
        </w:rPr>
        <w:fldChar w:fldCharType="begin"/>
      </w:r>
      <w:r w:rsidR="00C076C7">
        <w:rPr>
          <w:b/>
          <w:bCs/>
        </w:rPr>
        <w:instrText xml:space="preserve"> REF _Ref63975827 \r \h </w:instrText>
      </w:r>
      <w:r w:rsidR="00C076C7">
        <w:rPr>
          <w:b/>
          <w:bCs/>
        </w:rPr>
      </w:r>
      <w:r w:rsidR="00C076C7">
        <w:rPr>
          <w:b/>
          <w:bCs/>
        </w:rPr>
        <w:fldChar w:fldCharType="separate"/>
      </w:r>
      <w:r w:rsidR="00E816B8">
        <w:rPr>
          <w:b/>
          <w:bCs/>
        </w:rPr>
        <w:t>12</w:t>
      </w:r>
      <w:r w:rsidR="00C076C7">
        <w:rPr>
          <w:b/>
          <w:bCs/>
        </w:rPr>
        <w:fldChar w:fldCharType="end"/>
      </w:r>
      <w:r>
        <w:t>.</w:t>
      </w:r>
    </w:p>
    <w:p w14:paraId="02531130" w14:textId="77777777" w:rsidR="002634F5" w:rsidRDefault="002634F5" w:rsidP="00733441">
      <w:pPr>
        <w:spacing w:after="120"/>
        <w:contextualSpacing/>
        <w:rPr>
          <w:rFonts w:asciiTheme="majorHAnsi" w:hAnsiTheme="majorHAnsi" w:cs="Calibri"/>
        </w:rPr>
      </w:pPr>
    </w:p>
    <w:p w14:paraId="63BBD42A" w14:textId="77777777" w:rsidR="001E3F70" w:rsidRDefault="001E3F70" w:rsidP="00733441">
      <w:pPr>
        <w:spacing w:after="120"/>
        <w:contextualSpacing/>
        <w:rPr>
          <w:rFonts w:asciiTheme="majorHAnsi" w:hAnsiTheme="majorHAnsi" w:cs="Calibri"/>
        </w:rPr>
        <w:sectPr w:rsidR="001E3F70" w:rsidSect="002B0B05">
          <w:headerReference w:type="default" r:id="rId53"/>
          <w:type w:val="continuous"/>
          <w:pgSz w:w="11906" w:h="16838" w:code="9"/>
          <w:pgMar w:top="1985" w:right="1021" w:bottom="1134" w:left="1021" w:header="680" w:footer="425" w:gutter="0"/>
          <w:cols w:space="284"/>
          <w:docGrid w:linePitch="360"/>
        </w:sectPr>
      </w:pPr>
    </w:p>
    <w:p w14:paraId="097E1D59" w14:textId="387DA471" w:rsidR="00B71E64" w:rsidRDefault="00B71E64" w:rsidP="00915DBA">
      <w:pPr>
        <w:pStyle w:val="Heading1"/>
        <w:ind w:right="3060"/>
      </w:pPr>
      <w:bookmarkStart w:id="88" w:name="_Ref58599862"/>
      <w:bookmarkStart w:id="89" w:name="_Toc53772911"/>
      <w:bookmarkStart w:id="90" w:name="_Ref56070743"/>
      <w:bookmarkStart w:id="91" w:name="_Ref56073518"/>
      <w:bookmarkStart w:id="92" w:name="_Ref63329962"/>
      <w:bookmarkStart w:id="93" w:name="_Toc63970846"/>
      <w:r>
        <w:lastRenderedPageBreak/>
        <w:t xml:space="preserve">How </w:t>
      </w:r>
      <w:r w:rsidR="001D32BA">
        <w:t xml:space="preserve">does </w:t>
      </w:r>
      <w:r>
        <w:t>NOPSEMA effectively engage with external parties to improve regulatory outcomes and build community confidence</w:t>
      </w:r>
      <w:bookmarkEnd w:id="88"/>
      <w:bookmarkEnd w:id="89"/>
      <w:bookmarkEnd w:id="90"/>
      <w:bookmarkEnd w:id="91"/>
      <w:r w:rsidR="001B290B">
        <w:t>?</w:t>
      </w:r>
      <w:bookmarkEnd w:id="92"/>
      <w:bookmarkEnd w:id="93"/>
    </w:p>
    <w:p w14:paraId="2BC30C6E" w14:textId="32C573CE" w:rsidR="00915DBA" w:rsidRPr="00A706C4" w:rsidRDefault="002B0B05" w:rsidP="00915DBA">
      <w:pPr>
        <w:pStyle w:val="Keypoints"/>
      </w:pPr>
      <w:r>
        <w:rPr>
          <w:noProof/>
          <w:lang w:eastAsia="en-AU"/>
        </w:rPr>
        <w:drawing>
          <wp:anchor distT="0" distB="0" distL="114300" distR="114300" simplePos="0" relativeHeight="251658248" behindDoc="1" locked="0" layoutInCell="1" allowOverlap="1" wp14:anchorId="2EBE69F1" wp14:editId="3DAC9ABD">
            <wp:simplePos x="0" y="0"/>
            <wp:positionH relativeFrom="page">
              <wp:posOffset>0</wp:posOffset>
            </wp:positionH>
            <wp:positionV relativeFrom="paragraph">
              <wp:posOffset>-4060190</wp:posOffset>
            </wp:positionV>
            <wp:extent cx="7559675" cy="10693400"/>
            <wp:effectExtent l="0" t="0" r="317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r w:rsidR="00915DBA" w:rsidRPr="00A706C4">
        <w:t>Key points</w:t>
      </w:r>
    </w:p>
    <w:tbl>
      <w:tblPr>
        <w:tblStyle w:val="TableGrid"/>
        <w:tblW w:w="10177" w:type="dxa"/>
        <w:tblCellMar>
          <w:top w:w="57" w:type="dxa"/>
          <w:left w:w="57" w:type="dxa"/>
          <w:bottom w:w="57" w:type="dxa"/>
          <w:right w:w="170" w:type="dxa"/>
        </w:tblCellMar>
        <w:tblLook w:val="04A0" w:firstRow="1" w:lastRow="0" w:firstColumn="1" w:lastColumn="0" w:noHBand="0" w:noVBand="1"/>
      </w:tblPr>
      <w:tblGrid>
        <w:gridCol w:w="5245"/>
        <w:gridCol w:w="4932"/>
      </w:tblGrid>
      <w:tr w:rsidR="00915DBA" w14:paraId="4AC2963B" w14:textId="77777777" w:rsidTr="002B0B05">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auto"/>
          </w:tcPr>
          <w:p w14:paraId="74D8B9CB" w14:textId="77777777" w:rsidR="00915DBA" w:rsidRPr="00040C83" w:rsidRDefault="00915DBA" w:rsidP="00915DBA">
            <w:pPr>
              <w:spacing w:after="80"/>
              <w:rPr>
                <w:rFonts w:ascii="Calibri" w:hAnsi="Calibri"/>
                <w:b/>
              </w:rPr>
            </w:pPr>
            <w:r w:rsidRPr="00040C83">
              <w:rPr>
                <w:rFonts w:ascii="Calibri" w:hAnsi="Calibri"/>
                <w:b/>
              </w:rPr>
              <w:t xml:space="preserve">NOPSEMA has transformed its level of stakeholder engagement but must further build trust and confidence </w:t>
            </w:r>
          </w:p>
          <w:p w14:paraId="395CA1B3" w14:textId="77777777" w:rsidR="00915DBA" w:rsidRPr="00091692" w:rsidRDefault="00915DBA" w:rsidP="00915DBA">
            <w:pPr>
              <w:widowControl w:val="0"/>
              <w:spacing w:after="80"/>
              <w:rPr>
                <w:rFonts w:ascii="Calibri Light" w:hAnsi="Calibri Light"/>
              </w:rPr>
            </w:pPr>
            <w:r w:rsidRPr="00091692">
              <w:rPr>
                <w:rFonts w:ascii="Calibri Light" w:hAnsi="Calibri Light"/>
              </w:rPr>
              <w:t xml:space="preserve">NOPSEMA has made considerable improvement to its stakeholder engagement since the 2015 Operational Review. This improvement was, in the main, acknowledged across stakeholder segments. NOPSEMA is to be commended for this. </w:t>
            </w:r>
          </w:p>
          <w:p w14:paraId="31B41ABB" w14:textId="1F8AE7E2" w:rsidR="00915DBA" w:rsidRPr="00091692" w:rsidRDefault="00915DBA" w:rsidP="00915DBA">
            <w:pPr>
              <w:widowControl w:val="0"/>
              <w:spacing w:after="80"/>
              <w:rPr>
                <w:rFonts w:ascii="Calibri Light" w:hAnsi="Calibri Light"/>
              </w:rPr>
            </w:pPr>
            <w:r w:rsidRPr="00091692">
              <w:rPr>
                <w:rFonts w:ascii="Calibri Light" w:hAnsi="Calibri Light"/>
              </w:rPr>
              <w:t xml:space="preserve">We </w:t>
            </w:r>
            <w:r w:rsidR="009E3636">
              <w:rPr>
                <w:rFonts w:ascii="Calibri Light" w:hAnsi="Calibri Light"/>
              </w:rPr>
              <w:t>found</w:t>
            </w:r>
            <w:r w:rsidR="009E3636" w:rsidRPr="00091692">
              <w:rPr>
                <w:rFonts w:ascii="Calibri Light" w:hAnsi="Calibri Light"/>
              </w:rPr>
              <w:t xml:space="preserve"> </w:t>
            </w:r>
            <w:r w:rsidRPr="00091692">
              <w:rPr>
                <w:rFonts w:ascii="Calibri Light" w:hAnsi="Calibri Light"/>
              </w:rPr>
              <w:t xml:space="preserve">further work </w:t>
            </w:r>
            <w:r w:rsidR="009E3636">
              <w:rPr>
                <w:rFonts w:ascii="Calibri Light" w:hAnsi="Calibri Light"/>
              </w:rPr>
              <w:t xml:space="preserve">is </w:t>
            </w:r>
            <w:r w:rsidRPr="00091692">
              <w:rPr>
                <w:rFonts w:ascii="Calibri Light" w:hAnsi="Calibri Light"/>
              </w:rPr>
              <w:t xml:space="preserve">required in demonstrating how the regulator listens to its stakeholders and processes feedback it receives. NOPSEMA should provide greater clarity on how it </w:t>
            </w:r>
            <w:r w:rsidR="00CD1A38" w:rsidRPr="00091692">
              <w:rPr>
                <w:rFonts w:ascii="Calibri Light" w:hAnsi="Calibri Light"/>
              </w:rPr>
              <w:t>responds</w:t>
            </w:r>
            <w:r w:rsidRPr="00091692">
              <w:rPr>
                <w:rFonts w:ascii="Calibri Light" w:hAnsi="Calibri Light"/>
              </w:rPr>
              <w:t xml:space="preserve"> to stakeholder</w:t>
            </w:r>
            <w:r w:rsidR="00CD1A38" w:rsidRPr="00091692">
              <w:rPr>
                <w:rFonts w:ascii="Calibri Light" w:hAnsi="Calibri Light"/>
              </w:rPr>
              <w:t xml:space="preserve"> feedback</w:t>
            </w:r>
            <w:r w:rsidRPr="00091692">
              <w:rPr>
                <w:rFonts w:ascii="Calibri Light" w:hAnsi="Calibri Light"/>
              </w:rPr>
              <w:t>, utilise engagement activities that seek to elicit anonymous feedback about NOPSEMA, and increase visibility over the stakeholder activities it undertakes.</w:t>
            </w:r>
          </w:p>
          <w:p w14:paraId="7C2F7282" w14:textId="71860BA7" w:rsidR="00915DBA" w:rsidRPr="00091692" w:rsidRDefault="00915DBA" w:rsidP="00915DBA">
            <w:pPr>
              <w:widowControl w:val="0"/>
              <w:spacing w:after="80"/>
              <w:rPr>
                <w:rFonts w:ascii="Calibri Light" w:hAnsi="Calibri Light"/>
              </w:rPr>
            </w:pPr>
            <w:r w:rsidRPr="00091692">
              <w:rPr>
                <w:rFonts w:ascii="Calibri Light" w:hAnsi="Calibri Light"/>
              </w:rPr>
              <w:t xml:space="preserve">Trust and confidence in NOPSEMA remain particularly low with other users of the marine estate. We observed frustration and sometimes anger felt by this segment towards NOPSEMA over its perceived lack of willingness to intercede on potential impacts of seismic surveys on </w:t>
            </w:r>
            <w:r w:rsidR="00CA25FF" w:rsidRPr="00091692">
              <w:rPr>
                <w:rFonts w:ascii="Calibri Light" w:hAnsi="Calibri Light"/>
              </w:rPr>
              <w:t>fishi</w:t>
            </w:r>
            <w:r w:rsidR="00150C90" w:rsidRPr="00091692">
              <w:rPr>
                <w:rFonts w:ascii="Calibri Light" w:hAnsi="Calibri Light"/>
              </w:rPr>
              <w:t>ng</w:t>
            </w:r>
            <w:r w:rsidR="00CA25FF" w:rsidRPr="00091692">
              <w:rPr>
                <w:rFonts w:ascii="Calibri Light" w:hAnsi="Calibri Light"/>
              </w:rPr>
              <w:t xml:space="preserve"> </w:t>
            </w:r>
            <w:r w:rsidRPr="00091692">
              <w:rPr>
                <w:rFonts w:ascii="Calibri Light" w:hAnsi="Calibri Light"/>
              </w:rPr>
              <w:t>activities. Stakeholder engagement fatigue was also noted by many in the fishing industry.</w:t>
            </w:r>
            <w:r w:rsidR="00CD1A38" w:rsidRPr="00091692">
              <w:rPr>
                <w:rFonts w:ascii="Calibri Light" w:hAnsi="Calibri Light"/>
              </w:rPr>
              <w:t xml:space="preserve"> </w:t>
            </w:r>
            <w:r w:rsidRPr="00091692">
              <w:rPr>
                <w:rFonts w:ascii="Calibri Light" w:hAnsi="Calibri Light"/>
              </w:rPr>
              <w:t>NOPSEMA must more transparently communicate its decision-making process and rationale to stakeholders, although we acknowledge NOPSEMA has made positive advances in this regard.</w:t>
            </w:r>
          </w:p>
          <w:p w14:paraId="119E72DC" w14:textId="01FB9069" w:rsidR="00CD1A38" w:rsidRPr="00091692" w:rsidRDefault="00915DBA" w:rsidP="00CD1A38">
            <w:pPr>
              <w:widowControl w:val="0"/>
              <w:spacing w:after="80"/>
              <w:rPr>
                <w:rFonts w:ascii="Calibri Light" w:hAnsi="Calibri Light"/>
              </w:rPr>
            </w:pPr>
            <w:r w:rsidRPr="00091692">
              <w:rPr>
                <w:rFonts w:ascii="Calibri Light" w:hAnsi="Calibri Light"/>
              </w:rPr>
              <w:t xml:space="preserve">More broadly, NOPSEMA should undertake a more strategic approach to stakeholder engagements. NOPSEMA reported limited historical success with predicting where specifically stakeholder issues may arise. </w:t>
            </w:r>
            <w:r w:rsidR="00CD1A38" w:rsidRPr="00091692">
              <w:rPr>
                <w:rFonts w:ascii="Calibri Light" w:hAnsi="Calibri Light"/>
              </w:rPr>
              <w:t xml:space="preserve">This can often place NOPSEMA in a ‘reactive’ position. The application of scenario-based communication and engagement planning may assist NOPSEMA management in more proactively and rapidly identifying and responding to ‘at risk’ situations before they escalate. </w:t>
            </w:r>
          </w:p>
          <w:p w14:paraId="5AEB3C2F" w14:textId="3E79E8F3" w:rsidR="00915DBA" w:rsidRPr="00040C83" w:rsidRDefault="00CD1A38" w:rsidP="00915DBA">
            <w:pPr>
              <w:widowControl w:val="0"/>
              <w:spacing w:after="80"/>
              <w:rPr>
                <w:rFonts w:ascii="Calibri Light" w:hAnsi="Calibri Light"/>
              </w:rPr>
            </w:pPr>
            <w:r w:rsidRPr="00091692">
              <w:rPr>
                <w:rFonts w:ascii="Calibri Light" w:hAnsi="Calibri Light"/>
              </w:rPr>
              <w:t>Specifically, to address issues with other users of the marine estate, agreement could be sought from involved parties on areas of contention, where possible, ahead of assessment processes and establishment of mutually agreed remediation protocols.</w:t>
            </w:r>
            <w:r w:rsidRPr="00040C83">
              <w:rPr>
                <w:rFonts w:ascii="Calibri Light" w:hAnsi="Calibri Light"/>
              </w:rPr>
              <w:t xml:space="preserve"> </w:t>
            </w:r>
          </w:p>
        </w:tc>
        <w:tc>
          <w:tcPr>
            <w:tcW w:w="4932" w:type="dxa"/>
            <w:shd w:val="clear" w:color="auto" w:fill="auto"/>
          </w:tcPr>
          <w:p w14:paraId="739BF0D6" w14:textId="77777777" w:rsidR="00266860" w:rsidRPr="007064EB" w:rsidRDefault="00266860" w:rsidP="00266860">
            <w:pPr>
              <w:spacing w:after="120"/>
              <w:ind w:left="12"/>
              <w:rPr>
                <w:rFonts w:ascii="Calibri" w:hAnsi="Calibri"/>
                <w:b/>
                <w:bCs/>
              </w:rPr>
            </w:pPr>
            <w:r w:rsidRPr="007064EB">
              <w:rPr>
                <w:rFonts w:ascii="Calibri" w:hAnsi="Calibri"/>
                <w:b/>
                <w:bCs/>
              </w:rPr>
              <w:t xml:space="preserve">A ‘One Government’ approach is required </w:t>
            </w:r>
          </w:p>
          <w:p w14:paraId="73BE9756" w14:textId="0904220A" w:rsidR="00DE2ED9" w:rsidRPr="00091692" w:rsidRDefault="00DE2ED9" w:rsidP="00D45D20">
            <w:pPr>
              <w:spacing w:after="120"/>
              <w:ind w:left="12"/>
              <w:rPr>
                <w:rFonts w:ascii="Calibri Light" w:hAnsi="Calibri Light"/>
              </w:rPr>
            </w:pPr>
            <w:r w:rsidRPr="00091692">
              <w:rPr>
                <w:rFonts w:ascii="Calibri Light" w:hAnsi="Calibri Light"/>
              </w:rPr>
              <w:t>NOPSEMA’s relationships with Commonwealth and state/territory departments are appropriate and collaboration has tended to improve across the review period.</w:t>
            </w:r>
          </w:p>
          <w:p w14:paraId="6BB16285" w14:textId="236C963E" w:rsidR="00D45D20" w:rsidRPr="00091692" w:rsidRDefault="00C61703" w:rsidP="00D45D20">
            <w:pPr>
              <w:spacing w:after="120"/>
              <w:ind w:left="12"/>
              <w:rPr>
                <w:rFonts w:ascii="Calibri Light" w:hAnsi="Calibri Light"/>
              </w:rPr>
            </w:pPr>
            <w:r w:rsidRPr="00091692">
              <w:rPr>
                <w:rFonts w:ascii="Calibri Light" w:hAnsi="Calibri Light"/>
              </w:rPr>
              <w:t>Specifically, t</w:t>
            </w:r>
            <w:r w:rsidR="00D45D20" w:rsidRPr="00091692">
              <w:rPr>
                <w:rFonts w:ascii="Calibri Light" w:hAnsi="Calibri Light"/>
              </w:rPr>
              <w:t xml:space="preserve">here have been improvements to NOPTA’s and NOPSEMA’s collaboration and coordination across the review period. Example steps undertaken by NOPTA and NOPSEMA include joint meetings with titleholders on areas of activity overlap, co-locating of personnel, leveraging one another’s capabilities, and seconding staff where appropriate. NOPTA and NOPSEMA could work together more effectively to share knowledge, coordinate on strategic matters of industry significance, and break down information silos. </w:t>
            </w:r>
          </w:p>
          <w:p w14:paraId="0F1D7531" w14:textId="106545F5" w:rsidR="00D45D20" w:rsidRPr="00040C83" w:rsidRDefault="00D45D20" w:rsidP="00D45D20">
            <w:pPr>
              <w:spacing w:after="120"/>
              <w:ind w:left="12"/>
              <w:rPr>
                <w:rFonts w:ascii="Calibri Light" w:hAnsi="Calibri Light"/>
                <w:b/>
                <w:bCs/>
              </w:rPr>
            </w:pPr>
            <w:r w:rsidRPr="00091692">
              <w:rPr>
                <w:rFonts w:ascii="Calibri Light" w:hAnsi="Calibri Light"/>
              </w:rPr>
              <w:t>A key question is whether the degree of collaboration and coordination required to support a maturing industry is possible under the current offshore model – this is examined further in</w:t>
            </w:r>
            <w:r w:rsidRPr="00040C83">
              <w:rPr>
                <w:rFonts w:ascii="Calibri Light" w:hAnsi="Calibri Light"/>
                <w:b/>
                <w:bCs/>
              </w:rPr>
              <w:t xml:space="preserve"> </w:t>
            </w:r>
            <w:r w:rsidRPr="00091692">
              <w:rPr>
                <w:rFonts w:ascii="Calibri Light" w:hAnsi="Calibri Light"/>
                <w:b/>
                <w:bCs/>
              </w:rPr>
              <w:t xml:space="preserve">Section </w:t>
            </w:r>
            <w:r w:rsidR="00673A08">
              <w:rPr>
                <w:rFonts w:ascii="Calibri Light" w:hAnsi="Calibri Light"/>
                <w:b/>
                <w:bCs/>
              </w:rPr>
              <w:fldChar w:fldCharType="begin"/>
            </w:r>
            <w:r w:rsidR="00673A08">
              <w:rPr>
                <w:rFonts w:ascii="Calibri Light" w:hAnsi="Calibri Light"/>
                <w:b/>
                <w:bCs/>
              </w:rPr>
              <w:instrText xml:space="preserve"> REF _Ref63975870 \r \h </w:instrText>
            </w:r>
            <w:r w:rsidR="00673A08">
              <w:rPr>
                <w:rFonts w:ascii="Calibri Light" w:hAnsi="Calibri Light"/>
                <w:b/>
                <w:bCs/>
              </w:rPr>
            </w:r>
            <w:r w:rsidR="00673A08">
              <w:rPr>
                <w:rFonts w:ascii="Calibri Light" w:hAnsi="Calibri Light"/>
                <w:b/>
                <w:bCs/>
              </w:rPr>
              <w:fldChar w:fldCharType="separate"/>
            </w:r>
            <w:r w:rsidR="00E816B8">
              <w:rPr>
                <w:rFonts w:ascii="Calibri Light" w:hAnsi="Calibri Light"/>
                <w:b/>
                <w:bCs/>
              </w:rPr>
              <w:t>12</w:t>
            </w:r>
            <w:r w:rsidR="00673A08">
              <w:rPr>
                <w:rFonts w:ascii="Calibri Light" w:hAnsi="Calibri Light"/>
                <w:b/>
                <w:bCs/>
              </w:rPr>
              <w:fldChar w:fldCharType="end"/>
            </w:r>
            <w:r w:rsidRPr="00040C83">
              <w:rPr>
                <w:rFonts w:ascii="Calibri Light" w:hAnsi="Calibri Light"/>
                <w:b/>
                <w:bCs/>
              </w:rPr>
              <w:t>.</w:t>
            </w:r>
          </w:p>
          <w:p w14:paraId="55FEBCAA" w14:textId="49A7FDCF" w:rsidR="00D45D20" w:rsidRPr="00091692" w:rsidRDefault="00D45D20" w:rsidP="00D45D20">
            <w:pPr>
              <w:widowControl w:val="0"/>
              <w:spacing w:after="80"/>
              <w:rPr>
                <w:rFonts w:ascii="Calibri Light" w:hAnsi="Calibri Light"/>
              </w:rPr>
            </w:pPr>
            <w:r w:rsidRPr="00091692">
              <w:rPr>
                <w:rFonts w:ascii="Calibri Light" w:hAnsi="Calibri Light"/>
              </w:rPr>
              <w:t xml:space="preserve">All components of the offshore legislative framework (administrative, policy, regulatory, and decision-making) must work in unison to address the challenges ahead. We have observed a degree of deviation between the various components over clarity in roles and responsibilities and, in some instances, interpretations of the OPGGS Act. Furthermore, data and information sharing – a key pillar of a cohesive delivery of the legislation and regulations – must be improved and barriers to this outcome addressed. </w:t>
            </w:r>
          </w:p>
          <w:p w14:paraId="614879A8" w14:textId="77777777" w:rsidR="00915DBA" w:rsidRPr="00901C7B" w:rsidRDefault="00915DBA" w:rsidP="00915DBA">
            <w:pPr>
              <w:widowControl w:val="0"/>
              <w:spacing w:after="80"/>
              <w:rPr>
                <w:rFonts w:ascii="Calibri" w:hAnsi="Calibri"/>
                <w:b/>
              </w:rPr>
            </w:pPr>
          </w:p>
          <w:p w14:paraId="346FFB32" w14:textId="1225A176" w:rsidR="00915DBA" w:rsidRPr="007F1CE7" w:rsidRDefault="00915DBA" w:rsidP="00915DBA">
            <w:pPr>
              <w:widowControl w:val="0"/>
              <w:spacing w:after="80"/>
              <w:rPr>
                <w:rFonts w:ascii="Calibri" w:hAnsi="Calibri"/>
                <w:b/>
              </w:rPr>
            </w:pPr>
            <w:r w:rsidRPr="007F1CE7">
              <w:rPr>
                <w:rFonts w:ascii="Calibri" w:hAnsi="Calibri"/>
                <w:b/>
              </w:rPr>
              <w:t>Recommendations:</w:t>
            </w:r>
            <w:r w:rsidRPr="007F1CE7">
              <w:rPr>
                <w:rFonts w:ascii="Calibri" w:hAnsi="Calibri"/>
                <w:b/>
                <w:color w:val="00ABAB"/>
              </w:rPr>
              <w:t xml:space="preserve"> </w:t>
            </w:r>
            <w:r w:rsidR="00CA55E9">
              <w:rPr>
                <w:rFonts w:ascii="Calibri" w:hAnsi="Calibri"/>
                <w:b/>
                <w:color w:val="00ABAB"/>
              </w:rPr>
              <w:t>17, 18, 19, 20, 21, 22</w:t>
            </w:r>
          </w:p>
          <w:p w14:paraId="1636AE1F" w14:textId="27CE2E5B" w:rsidR="00915DBA" w:rsidRPr="00901C7B" w:rsidRDefault="00915DBA" w:rsidP="00915DBA">
            <w:pPr>
              <w:widowControl w:val="0"/>
              <w:spacing w:after="80"/>
              <w:rPr>
                <w:rFonts w:ascii="Calibri" w:hAnsi="Calibri"/>
                <w:b/>
              </w:rPr>
            </w:pPr>
            <w:r w:rsidRPr="007F1CE7">
              <w:rPr>
                <w:rFonts w:ascii="Calibri" w:hAnsi="Calibri"/>
                <w:b/>
              </w:rPr>
              <w:t xml:space="preserve">Opportunities: </w:t>
            </w:r>
            <w:r w:rsidRPr="007F1CE7">
              <w:rPr>
                <w:rFonts w:ascii="Calibri" w:hAnsi="Calibri"/>
                <w:b/>
                <w:color w:val="00ABAB"/>
              </w:rPr>
              <w:t>13, 14, 15, 16, 17</w:t>
            </w:r>
            <w:r w:rsidR="009C39BA">
              <w:rPr>
                <w:rFonts w:ascii="Calibri" w:hAnsi="Calibri"/>
                <w:b/>
                <w:color w:val="00ABAB"/>
              </w:rPr>
              <w:t>, 18</w:t>
            </w:r>
          </w:p>
        </w:tc>
      </w:tr>
    </w:tbl>
    <w:p w14:paraId="720438BC" w14:textId="77777777" w:rsidR="001E3F70" w:rsidRDefault="001E3F70" w:rsidP="005D061C">
      <w:pPr>
        <w:pStyle w:val="BodyCopyNEW"/>
        <w:sectPr w:rsidR="001E3F70" w:rsidSect="002B0B05">
          <w:headerReference w:type="default" r:id="rId54"/>
          <w:type w:val="continuous"/>
          <w:pgSz w:w="11906" w:h="16838" w:code="9"/>
          <w:pgMar w:top="1985" w:right="1021" w:bottom="1134" w:left="1021" w:header="680" w:footer="425" w:gutter="0"/>
          <w:cols w:space="284"/>
          <w:docGrid w:linePitch="360"/>
        </w:sectPr>
      </w:pPr>
    </w:p>
    <w:p w14:paraId="1CC37EDC" w14:textId="4E139B19" w:rsidR="00B71E64" w:rsidRDefault="00B71E64" w:rsidP="005D061C">
      <w:pPr>
        <w:pStyle w:val="BodyCopyNEW"/>
      </w:pPr>
      <w:r w:rsidRPr="003D26F2" w:rsidDel="007206AB">
        <w:lastRenderedPageBreak/>
        <w:t xml:space="preserve">A vital component of NOPSEMA’s </w:t>
      </w:r>
      <w:r w:rsidDel="007206AB">
        <w:t xml:space="preserve">effective </w:t>
      </w:r>
      <w:r w:rsidRPr="003D26F2" w:rsidDel="007206AB">
        <w:t>regulation of the offshore petroleum industry is engaging with stakeholders. This is an evolving and complex landscape as stakeholder priorities, needs and focuses vary substantially and change over time. Having a strong and robust approach to stakeholder engagement is important to increase confidence in NOPSEMA’s execution of its regulatory duties and, more broadly, the offshore petroleum industry.</w:t>
      </w:r>
    </w:p>
    <w:p w14:paraId="650DF8E9" w14:textId="48F119E6" w:rsidR="00BA56FB" w:rsidRPr="002027C8" w:rsidRDefault="00BA56FB" w:rsidP="00BA56FB">
      <w:pPr>
        <w:pStyle w:val="BodyCopyNEW"/>
      </w:pPr>
      <w:r>
        <w:t>We begin with an overview of NOPSEMA’s stakeholder environment and approach to stakeholder engagement (</w:t>
      </w:r>
      <w:r w:rsidRPr="002027C8">
        <w:rPr>
          <w:b/>
          <w:bCs/>
        </w:rPr>
        <w:t xml:space="preserve">subsection </w:t>
      </w:r>
      <w:r w:rsidR="005C1529">
        <w:rPr>
          <w:b/>
          <w:bCs/>
        </w:rPr>
        <w:fldChar w:fldCharType="begin"/>
      </w:r>
      <w:r w:rsidR="005C1529">
        <w:rPr>
          <w:b/>
          <w:bCs/>
        </w:rPr>
        <w:instrText xml:space="preserve"> REF _Ref58594152 \r \h </w:instrText>
      </w:r>
      <w:r w:rsidR="005C1529">
        <w:rPr>
          <w:b/>
          <w:bCs/>
        </w:rPr>
      </w:r>
      <w:r w:rsidR="005C1529">
        <w:rPr>
          <w:b/>
          <w:bCs/>
        </w:rPr>
        <w:fldChar w:fldCharType="separate"/>
      </w:r>
      <w:r w:rsidR="00E816B8">
        <w:rPr>
          <w:b/>
          <w:bCs/>
        </w:rPr>
        <w:t>9.1</w:t>
      </w:r>
      <w:r w:rsidR="005C1529">
        <w:rPr>
          <w:b/>
          <w:bCs/>
        </w:rPr>
        <w:fldChar w:fldCharType="end"/>
      </w:r>
      <w:r>
        <w:t>). Next, we assess at a general level the effectiveness of NOPSEMA’s current stakeholder engagement and communications (</w:t>
      </w:r>
      <w:r w:rsidRPr="002027C8">
        <w:rPr>
          <w:b/>
          <w:bCs/>
        </w:rPr>
        <w:t xml:space="preserve">subsection </w:t>
      </w:r>
      <w:r w:rsidR="005C1529">
        <w:rPr>
          <w:b/>
          <w:bCs/>
        </w:rPr>
        <w:fldChar w:fldCharType="begin"/>
      </w:r>
      <w:r w:rsidR="005C1529">
        <w:rPr>
          <w:b/>
          <w:bCs/>
        </w:rPr>
        <w:instrText xml:space="preserve"> REF _Ref58594160 \r \h </w:instrText>
      </w:r>
      <w:r w:rsidR="005C1529">
        <w:rPr>
          <w:b/>
          <w:bCs/>
        </w:rPr>
      </w:r>
      <w:r w:rsidR="005C1529">
        <w:rPr>
          <w:b/>
          <w:bCs/>
        </w:rPr>
        <w:fldChar w:fldCharType="separate"/>
      </w:r>
      <w:r w:rsidR="00E816B8">
        <w:rPr>
          <w:b/>
          <w:bCs/>
        </w:rPr>
        <w:t>9.2</w:t>
      </w:r>
      <w:r w:rsidR="005C1529">
        <w:rPr>
          <w:b/>
          <w:bCs/>
        </w:rPr>
        <w:fldChar w:fldCharType="end"/>
      </w:r>
      <w:r>
        <w:t>) before examining the quality of NOPSEMA’s relationships with industry and other stakeholders (</w:t>
      </w:r>
      <w:r w:rsidRPr="002027C8">
        <w:rPr>
          <w:b/>
          <w:bCs/>
        </w:rPr>
        <w:t xml:space="preserve">subsection </w:t>
      </w:r>
      <w:r w:rsidR="005C1529">
        <w:rPr>
          <w:b/>
          <w:bCs/>
        </w:rPr>
        <w:fldChar w:fldCharType="begin"/>
      </w:r>
      <w:r w:rsidR="005C1529">
        <w:rPr>
          <w:b/>
          <w:bCs/>
        </w:rPr>
        <w:instrText xml:space="preserve"> REF _Ref58594171 \r \h </w:instrText>
      </w:r>
      <w:r w:rsidR="005C1529">
        <w:rPr>
          <w:b/>
          <w:bCs/>
        </w:rPr>
      </w:r>
      <w:r w:rsidR="005C1529">
        <w:rPr>
          <w:b/>
          <w:bCs/>
        </w:rPr>
        <w:fldChar w:fldCharType="separate"/>
      </w:r>
      <w:r w:rsidR="00E816B8">
        <w:rPr>
          <w:b/>
          <w:bCs/>
        </w:rPr>
        <w:t>9.3</w:t>
      </w:r>
      <w:r w:rsidR="005C1529">
        <w:rPr>
          <w:b/>
          <w:bCs/>
        </w:rPr>
        <w:fldChar w:fldCharType="end"/>
      </w:r>
      <w:r>
        <w:t>), international peer regulators (</w:t>
      </w:r>
      <w:r w:rsidRPr="002027C8">
        <w:rPr>
          <w:b/>
          <w:bCs/>
        </w:rPr>
        <w:t xml:space="preserve">subsection </w:t>
      </w:r>
      <w:r w:rsidR="005C1529">
        <w:rPr>
          <w:b/>
          <w:bCs/>
        </w:rPr>
        <w:fldChar w:fldCharType="begin"/>
      </w:r>
      <w:r w:rsidR="005C1529">
        <w:rPr>
          <w:b/>
          <w:bCs/>
        </w:rPr>
        <w:instrText xml:space="preserve"> REF _Ref58594184 \r \h </w:instrText>
      </w:r>
      <w:r w:rsidR="005C1529">
        <w:rPr>
          <w:b/>
          <w:bCs/>
        </w:rPr>
      </w:r>
      <w:r w:rsidR="005C1529">
        <w:rPr>
          <w:b/>
          <w:bCs/>
        </w:rPr>
        <w:fldChar w:fldCharType="separate"/>
      </w:r>
      <w:r w:rsidR="00E816B8">
        <w:rPr>
          <w:b/>
          <w:bCs/>
        </w:rPr>
        <w:t>9.4</w:t>
      </w:r>
      <w:r w:rsidR="005C1529">
        <w:rPr>
          <w:b/>
          <w:bCs/>
        </w:rPr>
        <w:fldChar w:fldCharType="end"/>
      </w:r>
      <w:r>
        <w:t xml:space="preserve">), and </w:t>
      </w:r>
      <w:r w:rsidR="00925960">
        <w:t>other Commonwealth and state</w:t>
      </w:r>
      <w:r w:rsidR="005C1529">
        <w:t>/territory peers (</w:t>
      </w:r>
      <w:r w:rsidR="005C1529" w:rsidRPr="00901C7B">
        <w:rPr>
          <w:b/>
          <w:bCs/>
        </w:rPr>
        <w:t xml:space="preserve">subsection </w:t>
      </w:r>
      <w:r w:rsidR="005C1529" w:rsidRPr="00E75BFD">
        <w:rPr>
          <w:b/>
          <w:bCs/>
        </w:rPr>
        <w:fldChar w:fldCharType="begin"/>
      </w:r>
      <w:r w:rsidR="005C1529" w:rsidRPr="00901C7B">
        <w:rPr>
          <w:b/>
          <w:bCs/>
        </w:rPr>
        <w:instrText xml:space="preserve"> REF _Ref58594198 \r \h </w:instrText>
      </w:r>
      <w:r w:rsidR="005C1529">
        <w:rPr>
          <w:b/>
          <w:bCs/>
        </w:rPr>
        <w:instrText xml:space="preserve"> \* MERGEFORMAT </w:instrText>
      </w:r>
      <w:r w:rsidR="005C1529" w:rsidRPr="00E75BFD">
        <w:rPr>
          <w:b/>
          <w:bCs/>
        </w:rPr>
      </w:r>
      <w:r w:rsidR="005C1529" w:rsidRPr="00E75BFD">
        <w:rPr>
          <w:b/>
          <w:bCs/>
        </w:rPr>
        <w:fldChar w:fldCharType="separate"/>
      </w:r>
      <w:r w:rsidR="00E816B8">
        <w:rPr>
          <w:b/>
          <w:bCs/>
        </w:rPr>
        <w:t>9.5</w:t>
      </w:r>
      <w:r w:rsidR="005C1529" w:rsidRPr="00E75BFD">
        <w:rPr>
          <w:b/>
          <w:bCs/>
        </w:rPr>
        <w:fldChar w:fldCharType="end"/>
      </w:r>
      <w:r w:rsidR="005C1529">
        <w:t>). We conclude this section with a discussion on a ‘One Government’ approach – to ensure a cohesive approach to the delivery of the offshore legislative framework is achieved (</w:t>
      </w:r>
      <w:r w:rsidR="005C1529" w:rsidRPr="00901C7B">
        <w:rPr>
          <w:b/>
          <w:bCs/>
        </w:rPr>
        <w:t xml:space="preserve">subsection </w:t>
      </w:r>
      <w:r w:rsidR="005C1529">
        <w:rPr>
          <w:b/>
          <w:bCs/>
        </w:rPr>
        <w:fldChar w:fldCharType="begin"/>
      </w:r>
      <w:r w:rsidR="005C1529">
        <w:rPr>
          <w:b/>
          <w:bCs/>
        </w:rPr>
        <w:instrText xml:space="preserve"> REF _Ref57886397 \r \h </w:instrText>
      </w:r>
      <w:r w:rsidR="005C1529">
        <w:rPr>
          <w:b/>
          <w:bCs/>
        </w:rPr>
      </w:r>
      <w:r w:rsidR="005C1529">
        <w:rPr>
          <w:b/>
          <w:bCs/>
        </w:rPr>
        <w:fldChar w:fldCharType="separate"/>
      </w:r>
      <w:r w:rsidR="00E816B8">
        <w:rPr>
          <w:b/>
          <w:bCs/>
        </w:rPr>
        <w:t>9.6</w:t>
      </w:r>
      <w:r w:rsidR="005C1529">
        <w:rPr>
          <w:b/>
          <w:bCs/>
        </w:rPr>
        <w:fldChar w:fldCharType="end"/>
      </w:r>
      <w:r w:rsidR="005C1529">
        <w:t>).</w:t>
      </w:r>
      <w:r>
        <w:t xml:space="preserve"> </w:t>
      </w:r>
    </w:p>
    <w:p w14:paraId="48A1D726" w14:textId="77777777" w:rsidR="00B71E64" w:rsidRDefault="00B71E64" w:rsidP="00AE2D6E">
      <w:pPr>
        <w:pStyle w:val="Heading2"/>
        <w:numPr>
          <w:ilvl w:val="1"/>
          <w:numId w:val="1"/>
        </w:numPr>
      </w:pPr>
      <w:bookmarkStart w:id="94" w:name="_Ref58594152"/>
      <w:r w:rsidRPr="003D26F2">
        <w:t>Overview of NOPSEMA’s approach to stakeholder engagement</w:t>
      </w:r>
      <w:bookmarkEnd w:id="94"/>
    </w:p>
    <w:p w14:paraId="03C79DE2" w14:textId="77777777" w:rsidR="00B71E64" w:rsidRPr="003D26F2" w:rsidRDefault="00B71E64" w:rsidP="00784E0E">
      <w:pPr>
        <w:pStyle w:val="Heading3"/>
        <w:numPr>
          <w:ilvl w:val="2"/>
          <w:numId w:val="1"/>
        </w:numPr>
      </w:pPr>
      <w:r w:rsidRPr="003D26F2">
        <w:t>NOPSEMA’s stakeholder ecosystem</w:t>
      </w:r>
    </w:p>
    <w:p w14:paraId="1C0088BF" w14:textId="15A38835" w:rsidR="00B71E64" w:rsidRDefault="00B71E64" w:rsidP="005D061C">
      <w:pPr>
        <w:pStyle w:val="BodyCopyNEW"/>
      </w:pPr>
      <w:r w:rsidRPr="003D26F2">
        <w:t>NOPSEMA engages with five key stakeholder segments. These segments are outlined with stakeholder organisation examples listed in</w:t>
      </w:r>
      <w:r w:rsidR="0050230A">
        <w:rPr>
          <w:b/>
          <w:bCs/>
        </w:rPr>
        <w:t xml:space="preserve"> </w:t>
      </w:r>
      <w:r w:rsidR="0050230A" w:rsidRPr="0050230A">
        <w:rPr>
          <w:b/>
          <w:bCs/>
          <w:highlight w:val="yellow"/>
        </w:rPr>
        <w:fldChar w:fldCharType="begin"/>
      </w:r>
      <w:r w:rsidR="0050230A" w:rsidRPr="0050230A">
        <w:rPr>
          <w:b/>
          <w:bCs/>
        </w:rPr>
        <w:instrText xml:space="preserve"> REF _Ref58447066 \h </w:instrText>
      </w:r>
      <w:r w:rsidR="0050230A" w:rsidRPr="0050230A">
        <w:rPr>
          <w:b/>
          <w:bCs/>
          <w:highlight w:val="yellow"/>
        </w:rPr>
        <w:instrText xml:space="preserve"> \* MERGEFORMAT </w:instrText>
      </w:r>
      <w:r w:rsidR="0050230A" w:rsidRPr="0050230A">
        <w:rPr>
          <w:b/>
          <w:bCs/>
          <w:highlight w:val="yellow"/>
        </w:rPr>
      </w:r>
      <w:r w:rsidR="0050230A" w:rsidRPr="0050230A">
        <w:rPr>
          <w:b/>
          <w:bCs/>
          <w:highlight w:val="yellow"/>
        </w:rPr>
        <w:fldChar w:fldCharType="separate"/>
      </w:r>
      <w:r w:rsidR="00E816B8" w:rsidRPr="00E816B8">
        <w:rPr>
          <w:b/>
          <w:bCs/>
        </w:rPr>
        <w:t xml:space="preserve">Figure </w:t>
      </w:r>
      <w:r w:rsidR="00E816B8" w:rsidRPr="00E816B8">
        <w:rPr>
          <w:b/>
          <w:bCs/>
          <w:noProof/>
        </w:rPr>
        <w:t>9.1</w:t>
      </w:r>
      <w:r w:rsidR="0050230A" w:rsidRPr="0050230A">
        <w:rPr>
          <w:b/>
          <w:bCs/>
          <w:highlight w:val="yellow"/>
        </w:rPr>
        <w:fldChar w:fldCharType="end"/>
      </w:r>
      <w:r w:rsidRPr="003D26F2">
        <w:t xml:space="preserve">. </w:t>
      </w:r>
    </w:p>
    <w:p w14:paraId="24E5E02A" w14:textId="085F3F62" w:rsidR="0050230A" w:rsidRDefault="0050230A" w:rsidP="008D69C2">
      <w:pPr>
        <w:pStyle w:val="Caption"/>
        <w:keepNext/>
      </w:pPr>
      <w:bookmarkStart w:id="95" w:name="_Ref58447066"/>
      <w:r>
        <w:t xml:space="preserve">Figure </w:t>
      </w:r>
      <w:r w:rsidR="00AD41F8">
        <w:fldChar w:fldCharType="begin"/>
      </w:r>
      <w:r w:rsidR="00AD41F8">
        <w:instrText xml:space="preserve"> STYLEREF 1 \s </w:instrText>
      </w:r>
      <w:r w:rsidR="00AD41F8">
        <w:fldChar w:fldCharType="separate"/>
      </w:r>
      <w:r w:rsidR="00E816B8">
        <w:rPr>
          <w:noProof/>
        </w:rPr>
        <w:t>9</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1</w:t>
      </w:r>
      <w:r w:rsidR="00AD41F8">
        <w:fldChar w:fldCharType="end"/>
      </w:r>
      <w:bookmarkEnd w:id="95"/>
      <w:r>
        <w:t>: NOPSEMA stakeholder ecosystem</w:t>
      </w:r>
    </w:p>
    <w:p w14:paraId="4D776E6A" w14:textId="2794C4D3" w:rsidR="009A19EF" w:rsidRPr="009A19EF" w:rsidRDefault="70C31787" w:rsidP="009A19EF">
      <w:pPr>
        <w:spacing w:line="240" w:lineRule="auto"/>
        <w:rPr>
          <w:rFonts w:asciiTheme="majorHAnsi" w:hAnsiTheme="majorHAnsi" w:cs="OpenSansRegular"/>
          <w:b/>
          <w:bCs/>
        </w:rPr>
      </w:pPr>
      <w:r>
        <w:rPr>
          <w:noProof/>
          <w:lang w:eastAsia="en-AU"/>
        </w:rPr>
        <w:drawing>
          <wp:inline distT="0" distB="0" distL="0" distR="0" wp14:anchorId="20947147" wp14:editId="4B51DC5B">
            <wp:extent cx="6264002" cy="3241938"/>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55">
                      <a:extLst>
                        <a:ext uri="{28A0092B-C50C-407E-A947-70E740481C1C}">
                          <a14:useLocalDpi xmlns:a14="http://schemas.microsoft.com/office/drawing/2010/main"/>
                        </a:ext>
                      </a:extLst>
                    </a:blip>
                    <a:stretch>
                      <a:fillRect/>
                    </a:stretch>
                  </pic:blipFill>
                  <pic:spPr>
                    <a:xfrm>
                      <a:off x="0" y="0"/>
                      <a:ext cx="6264002" cy="3241938"/>
                    </a:xfrm>
                    <a:prstGeom prst="rect">
                      <a:avLst/>
                    </a:prstGeom>
                  </pic:spPr>
                </pic:pic>
              </a:graphicData>
            </a:graphic>
          </wp:inline>
        </w:drawing>
      </w:r>
    </w:p>
    <w:p w14:paraId="52357C41" w14:textId="077598B6" w:rsidR="00BB0720" w:rsidRPr="00901C7B" w:rsidRDefault="00BB0720" w:rsidP="00A067D9">
      <w:pPr>
        <w:pStyle w:val="Caption"/>
        <w:rPr>
          <w:b w:val="0"/>
          <w:bCs/>
          <w:i/>
          <w:iCs w:val="0"/>
          <w:color w:val="75787B" w:themeColor="accent6"/>
        </w:rPr>
      </w:pPr>
      <w:r w:rsidRPr="003204C5">
        <w:rPr>
          <w:b w:val="0"/>
          <w:bCs/>
          <w:i/>
          <w:iCs w:val="0"/>
          <w:color w:val="75787B" w:themeColor="accent6"/>
        </w:rPr>
        <w:t xml:space="preserve">Source: </w:t>
      </w:r>
      <w:r w:rsidR="00622902" w:rsidRPr="003204C5">
        <w:rPr>
          <w:b w:val="0"/>
          <w:bCs/>
          <w:i/>
          <w:iCs w:val="0"/>
          <w:color w:val="75787B" w:themeColor="accent6"/>
        </w:rPr>
        <w:t>Deloitte</w:t>
      </w:r>
      <w:r w:rsidR="000F6109" w:rsidRPr="003204C5">
        <w:rPr>
          <w:b w:val="0"/>
          <w:bCs/>
          <w:i/>
          <w:iCs w:val="0"/>
          <w:color w:val="75787B" w:themeColor="accent6"/>
        </w:rPr>
        <w:t xml:space="preserve"> analysis and adaptation from NOPSEMA documents and website</w:t>
      </w:r>
    </w:p>
    <w:p w14:paraId="79D3C42D" w14:textId="2F8C0C12" w:rsidR="00B71E64" w:rsidRPr="003D26F2" w:rsidRDefault="00B71E64" w:rsidP="00784E0E">
      <w:pPr>
        <w:pStyle w:val="Heading3"/>
        <w:numPr>
          <w:ilvl w:val="2"/>
          <w:numId w:val="1"/>
        </w:numPr>
      </w:pPr>
      <w:r w:rsidRPr="003D26F2">
        <w:t>NOPSEMA’s engagement approach</w:t>
      </w:r>
    </w:p>
    <w:p w14:paraId="4B0C4BF0" w14:textId="40E26B07" w:rsidR="00FF1930" w:rsidRPr="00E94BB2" w:rsidRDefault="00FF1930" w:rsidP="005D061C">
      <w:pPr>
        <w:pStyle w:val="Heading3NoNumber"/>
      </w:pPr>
      <w:r>
        <w:t>NOPSEMA has an established stakeholder engagement approach</w:t>
      </w:r>
    </w:p>
    <w:p w14:paraId="58BFCE34" w14:textId="01542DCC" w:rsidR="00B71E64" w:rsidRDefault="00B71E64" w:rsidP="005D061C">
      <w:pPr>
        <w:pStyle w:val="BodyCopyNEW"/>
      </w:pPr>
      <w:r>
        <w:t xml:space="preserve">The </w:t>
      </w:r>
      <w:r w:rsidR="00965D84" w:rsidRPr="00965D84">
        <w:t>Minister’s Statement of Expectations</w:t>
      </w:r>
      <w:r w:rsidR="00965D84" w:rsidRPr="00965D84" w:rsidDel="00965D84">
        <w:t xml:space="preserve"> </w:t>
      </w:r>
      <w:r>
        <w:t xml:space="preserve">outlines the expectation of NOPSEMA in stakeholder engagement, consultation, and transparency (among other matters). In summary, NOPSEMA is expected to encourage continuous and systematic cooperation across stakeholders, work collaboratively with other </w:t>
      </w:r>
      <w:r w:rsidR="00DA0E3D">
        <w:t>s</w:t>
      </w:r>
      <w:r w:rsidR="00126648">
        <w:t>tate/</w:t>
      </w:r>
      <w:r w:rsidR="00DA0E3D">
        <w:t>t</w:t>
      </w:r>
      <w:r w:rsidR="00126648">
        <w:t>erritory</w:t>
      </w:r>
      <w:r>
        <w:t xml:space="preserve"> and Commonwealth agencies and regulators in discharging its duties (and in particular work collaborative with AMSA and NOPTA), continue to seek opportunities to improve stakeholder engagement mechanisms, and increase transparency over decision-making processes.</w:t>
      </w:r>
    </w:p>
    <w:p w14:paraId="56F2CF99" w14:textId="7FABDFD4" w:rsidR="00B71E64" w:rsidRPr="003D26F2" w:rsidRDefault="00B71E64" w:rsidP="005D061C">
      <w:pPr>
        <w:pStyle w:val="BodyCopyNEW"/>
      </w:pPr>
      <w:r w:rsidRPr="003D26F2">
        <w:t>NOPSEMA has put in place strategies, plans and procedures to support its stakeholder engagement activities</w:t>
      </w:r>
      <w:r>
        <w:t xml:space="preserve"> in alignment with the </w:t>
      </w:r>
      <w:r w:rsidR="00965D84">
        <w:t xml:space="preserve">Minister’s </w:t>
      </w:r>
      <w:r>
        <w:t>Statement of Expectations</w:t>
      </w:r>
      <w:r w:rsidRPr="003D26F2">
        <w:t xml:space="preserve">. </w:t>
      </w:r>
      <w:r>
        <w:t xml:space="preserve">NOPSEMA includes stakeholder engagement as a key priority as part of its </w:t>
      </w:r>
      <w:r w:rsidRPr="00E94BB2">
        <w:t>Corporate Plan</w:t>
      </w:r>
      <w:r>
        <w:t>, which is</w:t>
      </w:r>
      <w:r>
        <w:rPr>
          <w:i/>
          <w:iCs/>
        </w:rPr>
        <w:t xml:space="preserve"> </w:t>
      </w:r>
      <w:r w:rsidRPr="005129C9">
        <w:t xml:space="preserve">prepared under the OPGGS Act and paragraph 35(1)(b) of the </w:t>
      </w:r>
      <w:r w:rsidRPr="00F775A6">
        <w:rPr>
          <w:i/>
        </w:rPr>
        <w:t>Public Governance Performance and Accountability Act 2013</w:t>
      </w:r>
      <w:r w:rsidR="00FB48C7">
        <w:t xml:space="preserve"> (</w:t>
      </w:r>
      <w:r w:rsidR="00FB48C7" w:rsidRPr="00F775A6">
        <w:rPr>
          <w:b/>
          <w:bCs/>
        </w:rPr>
        <w:t>PGPA Act</w:t>
      </w:r>
      <w:r w:rsidR="00FB48C7">
        <w:t>)</w:t>
      </w:r>
      <w:r w:rsidRPr="005129C9">
        <w:t xml:space="preserve">, in accordance with the </w:t>
      </w:r>
      <w:r w:rsidRPr="004815C6">
        <w:rPr>
          <w:i/>
        </w:rPr>
        <w:t>Public Governance, Performance and Accountability Rules 2014</w:t>
      </w:r>
      <w:r w:rsidRPr="005129C9">
        <w:t>.</w:t>
      </w:r>
      <w:r>
        <w:rPr>
          <w:i/>
          <w:iCs/>
        </w:rPr>
        <w:t xml:space="preserve"> </w:t>
      </w:r>
      <w:r w:rsidRPr="003D26F2">
        <w:t>We</w:t>
      </w:r>
      <w:r>
        <w:t xml:space="preserve"> examined</w:t>
      </w:r>
      <w:r w:rsidRPr="003D26F2">
        <w:t xml:space="preserve"> NOPSEMA’s </w:t>
      </w:r>
      <w:r w:rsidRPr="00F43031">
        <w:rPr>
          <w:i/>
          <w:iCs/>
        </w:rPr>
        <w:t>Communications Strategy 2019 – 2020</w:t>
      </w:r>
      <w:r w:rsidRPr="003D26F2">
        <w:t xml:space="preserve"> </w:t>
      </w:r>
      <w:r>
        <w:t xml:space="preserve">(the </w:t>
      </w:r>
      <w:r w:rsidRPr="000303A3">
        <w:rPr>
          <w:b/>
          <w:bCs/>
        </w:rPr>
        <w:t>Communications Strategy</w:t>
      </w:r>
      <w:r>
        <w:t xml:space="preserve">), which cascades </w:t>
      </w:r>
      <w:r w:rsidRPr="003D26F2">
        <w:t xml:space="preserve">NOPSEMA’s </w:t>
      </w:r>
      <w:r>
        <w:t xml:space="preserve">stakeholder engagement priorities </w:t>
      </w:r>
      <w:r w:rsidR="00615954">
        <w:t xml:space="preserve">and key messages </w:t>
      </w:r>
      <w:r>
        <w:t>from the Corporate Plan</w:t>
      </w:r>
      <w:r w:rsidR="00021DA6">
        <w:t xml:space="preserve"> into a functional plan for delivery</w:t>
      </w:r>
      <w:r>
        <w:t xml:space="preserve">. We also </w:t>
      </w:r>
      <w:r w:rsidR="00720A7A">
        <w:t>examined</w:t>
      </w:r>
      <w:r>
        <w:t xml:space="preserve"> NOPSEMA’s </w:t>
      </w:r>
      <w:r w:rsidRPr="003D26F2">
        <w:t xml:space="preserve">procedure for </w:t>
      </w:r>
      <w:r w:rsidRPr="00F43031">
        <w:rPr>
          <w:i/>
          <w:iCs/>
        </w:rPr>
        <w:t xml:space="preserve">Managing Stakeholder </w:t>
      </w:r>
      <w:r w:rsidRPr="00F43031">
        <w:rPr>
          <w:i/>
          <w:iCs/>
        </w:rPr>
        <w:lastRenderedPageBreak/>
        <w:t>Complaints and Feedback</w:t>
      </w:r>
      <w:r w:rsidRPr="003D26F2">
        <w:t xml:space="preserve">. </w:t>
      </w:r>
      <w:r>
        <w:t>In addition, t</w:t>
      </w:r>
      <w:r w:rsidRPr="003D26F2">
        <w:t xml:space="preserve">here are other procedures in place such as </w:t>
      </w:r>
      <w:r>
        <w:t xml:space="preserve">a </w:t>
      </w:r>
      <w:r w:rsidRPr="000303A3">
        <w:rPr>
          <w:i/>
          <w:iCs/>
        </w:rPr>
        <w:t>Grievance and Code of Conduct</w:t>
      </w:r>
      <w:r w:rsidRPr="003D26F2">
        <w:t>, which support stakeholder engagement.</w:t>
      </w:r>
    </w:p>
    <w:p w14:paraId="10FB4C08" w14:textId="1BCFA3C0" w:rsidR="00B71E64" w:rsidRPr="003D26F2" w:rsidRDefault="00B71E64" w:rsidP="005D061C">
      <w:pPr>
        <w:pStyle w:val="BodyCopyNEW"/>
      </w:pPr>
      <w:r w:rsidRPr="003D26F2">
        <w:t>The Communications Strategy provides the framework for NOPSEMA’s engagement with external stakeholders</w:t>
      </w:r>
      <w:r>
        <w:t xml:space="preserve"> and </w:t>
      </w:r>
      <w:r w:rsidRPr="003D26F2">
        <w:t>articulates the objectives, approach, key messages</w:t>
      </w:r>
      <w:r>
        <w:t xml:space="preserve">, </w:t>
      </w:r>
      <w:r w:rsidRPr="003D26F2">
        <w:t xml:space="preserve">target audiences, engagement channels, and engagement tools </w:t>
      </w:r>
      <w:r>
        <w:t>used to undertake</w:t>
      </w:r>
      <w:r w:rsidRPr="003D26F2">
        <w:t xml:space="preserve"> stakeholder engagement activities.</w:t>
      </w:r>
    </w:p>
    <w:p w14:paraId="7929CBBF" w14:textId="49E97A1B" w:rsidR="00B71E64" w:rsidRDefault="00B71E64" w:rsidP="005D061C">
      <w:pPr>
        <w:pStyle w:val="BodyCopyNEW"/>
      </w:pPr>
      <w:r w:rsidRPr="003D26F2">
        <w:t xml:space="preserve">NOPSEMA captures stakeholder engagement resource requirements in the divisional </w:t>
      </w:r>
      <w:r>
        <w:t>AOPs</w:t>
      </w:r>
      <w:r w:rsidRPr="003D26F2">
        <w:t xml:space="preserve"> to allow for the planning and allocation of adequate resources to support the various stakeholder engagement related activities. Teams and individuals involved in stakeholder engagement then capture the required work in team strategies, project plans and/or personal performance management plans. NOPSEMA also capture specific stakeholder engagements in a Microsoft Excel-based register, which provides a comprehensive list of engagements undertaken across time and enables NOPSEMA to run analyses of stakeholder engagement trends.</w:t>
      </w:r>
    </w:p>
    <w:p w14:paraId="64E98474" w14:textId="77777777" w:rsidR="00B71E64" w:rsidRPr="003D26F2" w:rsidRDefault="00B71E64" w:rsidP="00784E0E">
      <w:pPr>
        <w:pStyle w:val="Heading3"/>
      </w:pPr>
      <w:r w:rsidRPr="003D26F2">
        <w:t xml:space="preserve">NOPSEMA’s stakeholder engagements across </w:t>
      </w:r>
      <w:r>
        <w:t>stakeholder segments</w:t>
      </w:r>
    </w:p>
    <w:p w14:paraId="6D8B4901" w14:textId="08CC6FF8" w:rsidR="00B71E64" w:rsidRDefault="00B71E64" w:rsidP="005D061C">
      <w:pPr>
        <w:pStyle w:val="BodyCopyNEW"/>
      </w:pPr>
      <w:r w:rsidRPr="003D26F2">
        <w:t xml:space="preserve">NOPSEMA undertakes a variety of stakeholder engagement activities outside of engagements with stakeholders relating to a specific regulatory process, such as </w:t>
      </w:r>
      <w:r w:rsidR="00CA0A1A">
        <w:t>EP</w:t>
      </w:r>
      <w:r w:rsidRPr="003D26F2">
        <w:t xml:space="preserve"> assessments. We have provided a brief, non-exhaustive summary of </w:t>
      </w:r>
      <w:r w:rsidR="00747475">
        <w:t>example</w:t>
      </w:r>
      <w:r w:rsidR="00747475" w:rsidRPr="003D26F2">
        <w:t xml:space="preserve"> </w:t>
      </w:r>
      <w:r w:rsidRPr="003D26F2">
        <w:t xml:space="preserve">engagement activities undertaken by NOPSEMA </w:t>
      </w:r>
      <w:r>
        <w:t xml:space="preserve">across the </w:t>
      </w:r>
      <w:r w:rsidR="00F213BB">
        <w:t xml:space="preserve">review </w:t>
      </w:r>
      <w:r>
        <w:t>period</w:t>
      </w:r>
      <w:r w:rsidRPr="003D26F2">
        <w:t xml:space="preserve"> in</w:t>
      </w:r>
      <w:r w:rsidR="00237CF8">
        <w:t xml:space="preserve"> </w:t>
      </w:r>
      <w:r w:rsidR="00237CF8" w:rsidRPr="00237CF8">
        <w:rPr>
          <w:b/>
          <w:bCs/>
        </w:rPr>
        <w:fldChar w:fldCharType="begin"/>
      </w:r>
      <w:r w:rsidR="00237CF8" w:rsidRPr="00237CF8">
        <w:rPr>
          <w:b/>
          <w:bCs/>
        </w:rPr>
        <w:instrText xml:space="preserve"> REF _Ref58447201 \h </w:instrText>
      </w:r>
      <w:r w:rsidR="00237CF8">
        <w:rPr>
          <w:b/>
          <w:bCs/>
        </w:rPr>
        <w:instrText xml:space="preserve"> \* MERGEFORMAT </w:instrText>
      </w:r>
      <w:r w:rsidR="00237CF8" w:rsidRPr="00237CF8">
        <w:rPr>
          <w:b/>
          <w:bCs/>
        </w:rPr>
      </w:r>
      <w:r w:rsidR="00237CF8" w:rsidRPr="00237CF8">
        <w:rPr>
          <w:b/>
          <w:bCs/>
        </w:rPr>
        <w:fldChar w:fldCharType="separate"/>
      </w:r>
      <w:r w:rsidR="00E816B8" w:rsidRPr="00E816B8">
        <w:rPr>
          <w:b/>
          <w:bCs/>
        </w:rPr>
        <w:t xml:space="preserve">Table </w:t>
      </w:r>
      <w:r w:rsidR="00E816B8" w:rsidRPr="00E816B8">
        <w:rPr>
          <w:b/>
          <w:bCs/>
          <w:noProof/>
        </w:rPr>
        <w:t>9.1</w:t>
      </w:r>
      <w:r w:rsidR="00237CF8" w:rsidRPr="00237CF8">
        <w:rPr>
          <w:b/>
          <w:bCs/>
        </w:rPr>
        <w:fldChar w:fldCharType="end"/>
      </w:r>
      <w:r w:rsidR="00BB0720" w:rsidRPr="003520F5">
        <w:t>.</w:t>
      </w:r>
      <w:r>
        <w:rPr>
          <w:b/>
        </w:rPr>
        <w:t xml:space="preserve"> </w:t>
      </w:r>
      <w:r w:rsidR="003520F5">
        <w:t>M</w:t>
      </w:r>
      <w:r w:rsidRPr="003D26F2">
        <w:t>any of these activities are currently ongoing.</w:t>
      </w:r>
    </w:p>
    <w:p w14:paraId="137C96AA" w14:textId="4681414E" w:rsidR="00B71E64" w:rsidRPr="00904670" w:rsidRDefault="00237CF8" w:rsidP="008D69C2">
      <w:pPr>
        <w:pStyle w:val="Caption"/>
        <w:keepNext/>
      </w:pPr>
      <w:bookmarkStart w:id="96" w:name="_Ref58447201"/>
      <w:r>
        <w:t xml:space="preserve">Table </w:t>
      </w:r>
      <w:r w:rsidR="00F8476B">
        <w:fldChar w:fldCharType="begin"/>
      </w:r>
      <w:r w:rsidR="00F8476B">
        <w:instrText xml:space="preserve"> STYLEREF 1 \s </w:instrText>
      </w:r>
      <w:r w:rsidR="00F8476B">
        <w:fldChar w:fldCharType="separate"/>
      </w:r>
      <w:r w:rsidR="00E816B8">
        <w:rPr>
          <w:noProof/>
        </w:rPr>
        <w:t>9</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1</w:t>
      </w:r>
      <w:r w:rsidR="00F8476B">
        <w:fldChar w:fldCharType="end"/>
      </w:r>
      <w:bookmarkEnd w:id="96"/>
      <w:r>
        <w:t>: Summary of NOPSEMA’s stakeholder engagement activities across the review period</w:t>
      </w:r>
    </w:p>
    <w:tbl>
      <w:tblPr>
        <w:tblStyle w:val="ListTable3-Accent3"/>
        <w:tblW w:w="9918"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1696"/>
        <w:gridCol w:w="8222"/>
      </w:tblGrid>
      <w:tr w:rsidR="00B71E64" w:rsidRPr="003D26F2" w14:paraId="39FD74DC" w14:textId="77777777" w:rsidTr="00A067D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Borders>
              <w:top w:val="single" w:sz="8" w:space="0" w:color="007680"/>
              <w:bottom w:val="single" w:sz="8" w:space="0" w:color="007680"/>
            </w:tcBorders>
            <w:shd w:val="clear" w:color="auto" w:fill="auto"/>
          </w:tcPr>
          <w:p w14:paraId="2DACAF6E" w14:textId="77777777" w:rsidR="00B71E64" w:rsidRPr="009B21DC" w:rsidRDefault="00B71E64" w:rsidP="009B21DC">
            <w:pPr>
              <w:pStyle w:val="Tableheader"/>
              <w:rPr>
                <w:b/>
                <w:bCs/>
              </w:rPr>
            </w:pPr>
            <w:r w:rsidRPr="009B21DC">
              <w:rPr>
                <w:b/>
                <w:bCs/>
              </w:rPr>
              <w:t xml:space="preserve">Stakeholder </w:t>
            </w:r>
          </w:p>
        </w:tc>
        <w:tc>
          <w:tcPr>
            <w:tcW w:w="8222" w:type="dxa"/>
            <w:tcBorders>
              <w:top w:val="single" w:sz="8" w:space="0" w:color="007680"/>
              <w:bottom w:val="single" w:sz="8" w:space="0" w:color="007680"/>
            </w:tcBorders>
            <w:shd w:val="clear" w:color="auto" w:fill="auto"/>
          </w:tcPr>
          <w:p w14:paraId="54D2E73A" w14:textId="77777777" w:rsidR="00B71E64" w:rsidRPr="009B21DC" w:rsidRDefault="00B71E64" w:rsidP="009B21DC">
            <w:pPr>
              <w:pStyle w:val="Tableheader"/>
              <w:cnfStyle w:val="100000000000" w:firstRow="1" w:lastRow="0" w:firstColumn="0" w:lastColumn="0" w:oddVBand="0" w:evenVBand="0" w:oddHBand="0" w:evenHBand="0" w:firstRowFirstColumn="0" w:firstRowLastColumn="0" w:lastRowFirstColumn="0" w:lastRowLastColumn="0"/>
              <w:rPr>
                <w:b/>
                <w:bCs/>
              </w:rPr>
            </w:pPr>
            <w:r w:rsidRPr="009B21DC">
              <w:rPr>
                <w:b/>
                <w:bCs/>
              </w:rPr>
              <w:t>Summary of engagement activities</w:t>
            </w:r>
          </w:p>
        </w:tc>
      </w:tr>
      <w:tr w:rsidR="00B71E64" w:rsidRPr="003D26F2" w14:paraId="54D82D9E" w14:textId="77777777" w:rsidTr="00A0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8" w:space="0" w:color="007680"/>
              <w:bottom w:val="single" w:sz="4" w:space="0" w:color="BFBFBF" w:themeColor="background1" w:themeShade="BF"/>
            </w:tcBorders>
            <w:shd w:val="clear" w:color="auto" w:fill="auto"/>
          </w:tcPr>
          <w:p w14:paraId="4B78FF20" w14:textId="38D524ED" w:rsidR="00B71E64" w:rsidRPr="004C497D" w:rsidRDefault="00B71E64" w:rsidP="009B21DC">
            <w:pPr>
              <w:pStyle w:val="BodyCopyNEW"/>
              <w:rPr>
                <w:b w:val="0"/>
                <w:bCs w:val="0"/>
              </w:rPr>
            </w:pPr>
            <w:r w:rsidRPr="0016327C">
              <w:t>Titleholder</w:t>
            </w:r>
          </w:p>
        </w:tc>
        <w:tc>
          <w:tcPr>
            <w:tcW w:w="8222" w:type="dxa"/>
            <w:tcBorders>
              <w:top w:val="single" w:sz="8" w:space="0" w:color="007680"/>
              <w:bottom w:val="single" w:sz="4" w:space="0" w:color="BFBFBF" w:themeColor="background1" w:themeShade="BF"/>
            </w:tcBorders>
            <w:shd w:val="clear" w:color="auto" w:fill="auto"/>
          </w:tcPr>
          <w:p w14:paraId="7BE05B58" w14:textId="22EF8747" w:rsidR="00B71E64" w:rsidRPr="000F291A"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rsidRPr="000F291A">
              <w:t>Held annual bilateral meetings with active operators</w:t>
            </w:r>
            <w:r w:rsidR="000F6109">
              <w:t xml:space="preserve"> and titleholders</w:t>
            </w:r>
            <w:r w:rsidRPr="000F291A">
              <w:t xml:space="preserve">, including annual meetings between the NOPSEMA </w:t>
            </w:r>
            <w:r>
              <w:t>CEO</w:t>
            </w:r>
            <w:r w:rsidRPr="000F291A">
              <w:t xml:space="preserve"> and respective </w:t>
            </w:r>
            <w:r w:rsidR="00F05528">
              <w:t>titleholder</w:t>
            </w:r>
            <w:r w:rsidR="00F05528" w:rsidRPr="000F291A">
              <w:t xml:space="preserve"> </w:t>
            </w:r>
            <w:r>
              <w:t>CEO</w:t>
            </w:r>
            <w:r w:rsidRPr="000F291A">
              <w:t xml:space="preserve"> (or equivalent)</w:t>
            </w:r>
            <w:r>
              <w:t xml:space="preserve"> to discuss performance and matters of strategic importance</w:t>
            </w:r>
          </w:p>
          <w:p w14:paraId="691D2E4F" w14:textId="77777777" w:rsidR="00B71E64" w:rsidRPr="000F291A"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rsidRPr="000F291A">
              <w:t>Held ad-hoc meetings with active operators relating to proposed projects, pending submissions, and regulatory expectations</w:t>
            </w:r>
          </w:p>
          <w:p w14:paraId="1F8689E8" w14:textId="7D16DD0B" w:rsidR="00B71E64" w:rsidRPr="000F291A"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rsidRPr="000F291A">
              <w:t>Hosted various forums and workshops to address a range of technical matters, including a Health and Safety Representatives Forum (2019), an Operational Risk Assessment (</w:t>
            </w:r>
            <w:r w:rsidRPr="0013718A">
              <w:rPr>
                <w:b/>
                <w:bCs/>
              </w:rPr>
              <w:t>ORA</w:t>
            </w:r>
            <w:r w:rsidRPr="000F291A">
              <w:t>) Workshop (2019), and a workshop with industry to share well failure data and best practices in well integrity management (2018)</w:t>
            </w:r>
          </w:p>
          <w:p w14:paraId="076550C4" w14:textId="77777777" w:rsidR="00B71E64" w:rsidRPr="000F291A"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rsidRPr="000F291A">
              <w:t>Participated in industry-led forums, including facilitating a panel session at ProSafe Conference, and involvement in at least one operator’s Annual Contractor Safety Forum.</w:t>
            </w:r>
          </w:p>
        </w:tc>
      </w:tr>
      <w:tr w:rsidR="00B71E64" w:rsidRPr="003D26F2" w14:paraId="1F3774A1" w14:textId="77777777" w:rsidTr="00A067D9">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bottom w:val="single" w:sz="4" w:space="0" w:color="BFBFBF" w:themeColor="background1" w:themeShade="BF"/>
            </w:tcBorders>
            <w:shd w:val="clear" w:color="auto" w:fill="auto"/>
          </w:tcPr>
          <w:p w14:paraId="045AEC01" w14:textId="77777777" w:rsidR="00B71E64" w:rsidRPr="004C497D" w:rsidRDefault="00B71E64" w:rsidP="009B21DC">
            <w:pPr>
              <w:pStyle w:val="BodyCopyNEW"/>
              <w:rPr>
                <w:b w:val="0"/>
                <w:bCs w:val="0"/>
              </w:rPr>
            </w:pPr>
            <w:r w:rsidRPr="0016327C">
              <w:t>Other industry, trade associations, and unions</w:t>
            </w:r>
          </w:p>
        </w:tc>
        <w:tc>
          <w:tcPr>
            <w:tcW w:w="8222" w:type="dxa"/>
            <w:tcBorders>
              <w:top w:val="single" w:sz="4" w:space="0" w:color="BFBFBF" w:themeColor="background1" w:themeShade="BF"/>
              <w:bottom w:val="single" w:sz="4" w:space="0" w:color="BFBFBF" w:themeColor="background1" w:themeShade="BF"/>
            </w:tcBorders>
            <w:shd w:val="clear" w:color="auto" w:fill="auto"/>
          </w:tcPr>
          <w:p w14:paraId="786D9699" w14:textId="311354D0" w:rsidR="00B71E64" w:rsidRPr="000F291A" w:rsidRDefault="00B71E64" w:rsidP="000C1F53">
            <w:pPr>
              <w:pStyle w:val="BodycopyNEW0"/>
              <w:numPr>
                <w:ilvl w:val="0"/>
                <w:numId w:val="23"/>
              </w:numPr>
              <w:ind w:left="378"/>
              <w:cnfStyle w:val="000000000000" w:firstRow="0" w:lastRow="0" w:firstColumn="0" w:lastColumn="0" w:oddVBand="0" w:evenVBand="0" w:oddHBand="0" w:evenHBand="0" w:firstRowFirstColumn="0" w:firstRowLastColumn="0" w:lastRowFirstColumn="0" w:lastRowLastColumn="0"/>
            </w:pPr>
            <w:r w:rsidRPr="000F291A">
              <w:t>Held various engagements with APPEA, including involvement in working groups, discussion paper development, Better Practice Forums, and</w:t>
            </w:r>
            <w:r w:rsidR="00747475">
              <w:t>,</w:t>
            </w:r>
            <w:r w:rsidRPr="000F291A">
              <w:t xml:space="preserve"> more recently</w:t>
            </w:r>
            <w:r w:rsidR="00747475">
              <w:t>,</w:t>
            </w:r>
            <w:r w:rsidRPr="000F291A">
              <w:t xml:space="preserve"> COVID-19 weekly meetings</w:t>
            </w:r>
            <w:r w:rsidR="00F05528">
              <w:t xml:space="preserve"> (</w:t>
            </w:r>
            <w:r w:rsidR="005F4F6A">
              <w:t xml:space="preserve">noting </w:t>
            </w:r>
            <w:r w:rsidR="00F05528">
              <w:t xml:space="preserve">the latter is outside </w:t>
            </w:r>
            <w:r w:rsidR="004B0304">
              <w:t>of the review period</w:t>
            </w:r>
            <w:r w:rsidR="00747475">
              <w:t>)</w:t>
            </w:r>
            <w:r w:rsidR="00F05528">
              <w:t>.</w:t>
            </w:r>
          </w:p>
        </w:tc>
      </w:tr>
      <w:tr w:rsidR="00B71E64" w:rsidRPr="003D26F2" w14:paraId="1F203B12" w14:textId="77777777" w:rsidTr="00A0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bottom w:val="single" w:sz="4" w:space="0" w:color="BFBFBF" w:themeColor="background1" w:themeShade="BF"/>
            </w:tcBorders>
            <w:shd w:val="clear" w:color="auto" w:fill="auto"/>
          </w:tcPr>
          <w:p w14:paraId="2D820082" w14:textId="77777777" w:rsidR="00B71E64" w:rsidRPr="004C497D" w:rsidRDefault="00B71E64" w:rsidP="009B21DC">
            <w:pPr>
              <w:pStyle w:val="BodyCopyNEW"/>
              <w:rPr>
                <w:b w:val="0"/>
                <w:bCs w:val="0"/>
              </w:rPr>
            </w:pPr>
            <w:r w:rsidRPr="0016327C">
              <w:t>Other stakeholders (incl. environmental advocacy and community)</w:t>
            </w:r>
          </w:p>
        </w:tc>
        <w:tc>
          <w:tcPr>
            <w:tcW w:w="8222" w:type="dxa"/>
            <w:tcBorders>
              <w:top w:val="single" w:sz="4" w:space="0" w:color="BFBFBF" w:themeColor="background1" w:themeShade="BF"/>
              <w:bottom w:val="single" w:sz="4" w:space="0" w:color="BFBFBF" w:themeColor="background1" w:themeShade="BF"/>
            </w:tcBorders>
            <w:shd w:val="clear" w:color="auto" w:fill="auto"/>
          </w:tcPr>
          <w:p w14:paraId="6F5A41A8" w14:textId="77777777" w:rsidR="00B71E64" w:rsidRPr="000F291A"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rsidRPr="000F291A">
              <w:t>Engaged with a range of research organisations, such as Australian Institute of Marine Science (</w:t>
            </w:r>
            <w:r w:rsidRPr="00000AA5">
              <w:rPr>
                <w:b/>
                <w:bCs/>
              </w:rPr>
              <w:t>AIMS</w:t>
            </w:r>
            <w:r w:rsidRPr="000F291A">
              <w:t>), Commonwealth Scientific and Industrial Research Organisation (</w:t>
            </w:r>
            <w:r w:rsidRPr="00000AA5">
              <w:rPr>
                <w:b/>
                <w:bCs/>
              </w:rPr>
              <w:t>CSIRO</w:t>
            </w:r>
            <w:r w:rsidRPr="000F291A">
              <w:t>), Centre for Marine Science &amp; Technology (</w:t>
            </w:r>
            <w:r w:rsidRPr="00131FE0">
              <w:rPr>
                <w:b/>
                <w:bCs/>
              </w:rPr>
              <w:t>CMST</w:t>
            </w:r>
            <w:r w:rsidRPr="000F291A">
              <w:t>), and University of Tasmania (</w:t>
            </w:r>
            <w:r w:rsidRPr="00000AA5">
              <w:rPr>
                <w:b/>
                <w:bCs/>
              </w:rPr>
              <w:t>UTAS</w:t>
            </w:r>
            <w:r w:rsidRPr="000F291A">
              <w:t>). Specific examples include, presenting papers at conferences, participating in various workshops, and NOPSEMA’s representation on the NESP Marine Biodiversity Hub end user committee</w:t>
            </w:r>
          </w:p>
          <w:p w14:paraId="7495C057" w14:textId="77777777" w:rsidR="00B71E64" w:rsidRPr="000F291A"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rsidRPr="000F291A">
              <w:t>Engaged with fisheries organisations, including Australian Southern Bluefin Tuna Industry Association (</w:t>
            </w:r>
            <w:r w:rsidRPr="00000AA5">
              <w:rPr>
                <w:b/>
                <w:bCs/>
              </w:rPr>
              <w:t>ABSTIA</w:t>
            </w:r>
            <w:r w:rsidRPr="000F291A">
              <w:t>), Seafood Industry Victoria (</w:t>
            </w:r>
            <w:r w:rsidRPr="00000AA5">
              <w:rPr>
                <w:b/>
                <w:bCs/>
              </w:rPr>
              <w:t>SIV</w:t>
            </w:r>
            <w:r w:rsidRPr="000F291A">
              <w:t>), Seafood Industry Australia (</w:t>
            </w:r>
            <w:r w:rsidRPr="00000AA5">
              <w:rPr>
                <w:b/>
                <w:bCs/>
              </w:rPr>
              <w:t>SIA</w:t>
            </w:r>
            <w:r w:rsidRPr="000F291A">
              <w:t>), South East Trawl Fishing Industry Association (</w:t>
            </w:r>
            <w:r w:rsidRPr="00000AA5">
              <w:rPr>
                <w:b/>
                <w:bCs/>
              </w:rPr>
              <w:t>SETFIA</w:t>
            </w:r>
            <w:r w:rsidRPr="000F291A">
              <w:t>), WA Fishing Industry Council (</w:t>
            </w:r>
            <w:r w:rsidRPr="00000AA5">
              <w:rPr>
                <w:b/>
                <w:bCs/>
              </w:rPr>
              <w:t>WAFIC</w:t>
            </w:r>
            <w:r w:rsidRPr="000F291A">
              <w:t>)</w:t>
            </w:r>
          </w:p>
          <w:p w14:paraId="3000C29E" w14:textId="77777777" w:rsidR="00B71E64" w:rsidRPr="000F291A"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rsidRPr="000F291A">
              <w:t>Established the Transparency Taskforce in 2017 (completed)</w:t>
            </w:r>
          </w:p>
          <w:p w14:paraId="2836E85D" w14:textId="77777777" w:rsidR="00B71E64" w:rsidRPr="000F291A"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rsidRPr="000F291A">
              <w:t>Established the Community Environmental Reference Group (</w:t>
            </w:r>
            <w:r w:rsidRPr="00131FE0">
              <w:rPr>
                <w:b/>
                <w:bCs/>
              </w:rPr>
              <w:t>CERG</w:t>
            </w:r>
            <w:r w:rsidRPr="000F291A">
              <w:t>) in 2018</w:t>
            </w:r>
          </w:p>
          <w:p w14:paraId="5D7CFDC4" w14:textId="77777777" w:rsidR="00B71E64" w:rsidRPr="000F291A"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rsidRPr="000F291A">
              <w:t>Established a Community Information page on the NOPSEMA website.</w:t>
            </w:r>
          </w:p>
        </w:tc>
      </w:tr>
      <w:tr w:rsidR="00B71E64" w:rsidRPr="003D26F2" w14:paraId="1EDB4CDB" w14:textId="77777777" w:rsidTr="00A067D9">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bottom w:val="single" w:sz="4" w:space="0" w:color="BFBFBF" w:themeColor="background1" w:themeShade="BF"/>
            </w:tcBorders>
            <w:shd w:val="clear" w:color="auto" w:fill="auto"/>
          </w:tcPr>
          <w:p w14:paraId="3286E679" w14:textId="7288CA32" w:rsidR="00B71E64" w:rsidRPr="009B21DC" w:rsidRDefault="00B71E64" w:rsidP="009B21DC">
            <w:pPr>
              <w:pStyle w:val="BodyCopyNEW"/>
            </w:pPr>
            <w:r w:rsidRPr="009B21DC">
              <w:t xml:space="preserve">State, </w:t>
            </w:r>
            <w:r w:rsidR="002123F9" w:rsidRPr="009B21DC">
              <w:t>t</w:t>
            </w:r>
            <w:r w:rsidRPr="009B21DC">
              <w:t xml:space="preserve">erritory, and </w:t>
            </w:r>
            <w:r w:rsidR="002123F9" w:rsidRPr="009B21DC">
              <w:t xml:space="preserve">Commonwealth </w:t>
            </w:r>
            <w:r w:rsidR="00441E07" w:rsidRPr="009B21DC">
              <w:t>g</w:t>
            </w:r>
            <w:r w:rsidRPr="009B21DC">
              <w:t xml:space="preserve">overnment </w:t>
            </w:r>
          </w:p>
        </w:tc>
        <w:tc>
          <w:tcPr>
            <w:tcW w:w="8222" w:type="dxa"/>
            <w:tcBorders>
              <w:top w:val="single" w:sz="4" w:space="0" w:color="BFBFBF" w:themeColor="background1" w:themeShade="BF"/>
              <w:bottom w:val="single" w:sz="4" w:space="0" w:color="BFBFBF" w:themeColor="background1" w:themeShade="BF"/>
            </w:tcBorders>
            <w:shd w:val="clear" w:color="auto" w:fill="auto"/>
          </w:tcPr>
          <w:p w14:paraId="7C448DFD" w14:textId="187F394D" w:rsidR="00B71E64" w:rsidRPr="006D40F9" w:rsidRDefault="00B71E64" w:rsidP="000C1F53">
            <w:pPr>
              <w:pStyle w:val="BodycopyNEW0"/>
              <w:numPr>
                <w:ilvl w:val="0"/>
                <w:numId w:val="23"/>
              </w:numPr>
              <w:ind w:left="378"/>
              <w:cnfStyle w:val="000000000000" w:firstRow="0" w:lastRow="0" w:firstColumn="0" w:lastColumn="0" w:oddVBand="0" w:evenVBand="0" w:oddHBand="0" w:evenHBand="0" w:firstRowFirstColumn="0" w:firstRowLastColumn="0" w:lastRowFirstColumn="0" w:lastRowLastColumn="0"/>
              <w:rPr>
                <w:szCs w:val="18"/>
              </w:rPr>
            </w:pPr>
            <w:r w:rsidRPr="006D40F9">
              <w:rPr>
                <w:szCs w:val="18"/>
              </w:rPr>
              <w:t xml:space="preserve">Engaged with various </w:t>
            </w:r>
            <w:r w:rsidR="00DA0E3D" w:rsidRPr="006D40F9">
              <w:rPr>
                <w:szCs w:val="18"/>
              </w:rPr>
              <w:t>s</w:t>
            </w:r>
            <w:r w:rsidR="00126648" w:rsidRPr="006D40F9">
              <w:rPr>
                <w:szCs w:val="18"/>
              </w:rPr>
              <w:t>tate/</w:t>
            </w:r>
            <w:r w:rsidR="00DA0E3D" w:rsidRPr="006D40F9">
              <w:rPr>
                <w:szCs w:val="18"/>
              </w:rPr>
              <w:t>t</w:t>
            </w:r>
            <w:r w:rsidR="00126648" w:rsidRPr="006D40F9">
              <w:rPr>
                <w:szCs w:val="18"/>
              </w:rPr>
              <w:t>erritory</w:t>
            </w:r>
            <w:r w:rsidRPr="006D40F9">
              <w:rPr>
                <w:szCs w:val="18"/>
              </w:rPr>
              <w:t xml:space="preserve"> departments, including quarterly meetings with Western Australia’s Department of Mines, Industry Regulation and Safety (</w:t>
            </w:r>
            <w:r w:rsidR="007845CA" w:rsidRPr="006D40F9">
              <w:rPr>
                <w:b/>
                <w:szCs w:val="18"/>
              </w:rPr>
              <w:t>WA</w:t>
            </w:r>
            <w:r w:rsidR="007845CA" w:rsidRPr="006D40F9">
              <w:rPr>
                <w:szCs w:val="18"/>
              </w:rPr>
              <w:t xml:space="preserve"> </w:t>
            </w:r>
            <w:r w:rsidRPr="006D40F9">
              <w:rPr>
                <w:b/>
                <w:szCs w:val="18"/>
              </w:rPr>
              <w:t>DMIRS</w:t>
            </w:r>
            <w:r w:rsidRPr="006D40F9">
              <w:rPr>
                <w:szCs w:val="18"/>
              </w:rPr>
              <w:t>), Worksafe Victoria, Energy Safe Victoria, and the Northern Territory’s Department of Primary Industry and Resources (</w:t>
            </w:r>
            <w:r w:rsidR="007845CA" w:rsidRPr="006D40F9">
              <w:rPr>
                <w:b/>
                <w:szCs w:val="18"/>
              </w:rPr>
              <w:t xml:space="preserve">NT </w:t>
            </w:r>
            <w:r w:rsidRPr="006D40F9">
              <w:rPr>
                <w:b/>
                <w:szCs w:val="18"/>
              </w:rPr>
              <w:t>DPIR</w:t>
            </w:r>
            <w:r w:rsidRPr="006D40F9">
              <w:rPr>
                <w:szCs w:val="18"/>
              </w:rPr>
              <w:t>)</w:t>
            </w:r>
          </w:p>
          <w:p w14:paraId="6D082189" w14:textId="77777777" w:rsidR="00B71E64" w:rsidRPr="006D40F9" w:rsidRDefault="00B71E64" w:rsidP="000C1F53">
            <w:pPr>
              <w:pStyle w:val="BodycopyNEW0"/>
              <w:numPr>
                <w:ilvl w:val="0"/>
                <w:numId w:val="23"/>
              </w:numPr>
              <w:ind w:left="378"/>
              <w:cnfStyle w:val="000000000000" w:firstRow="0" w:lastRow="0" w:firstColumn="0" w:lastColumn="0" w:oddVBand="0" w:evenVBand="0" w:oddHBand="0" w:evenHBand="0" w:firstRowFirstColumn="0" w:firstRowLastColumn="0" w:lastRowFirstColumn="0" w:lastRowLastColumn="0"/>
              <w:rPr>
                <w:szCs w:val="18"/>
              </w:rPr>
            </w:pPr>
            <w:r w:rsidRPr="006D40F9">
              <w:rPr>
                <w:szCs w:val="18"/>
              </w:rPr>
              <w:t>Participated as an observer at the Major Hazard Facilities Forum</w:t>
            </w:r>
          </w:p>
          <w:p w14:paraId="6BFB8412" w14:textId="54E4E012" w:rsidR="00B71E64" w:rsidRPr="006D40F9" w:rsidRDefault="00B71E64" w:rsidP="000C1F53">
            <w:pPr>
              <w:pStyle w:val="BodycopyNEW0"/>
              <w:numPr>
                <w:ilvl w:val="0"/>
                <w:numId w:val="23"/>
              </w:numPr>
              <w:ind w:left="378"/>
              <w:cnfStyle w:val="000000000000" w:firstRow="0" w:lastRow="0" w:firstColumn="0" w:lastColumn="0" w:oddVBand="0" w:evenVBand="0" w:oddHBand="0" w:evenHBand="0" w:firstRowFirstColumn="0" w:firstRowLastColumn="0" w:lastRowFirstColumn="0" w:lastRowLastColumn="0"/>
              <w:rPr>
                <w:szCs w:val="18"/>
              </w:rPr>
            </w:pPr>
            <w:r w:rsidRPr="006D40F9">
              <w:rPr>
                <w:szCs w:val="18"/>
              </w:rPr>
              <w:lastRenderedPageBreak/>
              <w:t>Engaged regularly with AMSA, with a memorandum of understanding (</w:t>
            </w:r>
            <w:r w:rsidRPr="006D40F9">
              <w:rPr>
                <w:b/>
                <w:szCs w:val="18"/>
              </w:rPr>
              <w:t>MOU</w:t>
            </w:r>
            <w:r w:rsidRPr="006D40F9">
              <w:rPr>
                <w:szCs w:val="18"/>
              </w:rPr>
              <w:t>) in place</w:t>
            </w:r>
          </w:p>
          <w:p w14:paraId="2B0697C2" w14:textId="2A172CAD" w:rsidR="00B71E64" w:rsidRPr="006D40F9" w:rsidRDefault="00B71E64" w:rsidP="000C1F53">
            <w:pPr>
              <w:pStyle w:val="BodycopyNEW0"/>
              <w:numPr>
                <w:ilvl w:val="0"/>
                <w:numId w:val="23"/>
              </w:numPr>
              <w:ind w:left="378"/>
              <w:cnfStyle w:val="000000000000" w:firstRow="0" w:lastRow="0" w:firstColumn="0" w:lastColumn="0" w:oddVBand="0" w:evenVBand="0" w:oddHBand="0" w:evenHBand="0" w:firstRowFirstColumn="0" w:firstRowLastColumn="0" w:lastRowFirstColumn="0" w:lastRowLastColumn="0"/>
              <w:rPr>
                <w:szCs w:val="18"/>
              </w:rPr>
            </w:pPr>
            <w:r w:rsidRPr="006D40F9">
              <w:rPr>
                <w:szCs w:val="18"/>
              </w:rPr>
              <w:t>Engaged regularly with Parks Australia</w:t>
            </w:r>
            <w:r w:rsidR="004B0304" w:rsidRPr="006D40F9">
              <w:rPr>
                <w:rStyle w:val="FootnoteReference"/>
                <w:sz w:val="18"/>
                <w:szCs w:val="18"/>
              </w:rPr>
              <w:footnoteReference w:id="36"/>
            </w:r>
          </w:p>
          <w:p w14:paraId="7DE9E3CA" w14:textId="4815AD42" w:rsidR="00B71E64" w:rsidRPr="006D40F9" w:rsidRDefault="00B71E64" w:rsidP="000C1F53">
            <w:pPr>
              <w:pStyle w:val="BodycopyNEW0"/>
              <w:numPr>
                <w:ilvl w:val="0"/>
                <w:numId w:val="23"/>
              </w:numPr>
              <w:ind w:left="378"/>
              <w:cnfStyle w:val="000000000000" w:firstRow="0" w:lastRow="0" w:firstColumn="0" w:lastColumn="0" w:oddVBand="0" w:evenVBand="0" w:oddHBand="0" w:evenHBand="0" w:firstRowFirstColumn="0" w:firstRowLastColumn="0" w:lastRowFirstColumn="0" w:lastRowLastColumn="0"/>
              <w:rPr>
                <w:szCs w:val="18"/>
              </w:rPr>
            </w:pPr>
            <w:r w:rsidRPr="006D40F9">
              <w:rPr>
                <w:szCs w:val="18"/>
              </w:rPr>
              <w:t xml:space="preserve">Participated in the EPBC Streamlining Performance Report and engagement with </w:t>
            </w:r>
            <w:r w:rsidR="00077941" w:rsidRPr="006D40F9">
              <w:rPr>
                <w:szCs w:val="18"/>
              </w:rPr>
              <w:t xml:space="preserve">the </w:t>
            </w:r>
            <w:r w:rsidRPr="006D40F9">
              <w:rPr>
                <w:szCs w:val="18"/>
              </w:rPr>
              <w:t>DAWE in support of the EPBC Program and participated as an observer in the Marine Pest Sectoral Committee</w:t>
            </w:r>
          </w:p>
          <w:p w14:paraId="10D4AEA7" w14:textId="77777777" w:rsidR="00B71E64" w:rsidRPr="006D40F9" w:rsidRDefault="00B71E64" w:rsidP="000C1F53">
            <w:pPr>
              <w:pStyle w:val="BodycopyNEW0"/>
              <w:numPr>
                <w:ilvl w:val="0"/>
                <w:numId w:val="23"/>
              </w:numPr>
              <w:ind w:left="378"/>
              <w:cnfStyle w:val="000000000000" w:firstRow="0" w:lastRow="0" w:firstColumn="0" w:lastColumn="0" w:oddVBand="0" w:evenVBand="0" w:oddHBand="0" w:evenHBand="0" w:firstRowFirstColumn="0" w:firstRowLastColumn="0" w:lastRowFirstColumn="0" w:lastRowLastColumn="0"/>
              <w:rPr>
                <w:szCs w:val="18"/>
              </w:rPr>
            </w:pPr>
            <w:r w:rsidRPr="006D40F9">
              <w:rPr>
                <w:szCs w:val="18"/>
              </w:rPr>
              <w:t>Established contracting arrangements with the Australian Antarctic Division for access to subject matter expertise and marine mammal advise on issues as required</w:t>
            </w:r>
          </w:p>
          <w:p w14:paraId="4A3CF04B" w14:textId="77777777" w:rsidR="00B71E64" w:rsidRPr="006D40F9" w:rsidRDefault="00B71E64" w:rsidP="000C1F53">
            <w:pPr>
              <w:pStyle w:val="BodycopyNEW0"/>
              <w:numPr>
                <w:ilvl w:val="0"/>
                <w:numId w:val="23"/>
              </w:numPr>
              <w:ind w:left="378"/>
              <w:cnfStyle w:val="000000000000" w:firstRow="0" w:lastRow="0" w:firstColumn="0" w:lastColumn="0" w:oddVBand="0" w:evenVBand="0" w:oddHBand="0" w:evenHBand="0" w:firstRowFirstColumn="0" w:firstRowLastColumn="0" w:lastRowFirstColumn="0" w:lastRowLastColumn="0"/>
              <w:rPr>
                <w:szCs w:val="18"/>
              </w:rPr>
            </w:pPr>
            <w:r w:rsidRPr="006D40F9">
              <w:rPr>
                <w:szCs w:val="18"/>
              </w:rPr>
              <w:t>Liaised with other agencies, including the Fisheries Research and Development Corporation (</w:t>
            </w:r>
            <w:r w:rsidRPr="006D40F9">
              <w:rPr>
                <w:b/>
                <w:szCs w:val="18"/>
              </w:rPr>
              <w:t>FRDC</w:t>
            </w:r>
            <w:r w:rsidRPr="006D40F9">
              <w:rPr>
                <w:szCs w:val="18"/>
              </w:rPr>
              <w:t>), the Australian Fisheries Management Authority and the National Plan Strategic Industry Advisory Forum (</w:t>
            </w:r>
            <w:r w:rsidRPr="006D40F9">
              <w:rPr>
                <w:b/>
                <w:szCs w:val="18"/>
              </w:rPr>
              <w:t>NPSIAF</w:t>
            </w:r>
            <w:r w:rsidRPr="006D40F9">
              <w:rPr>
                <w:szCs w:val="18"/>
              </w:rPr>
              <w:t>).</w:t>
            </w:r>
          </w:p>
        </w:tc>
      </w:tr>
      <w:tr w:rsidR="00B71E64" w:rsidRPr="003D26F2" w14:paraId="3193CF4A" w14:textId="77777777" w:rsidTr="00A0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BFBFBF" w:themeColor="background1" w:themeShade="BF"/>
              <w:bottom w:val="single" w:sz="4" w:space="0" w:color="BFBFBF" w:themeColor="background1" w:themeShade="BF"/>
            </w:tcBorders>
            <w:shd w:val="clear" w:color="auto" w:fill="auto"/>
          </w:tcPr>
          <w:p w14:paraId="5E203EB4" w14:textId="77777777" w:rsidR="00B71E64" w:rsidRPr="009B21DC" w:rsidRDefault="00B71E64" w:rsidP="009B21DC">
            <w:pPr>
              <w:pStyle w:val="BodyCopyNEW"/>
            </w:pPr>
            <w:r w:rsidRPr="009B21DC">
              <w:lastRenderedPageBreak/>
              <w:t>International engagement</w:t>
            </w:r>
          </w:p>
        </w:tc>
        <w:tc>
          <w:tcPr>
            <w:tcW w:w="8222" w:type="dxa"/>
            <w:tcBorders>
              <w:top w:val="single" w:sz="4" w:space="0" w:color="BFBFBF" w:themeColor="background1" w:themeShade="BF"/>
              <w:bottom w:val="single" w:sz="4" w:space="0" w:color="BFBFBF" w:themeColor="background1" w:themeShade="BF"/>
            </w:tcBorders>
            <w:shd w:val="clear" w:color="auto" w:fill="auto"/>
          </w:tcPr>
          <w:p w14:paraId="161274BB" w14:textId="732AB52B" w:rsidR="00B71E64" w:rsidRPr="006D40F9"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rPr>
                <w:szCs w:val="18"/>
              </w:rPr>
            </w:pPr>
            <w:r w:rsidRPr="006D40F9">
              <w:rPr>
                <w:szCs w:val="18"/>
              </w:rPr>
              <w:t>Participated in the International Regulators Forum</w:t>
            </w:r>
            <w:r w:rsidRPr="006D40F9">
              <w:rPr>
                <w:szCs w:val="18"/>
                <w:vertAlign w:val="superscript"/>
              </w:rPr>
              <w:footnoteReference w:id="37"/>
            </w:r>
            <w:r w:rsidRPr="006D40F9">
              <w:rPr>
                <w:szCs w:val="18"/>
              </w:rPr>
              <w:t xml:space="preserve"> (</w:t>
            </w:r>
            <w:r w:rsidRPr="006D40F9">
              <w:rPr>
                <w:b/>
                <w:szCs w:val="18"/>
              </w:rPr>
              <w:t>IRF</w:t>
            </w:r>
            <w:r w:rsidRPr="006D40F9">
              <w:rPr>
                <w:szCs w:val="18"/>
              </w:rPr>
              <w:t>) as a member and as part of the management committee. Hosted the International Regulators Offshore Safety Conference in 2013</w:t>
            </w:r>
          </w:p>
          <w:p w14:paraId="5D14EEA4" w14:textId="77777777" w:rsidR="00B71E64" w:rsidRPr="006D40F9"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rPr>
                <w:szCs w:val="18"/>
              </w:rPr>
            </w:pPr>
            <w:r w:rsidRPr="006D40F9">
              <w:rPr>
                <w:szCs w:val="18"/>
              </w:rPr>
              <w:t>Participated in the International Offshore Petroleum Environment Regulators (</w:t>
            </w:r>
            <w:r w:rsidRPr="006D40F9">
              <w:rPr>
                <w:b/>
                <w:szCs w:val="18"/>
              </w:rPr>
              <w:t>IOPER</w:t>
            </w:r>
            <w:r w:rsidRPr="006D40F9">
              <w:rPr>
                <w:szCs w:val="18"/>
              </w:rPr>
              <w:t>) Forum as a member</w:t>
            </w:r>
            <w:r w:rsidRPr="006D40F9">
              <w:rPr>
                <w:szCs w:val="18"/>
                <w:vertAlign w:val="superscript"/>
              </w:rPr>
              <w:footnoteReference w:id="38"/>
            </w:r>
          </w:p>
          <w:p w14:paraId="0713F913" w14:textId="77777777" w:rsidR="00B71E64" w:rsidRPr="006D40F9"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rPr>
                <w:szCs w:val="18"/>
              </w:rPr>
            </w:pPr>
            <w:r w:rsidRPr="006D40F9">
              <w:rPr>
                <w:szCs w:val="18"/>
              </w:rPr>
              <w:t>Interacted/Engaged with a number of international regulators, including the Bureau of Safety and Environmental Enforcement (United States), the Health &amp; Safety Executive (United Kingdom), and signed an MOU with the Autoridade Nacional do Petróleo e Minerais (</w:t>
            </w:r>
            <w:r w:rsidRPr="006D40F9">
              <w:rPr>
                <w:b/>
                <w:szCs w:val="18"/>
              </w:rPr>
              <w:t>ANPM</w:t>
            </w:r>
            <w:r w:rsidRPr="006D40F9">
              <w:rPr>
                <w:szCs w:val="18"/>
              </w:rPr>
              <w:t>) in Timor-Leste</w:t>
            </w:r>
          </w:p>
          <w:p w14:paraId="24470C2B" w14:textId="77777777" w:rsidR="00B71E64" w:rsidRPr="006D40F9"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rPr>
                <w:szCs w:val="18"/>
              </w:rPr>
            </w:pPr>
            <w:r w:rsidRPr="006D40F9">
              <w:rPr>
                <w:szCs w:val="18"/>
              </w:rPr>
              <w:t>Represented the Australian Government at the inaugural meeting of the Global Offshore Wind Regulators Forum (2019)</w:t>
            </w:r>
          </w:p>
          <w:p w14:paraId="54AAA549" w14:textId="77777777" w:rsidR="00B71E64" w:rsidRPr="006D40F9"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rPr>
                <w:szCs w:val="18"/>
              </w:rPr>
            </w:pPr>
            <w:r w:rsidRPr="006D40F9">
              <w:rPr>
                <w:szCs w:val="18"/>
              </w:rPr>
              <w:t>Interacted/Engaged with a number of international industry associations, including monthly meetings with the International Association of Drilling Contractors (</w:t>
            </w:r>
            <w:r w:rsidRPr="006D40F9">
              <w:rPr>
                <w:b/>
                <w:szCs w:val="18"/>
              </w:rPr>
              <w:t>IADC</w:t>
            </w:r>
            <w:r w:rsidRPr="006D40F9">
              <w:rPr>
                <w:szCs w:val="18"/>
              </w:rPr>
              <w:t>), International Marine Contractor’s Association (</w:t>
            </w:r>
            <w:r w:rsidRPr="006D40F9">
              <w:rPr>
                <w:b/>
                <w:szCs w:val="18"/>
              </w:rPr>
              <w:t>IMCA</w:t>
            </w:r>
            <w:r w:rsidRPr="006D40F9">
              <w:rPr>
                <w:szCs w:val="18"/>
              </w:rPr>
              <w:t>), International Association for Geophysical Contractors (</w:t>
            </w:r>
            <w:r w:rsidRPr="006D40F9">
              <w:rPr>
                <w:b/>
                <w:szCs w:val="18"/>
              </w:rPr>
              <w:t>IAGC</w:t>
            </w:r>
            <w:r w:rsidRPr="006D40F9">
              <w:rPr>
                <w:szCs w:val="18"/>
              </w:rPr>
              <w:t>), International Petroleum Industry Environmental Conservation Association (</w:t>
            </w:r>
            <w:r w:rsidRPr="006D40F9">
              <w:rPr>
                <w:b/>
                <w:szCs w:val="18"/>
              </w:rPr>
              <w:t>IPIECA</w:t>
            </w:r>
            <w:r w:rsidRPr="006D40F9">
              <w:rPr>
                <w:szCs w:val="18"/>
              </w:rPr>
              <w:t>), International Association of Impact Assessment (</w:t>
            </w:r>
            <w:r w:rsidRPr="006D40F9">
              <w:rPr>
                <w:b/>
                <w:szCs w:val="18"/>
              </w:rPr>
              <w:t>IAIA</w:t>
            </w:r>
            <w:r w:rsidRPr="006D40F9">
              <w:rPr>
                <w:szCs w:val="18"/>
              </w:rPr>
              <w:t>), and International Association of Oil and Gas Producers (</w:t>
            </w:r>
            <w:r w:rsidRPr="006D40F9">
              <w:rPr>
                <w:b/>
                <w:szCs w:val="18"/>
              </w:rPr>
              <w:t>IOGP</w:t>
            </w:r>
            <w:r w:rsidRPr="006D40F9">
              <w:rPr>
                <w:szCs w:val="18"/>
              </w:rPr>
              <w:t>).</w:t>
            </w:r>
          </w:p>
        </w:tc>
      </w:tr>
    </w:tbl>
    <w:p w14:paraId="16553322" w14:textId="6AA857DF" w:rsidR="00B71E64" w:rsidRPr="00901C7B" w:rsidRDefault="00B71E64" w:rsidP="00A067D9">
      <w:pPr>
        <w:pStyle w:val="Caption"/>
        <w:rPr>
          <w:b w:val="0"/>
          <w:bCs/>
          <w:i/>
          <w:iCs w:val="0"/>
          <w:color w:val="75787B" w:themeColor="accent6"/>
        </w:rPr>
      </w:pPr>
      <w:r w:rsidRPr="00901C7B">
        <w:rPr>
          <w:b w:val="0"/>
          <w:bCs/>
          <w:i/>
          <w:iCs w:val="0"/>
          <w:color w:val="75787B" w:themeColor="accent6"/>
        </w:rPr>
        <w:t>Source: NOPSEMA stakeholder register</w:t>
      </w:r>
    </w:p>
    <w:p w14:paraId="5D975E24" w14:textId="6C8EE5B6" w:rsidR="00B71E64" w:rsidRDefault="00B71E64" w:rsidP="00AE2D6E">
      <w:pPr>
        <w:pStyle w:val="Heading2"/>
        <w:numPr>
          <w:ilvl w:val="1"/>
          <w:numId w:val="1"/>
        </w:numPr>
      </w:pPr>
      <w:bookmarkStart w:id="97" w:name="_Ref58594160"/>
      <w:r>
        <w:t>Effectiveness of stakeholder engagement and communications</w:t>
      </w:r>
      <w:bookmarkEnd w:id="97"/>
    </w:p>
    <w:p w14:paraId="77B0CA24" w14:textId="683EB4ED" w:rsidR="00B71E64" w:rsidRPr="008C01F0" w:rsidRDefault="00B71E64" w:rsidP="00784E0E">
      <w:pPr>
        <w:pStyle w:val="Heading3"/>
      </w:pPr>
      <w:r>
        <w:t>Stakeholder engagement activities</w:t>
      </w:r>
    </w:p>
    <w:p w14:paraId="5447B659" w14:textId="63C5FA50" w:rsidR="00B71E64" w:rsidRPr="008C01F0" w:rsidRDefault="00B71E64" w:rsidP="00A067D9">
      <w:pPr>
        <w:pStyle w:val="Heading3NoNumber"/>
      </w:pPr>
      <w:r w:rsidRPr="008C01F0">
        <w:t>NOPSEMA ha</w:t>
      </w:r>
      <w:r>
        <w:t>s</w:t>
      </w:r>
      <w:r w:rsidRPr="008C01F0">
        <w:t xml:space="preserve"> transformed </w:t>
      </w:r>
      <w:r>
        <w:t>its</w:t>
      </w:r>
      <w:r w:rsidRPr="008C01F0">
        <w:t xml:space="preserve"> approach and level of stakeholder engagement over the </w:t>
      </w:r>
      <w:r w:rsidR="00F213BB">
        <w:t xml:space="preserve">review </w:t>
      </w:r>
      <w:r>
        <w:t>period</w:t>
      </w:r>
      <w:r w:rsidRPr="008C01F0">
        <w:t xml:space="preserve"> </w:t>
      </w:r>
    </w:p>
    <w:p w14:paraId="20504739" w14:textId="576BE381" w:rsidR="00B211FB" w:rsidRPr="008D69C2" w:rsidRDefault="00B71E64" w:rsidP="008D69C2">
      <w:pPr>
        <w:pStyle w:val="BodyCopyNEW"/>
      </w:pPr>
      <w:r w:rsidRPr="008C01F0">
        <w:t xml:space="preserve">NOPSEMA </w:t>
      </w:r>
      <w:r>
        <w:t>has</w:t>
      </w:r>
      <w:r w:rsidRPr="008C01F0">
        <w:t xml:space="preserve"> significantly increased </w:t>
      </w:r>
      <w:r w:rsidR="00383A0B">
        <w:t>its</w:t>
      </w:r>
      <w:r w:rsidR="00383A0B" w:rsidRPr="008C01F0">
        <w:t xml:space="preserve"> </w:t>
      </w:r>
      <w:r w:rsidRPr="008C01F0">
        <w:t>engagement across industry, trade associations, other stakeholders, and government (</w:t>
      </w:r>
      <w:r w:rsidR="002123F9">
        <w:t>s</w:t>
      </w:r>
      <w:r w:rsidRPr="008C01F0">
        <w:t xml:space="preserve">tate, </w:t>
      </w:r>
      <w:r w:rsidR="002123F9">
        <w:t>t</w:t>
      </w:r>
      <w:r w:rsidRPr="008C01F0">
        <w:t xml:space="preserve">erritory, and </w:t>
      </w:r>
      <w:r>
        <w:t>Commonwealth</w:t>
      </w:r>
      <w:r w:rsidRPr="008C01F0">
        <w:t xml:space="preserve">) segments </w:t>
      </w:r>
      <w:r>
        <w:t xml:space="preserve">across the </w:t>
      </w:r>
      <w:r w:rsidR="00F213BB">
        <w:t xml:space="preserve">review </w:t>
      </w:r>
      <w:r>
        <w:t>period</w:t>
      </w:r>
      <w:r w:rsidRPr="008C01F0">
        <w:t xml:space="preserve"> and this is reflected in</w:t>
      </w:r>
      <w:r w:rsidR="003C63C1">
        <w:t xml:space="preserve"> the trend of activity observable in</w:t>
      </w:r>
      <w:r w:rsidR="00106791">
        <w:t xml:space="preserve"> </w:t>
      </w:r>
      <w:r w:rsidR="00071456" w:rsidRPr="00071456">
        <w:rPr>
          <w:b/>
          <w:bCs/>
        </w:rPr>
        <w:fldChar w:fldCharType="begin"/>
      </w:r>
      <w:r w:rsidR="00071456" w:rsidRPr="00071456">
        <w:rPr>
          <w:b/>
          <w:bCs/>
        </w:rPr>
        <w:instrText xml:space="preserve"> REF _Ref58448111 \h </w:instrText>
      </w:r>
      <w:r w:rsidR="00071456">
        <w:rPr>
          <w:b/>
          <w:bCs/>
        </w:rPr>
        <w:instrText xml:space="preserve"> \* MERGEFORMAT </w:instrText>
      </w:r>
      <w:r w:rsidR="00071456" w:rsidRPr="00071456">
        <w:rPr>
          <w:b/>
          <w:bCs/>
        </w:rPr>
      </w:r>
      <w:r w:rsidR="00071456" w:rsidRPr="00071456">
        <w:rPr>
          <w:b/>
          <w:bCs/>
        </w:rPr>
        <w:fldChar w:fldCharType="separate"/>
      </w:r>
      <w:r w:rsidR="00E816B8" w:rsidRPr="00E816B8">
        <w:rPr>
          <w:b/>
          <w:bCs/>
        </w:rPr>
        <w:t xml:space="preserve">Figure </w:t>
      </w:r>
      <w:r w:rsidR="00E816B8" w:rsidRPr="00E816B8">
        <w:rPr>
          <w:b/>
          <w:bCs/>
          <w:noProof/>
        </w:rPr>
        <w:t>9.2</w:t>
      </w:r>
      <w:r w:rsidR="00071456" w:rsidRPr="00071456">
        <w:rPr>
          <w:b/>
          <w:bCs/>
        </w:rPr>
        <w:fldChar w:fldCharType="end"/>
      </w:r>
      <w:r w:rsidRPr="00C10D2A">
        <w:t>.</w:t>
      </w:r>
      <w:r w:rsidRPr="008C01F0">
        <w:t xml:space="preserve"> Just over 50% of engagements are classified by NOPSEMA as being ‘advice and promotion’ with a further 21% of engagements relating to ‘regulatory assessment’ activities (see</w:t>
      </w:r>
      <w:r w:rsidR="00D1142D">
        <w:rPr>
          <w:b/>
          <w:bCs/>
        </w:rPr>
        <w:t xml:space="preserve"> </w:t>
      </w:r>
      <w:r w:rsidR="00D1142D" w:rsidRPr="00D1142D">
        <w:rPr>
          <w:b/>
          <w:bCs/>
          <w:highlight w:val="yellow"/>
        </w:rPr>
        <w:fldChar w:fldCharType="begin"/>
      </w:r>
      <w:r w:rsidR="00D1142D" w:rsidRPr="00D1142D">
        <w:rPr>
          <w:b/>
          <w:bCs/>
        </w:rPr>
        <w:instrText xml:space="preserve"> REF _Ref58447601 \h </w:instrText>
      </w:r>
      <w:r w:rsidR="00D1142D" w:rsidRPr="00D1142D">
        <w:rPr>
          <w:b/>
          <w:bCs/>
          <w:highlight w:val="yellow"/>
        </w:rPr>
        <w:instrText xml:space="preserve"> \* MERGEFORMAT </w:instrText>
      </w:r>
      <w:r w:rsidR="00D1142D" w:rsidRPr="00D1142D">
        <w:rPr>
          <w:b/>
          <w:bCs/>
          <w:highlight w:val="yellow"/>
        </w:rPr>
      </w:r>
      <w:r w:rsidR="00D1142D" w:rsidRPr="00D1142D">
        <w:rPr>
          <w:b/>
          <w:bCs/>
          <w:highlight w:val="yellow"/>
        </w:rPr>
        <w:fldChar w:fldCharType="separate"/>
      </w:r>
      <w:r w:rsidR="00E816B8" w:rsidRPr="00E816B8">
        <w:rPr>
          <w:b/>
          <w:bCs/>
        </w:rPr>
        <w:t xml:space="preserve">Figure </w:t>
      </w:r>
      <w:r w:rsidR="00E816B8" w:rsidRPr="00E816B8">
        <w:rPr>
          <w:b/>
          <w:bCs/>
          <w:noProof/>
        </w:rPr>
        <w:t>9.3</w:t>
      </w:r>
      <w:r w:rsidR="00D1142D" w:rsidRPr="00D1142D">
        <w:rPr>
          <w:b/>
          <w:bCs/>
          <w:highlight w:val="yellow"/>
        </w:rPr>
        <w:fldChar w:fldCharType="end"/>
      </w:r>
      <w:r w:rsidRPr="008C01F0">
        <w:t xml:space="preserve">). </w:t>
      </w:r>
      <w:r>
        <w:t xml:space="preserve">As a proportion of NOPSEMA’s total engagements undertaken </w:t>
      </w:r>
      <w:r w:rsidR="00F213BB">
        <w:t>since 2015</w:t>
      </w:r>
      <w:r>
        <w:t>, those by the</w:t>
      </w:r>
      <w:r w:rsidRPr="008C01F0">
        <w:t xml:space="preserve"> Environment Division accounted for 36% the Safety and Integrity Division accounted for just under 44%. </w:t>
      </w:r>
      <w:r w:rsidR="00327ACB">
        <w:t>NOPSEMA has</w:t>
      </w:r>
      <w:r w:rsidR="00A231A9">
        <w:t xml:space="preserve"> also</w:t>
      </w:r>
      <w:r w:rsidRPr="008C01F0">
        <w:t xml:space="preserve"> significantly increased engagement with non-regulated stakeholders (referring to</w:t>
      </w:r>
      <w:r w:rsidR="00F810D8">
        <w:rPr>
          <w:b/>
          <w:bCs/>
        </w:rPr>
        <w:t xml:space="preserve"> </w:t>
      </w:r>
      <w:r w:rsidR="00F810D8" w:rsidRPr="00F810D8">
        <w:rPr>
          <w:b/>
          <w:bCs/>
          <w:highlight w:val="yellow"/>
        </w:rPr>
        <w:fldChar w:fldCharType="begin"/>
      </w:r>
      <w:r w:rsidR="00F810D8" w:rsidRPr="00F810D8">
        <w:rPr>
          <w:b/>
          <w:bCs/>
        </w:rPr>
        <w:instrText xml:space="preserve"> REF _Ref58447201 \h </w:instrText>
      </w:r>
      <w:r w:rsidR="00F810D8" w:rsidRPr="00F810D8">
        <w:rPr>
          <w:b/>
          <w:bCs/>
          <w:highlight w:val="yellow"/>
        </w:rPr>
        <w:instrText xml:space="preserve"> \* MERGEFORMAT </w:instrText>
      </w:r>
      <w:r w:rsidR="00F810D8" w:rsidRPr="00F810D8">
        <w:rPr>
          <w:b/>
          <w:bCs/>
          <w:highlight w:val="yellow"/>
        </w:rPr>
      </w:r>
      <w:r w:rsidR="00F810D8" w:rsidRPr="00F810D8">
        <w:rPr>
          <w:b/>
          <w:bCs/>
          <w:highlight w:val="yellow"/>
        </w:rPr>
        <w:fldChar w:fldCharType="separate"/>
      </w:r>
      <w:r w:rsidR="00E816B8" w:rsidRPr="00E816B8">
        <w:rPr>
          <w:b/>
          <w:bCs/>
        </w:rPr>
        <w:t xml:space="preserve">Table </w:t>
      </w:r>
      <w:r w:rsidR="00E816B8" w:rsidRPr="00E816B8">
        <w:rPr>
          <w:b/>
          <w:bCs/>
          <w:noProof/>
        </w:rPr>
        <w:t>9.1</w:t>
      </w:r>
      <w:r w:rsidR="00F810D8" w:rsidRPr="00F810D8">
        <w:rPr>
          <w:b/>
          <w:bCs/>
          <w:highlight w:val="yellow"/>
        </w:rPr>
        <w:fldChar w:fldCharType="end"/>
      </w:r>
      <w:r w:rsidR="00F810D8" w:rsidRPr="00F810D8">
        <w:t>)</w:t>
      </w:r>
      <w:r w:rsidRPr="008C01F0">
        <w:t>.</w:t>
      </w:r>
      <w:bookmarkStart w:id="98" w:name="_Ref58447534"/>
    </w:p>
    <w:p w14:paraId="263C1EDF" w14:textId="6C0A3F3E" w:rsidR="007367FF" w:rsidRPr="007367FF" w:rsidRDefault="007367FF" w:rsidP="008D69C2">
      <w:pPr>
        <w:pStyle w:val="Caption"/>
        <w:keepNext/>
      </w:pPr>
      <w:bookmarkStart w:id="99" w:name="_Ref58448111"/>
      <w:r>
        <w:lastRenderedPageBreak/>
        <w:t xml:space="preserve">Figure </w:t>
      </w:r>
      <w:r w:rsidR="00AD41F8">
        <w:fldChar w:fldCharType="begin"/>
      </w:r>
      <w:r w:rsidR="00AD41F8">
        <w:instrText xml:space="preserve"> STYLEREF 1 \s </w:instrText>
      </w:r>
      <w:r w:rsidR="00AD41F8">
        <w:fldChar w:fldCharType="separate"/>
      </w:r>
      <w:r w:rsidR="00E816B8">
        <w:rPr>
          <w:noProof/>
        </w:rPr>
        <w:t>9</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2</w:t>
      </w:r>
      <w:r w:rsidR="00AD41F8">
        <w:fldChar w:fldCharType="end"/>
      </w:r>
      <w:bookmarkEnd w:id="98"/>
      <w:bookmarkEnd w:id="99"/>
      <w:r>
        <w:t>: NOPSEMA stakeholder engagement activities by stakeholder segment from 2015-16 to 2019-20</w:t>
      </w:r>
    </w:p>
    <w:p w14:paraId="4B2B1B45" w14:textId="77777777" w:rsidR="00904670" w:rsidRDefault="00904670" w:rsidP="00B71E64">
      <w:pPr>
        <w:spacing w:after="0"/>
        <w:rPr>
          <w:rFonts w:asciiTheme="majorHAnsi" w:hAnsiTheme="majorHAnsi"/>
        </w:rPr>
      </w:pPr>
      <w:r w:rsidRPr="002E2D21">
        <w:rPr>
          <w:rFonts w:ascii="OpenSansRegular" w:hAnsi="OpenSansRegular" w:cs="OpenSansRegular"/>
          <w:noProof/>
          <w:lang w:eastAsia="en-AU"/>
        </w:rPr>
        <w:drawing>
          <wp:inline distT="0" distB="0" distL="0" distR="0" wp14:anchorId="4B48EC7F" wp14:editId="14C8F1C8">
            <wp:extent cx="6238875" cy="3095625"/>
            <wp:effectExtent l="0" t="0" r="9525" b="9525"/>
            <wp:docPr id="31" name="Chart 3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CCEBCD-34B8-40F0-AF75-360B164C5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C9D1DC6" w14:textId="4E6129F3" w:rsidR="00896EF4" w:rsidRPr="00901C7B" w:rsidRDefault="00904670" w:rsidP="00A067D9">
      <w:pPr>
        <w:pStyle w:val="Caption"/>
        <w:rPr>
          <w:b w:val="0"/>
          <w:bCs/>
          <w:i/>
          <w:iCs w:val="0"/>
          <w:color w:val="75787B" w:themeColor="accent6"/>
        </w:rPr>
      </w:pPr>
      <w:r w:rsidRPr="00901C7B">
        <w:rPr>
          <w:b w:val="0"/>
          <w:bCs/>
          <w:i/>
          <w:iCs w:val="0"/>
          <w:color w:val="75787B" w:themeColor="accent6"/>
        </w:rPr>
        <w:t xml:space="preserve">Source: </w:t>
      </w:r>
      <w:r w:rsidR="007979BE" w:rsidRPr="00300717">
        <w:rPr>
          <w:b w:val="0"/>
          <w:bCs/>
          <w:i/>
          <w:iCs w:val="0"/>
          <w:color w:val="75787B" w:themeColor="accent6"/>
        </w:rPr>
        <w:t>Deloitte analysis adapted from NOPSEMA data</w:t>
      </w:r>
    </w:p>
    <w:p w14:paraId="683E055C" w14:textId="36AFE021" w:rsidR="00D1142D" w:rsidRPr="00D1142D" w:rsidRDefault="00D1142D" w:rsidP="008D69C2">
      <w:pPr>
        <w:pStyle w:val="Caption"/>
        <w:keepNext/>
      </w:pPr>
      <w:bookmarkStart w:id="100" w:name="_Ref58447601"/>
      <w:r>
        <w:t xml:space="preserve">Figure </w:t>
      </w:r>
      <w:r w:rsidR="00AD41F8">
        <w:fldChar w:fldCharType="begin"/>
      </w:r>
      <w:r w:rsidR="00AD41F8">
        <w:instrText xml:space="preserve"> STYLEREF 1 \s </w:instrText>
      </w:r>
      <w:r w:rsidR="00AD41F8">
        <w:fldChar w:fldCharType="separate"/>
      </w:r>
      <w:r w:rsidR="00E816B8">
        <w:rPr>
          <w:noProof/>
        </w:rPr>
        <w:t>9</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3</w:t>
      </w:r>
      <w:r w:rsidR="00AD41F8">
        <w:fldChar w:fldCharType="end"/>
      </w:r>
      <w:bookmarkEnd w:id="100"/>
      <w:r>
        <w:t>: NOPSEMA stakeholder e</w:t>
      </w:r>
      <w:r w:rsidRPr="003A3C32">
        <w:t xml:space="preserve">ngagement </w:t>
      </w:r>
      <w:r>
        <w:t>a</w:t>
      </w:r>
      <w:r w:rsidRPr="003A3C32">
        <w:t>ctivities from 2015</w:t>
      </w:r>
      <w:r>
        <w:t>-</w:t>
      </w:r>
      <w:r w:rsidRPr="003A3C32">
        <w:t>16 to 2019</w:t>
      </w:r>
      <w:r>
        <w:t>-</w:t>
      </w:r>
      <w:r w:rsidRPr="003A3C32">
        <w:t xml:space="preserve">20 by </w:t>
      </w:r>
      <w:r>
        <w:t>e</w:t>
      </w:r>
      <w:r w:rsidRPr="003A3C32">
        <w:t xml:space="preserve">ngagement </w:t>
      </w:r>
      <w:r>
        <w:t>t</w:t>
      </w:r>
      <w:r w:rsidRPr="003A3C32">
        <w:t>ype</w:t>
      </w:r>
    </w:p>
    <w:p w14:paraId="6913ED5B" w14:textId="3C85A688" w:rsidR="00904670" w:rsidRPr="00904670" w:rsidRDefault="00904670" w:rsidP="00904670">
      <w:r w:rsidRPr="003A3C32">
        <w:rPr>
          <w:rFonts w:asciiTheme="majorHAnsi" w:hAnsiTheme="majorHAnsi" w:cs="OpenSansRegular"/>
          <w:noProof/>
          <w:lang w:eastAsia="en-AU"/>
        </w:rPr>
        <w:drawing>
          <wp:inline distT="0" distB="0" distL="0" distR="0" wp14:anchorId="6E528D84" wp14:editId="1E3225D4">
            <wp:extent cx="6238875" cy="2505075"/>
            <wp:effectExtent l="0" t="0" r="9525" b="9525"/>
            <wp:docPr id="96" name="Chart 9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FC003F3-79A1-4B01-BF2C-F575ED8424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8FCF825" w14:textId="283B79F8" w:rsidR="00904670" w:rsidRPr="00901C7B" w:rsidRDefault="00904670" w:rsidP="00A067D9">
      <w:pPr>
        <w:pStyle w:val="Caption"/>
        <w:rPr>
          <w:b w:val="0"/>
          <w:bCs/>
          <w:i/>
          <w:iCs w:val="0"/>
          <w:color w:val="75787B" w:themeColor="accent6"/>
        </w:rPr>
      </w:pPr>
      <w:r w:rsidRPr="00901C7B">
        <w:rPr>
          <w:b w:val="0"/>
          <w:bCs/>
          <w:i/>
          <w:iCs w:val="0"/>
          <w:color w:val="75787B" w:themeColor="accent6"/>
        </w:rPr>
        <w:t xml:space="preserve">Source: </w:t>
      </w:r>
      <w:r w:rsidR="007979BE" w:rsidRPr="00300717">
        <w:rPr>
          <w:b w:val="0"/>
          <w:bCs/>
          <w:i/>
          <w:iCs w:val="0"/>
          <w:color w:val="75787B" w:themeColor="accent6"/>
        </w:rPr>
        <w:t>Deloitte analysis adapted from NOPSEMA data</w:t>
      </w:r>
    </w:p>
    <w:p w14:paraId="625BD770" w14:textId="72569F48" w:rsidR="00B71E64" w:rsidRPr="00763E82" w:rsidRDefault="00B71E64" w:rsidP="00784E0E">
      <w:pPr>
        <w:pStyle w:val="Heading3"/>
      </w:pPr>
      <w:r>
        <w:t>Stakeholder perceptions of engagement</w:t>
      </w:r>
    </w:p>
    <w:p w14:paraId="6B5EB14A" w14:textId="77777777" w:rsidR="00B71E64" w:rsidRPr="00AA00CE" w:rsidRDefault="00B71E64" w:rsidP="00A067D9">
      <w:pPr>
        <w:pStyle w:val="Heading3NoNumber"/>
      </w:pPr>
      <w:r w:rsidRPr="00AA00CE">
        <w:t xml:space="preserve">NOPSEMA </w:t>
      </w:r>
      <w:r>
        <w:t>is open and approachable but does not clearly articulate how it listens to stakeholders</w:t>
      </w:r>
    </w:p>
    <w:p w14:paraId="2AC451A8" w14:textId="38B4F8D2" w:rsidR="00B71E64" w:rsidRDefault="00B71E64" w:rsidP="00A067D9">
      <w:pPr>
        <w:pStyle w:val="BodyCopyNEW"/>
      </w:pPr>
      <w:r w:rsidRPr="008000C6">
        <w:t>Most stakeholders tended to view NOPSEMA as responsive</w:t>
      </w:r>
      <w:r>
        <w:t xml:space="preserve"> (</w:t>
      </w:r>
      <w:r w:rsidRPr="008000C6">
        <w:t>see</w:t>
      </w:r>
      <w:r w:rsidR="007C25E3">
        <w:rPr>
          <w:b/>
          <w:bCs/>
        </w:rPr>
        <w:t xml:space="preserve"> </w:t>
      </w:r>
      <w:r w:rsidR="007C25E3" w:rsidRPr="007C25E3">
        <w:rPr>
          <w:b/>
          <w:bCs/>
          <w:highlight w:val="yellow"/>
        </w:rPr>
        <w:fldChar w:fldCharType="begin"/>
      </w:r>
      <w:r w:rsidR="007C25E3" w:rsidRPr="007C25E3">
        <w:rPr>
          <w:b/>
          <w:bCs/>
        </w:rPr>
        <w:instrText xml:space="preserve"> REF _Ref58447695 \h </w:instrText>
      </w:r>
      <w:r w:rsidR="007C25E3" w:rsidRPr="007C25E3">
        <w:rPr>
          <w:b/>
          <w:bCs/>
          <w:highlight w:val="yellow"/>
        </w:rPr>
        <w:instrText xml:space="preserve"> \* MERGEFORMAT </w:instrText>
      </w:r>
      <w:r w:rsidR="007C25E3" w:rsidRPr="007C25E3">
        <w:rPr>
          <w:b/>
          <w:bCs/>
          <w:highlight w:val="yellow"/>
        </w:rPr>
      </w:r>
      <w:r w:rsidR="007C25E3" w:rsidRPr="007C25E3">
        <w:rPr>
          <w:b/>
          <w:bCs/>
          <w:highlight w:val="yellow"/>
        </w:rPr>
        <w:fldChar w:fldCharType="separate"/>
      </w:r>
      <w:r w:rsidR="00E816B8" w:rsidRPr="00E816B8">
        <w:rPr>
          <w:b/>
          <w:bCs/>
        </w:rPr>
        <w:t xml:space="preserve">Figure </w:t>
      </w:r>
      <w:r w:rsidR="00E816B8" w:rsidRPr="00E816B8">
        <w:rPr>
          <w:b/>
          <w:bCs/>
          <w:noProof/>
        </w:rPr>
        <w:t>9.4</w:t>
      </w:r>
      <w:r w:rsidR="007C25E3" w:rsidRPr="007C25E3">
        <w:rPr>
          <w:b/>
          <w:bCs/>
          <w:highlight w:val="yellow"/>
        </w:rPr>
        <w:fldChar w:fldCharType="end"/>
      </w:r>
      <w:r w:rsidRPr="00E860D9">
        <w:t>)</w:t>
      </w:r>
      <w:r w:rsidRPr="008000C6">
        <w:t>. However, there was a general sentiment that while NOPSEMA were approachable and accessible, the outcomes of engagement</w:t>
      </w:r>
      <w:r w:rsidR="001722B9">
        <w:t>s</w:t>
      </w:r>
      <w:r w:rsidRPr="008000C6">
        <w:t xml:space="preserve"> </w:t>
      </w:r>
      <w:r w:rsidR="001722B9">
        <w:t>felt to stakeholders as</w:t>
      </w:r>
      <w:r w:rsidRPr="008000C6">
        <w:t xml:space="preserve"> </w:t>
      </w:r>
      <w:r w:rsidR="001722B9">
        <w:t>‘</w:t>
      </w:r>
      <w:r w:rsidRPr="008000C6">
        <w:t>predetermined</w:t>
      </w:r>
      <w:r w:rsidR="001722B9">
        <w:t>’</w:t>
      </w:r>
      <w:r w:rsidRPr="008000C6">
        <w:t xml:space="preserve"> and </w:t>
      </w:r>
      <w:r w:rsidR="001722B9">
        <w:t>that ‘</w:t>
      </w:r>
      <w:r w:rsidR="0097561D">
        <w:t>NOPSEMA</w:t>
      </w:r>
      <w:r w:rsidRPr="008000C6">
        <w:t xml:space="preserve"> </w:t>
      </w:r>
      <w:r>
        <w:t xml:space="preserve">do not always action </w:t>
      </w:r>
      <w:r w:rsidRPr="008000C6">
        <w:t>feedback given</w:t>
      </w:r>
      <w:r w:rsidR="001722B9">
        <w:t>’</w:t>
      </w:r>
      <w:r w:rsidRPr="008000C6">
        <w:t xml:space="preserve"> (</w:t>
      </w:r>
      <w:r w:rsidRPr="00E860D9">
        <w:t>see</w:t>
      </w:r>
      <w:r w:rsidR="00A517CF">
        <w:rPr>
          <w:b/>
          <w:bCs/>
        </w:rPr>
        <w:t xml:space="preserve"> </w:t>
      </w:r>
      <w:r w:rsidR="00176398" w:rsidRPr="00176398">
        <w:rPr>
          <w:b/>
          <w:bCs/>
        </w:rPr>
        <w:fldChar w:fldCharType="begin"/>
      </w:r>
      <w:r w:rsidR="00176398" w:rsidRPr="00176398">
        <w:rPr>
          <w:b/>
          <w:bCs/>
        </w:rPr>
        <w:instrText xml:space="preserve"> REF _Ref58447867 \h  \* MERGEFORMAT </w:instrText>
      </w:r>
      <w:r w:rsidR="00176398" w:rsidRPr="00176398">
        <w:rPr>
          <w:b/>
          <w:bCs/>
        </w:rPr>
      </w:r>
      <w:r w:rsidR="00176398" w:rsidRPr="00176398">
        <w:rPr>
          <w:b/>
          <w:bCs/>
        </w:rPr>
        <w:fldChar w:fldCharType="separate"/>
      </w:r>
      <w:r w:rsidR="00E816B8" w:rsidRPr="00E816B8">
        <w:rPr>
          <w:b/>
          <w:bCs/>
        </w:rPr>
        <w:t xml:space="preserve">Table </w:t>
      </w:r>
      <w:r w:rsidR="00E816B8" w:rsidRPr="00E816B8">
        <w:rPr>
          <w:b/>
          <w:bCs/>
          <w:noProof/>
        </w:rPr>
        <w:t>9.2</w:t>
      </w:r>
      <w:r w:rsidR="00176398" w:rsidRPr="00176398">
        <w:rPr>
          <w:b/>
          <w:bCs/>
        </w:rPr>
        <w:fldChar w:fldCharType="end"/>
      </w:r>
      <w:r w:rsidRPr="008000C6">
        <w:t xml:space="preserve">). This translates into a </w:t>
      </w:r>
      <w:r w:rsidR="004D19FE">
        <w:t>perception among some stakeholders</w:t>
      </w:r>
      <w:r w:rsidRPr="008000C6">
        <w:t xml:space="preserve"> that NOPSEMA is not always truly cooperative or collaborative in its approach. A</w:t>
      </w:r>
      <w:r w:rsidR="003B39F3">
        <w:t>n</w:t>
      </w:r>
      <w:r w:rsidRPr="008000C6">
        <w:t xml:space="preserve"> example given by </w:t>
      </w:r>
      <w:r w:rsidR="00355D46">
        <w:t>a number of</w:t>
      </w:r>
      <w:r w:rsidRPr="008000C6">
        <w:t xml:space="preserve"> stakeholders was that NOPSEMA</w:t>
      </w:r>
      <w:r w:rsidR="00BF4432">
        <w:t>’s</w:t>
      </w:r>
      <w:r w:rsidRPr="008000C6">
        <w:t xml:space="preserve"> draft guidance is issued and feedback by industry appears not to be reflected in the final version, with limited follow-up</w:t>
      </w:r>
      <w:r w:rsidR="004D19FE">
        <w:t xml:space="preserve"> on how feedback was treated.</w:t>
      </w:r>
      <w:r w:rsidR="001C27BA">
        <w:t xml:space="preserve"> </w:t>
      </w:r>
      <w:r w:rsidR="002C1E5D">
        <w:t xml:space="preserve">While NOPSEMA may have provided feedback </w:t>
      </w:r>
      <w:r w:rsidR="008A5D53">
        <w:t xml:space="preserve">formally </w:t>
      </w:r>
      <w:r w:rsidR="006F5EEA">
        <w:t>through, for example, an appendix on stakeholder feedback and NOPSEMA’s consideration of that feedback in the instance of ORA guidance, the disconnect between stakeholder expectation</w:t>
      </w:r>
      <w:r w:rsidR="001343D3">
        <w:t>s</w:t>
      </w:r>
      <w:r w:rsidR="006F5EEA">
        <w:t xml:space="preserve"> should be carefully managed.</w:t>
      </w:r>
    </w:p>
    <w:p w14:paraId="487D518E" w14:textId="385DDBF6" w:rsidR="00B71E64" w:rsidRPr="008000C6" w:rsidRDefault="00B71E64" w:rsidP="00A067D9">
      <w:pPr>
        <w:pStyle w:val="BodyCopyNEW"/>
      </w:pPr>
      <w:r>
        <w:lastRenderedPageBreak/>
        <w:t>A regulator must balance the need to be independent and the need to actively consult stakeholders</w:t>
      </w:r>
      <w:r w:rsidR="00E72874">
        <w:t>. C</w:t>
      </w:r>
      <w:r>
        <w:t xml:space="preserve">onsultation will not always </w:t>
      </w:r>
      <w:r w:rsidR="00E648B6">
        <w:t xml:space="preserve">result in the </w:t>
      </w:r>
      <w:r>
        <w:t>adopt</w:t>
      </w:r>
      <w:r w:rsidR="00E648B6">
        <w:t>ion of</w:t>
      </w:r>
      <w:r>
        <w:t xml:space="preserve"> stakeholder feedback </w:t>
      </w:r>
      <w:r w:rsidR="00E72874">
        <w:t>(</w:t>
      </w:r>
      <w:r w:rsidR="003E6BEA">
        <w:t xml:space="preserve">either </w:t>
      </w:r>
      <w:r>
        <w:t xml:space="preserve">in whole or </w:t>
      </w:r>
      <w:r w:rsidR="003E6BEA">
        <w:t xml:space="preserve">in </w:t>
      </w:r>
      <w:r>
        <w:t>part</w:t>
      </w:r>
      <w:r w:rsidR="00E72874">
        <w:t>). Nevertheless,</w:t>
      </w:r>
      <w:r>
        <w:t xml:space="preserve"> acknowledgement of how the feedback has been considered is essential. </w:t>
      </w:r>
      <w:r w:rsidRPr="008000C6">
        <w:t xml:space="preserve">NOPSEMA </w:t>
      </w:r>
      <w:r>
        <w:t>could do more to</w:t>
      </w:r>
      <w:r w:rsidRPr="008000C6">
        <w:t xml:space="preserve"> provide clarity </w:t>
      </w:r>
      <w:r>
        <w:t>in this respect</w:t>
      </w:r>
      <w:r w:rsidRPr="008000C6">
        <w:t>.</w:t>
      </w:r>
      <w:r w:rsidR="00B362E1">
        <w:t xml:space="preserve"> Additionally, to </w:t>
      </w:r>
      <w:r w:rsidR="00242986">
        <w:t>visibl</w:t>
      </w:r>
      <w:r w:rsidR="009639FF">
        <w:t>y</w:t>
      </w:r>
      <w:r w:rsidR="00242986">
        <w:t xml:space="preserve"> </w:t>
      </w:r>
      <w:r w:rsidR="00B362E1">
        <w:t xml:space="preserve">demonstrate that it listens to stakeholders, NOPSEMA may consider conducting an anonymous survey delivered </w:t>
      </w:r>
      <w:r w:rsidR="00160773">
        <w:t>through a third party, in a similar manner to that undertaken by NOPTA.</w:t>
      </w:r>
      <w:r w:rsidR="009F1B73">
        <w:t xml:space="preserve"> There is often a</w:t>
      </w:r>
      <w:r w:rsidR="00C42AEF">
        <w:t>n understandable</w:t>
      </w:r>
      <w:r w:rsidR="009F1B73">
        <w:t xml:space="preserve"> reluctance, given a regulator’s role</w:t>
      </w:r>
      <w:r w:rsidR="00B24234">
        <w:t xml:space="preserve">, for stakeholders to provide </w:t>
      </w:r>
      <w:r w:rsidR="00E679E7">
        <w:t xml:space="preserve">free and frank </w:t>
      </w:r>
      <w:r w:rsidR="00E80266">
        <w:t>feedback</w:t>
      </w:r>
      <w:r w:rsidR="00FC5551">
        <w:t xml:space="preserve"> (especially if it is constructive criticism) directly to the regulator.</w:t>
      </w:r>
      <w:r w:rsidR="00C42AEF">
        <w:t xml:space="preserve"> We have observed several instances of deviations between NOPSEMA’s perceptions </w:t>
      </w:r>
      <w:r w:rsidR="00D07C63">
        <w:t xml:space="preserve">of </w:t>
      </w:r>
      <w:r w:rsidR="00410B7C">
        <w:t>stakeholder perceptions on an</w:t>
      </w:r>
      <w:r w:rsidR="00C42AEF">
        <w:t xml:space="preserve"> issue and feedback we have heard as part of our review (e.g. in relation to the fairness and equity of the levy and fee scheme, </w:t>
      </w:r>
      <w:r w:rsidR="00E679E7">
        <w:t xml:space="preserve">which is </w:t>
      </w:r>
      <w:r w:rsidR="00C42AEF">
        <w:t>discussed</w:t>
      </w:r>
      <w:r w:rsidR="00E679E7">
        <w:t xml:space="preserve"> further</w:t>
      </w:r>
      <w:r w:rsidR="00C42AEF">
        <w:t xml:space="preserve"> in </w:t>
      </w:r>
      <w:r w:rsidR="00C42AEF" w:rsidRPr="00E94BB2">
        <w:rPr>
          <w:b/>
        </w:rPr>
        <w:t xml:space="preserve">Section </w:t>
      </w:r>
      <w:r w:rsidR="00C42AEF" w:rsidRPr="00E94BB2">
        <w:rPr>
          <w:b/>
        </w:rPr>
        <w:fldChar w:fldCharType="begin"/>
      </w:r>
      <w:r w:rsidR="00C42AEF" w:rsidRPr="00E94BB2">
        <w:rPr>
          <w:b/>
        </w:rPr>
        <w:instrText xml:space="preserve"> REF _Ref56069217 \r \h </w:instrText>
      </w:r>
      <w:r w:rsidR="00C42AEF">
        <w:rPr>
          <w:b/>
          <w:bCs/>
        </w:rPr>
        <w:instrText xml:space="preserve"> \* MERGEFORMAT </w:instrText>
      </w:r>
      <w:r w:rsidR="00C42AEF" w:rsidRPr="00E94BB2">
        <w:rPr>
          <w:b/>
        </w:rPr>
      </w:r>
      <w:r w:rsidR="00C42AEF" w:rsidRPr="00E94BB2">
        <w:rPr>
          <w:b/>
        </w:rPr>
        <w:fldChar w:fldCharType="separate"/>
      </w:r>
      <w:r w:rsidR="00E816B8">
        <w:rPr>
          <w:b/>
        </w:rPr>
        <w:t>10.2.7</w:t>
      </w:r>
      <w:r w:rsidR="00C42AEF" w:rsidRPr="00E94BB2">
        <w:rPr>
          <w:b/>
        </w:rPr>
        <w:fldChar w:fldCharType="end"/>
      </w:r>
      <w:r w:rsidR="00C42AEF">
        <w:t xml:space="preserve">). </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B71E64" w:rsidRPr="00DA0585" w14:paraId="6347B80A" w14:textId="77777777" w:rsidTr="00EC5F12">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680"/>
          </w:tcPr>
          <w:p w14:paraId="0AAE7EEB" w14:textId="06ED105C" w:rsidR="00B71E64" w:rsidRPr="00A470B1" w:rsidRDefault="00EE32E0" w:rsidP="00053250">
            <w:pPr>
              <w:pStyle w:val="TableHeadingLeft"/>
              <w:rPr>
                <w:bCs/>
              </w:rPr>
            </w:pPr>
            <w:r w:rsidRPr="00A470B1">
              <w:rPr>
                <w:bCs/>
              </w:rPr>
              <w:t>Recommendation</w:t>
            </w:r>
            <w:r w:rsidR="00410A39" w:rsidRPr="00A470B1">
              <w:rPr>
                <w:bCs/>
              </w:rPr>
              <w:t xml:space="preserve"> #</w:t>
            </w:r>
            <w:r w:rsidR="00421D6E" w:rsidRPr="00A470B1">
              <w:rPr>
                <w:bCs/>
              </w:rPr>
              <w:t>1</w:t>
            </w:r>
            <w:r w:rsidR="005E06AF">
              <w:rPr>
                <w:bCs/>
              </w:rPr>
              <w:t>7</w:t>
            </w:r>
          </w:p>
        </w:tc>
      </w:tr>
      <w:tr w:rsidR="00DA0585" w:rsidRPr="00DA0585" w14:paraId="3FFD51C2" w14:textId="77777777" w:rsidTr="00EC5F12">
        <w:tc>
          <w:tcPr>
            <w:tcW w:w="5000" w:type="pct"/>
            <w:tcBorders>
              <w:bottom w:val="nil"/>
            </w:tcBorders>
            <w:shd w:val="clear" w:color="auto" w:fill="F2F2F2" w:themeFill="background1" w:themeFillShade="F2"/>
          </w:tcPr>
          <w:p w14:paraId="516C3A16" w14:textId="082F7BB2" w:rsidR="00691F60" w:rsidRPr="00DA0585" w:rsidRDefault="00691F60" w:rsidP="00691F60">
            <w:pPr>
              <w:pStyle w:val="BodyCopyNEW"/>
            </w:pPr>
            <w:r w:rsidRPr="00DA0585">
              <w:rPr>
                <w:szCs w:val="18"/>
              </w:rPr>
              <w:t>NOPSEMA should place focus on demonstrating how it ‘listens’ to stakeholders through stakeholder engagement activities. Where feasible, NOPSEMA should ensure it provides</w:t>
            </w:r>
            <w:r w:rsidR="00584F11">
              <w:rPr>
                <w:szCs w:val="18"/>
              </w:rPr>
              <w:t xml:space="preserve"> clearer</w:t>
            </w:r>
            <w:r w:rsidRPr="00DA0585">
              <w:rPr>
                <w:szCs w:val="18"/>
              </w:rPr>
              <w:t xml:space="preserve"> feedback to stakeholders on how their inputs have (or have not) been reflected in outputs from engagement activities and why. NOPSEMA may also wish to consider additional means of gathering candid stakeholder feedback, utilising mechanisms such as anonymous third-party delivered stakeholder engagement surveys.</w:t>
            </w:r>
          </w:p>
        </w:tc>
      </w:tr>
    </w:tbl>
    <w:p w14:paraId="4CEC4248" w14:textId="7C7CBC8E" w:rsidR="00B71E64" w:rsidRDefault="00FF0C34" w:rsidP="00901C7B">
      <w:pPr>
        <w:pStyle w:val="BodyCopyNEW"/>
        <w:spacing w:before="120"/>
      </w:pPr>
      <w:r>
        <w:t>There is</w:t>
      </w:r>
      <w:r w:rsidR="00B71E64" w:rsidRPr="00E43B04">
        <w:t xml:space="preserve"> evidence that </w:t>
      </w:r>
      <w:r w:rsidR="00327ACB">
        <w:t>NOPSEMA has</w:t>
      </w:r>
      <w:r w:rsidR="00B71E64" w:rsidRPr="00E43B04">
        <w:t xml:space="preserve"> improved transparency since 2015, and this sentiment has been echoed by other reviews (e.g. the </w:t>
      </w:r>
      <w:r w:rsidR="00B71E64" w:rsidRPr="008045D3">
        <w:rPr>
          <w:i/>
          <w:iCs/>
        </w:rPr>
        <w:t>Independent Audit of NOPSEMA’s Consideration of Exploration in the Great Australian Bight</w:t>
      </w:r>
      <w:r w:rsidR="00BF327D">
        <w:rPr>
          <w:i/>
          <w:iCs/>
        </w:rPr>
        <w:t xml:space="preserve"> </w:t>
      </w:r>
      <w:r w:rsidR="00BF327D" w:rsidRPr="002044FD">
        <w:t>(</w:t>
      </w:r>
      <w:r w:rsidR="002044FD" w:rsidRPr="002044FD">
        <w:t xml:space="preserve">the </w:t>
      </w:r>
      <w:r w:rsidR="00BF327D" w:rsidRPr="002044FD">
        <w:rPr>
          <w:b/>
          <w:bCs/>
        </w:rPr>
        <w:t xml:space="preserve">Independent Audit into </w:t>
      </w:r>
      <w:r w:rsidR="002044FD" w:rsidRPr="002044FD">
        <w:rPr>
          <w:b/>
          <w:bCs/>
        </w:rPr>
        <w:t>NOPSEMA</w:t>
      </w:r>
      <w:r w:rsidR="002044FD" w:rsidRPr="002044FD">
        <w:t>)</w:t>
      </w:r>
      <w:r w:rsidR="00B71E64" w:rsidRPr="00E43B04">
        <w:t xml:space="preserve">). For example, NOPSEMA outline various efforts to increase transparency in its </w:t>
      </w:r>
      <w:r w:rsidR="00B71E64" w:rsidRPr="008045D3">
        <w:rPr>
          <w:iCs/>
        </w:rPr>
        <w:t>2017 report on</w:t>
      </w:r>
      <w:r w:rsidR="00B71E64" w:rsidRPr="00E43B04">
        <w:rPr>
          <w:i/>
        </w:rPr>
        <w:t xml:space="preserve"> </w:t>
      </w:r>
      <w:r w:rsidR="00B71E64">
        <w:rPr>
          <w:i/>
        </w:rPr>
        <w:t>S</w:t>
      </w:r>
      <w:r w:rsidR="00B71E64" w:rsidRPr="00E43B04">
        <w:rPr>
          <w:i/>
        </w:rPr>
        <w:t>takeholder engagement and transparency work program</w:t>
      </w:r>
      <w:r w:rsidR="00C51A9F" w:rsidRPr="00C51A9F">
        <w:rPr>
          <w:rStyle w:val="FootnoteReference"/>
        </w:rPr>
        <w:footnoteReference w:id="39"/>
      </w:r>
      <w:r w:rsidR="00B71E64" w:rsidRPr="00E43B04">
        <w:t>.</w:t>
      </w:r>
      <w:r w:rsidR="00B71E64" w:rsidRPr="00C51A9F">
        <w:t xml:space="preserve"> </w:t>
      </w:r>
      <w:r w:rsidR="00B71E64" w:rsidRPr="00E43B04">
        <w:t xml:space="preserve">The work program was started in August 2015, with the key focus being improving community confidence in the offshore petroleum </w:t>
      </w:r>
      <w:r w:rsidR="00AB2625">
        <w:t>framework</w:t>
      </w:r>
      <w:r w:rsidR="00B71E64" w:rsidRPr="00E43B04">
        <w:t>. The majority of initiatives have been completed by NOPSEMA, including the establishment of the Transparency Taskforce.</w:t>
      </w:r>
    </w:p>
    <w:p w14:paraId="2571AC64" w14:textId="0517D5A8" w:rsidR="007C25E3" w:rsidRDefault="007C25E3" w:rsidP="008D69C2">
      <w:pPr>
        <w:pStyle w:val="Caption"/>
        <w:keepNext/>
      </w:pPr>
      <w:bookmarkStart w:id="101" w:name="_Ref58447695"/>
      <w:r>
        <w:t xml:space="preserve">Figure </w:t>
      </w:r>
      <w:r w:rsidR="00AD41F8">
        <w:fldChar w:fldCharType="begin"/>
      </w:r>
      <w:r w:rsidR="00AD41F8">
        <w:instrText xml:space="preserve"> STYLEREF 1 \s </w:instrText>
      </w:r>
      <w:r w:rsidR="00AD41F8">
        <w:fldChar w:fldCharType="separate"/>
      </w:r>
      <w:r w:rsidR="00E816B8">
        <w:rPr>
          <w:noProof/>
        </w:rPr>
        <w:t>9</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4</w:t>
      </w:r>
      <w:r w:rsidR="00AD41F8">
        <w:fldChar w:fldCharType="end"/>
      </w:r>
      <w:bookmarkEnd w:id="101"/>
      <w:r>
        <w:t xml:space="preserve">: Survey </w:t>
      </w:r>
      <w:r w:rsidRPr="00EB5A2D">
        <w:t>responses to NOPSEMA’s approach to stakeholder engagement</w:t>
      </w:r>
    </w:p>
    <w:p w14:paraId="1322E1A3" w14:textId="762417F7" w:rsidR="00E860D9" w:rsidRDefault="00E860D9" w:rsidP="00B71E64">
      <w:pPr>
        <w:spacing w:before="120" w:after="120" w:line="240" w:lineRule="auto"/>
        <w:rPr>
          <w:rFonts w:asciiTheme="majorHAnsi" w:hAnsiTheme="majorHAnsi" w:cs="OpenSansRegular"/>
        </w:rPr>
      </w:pPr>
      <w:r w:rsidRPr="00EB5A2D">
        <w:rPr>
          <w:rFonts w:asciiTheme="majorHAnsi" w:hAnsiTheme="majorHAnsi" w:cs="OpenSansRegular"/>
          <w:noProof/>
          <w:lang w:eastAsia="en-AU"/>
        </w:rPr>
        <w:drawing>
          <wp:inline distT="0" distB="0" distL="0" distR="0" wp14:anchorId="61B8454E" wp14:editId="4AD3FB72">
            <wp:extent cx="6259830" cy="3168000"/>
            <wp:effectExtent l="0" t="0" r="7620" b="13970"/>
            <wp:docPr id="92" name="Chart 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0B8D0D7-90B9-4DD0-83FA-55B19E09FC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E38D1A2" w14:textId="42FB3C3A" w:rsidR="00E860D9" w:rsidRPr="00901C7B" w:rsidRDefault="00E860D9" w:rsidP="00A067D9">
      <w:pPr>
        <w:pStyle w:val="Caption"/>
        <w:rPr>
          <w:b w:val="0"/>
          <w:bCs/>
          <w:i/>
          <w:iCs w:val="0"/>
          <w:color w:val="75787B" w:themeColor="accent6"/>
        </w:rPr>
      </w:pPr>
      <w:r w:rsidRPr="00901C7B">
        <w:rPr>
          <w:b w:val="0"/>
          <w:bCs/>
          <w:i/>
          <w:iCs w:val="0"/>
          <w:color w:val="75787B" w:themeColor="accent6"/>
        </w:rPr>
        <w:t>Source: Deloitte Stakeholder Survey, Deloitte analysis</w:t>
      </w:r>
    </w:p>
    <w:p w14:paraId="3D07D83E" w14:textId="77777777" w:rsidR="001722B9" w:rsidRPr="00763E82" w:rsidRDefault="001722B9" w:rsidP="00784E0E">
      <w:pPr>
        <w:pStyle w:val="Heading3"/>
      </w:pPr>
      <w:r w:rsidRPr="00763E82">
        <w:t>NOPSEMA</w:t>
      </w:r>
      <w:r>
        <w:t>’s</w:t>
      </w:r>
      <w:r w:rsidRPr="00763E82">
        <w:t xml:space="preserve"> communication</w:t>
      </w:r>
      <w:r>
        <w:t xml:space="preserve"> to stakeholders</w:t>
      </w:r>
    </w:p>
    <w:p w14:paraId="70FFA2A7" w14:textId="77777777" w:rsidR="001722B9" w:rsidRPr="004F17D7" w:rsidRDefault="001722B9" w:rsidP="00A067D9">
      <w:pPr>
        <w:pStyle w:val="Heading3NoNumber"/>
      </w:pPr>
      <w:r w:rsidRPr="004F17D7">
        <w:t>NOPSEMA’s Communications Strategy appropriately sets out communications priorities and messages and adopts a flexible, issues-based approach to communications and engagement</w:t>
      </w:r>
    </w:p>
    <w:p w14:paraId="1A0FE299" w14:textId="77777777" w:rsidR="001722B9" w:rsidRPr="004F17D7" w:rsidRDefault="001722B9" w:rsidP="00A067D9">
      <w:pPr>
        <w:pStyle w:val="BodyCopyNEW"/>
      </w:pPr>
      <w:r w:rsidRPr="004F17D7">
        <w:t>Based on our examination</w:t>
      </w:r>
      <w:r>
        <w:t>,</w:t>
      </w:r>
      <w:r w:rsidRPr="004F17D7">
        <w:t xml:space="preserve"> </w:t>
      </w:r>
      <w:r>
        <w:t>t</w:t>
      </w:r>
      <w:r w:rsidRPr="004F17D7">
        <w:t>he Communications Strategy</w:t>
      </w:r>
      <w:r>
        <w:t>:</w:t>
      </w:r>
    </w:p>
    <w:p w14:paraId="6E74B9DB" w14:textId="2F8C18F0" w:rsidR="001722B9" w:rsidRPr="00C92703" w:rsidRDefault="001722B9" w:rsidP="000C1F53">
      <w:pPr>
        <w:pStyle w:val="BodycopyNEW0"/>
        <w:numPr>
          <w:ilvl w:val="0"/>
          <w:numId w:val="23"/>
        </w:numPr>
        <w:ind w:left="378"/>
      </w:pPr>
      <w:r>
        <w:lastRenderedPageBreak/>
        <w:t>A</w:t>
      </w:r>
      <w:r w:rsidRPr="00C92703">
        <w:t xml:space="preserve">ppears </w:t>
      </w:r>
      <w:r w:rsidR="000D087E">
        <w:t>adequate for its</w:t>
      </w:r>
      <w:r w:rsidR="007579C0">
        <w:t xml:space="preserve"> intended</w:t>
      </w:r>
      <w:r w:rsidR="000D087E">
        <w:t xml:space="preserve"> purpose</w:t>
      </w:r>
      <w:r w:rsidR="000D087E" w:rsidRPr="00C92703">
        <w:t xml:space="preserve"> </w:t>
      </w:r>
      <w:r w:rsidRPr="00C92703">
        <w:t>and appropriately outlines a set of communications priorities and messages, with the aim of building consistency in external communications and engagements</w:t>
      </w:r>
    </w:p>
    <w:p w14:paraId="0F0B0232" w14:textId="0AC70573" w:rsidR="001722B9" w:rsidRPr="00C92703" w:rsidRDefault="001722B9" w:rsidP="000C1F53">
      <w:pPr>
        <w:pStyle w:val="BodycopyNEW0"/>
        <w:numPr>
          <w:ilvl w:val="0"/>
          <w:numId w:val="23"/>
        </w:numPr>
        <w:ind w:left="378"/>
      </w:pPr>
      <w:r w:rsidRPr="00C92703">
        <w:t xml:space="preserve">Appropriately adopts a flexible </w:t>
      </w:r>
      <w:r w:rsidR="00A31DF2">
        <w:t>‘framework’ for NOPSEMA’s</w:t>
      </w:r>
      <w:r w:rsidR="00A31DF2" w:rsidRPr="00C92703">
        <w:t xml:space="preserve"> </w:t>
      </w:r>
      <w:r w:rsidRPr="00C92703">
        <w:t>stakeholder engagement</w:t>
      </w:r>
      <w:r w:rsidR="00A31DF2">
        <w:t xml:space="preserve"> activities</w:t>
      </w:r>
      <w:r w:rsidRPr="00C92703">
        <w:t>, with issues-based, tailored Communications Plans being developed where required</w:t>
      </w:r>
      <w:r>
        <w:t xml:space="preserve">, reflecting </w:t>
      </w:r>
      <w:r w:rsidR="00C42AEF">
        <w:t xml:space="preserve">that </w:t>
      </w:r>
      <w:r>
        <w:t>communications needs are often situational</w:t>
      </w:r>
      <w:r w:rsidR="001A7360">
        <w:t>ly</w:t>
      </w:r>
      <w:r>
        <w:t xml:space="preserve"> dependent </w:t>
      </w:r>
      <w:r w:rsidR="001A7360">
        <w:t xml:space="preserve">to the issue at hand </w:t>
      </w:r>
    </w:p>
    <w:p w14:paraId="345FE08D" w14:textId="77777777" w:rsidR="001722B9" w:rsidRDefault="001722B9" w:rsidP="000C1F53">
      <w:pPr>
        <w:pStyle w:val="BodycopyNEW0"/>
        <w:numPr>
          <w:ilvl w:val="0"/>
          <w:numId w:val="23"/>
        </w:numPr>
        <w:ind w:left="378"/>
      </w:pPr>
      <w:r w:rsidRPr="00C92703">
        <w:t>Could consider further analysis of the efficacy of stakeholder engagement activities to help NOPSEMA select the most effective stakeholder engagement methods.</w:t>
      </w:r>
    </w:p>
    <w:p w14:paraId="6B52B815" w14:textId="5670339A" w:rsidR="00EC5F12" w:rsidRPr="00845696" w:rsidRDefault="006C1FFD" w:rsidP="00A067D9">
      <w:pPr>
        <w:pStyle w:val="BodyCopyNEW"/>
      </w:pPr>
      <w:r>
        <w:t xml:space="preserve">We understand the difficulty in anticipating where </w:t>
      </w:r>
      <w:r w:rsidR="00FC2116">
        <w:t xml:space="preserve">particular stakeholder </w:t>
      </w:r>
      <w:r w:rsidR="007579C0">
        <w:t xml:space="preserve">areas of contention </w:t>
      </w:r>
      <w:r w:rsidR="00BC7D62">
        <w:t>may arise</w:t>
      </w:r>
      <w:r w:rsidR="007579C0">
        <w:t xml:space="preserve"> – given the broad scope of stakeholder concerns and the large volume in </w:t>
      </w:r>
      <w:r w:rsidR="00CC762E">
        <w:t xml:space="preserve">offshore activity that </w:t>
      </w:r>
      <w:r w:rsidR="00E82B5F">
        <w:t>may result in stakeholder concerns</w:t>
      </w:r>
      <w:r w:rsidR="00BC7D62">
        <w:t xml:space="preserve">. </w:t>
      </w:r>
      <w:r w:rsidR="001A7360">
        <w:t>T</w:t>
      </w:r>
      <w:r w:rsidR="001A7360" w:rsidRPr="001A7360">
        <w:t>he volume and effort of engagements are not always correlated to the nature and scale of the actual risk of the related proposed offshore activity. This creates difficulty for NOPSEMA in planning for stakeholder engagement and communications</w:t>
      </w:r>
      <w:r w:rsidR="001A7360">
        <w:t xml:space="preserve">. </w:t>
      </w:r>
      <w:r w:rsidR="00BC7D62">
        <w:t xml:space="preserve">To help prepare for this, NOPSEMA may consider </w:t>
      </w:r>
      <w:r w:rsidR="00BD59B2">
        <w:t>utilising scenario-</w:t>
      </w:r>
      <w:r w:rsidR="00A06F85">
        <w:t xml:space="preserve">based </w:t>
      </w:r>
      <w:r w:rsidR="00FE09A5">
        <w:t xml:space="preserve">planning for different types of </w:t>
      </w:r>
      <w:r w:rsidR="000C78B2">
        <w:t xml:space="preserve">stakeholder engagement </w:t>
      </w:r>
      <w:r w:rsidR="00E448E7">
        <w:t>challenges</w:t>
      </w:r>
      <w:r w:rsidR="000C78B2">
        <w:t xml:space="preserve">. NOPSEMA </w:t>
      </w:r>
      <w:r w:rsidR="00ED7277">
        <w:t xml:space="preserve">could, for </w:t>
      </w:r>
      <w:r w:rsidR="008224CA">
        <w:t xml:space="preserve">example, develop </w:t>
      </w:r>
      <w:r w:rsidR="00A06F85">
        <w:t>a set of scenarios relating to frequent</w:t>
      </w:r>
      <w:r w:rsidR="00D740D0">
        <w:t xml:space="preserve">ly seen or high-impact </w:t>
      </w:r>
      <w:r w:rsidR="00F704B4">
        <w:t>issues</w:t>
      </w:r>
      <w:r w:rsidR="00A85DED">
        <w:t>. Applying lessons learned from previous engagement case studies would be of benefit as well</w:t>
      </w:r>
      <w:r w:rsidR="008224CA">
        <w:t xml:space="preserve">. Such an approach, while not </w:t>
      </w:r>
      <w:r w:rsidR="007D5507">
        <w:t>addre</w:t>
      </w:r>
      <w:r w:rsidR="002C69F8">
        <w:t xml:space="preserve">ssing the nuances of a given scenario, may help NOPSEMA identify early warning </w:t>
      </w:r>
      <w:r w:rsidR="004738DB">
        <w:t xml:space="preserve">indicators of </w:t>
      </w:r>
      <w:r w:rsidR="002C69F8">
        <w:t xml:space="preserve">were </w:t>
      </w:r>
      <w:r w:rsidR="004738DB">
        <w:t xml:space="preserve">an activity </w:t>
      </w:r>
      <w:r w:rsidR="001563AB">
        <w:t>proposed m</w:t>
      </w:r>
      <w:r w:rsidR="000E1BF3">
        <w:t>ay be ‘higher risk’ from a stakeholder engagement perspective.</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9F2CF9" w:rsidRPr="00DA0585" w14:paraId="7FB76E14" w14:textId="77777777" w:rsidTr="00EC5F12">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680"/>
          </w:tcPr>
          <w:p w14:paraId="0495BE6F" w14:textId="6912D62C" w:rsidR="009F2CF9" w:rsidRPr="00A470B1" w:rsidRDefault="009F2CF9" w:rsidP="00053250">
            <w:pPr>
              <w:pStyle w:val="TableHeadingLeft"/>
              <w:rPr>
                <w:bCs/>
              </w:rPr>
            </w:pPr>
            <w:r w:rsidRPr="00A470B1">
              <w:rPr>
                <w:bCs/>
              </w:rPr>
              <w:t>Recommendation #</w:t>
            </w:r>
            <w:r w:rsidR="005E06AF">
              <w:rPr>
                <w:bCs/>
              </w:rPr>
              <w:t>18</w:t>
            </w:r>
          </w:p>
        </w:tc>
      </w:tr>
      <w:tr w:rsidR="00DA0585" w:rsidRPr="00DA0585" w14:paraId="15A1E74E" w14:textId="77777777" w:rsidTr="00EC5F12">
        <w:tc>
          <w:tcPr>
            <w:tcW w:w="5000" w:type="pct"/>
            <w:tcBorders>
              <w:bottom w:val="nil"/>
            </w:tcBorders>
            <w:shd w:val="clear" w:color="auto" w:fill="F2F2F2" w:themeFill="background1" w:themeFillShade="F2"/>
          </w:tcPr>
          <w:p w14:paraId="3B06F997" w14:textId="7AC49FAC" w:rsidR="00691F60" w:rsidRPr="00DA0585" w:rsidRDefault="00691F60" w:rsidP="00691F60">
            <w:pPr>
              <w:pStyle w:val="BodyCopyNEW"/>
            </w:pPr>
            <w:r w:rsidRPr="00DA0585">
              <w:rPr>
                <w:szCs w:val="18"/>
              </w:rPr>
              <w:t>NOPSEMA should take a more strategic and proactive approach to stakeholder engagement. This may be achieved through the application of scenario-based planning to common ‘high risk’ stakeholder engagement issues. Emphasis should be placed on identifying the ‘early warning indicators’ of at-risk situations to enable NOPSEMA to more proactively address emergent stakeholder engagement issues.</w:t>
            </w:r>
          </w:p>
        </w:tc>
      </w:tr>
    </w:tbl>
    <w:p w14:paraId="6A9D4BF6" w14:textId="310D980B" w:rsidR="00AC37FD" w:rsidRDefault="001722B9" w:rsidP="00BB2AC0">
      <w:pPr>
        <w:pStyle w:val="BodyCopyNEW"/>
        <w:spacing w:before="120"/>
      </w:pPr>
      <w:r w:rsidRPr="007A30CA">
        <w:t>NOPSEMA’s stakeholders</w:t>
      </w:r>
      <w:r w:rsidR="00C42AEF">
        <w:t xml:space="preserve">, both industry and </w:t>
      </w:r>
      <w:r w:rsidR="00831A4B">
        <w:t>non-industry</w:t>
      </w:r>
      <w:r w:rsidR="00C42AEF">
        <w:t>,</w:t>
      </w:r>
      <w:r w:rsidRPr="007A30CA">
        <w:t xml:space="preserve"> are concerned with what they perceive as a relatively high proportion of stakeholder engagement </w:t>
      </w:r>
      <w:r>
        <w:t>effort</w:t>
      </w:r>
      <w:r w:rsidRPr="007A30CA">
        <w:t xml:space="preserve"> with other stakeholder segments</w:t>
      </w:r>
      <w:r>
        <w:t>, and vice versa</w:t>
      </w:r>
      <w:r w:rsidRPr="007A30CA">
        <w:t xml:space="preserve">. That is, there is concern from some stakeholders that </w:t>
      </w:r>
      <w:r w:rsidR="00327ACB">
        <w:t>NOPSEMA is</w:t>
      </w:r>
      <w:r w:rsidRPr="007A30CA">
        <w:t xml:space="preserve"> not </w:t>
      </w:r>
      <w:r w:rsidR="00E82B5F">
        <w:t xml:space="preserve">sufficiently </w:t>
      </w:r>
      <w:r w:rsidRPr="007A30CA">
        <w:t xml:space="preserve">balanced in </w:t>
      </w:r>
      <w:r w:rsidR="000A3FDF">
        <w:t xml:space="preserve">the effort </w:t>
      </w:r>
      <w:r w:rsidR="00E82B5F">
        <w:t xml:space="preserve">it </w:t>
      </w:r>
      <w:r w:rsidR="000A3FDF">
        <w:t>applie</w:t>
      </w:r>
      <w:r w:rsidR="00E82B5F">
        <w:t>s</w:t>
      </w:r>
      <w:r w:rsidR="000A3FDF">
        <w:t xml:space="preserve"> to its</w:t>
      </w:r>
      <w:r w:rsidR="000A3FDF" w:rsidRPr="007A30CA">
        <w:t xml:space="preserve"> </w:t>
      </w:r>
      <w:r w:rsidRPr="007A30CA">
        <w:t xml:space="preserve">engagements across stakeholder segments </w:t>
      </w:r>
      <w:r w:rsidR="00E82B5F">
        <w:t>by focusing</w:t>
      </w:r>
      <w:r w:rsidRPr="007A30CA">
        <w:t xml:space="preserve"> on ‘the loudest voices, rather than the biggest issues’.</w:t>
      </w:r>
      <w:r>
        <w:t xml:space="preserve"> </w:t>
      </w:r>
      <w:r w:rsidR="00017201">
        <w:t>The effect is a perception that NOPSEMA’s engagements a</w:t>
      </w:r>
      <w:r w:rsidR="00A33D30">
        <w:t>re disproportionate by segment.</w:t>
      </w:r>
    </w:p>
    <w:p w14:paraId="5D365764" w14:textId="4F9BDACB" w:rsidR="001722B9" w:rsidRDefault="00A33D30" w:rsidP="00901C7B">
      <w:pPr>
        <w:pStyle w:val="BodyCopyNEW"/>
        <w:spacing w:before="120"/>
      </w:pPr>
      <w:r>
        <w:t xml:space="preserve">Clearer communication of </w:t>
      </w:r>
      <w:r w:rsidR="004916C5">
        <w:t xml:space="preserve">NOPSEMA’s </w:t>
      </w:r>
      <w:r w:rsidR="006F74EA">
        <w:t xml:space="preserve">engagement activities, as we have presented them here, would be helpful for clarifying where and how NOPSEMA engages </w:t>
      </w:r>
      <w:r w:rsidR="006049B8">
        <w:t xml:space="preserve">with its ecosystem </w:t>
      </w:r>
      <w:r w:rsidR="006F74EA">
        <w:t xml:space="preserve">– and provide confidence that </w:t>
      </w:r>
      <w:r w:rsidR="00327ACB">
        <w:t>NOPSEMA is</w:t>
      </w:r>
      <w:r w:rsidR="006F74EA">
        <w:t xml:space="preserve"> listening to the full </w:t>
      </w:r>
      <w:r w:rsidR="00EF2CCA">
        <w:t>ambit of stakeholders.</w:t>
      </w:r>
      <w:r w:rsidR="00831A4B">
        <w:t xml:space="preserve"> A quarterly snapshot of stakeholder engagement activities undertaken or reporting on stakeholder consultation activities through the website and outside of </w:t>
      </w:r>
      <w:r w:rsidR="00C95681">
        <w:t xml:space="preserve">its </w:t>
      </w:r>
      <w:r w:rsidR="00831A4B">
        <w:t xml:space="preserve">annual report may be helpful. </w:t>
      </w:r>
      <w:r w:rsidR="00EF2CCA">
        <w:t xml:space="preserve">NOPSEMA needs to be purposeful in its </w:t>
      </w:r>
      <w:r w:rsidR="00900BFB">
        <w:t xml:space="preserve">engagements to </w:t>
      </w:r>
      <w:r w:rsidR="001722B9" w:rsidRPr="007A30CA">
        <w:t xml:space="preserve">ensure a balanced application of </w:t>
      </w:r>
      <w:r w:rsidR="00900BFB">
        <w:t>its finite resourcing</w:t>
      </w:r>
      <w:r w:rsidR="001722B9">
        <w:t>.</w:t>
      </w:r>
      <w:r w:rsidR="00A12645">
        <w:t xml:space="preserve"> </w:t>
      </w:r>
      <w:r w:rsidR="00844191">
        <w:t>T</w:t>
      </w:r>
      <w:r w:rsidR="00A12645">
        <w:t>his also help</w:t>
      </w:r>
      <w:r w:rsidR="00844191">
        <w:t>s</w:t>
      </w:r>
      <w:r w:rsidR="00A12645">
        <w:t xml:space="preserve"> improve trust and confidence in NOPSEMA.</w:t>
      </w:r>
      <w:r w:rsidR="00AA3BA4">
        <w:t xml:space="preserve"> Furthermore, NOPSEMA could consider </w:t>
      </w:r>
      <w:r w:rsidR="00967971">
        <w:t xml:space="preserve">engaging with stakeholders on what </w:t>
      </w:r>
      <w:r w:rsidR="006A56E7">
        <w:t xml:space="preserve">stakeholder engagement mechanisms </w:t>
      </w:r>
      <w:r w:rsidR="00EF560A">
        <w:t>best work for them.</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7F702C" w:rsidRPr="00DA0585" w14:paraId="50273D8E" w14:textId="77777777" w:rsidTr="00EC5F12">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007680"/>
          </w:tcPr>
          <w:p w14:paraId="4B7E87A9" w14:textId="24CB25A8" w:rsidR="007F702C" w:rsidRPr="00A470B1" w:rsidRDefault="007F702C" w:rsidP="00053250">
            <w:pPr>
              <w:pStyle w:val="TableHeadingLeft"/>
              <w:rPr>
                <w:bCs/>
              </w:rPr>
            </w:pPr>
            <w:r w:rsidRPr="00A470B1">
              <w:rPr>
                <w:bCs/>
              </w:rPr>
              <w:t>Recommendation #</w:t>
            </w:r>
            <w:r w:rsidR="005E06AF">
              <w:rPr>
                <w:bCs/>
              </w:rPr>
              <w:t>19</w:t>
            </w:r>
          </w:p>
        </w:tc>
      </w:tr>
      <w:tr w:rsidR="00DA0585" w:rsidRPr="00DA0585" w14:paraId="6F6F5E38" w14:textId="77777777" w:rsidTr="00EC5F12">
        <w:tc>
          <w:tcPr>
            <w:tcW w:w="5000" w:type="pct"/>
            <w:tcBorders>
              <w:bottom w:val="nil"/>
            </w:tcBorders>
            <w:shd w:val="clear" w:color="auto" w:fill="F2F2F2" w:themeFill="background1" w:themeFillShade="F2"/>
          </w:tcPr>
          <w:p w14:paraId="0C713E4A" w14:textId="7FB42580" w:rsidR="00691F60" w:rsidRPr="00DA0585" w:rsidRDefault="00691F60" w:rsidP="00691F60">
            <w:pPr>
              <w:pStyle w:val="BodyCopyNEW"/>
            </w:pPr>
            <w:r w:rsidRPr="00DA0585">
              <w:rPr>
                <w:szCs w:val="18"/>
              </w:rPr>
              <w:t xml:space="preserve">NOPSEMA should more actively promote the stakeholder engagement activities it undertakes and investigate the publication of reporting (for instance through its website, </w:t>
            </w:r>
            <w:r w:rsidRPr="00DA0585">
              <w:rPr>
                <w:i/>
                <w:szCs w:val="18"/>
              </w:rPr>
              <w:t>The Regulator</w:t>
            </w:r>
            <w:r w:rsidRPr="00DA0585">
              <w:rPr>
                <w:szCs w:val="18"/>
              </w:rPr>
              <w:t xml:space="preserve"> magazine, or other means) of stakeholder engagement activities it has undertaken and how stakeholders can engage with them. This may take the form of a quarterly snapshot of stakeholder engagement activities undertaken.</w:t>
            </w:r>
          </w:p>
        </w:tc>
      </w:tr>
    </w:tbl>
    <w:p w14:paraId="08C36CD3" w14:textId="77777777" w:rsidR="001722B9" w:rsidRPr="00CD5EF8" w:rsidRDefault="001722B9" w:rsidP="00A067D9">
      <w:pPr>
        <w:pStyle w:val="Heading3NoNumber"/>
      </w:pPr>
      <w:r>
        <w:t>St</w:t>
      </w:r>
      <w:r w:rsidRPr="00CD5EF8">
        <w:t>akeholders tend to be satisfied with NOPSEMA’s communications</w:t>
      </w:r>
    </w:p>
    <w:p w14:paraId="121DDE85" w14:textId="3D0DC740" w:rsidR="00062D31" w:rsidRPr="008D69C2" w:rsidRDefault="001722B9" w:rsidP="008D69C2">
      <w:pPr>
        <w:pStyle w:val="BodyCopyNEW"/>
      </w:pPr>
      <w:r w:rsidRPr="00565ABE">
        <w:t xml:space="preserve">NOPSEMA communications are generally positively viewed by stakeholders </w:t>
      </w:r>
      <w:r w:rsidRPr="00981B45">
        <w:t>(se</w:t>
      </w:r>
      <w:r w:rsidR="00EB6FD2">
        <w:t xml:space="preserve">e </w:t>
      </w:r>
      <w:r w:rsidR="00EB6FD2" w:rsidRPr="00EB6FD2">
        <w:rPr>
          <w:b/>
          <w:bCs/>
        </w:rPr>
        <w:fldChar w:fldCharType="begin"/>
      </w:r>
      <w:r w:rsidR="00EB6FD2" w:rsidRPr="00EB6FD2">
        <w:rPr>
          <w:b/>
          <w:bCs/>
        </w:rPr>
        <w:instrText xml:space="preserve"> REF _Ref63972144 \h </w:instrText>
      </w:r>
      <w:r w:rsidR="00EB6FD2">
        <w:rPr>
          <w:b/>
          <w:bCs/>
        </w:rPr>
        <w:instrText xml:space="preserve"> \* MERGEFORMAT </w:instrText>
      </w:r>
      <w:r w:rsidR="00EB6FD2" w:rsidRPr="00EB6FD2">
        <w:rPr>
          <w:b/>
          <w:bCs/>
        </w:rPr>
      </w:r>
      <w:r w:rsidR="00EB6FD2" w:rsidRPr="00EB6FD2">
        <w:rPr>
          <w:b/>
          <w:bCs/>
        </w:rPr>
        <w:fldChar w:fldCharType="separate"/>
      </w:r>
      <w:r w:rsidR="00E816B8" w:rsidRPr="00E816B8">
        <w:rPr>
          <w:b/>
          <w:bCs/>
        </w:rPr>
        <w:t xml:space="preserve">Figure </w:t>
      </w:r>
      <w:r w:rsidR="00E816B8" w:rsidRPr="00E816B8">
        <w:rPr>
          <w:b/>
          <w:bCs/>
          <w:noProof/>
        </w:rPr>
        <w:t>9.5</w:t>
      </w:r>
      <w:r w:rsidR="00EB6FD2" w:rsidRPr="00EB6FD2">
        <w:rPr>
          <w:b/>
          <w:bCs/>
        </w:rPr>
        <w:fldChar w:fldCharType="end"/>
      </w:r>
      <w:r w:rsidR="00EB6FD2">
        <w:t>)</w:t>
      </w:r>
      <w:r w:rsidRPr="00565ABE">
        <w:t xml:space="preserve">, although clarity of communications is seen as an area of potential improvement </w:t>
      </w:r>
      <w:r>
        <w:t xml:space="preserve">by stakeholders </w:t>
      </w:r>
      <w:r w:rsidRPr="00565ABE">
        <w:t xml:space="preserve">(only 58% of </w:t>
      </w:r>
      <w:r>
        <w:t xml:space="preserve">our </w:t>
      </w:r>
      <w:r w:rsidRPr="00565ABE">
        <w:t>survey</w:t>
      </w:r>
      <w:r>
        <w:t>’s</w:t>
      </w:r>
      <w:r w:rsidRPr="00565ABE">
        <w:t xml:space="preserve"> participants selected ‘agree’ or ‘strongly agree’ to this item).</w:t>
      </w:r>
      <w:bookmarkStart w:id="102" w:name="_Ref58448023"/>
    </w:p>
    <w:p w14:paraId="7C577CF5" w14:textId="2C159A38" w:rsidR="00062D31" w:rsidRPr="00062D31" w:rsidRDefault="00062D31" w:rsidP="008D69C2">
      <w:pPr>
        <w:pStyle w:val="Caption"/>
        <w:keepNext/>
      </w:pPr>
      <w:bookmarkStart w:id="103" w:name="_Ref63972144"/>
      <w:r>
        <w:lastRenderedPageBreak/>
        <w:t xml:space="preserve">Figure </w:t>
      </w:r>
      <w:r w:rsidR="00AD41F8">
        <w:fldChar w:fldCharType="begin"/>
      </w:r>
      <w:r w:rsidR="00AD41F8">
        <w:instrText xml:space="preserve"> STYLEREF 1 \s </w:instrText>
      </w:r>
      <w:r w:rsidR="00AD41F8">
        <w:fldChar w:fldCharType="separate"/>
      </w:r>
      <w:r w:rsidR="00E816B8">
        <w:rPr>
          <w:noProof/>
        </w:rPr>
        <w:t>9</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5</w:t>
      </w:r>
      <w:r w:rsidR="00AD41F8">
        <w:fldChar w:fldCharType="end"/>
      </w:r>
      <w:bookmarkEnd w:id="102"/>
      <w:bookmarkEnd w:id="103"/>
      <w:r>
        <w:t>: Survey response to NOPSEMA’s communications</w:t>
      </w:r>
    </w:p>
    <w:p w14:paraId="3D8EDDAE" w14:textId="77777777" w:rsidR="001722B9" w:rsidRDefault="001722B9" w:rsidP="001722B9">
      <w:pPr>
        <w:spacing w:after="120" w:line="240" w:lineRule="auto"/>
        <w:rPr>
          <w:rFonts w:asciiTheme="majorHAnsi" w:hAnsiTheme="majorHAnsi" w:cs="OpenSansRegular"/>
        </w:rPr>
      </w:pPr>
      <w:r w:rsidRPr="003A5511">
        <w:rPr>
          <w:rFonts w:asciiTheme="majorHAnsi" w:hAnsiTheme="majorHAnsi" w:cs="OpenSansRegular"/>
          <w:noProof/>
          <w:lang w:eastAsia="en-AU"/>
        </w:rPr>
        <w:drawing>
          <wp:inline distT="0" distB="0" distL="0" distR="0" wp14:anchorId="7076253D" wp14:editId="2D42BAC5">
            <wp:extent cx="6238875" cy="2941607"/>
            <wp:effectExtent l="0" t="0" r="9525" b="11430"/>
            <wp:docPr id="90" name="Chart 9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350930B-A5A6-4AE8-9656-AA0588758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CDB3467" w14:textId="77777777" w:rsidR="001722B9" w:rsidRPr="00BC60E9" w:rsidRDefault="001722B9" w:rsidP="00A067D9">
      <w:pPr>
        <w:pStyle w:val="Caption"/>
        <w:rPr>
          <w:b w:val="0"/>
          <w:bCs/>
          <w:i/>
          <w:iCs w:val="0"/>
          <w:color w:val="75787B" w:themeColor="accent6"/>
        </w:rPr>
      </w:pPr>
      <w:r w:rsidRPr="00BC60E9">
        <w:rPr>
          <w:b w:val="0"/>
          <w:bCs/>
          <w:i/>
          <w:iCs w:val="0"/>
          <w:color w:val="75787B" w:themeColor="accent6"/>
        </w:rPr>
        <w:t>Source: Deloitte Stakeholder Survey, Deloitte analysis</w:t>
      </w:r>
    </w:p>
    <w:p w14:paraId="183B9DBF" w14:textId="5E6F3DE3" w:rsidR="00B71E64" w:rsidRPr="007B7214" w:rsidRDefault="00B71E64" w:rsidP="00784E0E">
      <w:pPr>
        <w:pStyle w:val="Heading3"/>
      </w:pPr>
      <w:bookmarkStart w:id="104" w:name="_Ref55993350"/>
      <w:r w:rsidRPr="007B7214">
        <w:t>Improving trust and confidence in NOPSEMA</w:t>
      </w:r>
      <w:bookmarkEnd w:id="104"/>
    </w:p>
    <w:p w14:paraId="276C5940" w14:textId="658F40D6" w:rsidR="00B71E64" w:rsidRPr="00764AC7" w:rsidRDefault="00B71E64" w:rsidP="00A067D9">
      <w:pPr>
        <w:pStyle w:val="Heading3NoNumber"/>
      </w:pPr>
      <w:r>
        <w:t>Stakeholder trust in NOPSEMA is low</w:t>
      </w:r>
      <w:r w:rsidR="0052346A">
        <w:t xml:space="preserve"> with some stakeholders</w:t>
      </w:r>
    </w:p>
    <w:p w14:paraId="02A8B1B6" w14:textId="5FB039D5" w:rsidR="00B71E64" w:rsidRDefault="00B71E64" w:rsidP="00A067D9">
      <w:pPr>
        <w:pStyle w:val="BodyCopyNEW"/>
      </w:pPr>
      <w:r w:rsidRPr="00764AC7">
        <w:t xml:space="preserve">During our external stakeholder consultations, we heard from a number of stakeholders that trust in NOPSEMA, its independence, and transparency </w:t>
      </w:r>
      <w:r>
        <w:t>is</w:t>
      </w:r>
      <w:r w:rsidRPr="00764AC7">
        <w:t xml:space="preserve"> </w:t>
      </w:r>
      <w:r>
        <w:t>low</w:t>
      </w:r>
      <w:r w:rsidR="002D1F2D">
        <w:t xml:space="preserve"> – in spite of NOPSEMA’s efforts to </w:t>
      </w:r>
      <w:r w:rsidR="001B465D">
        <w:t>increase trust and confidence in them as a regulator</w:t>
      </w:r>
      <w:r w:rsidRPr="00764AC7">
        <w:t xml:space="preserve">. </w:t>
      </w:r>
      <w:r>
        <w:t xml:space="preserve">Trust </w:t>
      </w:r>
      <w:r w:rsidR="0004112D">
        <w:t>and confidence</w:t>
      </w:r>
      <w:r>
        <w:t xml:space="preserve"> in NOPSEMA is a critical element sustaining its licence to regulate. </w:t>
      </w:r>
      <w:r w:rsidR="00520D94" w:rsidRPr="00520D94">
        <w:rPr>
          <w:b/>
          <w:bCs/>
          <w:highlight w:val="yellow"/>
        </w:rPr>
        <w:fldChar w:fldCharType="begin"/>
      </w:r>
      <w:r w:rsidR="00520D94" w:rsidRPr="00520D94">
        <w:rPr>
          <w:b/>
          <w:bCs/>
        </w:rPr>
        <w:instrText xml:space="preserve"> REF _Ref58447867 \h </w:instrText>
      </w:r>
      <w:r w:rsidR="00520D94" w:rsidRPr="00520D94">
        <w:rPr>
          <w:b/>
          <w:bCs/>
          <w:highlight w:val="yellow"/>
        </w:rPr>
        <w:instrText xml:space="preserve"> \* MERGEFORMAT </w:instrText>
      </w:r>
      <w:r w:rsidR="00520D94" w:rsidRPr="00520D94">
        <w:rPr>
          <w:b/>
          <w:bCs/>
          <w:highlight w:val="yellow"/>
        </w:rPr>
      </w:r>
      <w:r w:rsidR="00520D94" w:rsidRPr="00520D94">
        <w:rPr>
          <w:b/>
          <w:bCs/>
          <w:highlight w:val="yellow"/>
        </w:rPr>
        <w:fldChar w:fldCharType="separate"/>
      </w:r>
      <w:r w:rsidR="00E816B8" w:rsidRPr="00E816B8">
        <w:rPr>
          <w:b/>
          <w:bCs/>
        </w:rPr>
        <w:t xml:space="preserve">Table </w:t>
      </w:r>
      <w:r w:rsidR="00E816B8" w:rsidRPr="00E816B8">
        <w:rPr>
          <w:b/>
          <w:bCs/>
          <w:noProof/>
        </w:rPr>
        <w:t>9.2</w:t>
      </w:r>
      <w:r w:rsidR="00520D94" w:rsidRPr="00520D94">
        <w:rPr>
          <w:b/>
          <w:bCs/>
          <w:highlight w:val="yellow"/>
        </w:rPr>
        <w:fldChar w:fldCharType="end"/>
      </w:r>
      <w:r w:rsidR="00520D94">
        <w:rPr>
          <w:b/>
          <w:bCs/>
        </w:rPr>
        <w:t xml:space="preserve"> </w:t>
      </w:r>
      <w:r w:rsidRPr="00764AC7">
        <w:t xml:space="preserve">outlines </w:t>
      </w:r>
      <w:r>
        <w:t>a number of</w:t>
      </w:r>
      <w:r w:rsidRPr="00764AC7">
        <w:t xml:space="preserve"> </w:t>
      </w:r>
      <w:r>
        <w:t>potential</w:t>
      </w:r>
      <w:r w:rsidRPr="00764AC7">
        <w:t xml:space="preserve"> barriers to building trust</w:t>
      </w:r>
      <w:r>
        <w:t xml:space="preserve"> we have identified</w:t>
      </w:r>
      <w:r w:rsidRPr="00764AC7">
        <w:t>.</w:t>
      </w:r>
      <w:r>
        <w:t xml:space="preserve"> In addition to the factors noted below, it is worth highlighting that the diverse and often starkly competing needs of NOPSEMA’s stakeholders can mean that NOPSEMA’s decision-making can adversely impact the interests of one or more stakeholders. </w:t>
      </w:r>
    </w:p>
    <w:p w14:paraId="158F94BC" w14:textId="43C425F4" w:rsidR="00B71E64" w:rsidRPr="000775A8" w:rsidRDefault="000775A8" w:rsidP="008D69C2">
      <w:pPr>
        <w:pStyle w:val="Caption"/>
        <w:keepNext/>
      </w:pPr>
      <w:bookmarkStart w:id="105" w:name="_Ref58447867"/>
      <w:r>
        <w:t xml:space="preserve">Table </w:t>
      </w:r>
      <w:r w:rsidR="00F8476B">
        <w:fldChar w:fldCharType="begin"/>
      </w:r>
      <w:r w:rsidR="00F8476B">
        <w:instrText xml:space="preserve"> STYLEREF 1 \s </w:instrText>
      </w:r>
      <w:r w:rsidR="00F8476B">
        <w:fldChar w:fldCharType="separate"/>
      </w:r>
      <w:r w:rsidR="00E816B8">
        <w:rPr>
          <w:noProof/>
        </w:rPr>
        <w:t>9</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2</w:t>
      </w:r>
      <w:r w:rsidR="00F8476B">
        <w:fldChar w:fldCharType="end"/>
      </w:r>
      <w:bookmarkEnd w:id="105"/>
      <w:r>
        <w:t>: Potential barriers to trust and confidence in NOPSEMA</w:t>
      </w:r>
    </w:p>
    <w:tbl>
      <w:tblPr>
        <w:tblStyle w:val="ListTable3-Accent3"/>
        <w:tblW w:w="9918"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2025"/>
        <w:gridCol w:w="7893"/>
      </w:tblGrid>
      <w:tr w:rsidR="00B71E64" w14:paraId="22BEEC68" w14:textId="77777777" w:rsidTr="00A067D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25" w:type="dxa"/>
            <w:tcBorders>
              <w:top w:val="single" w:sz="8" w:space="0" w:color="007680"/>
              <w:bottom w:val="single" w:sz="8" w:space="0" w:color="007680"/>
            </w:tcBorders>
            <w:shd w:val="clear" w:color="auto" w:fill="auto"/>
          </w:tcPr>
          <w:p w14:paraId="19EF8DAD" w14:textId="77777777" w:rsidR="00B71E64" w:rsidRPr="00A067D9" w:rsidRDefault="00B71E64" w:rsidP="00A067D9">
            <w:pPr>
              <w:pStyle w:val="Tableheader"/>
              <w:rPr>
                <w:b/>
                <w:bCs/>
              </w:rPr>
            </w:pPr>
            <w:r w:rsidRPr="00A067D9">
              <w:rPr>
                <w:b/>
                <w:bCs/>
              </w:rPr>
              <w:t>Potential barrier</w:t>
            </w:r>
          </w:p>
        </w:tc>
        <w:tc>
          <w:tcPr>
            <w:tcW w:w="7893" w:type="dxa"/>
            <w:tcBorders>
              <w:top w:val="single" w:sz="8" w:space="0" w:color="007680"/>
              <w:bottom w:val="single" w:sz="8" w:space="0" w:color="007680"/>
            </w:tcBorders>
            <w:shd w:val="clear" w:color="auto" w:fill="auto"/>
          </w:tcPr>
          <w:p w14:paraId="161AF1E7" w14:textId="77777777" w:rsidR="00B71E64" w:rsidRPr="00A067D9" w:rsidRDefault="00B71E64" w:rsidP="00A067D9">
            <w:pPr>
              <w:pStyle w:val="Tableheader"/>
              <w:cnfStyle w:val="100000000000" w:firstRow="1" w:lastRow="0" w:firstColumn="0" w:lastColumn="0" w:oddVBand="0" w:evenVBand="0" w:oddHBand="0" w:evenHBand="0" w:firstRowFirstColumn="0" w:firstRowLastColumn="0" w:lastRowFirstColumn="0" w:lastRowLastColumn="0"/>
              <w:rPr>
                <w:b/>
                <w:bCs/>
              </w:rPr>
            </w:pPr>
            <w:r w:rsidRPr="00A067D9">
              <w:rPr>
                <w:b/>
                <w:bCs/>
              </w:rPr>
              <w:t>Discussion</w:t>
            </w:r>
          </w:p>
        </w:tc>
      </w:tr>
      <w:tr w:rsidR="00B71E64" w14:paraId="4A689ACE" w14:textId="77777777" w:rsidTr="00A0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Borders>
              <w:top w:val="single" w:sz="8" w:space="0" w:color="007680"/>
              <w:bottom w:val="single" w:sz="4" w:space="0" w:color="BFBFBF" w:themeColor="background1" w:themeShade="BF"/>
            </w:tcBorders>
          </w:tcPr>
          <w:p w14:paraId="1180222F" w14:textId="7E11EBC0" w:rsidR="00B71E64" w:rsidRDefault="00B71E64" w:rsidP="00A067D9">
            <w:pPr>
              <w:pStyle w:val="BodyCopyNEW"/>
            </w:pPr>
            <w:r>
              <w:t>NOPSEMA’s decision-making process</w:t>
            </w:r>
          </w:p>
        </w:tc>
        <w:tc>
          <w:tcPr>
            <w:tcW w:w="7893" w:type="dxa"/>
            <w:tcBorders>
              <w:top w:val="single" w:sz="8" w:space="0" w:color="007680"/>
              <w:bottom w:val="single" w:sz="4" w:space="0" w:color="BFBFBF" w:themeColor="background1" w:themeShade="BF"/>
            </w:tcBorders>
          </w:tcPr>
          <w:p w14:paraId="7BAC14BA" w14:textId="77777777" w:rsidR="00B71E64" w:rsidRDefault="00B71E64" w:rsidP="00A067D9">
            <w:pPr>
              <w:pStyle w:val="BodyCopyNEW"/>
              <w:cnfStyle w:val="000000100000" w:firstRow="0" w:lastRow="0" w:firstColumn="0" w:lastColumn="0" w:oddVBand="0" w:evenVBand="0" w:oddHBand="1" w:evenHBand="0" w:firstRowFirstColumn="0" w:firstRowLastColumn="0" w:lastRowFirstColumn="0" w:lastRowLastColumn="0"/>
            </w:pPr>
            <w:r w:rsidRPr="00764AC7">
              <w:t xml:space="preserve">Consistency, transparency and justifiability </w:t>
            </w:r>
            <w:r>
              <w:t>of</w:t>
            </w:r>
            <w:r w:rsidRPr="00764AC7">
              <w:t xml:space="preserve"> decisions are a foundation of building trust in NOPSEMA. </w:t>
            </w:r>
            <w:r>
              <w:t>O</w:t>
            </w:r>
            <w:r w:rsidRPr="00764AC7">
              <w:t>nly 41% of respondents to our survey ‘agree</w:t>
            </w:r>
            <w:r>
              <w:t>d</w:t>
            </w:r>
            <w:r w:rsidRPr="00764AC7">
              <w:t>’ or ‘strongly agree</w:t>
            </w:r>
            <w:r>
              <w:t>d</w:t>
            </w:r>
            <w:r w:rsidRPr="00764AC7">
              <w:t xml:space="preserve">’ that NOPSEMA’s decision-making is transparent and justifiable. </w:t>
            </w:r>
          </w:p>
          <w:p w14:paraId="13A4117E" w14:textId="77777777" w:rsidR="00B71E64" w:rsidRDefault="00B71E64" w:rsidP="00A067D9">
            <w:pPr>
              <w:pStyle w:val="BodyCopyNEW"/>
              <w:cnfStyle w:val="000000100000" w:firstRow="0" w:lastRow="0" w:firstColumn="0" w:lastColumn="0" w:oddVBand="0" w:evenVBand="0" w:oddHBand="1" w:evenHBand="0" w:firstRowFirstColumn="0" w:firstRowLastColumn="0" w:lastRowFirstColumn="0" w:lastRowLastColumn="0"/>
            </w:pPr>
            <w:r w:rsidRPr="00764AC7">
              <w:t xml:space="preserve">Furthermore, the consistency of NOPSEMA’s decisions </w:t>
            </w:r>
            <w:r>
              <w:t>was</w:t>
            </w:r>
            <w:r w:rsidRPr="00764AC7">
              <w:t xml:space="preserve"> raised by stakeholders as an area of concern. </w:t>
            </w:r>
          </w:p>
          <w:p w14:paraId="183FD43C" w14:textId="71CE6943" w:rsidR="00B71E64" w:rsidRDefault="00BE6501" w:rsidP="00A067D9">
            <w:pPr>
              <w:pStyle w:val="BodyCopyNEW"/>
              <w:cnfStyle w:val="000000100000" w:firstRow="0" w:lastRow="0" w:firstColumn="0" w:lastColumn="0" w:oddVBand="0" w:evenVBand="0" w:oddHBand="1" w:evenHBand="0" w:firstRowFirstColumn="0" w:firstRowLastColumn="0" w:lastRowFirstColumn="0" w:lastRowLastColumn="0"/>
            </w:pPr>
            <w:r>
              <w:t>NOPSEMA has undertaken considerable</w:t>
            </w:r>
            <w:r w:rsidR="00B71E64" w:rsidRPr="00764AC7">
              <w:t xml:space="preserve"> efforts to build trust in its decision-making. For instance</w:t>
            </w:r>
            <w:r w:rsidR="00635E23">
              <w:t>,</w:t>
            </w:r>
            <w:r w:rsidR="00610436">
              <w:t xml:space="preserve"> and in reference to EPs</w:t>
            </w:r>
            <w:r w:rsidR="00B71E64" w:rsidRPr="00764AC7">
              <w:t>, NOPSEMA</w:t>
            </w:r>
            <w:r w:rsidR="00B71E64">
              <w:t>:</w:t>
            </w:r>
          </w:p>
          <w:p w14:paraId="63BDC3E2" w14:textId="4048CB1C" w:rsidR="00B71E64"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t>Is</w:t>
            </w:r>
            <w:r w:rsidRPr="00764AC7">
              <w:t xml:space="preserve"> required to publish a Statements of Reason alongside </w:t>
            </w:r>
            <w:r w:rsidR="008D0230">
              <w:t>EP</w:t>
            </w:r>
            <w:r w:rsidRPr="00764AC7">
              <w:t xml:space="preserve"> decisions</w:t>
            </w:r>
          </w:p>
          <w:p w14:paraId="021096E3" w14:textId="5FD12BF6" w:rsidR="00B71E64" w:rsidRPr="008D69C2"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t>Has</w:t>
            </w:r>
            <w:r w:rsidRPr="00764AC7">
              <w:t xml:space="preserve"> recently adopted the practice of publishing a </w:t>
            </w:r>
            <w:r w:rsidRPr="00944C4E">
              <w:rPr>
                <w:i/>
                <w:iCs/>
              </w:rPr>
              <w:t>Key Matters Report</w:t>
            </w:r>
            <w:r w:rsidRPr="00764AC7">
              <w:t xml:space="preserve"> for particularly sensitive environmental assessments</w:t>
            </w:r>
            <w:r>
              <w:t xml:space="preserve">. The </w:t>
            </w:r>
            <w:r w:rsidRPr="0081223A">
              <w:rPr>
                <w:i/>
              </w:rPr>
              <w:t>Key Matters Report</w:t>
            </w:r>
            <w:r w:rsidRPr="00764AC7">
              <w:t xml:space="preserve"> explains how </w:t>
            </w:r>
            <w:r>
              <w:t xml:space="preserve">the </w:t>
            </w:r>
            <w:r w:rsidR="00EA06AF">
              <w:t>title</w:t>
            </w:r>
            <w:r w:rsidR="001003B9">
              <w:t>holder</w:t>
            </w:r>
            <w:r>
              <w:t xml:space="preserve"> and NOPSEMA</w:t>
            </w:r>
            <w:r w:rsidRPr="00764AC7">
              <w:t xml:space="preserve"> assessment </w:t>
            </w:r>
            <w:r>
              <w:t xml:space="preserve">process has </w:t>
            </w:r>
            <w:r w:rsidRPr="008D69C2">
              <w:t>factored in stakeholder feedback</w:t>
            </w:r>
          </w:p>
          <w:p w14:paraId="51793783" w14:textId="7FBBD5F0" w:rsidR="00B71E64" w:rsidRPr="008D69C2" w:rsidRDefault="00B71E64"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rsidRPr="008D69C2">
              <w:t xml:space="preserve">Has various mechanisms on its website to engage with stakeholders (e.g. the “Have Your Say” section of the </w:t>
            </w:r>
            <w:r w:rsidR="00B05FF1" w:rsidRPr="008D69C2">
              <w:t>NOPSEMA</w:t>
            </w:r>
            <w:r w:rsidRPr="008D69C2">
              <w:t xml:space="preserve"> website).</w:t>
            </w:r>
          </w:p>
          <w:p w14:paraId="32538D83" w14:textId="485A09BC" w:rsidR="00B71E64" w:rsidRPr="00573984" w:rsidRDefault="00B71E64" w:rsidP="00A067D9">
            <w:pPr>
              <w:pStyle w:val="BodyCopyNEW"/>
              <w:cnfStyle w:val="000000100000" w:firstRow="0" w:lastRow="0" w:firstColumn="0" w:lastColumn="0" w:oddVBand="0" w:evenVBand="0" w:oddHBand="1" w:evenHBand="0" w:firstRowFirstColumn="0" w:firstRowLastColumn="0" w:lastRowFirstColumn="0" w:lastRowLastColumn="0"/>
              <w:rPr>
                <w:color w:val="FF0000"/>
              </w:rPr>
            </w:pPr>
            <w:r w:rsidRPr="008D69C2">
              <w:t xml:space="preserve">The measures undertaken by </w:t>
            </w:r>
            <w:r w:rsidR="00327ACB" w:rsidRPr="008D69C2">
              <w:t>NOPSEMA is</w:t>
            </w:r>
            <w:r w:rsidRPr="008D69C2">
              <w:t xml:space="preserve"> consistent with </w:t>
            </w:r>
            <w:r w:rsidR="001313B1" w:rsidRPr="008D69C2">
              <w:t xml:space="preserve">those </w:t>
            </w:r>
            <w:r w:rsidR="00B935C1" w:rsidRPr="008D69C2">
              <w:t>of a</w:t>
            </w:r>
            <w:r w:rsidRPr="008D69C2">
              <w:t xml:space="preserve"> transparent regulator.</w:t>
            </w:r>
            <w:r w:rsidR="00B935C1" w:rsidRPr="008D69C2">
              <w:t xml:space="preserve"> </w:t>
            </w:r>
            <w:r w:rsidR="001313B1" w:rsidRPr="008D69C2">
              <w:t>A</w:t>
            </w:r>
            <w:r w:rsidRPr="008D69C2">
              <w:t xml:space="preserve">n improvement area is actively providing visibility over decision-making rationale to stakeholders – this needs to be communicated more clearly. </w:t>
            </w:r>
          </w:p>
        </w:tc>
      </w:tr>
      <w:tr w:rsidR="00B71E64" w14:paraId="7CF27056" w14:textId="77777777" w:rsidTr="00A067D9">
        <w:tc>
          <w:tcPr>
            <w:cnfStyle w:val="001000000000" w:firstRow="0" w:lastRow="0" w:firstColumn="1" w:lastColumn="0" w:oddVBand="0" w:evenVBand="0" w:oddHBand="0" w:evenHBand="0" w:firstRowFirstColumn="0" w:firstRowLastColumn="0" w:lastRowFirstColumn="0" w:lastRowLastColumn="0"/>
            <w:tcW w:w="2025" w:type="dxa"/>
            <w:tcBorders>
              <w:top w:val="single" w:sz="4" w:space="0" w:color="BFBFBF" w:themeColor="background1" w:themeShade="BF"/>
              <w:bottom w:val="single" w:sz="4" w:space="0" w:color="BFBFBF" w:themeColor="background1" w:themeShade="BF"/>
            </w:tcBorders>
          </w:tcPr>
          <w:p w14:paraId="2A079DDD" w14:textId="77777777" w:rsidR="00B71E64" w:rsidRPr="00573984" w:rsidRDefault="00B71E64" w:rsidP="00A067D9">
            <w:pPr>
              <w:pStyle w:val="BodyCopyNEW"/>
            </w:pPr>
            <w:r w:rsidRPr="00573984">
              <w:lastRenderedPageBreak/>
              <w:t xml:space="preserve">Perceived prioritisation of </w:t>
            </w:r>
            <w:r>
              <w:t>petroleum</w:t>
            </w:r>
            <w:r w:rsidRPr="00573984">
              <w:t xml:space="preserve"> activities</w:t>
            </w:r>
            <w:r>
              <w:t xml:space="preserve"> by NOPSEMA</w:t>
            </w:r>
          </w:p>
        </w:tc>
        <w:tc>
          <w:tcPr>
            <w:tcW w:w="7893" w:type="dxa"/>
            <w:tcBorders>
              <w:top w:val="single" w:sz="4" w:space="0" w:color="BFBFBF" w:themeColor="background1" w:themeShade="BF"/>
              <w:bottom w:val="single" w:sz="4" w:space="0" w:color="BFBFBF" w:themeColor="background1" w:themeShade="BF"/>
            </w:tcBorders>
          </w:tcPr>
          <w:p w14:paraId="013FF6A3" w14:textId="77777777" w:rsidR="00B71E64" w:rsidRDefault="00B71E64" w:rsidP="00A067D9">
            <w:pPr>
              <w:pStyle w:val="BodyCopyNEW"/>
              <w:cnfStyle w:val="000000000000" w:firstRow="0" w:lastRow="0" w:firstColumn="0" w:lastColumn="0" w:oddVBand="0" w:evenVBand="0" w:oddHBand="0" w:evenHBand="0" w:firstRowFirstColumn="0" w:firstRowLastColumn="0" w:lastRowFirstColumn="0" w:lastRowLastColumn="0"/>
            </w:pPr>
            <w:r w:rsidRPr="00764AC7">
              <w:t xml:space="preserve">Several stakeholders </w:t>
            </w:r>
            <w:r>
              <w:t>commented</w:t>
            </w:r>
            <w:r w:rsidRPr="00764AC7">
              <w:t xml:space="preserve"> there is the appearance of NOPSEMA prioritising </w:t>
            </w:r>
            <w:r>
              <w:t>petroleum</w:t>
            </w:r>
            <w:r w:rsidRPr="00764AC7">
              <w:t xml:space="preserve"> activities over competing users of the marine estate, contributing to a lack of trust in NOPSEMA </w:t>
            </w:r>
            <w:r>
              <w:t>by</w:t>
            </w:r>
            <w:r w:rsidRPr="00764AC7">
              <w:t xml:space="preserve"> these groups. </w:t>
            </w:r>
          </w:p>
          <w:p w14:paraId="0DE58C68" w14:textId="7009F7E2" w:rsidR="00B71E64" w:rsidRDefault="00B71E64" w:rsidP="00A067D9">
            <w:pPr>
              <w:pStyle w:val="BodyCopyNEW"/>
              <w:cnfStyle w:val="000000000000" w:firstRow="0" w:lastRow="0" w:firstColumn="0" w:lastColumn="0" w:oddVBand="0" w:evenVBand="0" w:oddHBand="0" w:evenHBand="0" w:firstRowFirstColumn="0" w:firstRowLastColumn="0" w:lastRowFirstColumn="0" w:lastRowLastColumn="0"/>
            </w:pPr>
            <w:r w:rsidRPr="00764AC7">
              <w:t>We observe</w:t>
            </w:r>
            <w:r>
              <w:t>d</w:t>
            </w:r>
            <w:r w:rsidRPr="00764AC7" w:rsidDel="00802670">
              <w:t xml:space="preserve"> </w:t>
            </w:r>
            <w:r w:rsidRPr="00764AC7">
              <w:t xml:space="preserve">NOPSEMA communications with </w:t>
            </w:r>
            <w:r w:rsidR="00EA06AF">
              <w:t>title</w:t>
            </w:r>
            <w:r w:rsidR="001003B9">
              <w:t>holder</w:t>
            </w:r>
            <w:r>
              <w:t>s</w:t>
            </w:r>
            <w:r w:rsidRPr="00764AC7">
              <w:t xml:space="preserve"> during </w:t>
            </w:r>
            <w:r>
              <w:t xml:space="preserve">an </w:t>
            </w:r>
            <w:r w:rsidRPr="00764AC7">
              <w:t xml:space="preserve">assessment process can have the appearance </w:t>
            </w:r>
            <w:r>
              <w:t xml:space="preserve">(to other affected stakeholders) </w:t>
            </w:r>
            <w:r w:rsidRPr="00764AC7">
              <w:t xml:space="preserve">of </w:t>
            </w:r>
            <w:r>
              <w:t>a compromise to NOPSEMA’s</w:t>
            </w:r>
            <w:r w:rsidRPr="00764AC7">
              <w:t xml:space="preserve"> independence</w:t>
            </w:r>
            <w:r>
              <w:t>, regardless of whether there is an actual independence issue</w:t>
            </w:r>
            <w:r w:rsidRPr="00764AC7">
              <w:t xml:space="preserve">. </w:t>
            </w:r>
            <w:r>
              <w:t xml:space="preserve">Based on the </w:t>
            </w:r>
            <w:r w:rsidR="006057B4">
              <w:t xml:space="preserve">information </w:t>
            </w:r>
            <w:r>
              <w:t>we have examined</w:t>
            </w:r>
            <w:r w:rsidR="00E70798">
              <w:t>,</w:t>
            </w:r>
            <w:r>
              <w:t xml:space="preserve"> we </w:t>
            </w:r>
            <w:r w:rsidR="00E70798">
              <w:t xml:space="preserve">found nothing to </w:t>
            </w:r>
            <w:r w:rsidR="002C7705">
              <w:t>support any</w:t>
            </w:r>
            <w:r>
              <w:t xml:space="preserve"> specific </w:t>
            </w:r>
            <w:r w:rsidR="00CF4558">
              <w:t>issues re</w:t>
            </w:r>
            <w:r>
              <w:t xml:space="preserve"> NOPSEMA’s independence. W</w:t>
            </w:r>
            <w:r w:rsidRPr="00764AC7">
              <w:t xml:space="preserve">e encourage NOPSEMA to </w:t>
            </w:r>
            <w:r>
              <w:t>further communicate</w:t>
            </w:r>
            <w:r w:rsidRPr="00764AC7">
              <w:t xml:space="preserve"> its independence controls for assessment processes</w:t>
            </w:r>
            <w:r>
              <w:t xml:space="preserve"> to stakeholders</w:t>
            </w:r>
            <w:r w:rsidRPr="00764AC7">
              <w:t>.</w:t>
            </w:r>
            <w:r>
              <w:t xml:space="preserve"> </w:t>
            </w:r>
          </w:p>
          <w:p w14:paraId="3A48264F" w14:textId="17D8CA58" w:rsidR="00B71E64" w:rsidRDefault="00B71E64" w:rsidP="00A067D9">
            <w:pPr>
              <w:pStyle w:val="BodyCopyNEW"/>
              <w:cnfStyle w:val="000000000000" w:firstRow="0" w:lastRow="0" w:firstColumn="0" w:lastColumn="0" w:oddVBand="0" w:evenVBand="0" w:oddHBand="0" w:evenHBand="0" w:firstRowFirstColumn="0" w:firstRowLastColumn="0" w:lastRowFirstColumn="0" w:lastRowLastColumn="0"/>
            </w:pPr>
            <w:r>
              <w:t xml:space="preserve">There is also a role for government to clarify how competing needs for multiple users of the marine estate are considered (see </w:t>
            </w:r>
            <w:r w:rsidRPr="006E1BBC">
              <w:rPr>
                <w:b/>
              </w:rPr>
              <w:t xml:space="preserve">recommendation </w:t>
            </w:r>
            <w:r w:rsidR="00C8768D" w:rsidRPr="006E1BBC">
              <w:rPr>
                <w:b/>
              </w:rPr>
              <w:t>#</w:t>
            </w:r>
            <w:r w:rsidR="00F81770">
              <w:rPr>
                <w:b/>
              </w:rPr>
              <w:t>20</w:t>
            </w:r>
            <w:r w:rsidR="005671F6" w:rsidRPr="005671F6">
              <w:t xml:space="preserve"> </w:t>
            </w:r>
            <w:r>
              <w:t>below).</w:t>
            </w:r>
          </w:p>
        </w:tc>
      </w:tr>
      <w:tr w:rsidR="00B71E64" w14:paraId="04736A7A" w14:textId="77777777" w:rsidTr="00A06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5" w:type="dxa"/>
            <w:tcBorders>
              <w:top w:val="single" w:sz="4" w:space="0" w:color="BFBFBF" w:themeColor="background1" w:themeShade="BF"/>
              <w:bottom w:val="single" w:sz="4" w:space="0" w:color="BFBFBF" w:themeColor="background1" w:themeShade="BF"/>
            </w:tcBorders>
          </w:tcPr>
          <w:p w14:paraId="7BCC8E45" w14:textId="77777777" w:rsidR="00B71E64" w:rsidRDefault="00B71E64" w:rsidP="00A067D9">
            <w:pPr>
              <w:pStyle w:val="BodyCopyNEW"/>
            </w:pPr>
            <w:r>
              <w:t>Misunderstanding of NOPSEMA’s role</w:t>
            </w:r>
          </w:p>
        </w:tc>
        <w:tc>
          <w:tcPr>
            <w:tcW w:w="7893" w:type="dxa"/>
            <w:tcBorders>
              <w:top w:val="single" w:sz="4" w:space="0" w:color="BFBFBF" w:themeColor="background1" w:themeShade="BF"/>
              <w:bottom w:val="single" w:sz="4" w:space="0" w:color="BFBFBF" w:themeColor="background1" w:themeShade="BF"/>
            </w:tcBorders>
          </w:tcPr>
          <w:p w14:paraId="6C51428F" w14:textId="5F05A074" w:rsidR="00B71E64" w:rsidRDefault="00B71E64" w:rsidP="00A067D9">
            <w:pPr>
              <w:pStyle w:val="BodyCopyNEW"/>
              <w:cnfStyle w:val="000000100000" w:firstRow="0" w:lastRow="0" w:firstColumn="0" w:lastColumn="0" w:oddVBand="0" w:evenVBand="0" w:oddHBand="1" w:evenHBand="0" w:firstRowFirstColumn="0" w:firstRowLastColumn="0" w:lastRowFirstColumn="0" w:lastRowLastColumn="0"/>
            </w:pPr>
            <w:r>
              <w:t xml:space="preserve">As discussed in </w:t>
            </w:r>
            <w:r>
              <w:rPr>
                <w:b/>
                <w:bCs/>
              </w:rPr>
              <w:t>S</w:t>
            </w:r>
            <w:r w:rsidRPr="00944C4E">
              <w:rPr>
                <w:b/>
                <w:bCs/>
              </w:rPr>
              <w:t xml:space="preserve">ection </w:t>
            </w:r>
            <w:r w:rsidR="00593CA6">
              <w:rPr>
                <w:b/>
                <w:bCs/>
              </w:rPr>
              <w:fldChar w:fldCharType="begin"/>
            </w:r>
            <w:r w:rsidR="00593CA6">
              <w:rPr>
                <w:b/>
                <w:bCs/>
              </w:rPr>
              <w:instrText xml:space="preserve"> REF _Ref55988234 \r \h </w:instrText>
            </w:r>
            <w:r w:rsidR="00A067D9">
              <w:rPr>
                <w:b/>
                <w:bCs/>
              </w:rPr>
              <w:instrText xml:space="preserve"> \* MERGEFORMAT </w:instrText>
            </w:r>
            <w:r w:rsidR="00593CA6">
              <w:rPr>
                <w:b/>
                <w:bCs/>
              </w:rPr>
            </w:r>
            <w:r w:rsidR="00593CA6">
              <w:rPr>
                <w:b/>
                <w:bCs/>
              </w:rPr>
              <w:fldChar w:fldCharType="separate"/>
            </w:r>
            <w:r w:rsidR="00E816B8">
              <w:rPr>
                <w:b/>
                <w:bCs/>
              </w:rPr>
              <w:t>5</w:t>
            </w:r>
            <w:r w:rsidR="00593CA6">
              <w:rPr>
                <w:b/>
                <w:bCs/>
              </w:rPr>
              <w:fldChar w:fldCharType="end"/>
            </w:r>
            <w:r>
              <w:t>, d</w:t>
            </w:r>
            <w:r w:rsidRPr="00764AC7">
              <w:t xml:space="preserve">ata from our stakeholder survey supports our </w:t>
            </w:r>
            <w:r w:rsidR="007917A5">
              <w:t>observation</w:t>
            </w:r>
            <w:r w:rsidR="007917A5" w:rsidRPr="00764AC7">
              <w:t xml:space="preserve"> </w:t>
            </w:r>
            <w:r w:rsidRPr="00764AC7">
              <w:t xml:space="preserve">that NOPSEMA’s role as </w:t>
            </w:r>
            <w:r w:rsidR="005801B0">
              <w:t>the</w:t>
            </w:r>
            <w:r w:rsidR="005801B0" w:rsidRPr="00764AC7">
              <w:t xml:space="preserve"> </w:t>
            </w:r>
            <w:r w:rsidRPr="00764AC7">
              <w:t xml:space="preserve">independent regulator </w:t>
            </w:r>
            <w:r w:rsidR="005801B0">
              <w:t xml:space="preserve">for the offshore legislative framework </w:t>
            </w:r>
            <w:r w:rsidRPr="00764AC7">
              <w:t>is not well understood by many stakeholders. The consequence of having a misunderstood role is that NOPSEMA</w:t>
            </w:r>
            <w:r>
              <w:t xml:space="preserve"> is expected to act in a manner by these stakeholders that are contrary to its legislative functions</w:t>
            </w:r>
            <w:r w:rsidRPr="00764AC7">
              <w:t xml:space="preserve">. The NOPSEMA Communications Strategy has clear messages around NOPSEMA’s role as a regulator, however, it is clear that further </w:t>
            </w:r>
            <w:r>
              <w:t xml:space="preserve">stakeholder </w:t>
            </w:r>
            <w:r w:rsidRPr="00764AC7">
              <w:t xml:space="preserve">education </w:t>
            </w:r>
            <w:r>
              <w:t xml:space="preserve">is required (see </w:t>
            </w:r>
            <w:r w:rsidRPr="002370AF">
              <w:rPr>
                <w:b/>
              </w:rPr>
              <w:t xml:space="preserve">recommendation </w:t>
            </w:r>
            <w:r w:rsidR="00C8768D" w:rsidRPr="002370AF">
              <w:rPr>
                <w:b/>
              </w:rPr>
              <w:t>#</w:t>
            </w:r>
            <w:r w:rsidR="005671F6" w:rsidRPr="005671F6">
              <w:rPr>
                <w:b/>
                <w:bCs/>
              </w:rPr>
              <w:t>1</w:t>
            </w:r>
            <w:r>
              <w:t>).</w:t>
            </w:r>
          </w:p>
        </w:tc>
      </w:tr>
      <w:tr w:rsidR="00B71E64" w14:paraId="3FD5CDF3" w14:textId="77777777" w:rsidTr="00A067D9">
        <w:tc>
          <w:tcPr>
            <w:cnfStyle w:val="001000000000" w:firstRow="0" w:lastRow="0" w:firstColumn="1" w:lastColumn="0" w:oddVBand="0" w:evenVBand="0" w:oddHBand="0" w:evenHBand="0" w:firstRowFirstColumn="0" w:firstRowLastColumn="0" w:lastRowFirstColumn="0" w:lastRowLastColumn="0"/>
            <w:tcW w:w="2025" w:type="dxa"/>
            <w:tcBorders>
              <w:top w:val="single" w:sz="4" w:space="0" w:color="BFBFBF" w:themeColor="background1" w:themeShade="BF"/>
              <w:bottom w:val="single" w:sz="4" w:space="0" w:color="BFBFBF" w:themeColor="background1" w:themeShade="BF"/>
            </w:tcBorders>
          </w:tcPr>
          <w:p w14:paraId="5AC88DFB" w14:textId="77777777" w:rsidR="00B71E64" w:rsidRDefault="00B71E64" w:rsidP="00A067D9">
            <w:pPr>
              <w:pStyle w:val="BodyCopyNEW"/>
            </w:pPr>
            <w:r>
              <w:t>NOPSEMA’s engagement constraints due to maintaining procedural fairness</w:t>
            </w:r>
          </w:p>
        </w:tc>
        <w:tc>
          <w:tcPr>
            <w:tcW w:w="7893" w:type="dxa"/>
            <w:tcBorders>
              <w:top w:val="single" w:sz="4" w:space="0" w:color="BFBFBF" w:themeColor="background1" w:themeShade="BF"/>
              <w:bottom w:val="single" w:sz="4" w:space="0" w:color="BFBFBF" w:themeColor="background1" w:themeShade="BF"/>
            </w:tcBorders>
          </w:tcPr>
          <w:p w14:paraId="3874B333" w14:textId="77777777" w:rsidR="00593CA6" w:rsidRDefault="00B71E64" w:rsidP="00A067D9">
            <w:pPr>
              <w:pStyle w:val="BodyCopyNEW"/>
              <w:cnfStyle w:val="000000000000" w:firstRow="0" w:lastRow="0" w:firstColumn="0" w:lastColumn="0" w:oddVBand="0" w:evenVBand="0" w:oddHBand="0" w:evenHBand="0" w:firstRowFirstColumn="0" w:firstRowLastColumn="0" w:lastRowFirstColumn="0" w:lastRowLastColumn="0"/>
            </w:pPr>
            <w:r>
              <w:t xml:space="preserve">The following discussion primarily relates to </w:t>
            </w:r>
            <w:r w:rsidR="00593CA6">
              <w:t>EP</w:t>
            </w:r>
            <w:r>
              <w:t xml:space="preserve"> assessment processes. </w:t>
            </w:r>
          </w:p>
          <w:p w14:paraId="5AFBB0D8" w14:textId="6F5239D2" w:rsidR="00B71E64" w:rsidRDefault="00B71E64" w:rsidP="00A067D9">
            <w:pPr>
              <w:pStyle w:val="BodyCopyNEW"/>
              <w:cnfStyle w:val="000000000000" w:firstRow="0" w:lastRow="0" w:firstColumn="0" w:lastColumn="0" w:oddVBand="0" w:evenVBand="0" w:oddHBand="0" w:evenHBand="0" w:firstRowFirstColumn="0" w:firstRowLastColumn="0" w:lastRowFirstColumn="0" w:lastRowLastColumn="0"/>
            </w:pPr>
            <w:r w:rsidRPr="00764AC7">
              <w:t xml:space="preserve">NOPSEMA </w:t>
            </w:r>
            <w:r>
              <w:t>is,</w:t>
            </w:r>
            <w:r w:rsidRPr="00764AC7">
              <w:t xml:space="preserve"> in many cases</w:t>
            </w:r>
            <w:r>
              <w:t>,</w:t>
            </w:r>
            <w:r w:rsidRPr="00764AC7">
              <w:t xml:space="preserve"> constrained from early engagement with </w:t>
            </w:r>
            <w:r w:rsidR="00140021">
              <w:t>‘</w:t>
            </w:r>
            <w:r w:rsidR="00593CA6">
              <w:t xml:space="preserve">relevant </w:t>
            </w:r>
            <w:r w:rsidR="00140021">
              <w:t xml:space="preserve">persons’ </w:t>
            </w:r>
            <w:r w:rsidR="00E067CD">
              <w:t xml:space="preserve">(i.e. affected </w:t>
            </w:r>
            <w:r w:rsidRPr="00764AC7">
              <w:t>stakeholder groups</w:t>
            </w:r>
            <w:r w:rsidR="00E067CD">
              <w:t>)</w:t>
            </w:r>
            <w:r w:rsidRPr="00764AC7">
              <w:t xml:space="preserve"> on regulatory matters to </w:t>
            </w:r>
            <w:r w:rsidR="00E067CD">
              <w:t>ensure</w:t>
            </w:r>
            <w:r w:rsidRPr="00764AC7">
              <w:t xml:space="preserve"> procedural fairness </w:t>
            </w:r>
            <w:r w:rsidR="00E067CD">
              <w:t>over</w:t>
            </w:r>
            <w:r w:rsidRPr="00764AC7">
              <w:t xml:space="preserve"> permissioning </w:t>
            </w:r>
            <w:r w:rsidR="00E067CD">
              <w:t>assessment processes</w:t>
            </w:r>
            <w:r w:rsidRPr="00764AC7">
              <w:t xml:space="preserve"> </w:t>
            </w:r>
            <w:r w:rsidR="00E067CD">
              <w:t>is observed</w:t>
            </w:r>
            <w:r w:rsidRPr="00764AC7">
              <w:t xml:space="preserve">. </w:t>
            </w:r>
            <w:r w:rsidR="00223656">
              <w:t>That is, it is important for NOPSEMA not to be seen as being ‘biased’ for or against a particular application before a titleholder has submitted the application.</w:t>
            </w:r>
          </w:p>
          <w:p w14:paraId="04BC466F" w14:textId="0C387766" w:rsidR="00B71E64" w:rsidRDefault="00B71E64" w:rsidP="00A067D9">
            <w:pPr>
              <w:pStyle w:val="BodyCopyNEW"/>
              <w:cnfStyle w:val="000000000000" w:firstRow="0" w:lastRow="0" w:firstColumn="0" w:lastColumn="0" w:oddVBand="0" w:evenVBand="0" w:oddHBand="0" w:evenHBand="0" w:firstRowFirstColumn="0" w:firstRowLastColumn="0" w:lastRowFirstColumn="0" w:lastRowLastColumn="0"/>
            </w:pPr>
            <w:r w:rsidRPr="00764AC7">
              <w:t>In practice</w:t>
            </w:r>
            <w:r>
              <w:t>,</w:t>
            </w:r>
            <w:r w:rsidRPr="00764AC7">
              <w:t xml:space="preserve"> this means stakeholders may approach NOPSEMA about an </w:t>
            </w:r>
            <w:r w:rsidR="00E067CD">
              <w:t>EP</w:t>
            </w:r>
            <w:r w:rsidRPr="00764AC7">
              <w:t xml:space="preserve"> being developed by a </w:t>
            </w:r>
            <w:r w:rsidR="00DD0130">
              <w:t>title</w:t>
            </w:r>
            <w:r w:rsidR="001003B9">
              <w:t>holder</w:t>
            </w:r>
            <w:r w:rsidR="00E067CD">
              <w:t xml:space="preserve"> and</w:t>
            </w:r>
            <w:r w:rsidRPr="00764AC7">
              <w:t xml:space="preserve"> NOPSEMA, to maintain independence, </w:t>
            </w:r>
            <w:r>
              <w:t>is</w:t>
            </w:r>
            <w:r w:rsidRPr="00764AC7">
              <w:t xml:space="preserve"> limited </w:t>
            </w:r>
            <w:r>
              <w:t xml:space="preserve">to </w:t>
            </w:r>
            <w:r w:rsidRPr="00764AC7">
              <w:t xml:space="preserve">the </w:t>
            </w:r>
            <w:r>
              <w:t xml:space="preserve">extent </w:t>
            </w:r>
            <w:r w:rsidRPr="00764AC7">
              <w:t xml:space="preserve">of engagement they can have with </w:t>
            </w:r>
            <w:r w:rsidR="00073AA1">
              <w:t xml:space="preserve">the </w:t>
            </w:r>
            <w:r w:rsidRPr="00764AC7">
              <w:t xml:space="preserve">stakeholder at this time. NOPSEMA would, in this instance, direct the stakeholder to engage with the </w:t>
            </w:r>
            <w:r w:rsidR="00245A3E">
              <w:t>title</w:t>
            </w:r>
            <w:r w:rsidR="001003B9">
              <w:t>holder</w:t>
            </w:r>
            <w:r w:rsidRPr="00764AC7">
              <w:t xml:space="preserve"> in question</w:t>
            </w:r>
            <w:r w:rsidR="00245A3E">
              <w:t xml:space="preserve"> </w:t>
            </w:r>
            <w:r w:rsidR="00140021">
              <w:t xml:space="preserve">to address the risk as part of its </w:t>
            </w:r>
            <w:r w:rsidR="00DD0479">
              <w:t xml:space="preserve">risk mitigation strategies and controls to be captured in the </w:t>
            </w:r>
            <w:r w:rsidR="002B6990">
              <w:t>EP. NOPSEMA would then, upon receipt of the EP, ensure the stakeholder who had approached them</w:t>
            </w:r>
            <w:r w:rsidR="00422DE4">
              <w:t>, had been consulted by the titleholder and that an appropriate risk mitigation was in proposed to address the risks raised.</w:t>
            </w:r>
            <w:r>
              <w:t xml:space="preserve"> </w:t>
            </w:r>
            <w:r w:rsidR="00422DE4">
              <w:t>The result is a perception from the stakeholder that</w:t>
            </w:r>
            <w:r>
              <w:t xml:space="preserve"> </w:t>
            </w:r>
            <w:r w:rsidRPr="00764AC7">
              <w:t xml:space="preserve">NOPSEMA </w:t>
            </w:r>
            <w:r w:rsidR="00422DE4">
              <w:t xml:space="preserve">has not </w:t>
            </w:r>
            <w:r w:rsidR="005801B0">
              <w:t xml:space="preserve">considered their </w:t>
            </w:r>
            <w:r w:rsidR="002C7705">
              <w:t>input or</w:t>
            </w:r>
            <w:r w:rsidR="005801B0">
              <w:t xml:space="preserve"> </w:t>
            </w:r>
            <w:r w:rsidR="00422DE4">
              <w:t>is</w:t>
            </w:r>
            <w:r w:rsidR="00422DE4" w:rsidRPr="00764AC7">
              <w:t xml:space="preserve"> </w:t>
            </w:r>
            <w:r w:rsidRPr="00764AC7">
              <w:t>dismissive</w:t>
            </w:r>
            <w:r>
              <w:t xml:space="preserve"> </w:t>
            </w:r>
            <w:r w:rsidR="005801B0">
              <w:t xml:space="preserve">and </w:t>
            </w:r>
            <w:r>
              <w:t xml:space="preserve">passive </w:t>
            </w:r>
            <w:r w:rsidR="005801B0">
              <w:t>in its regulatory approach</w:t>
            </w:r>
            <w:r>
              <w:t>.</w:t>
            </w:r>
          </w:p>
          <w:p w14:paraId="45E6BC62" w14:textId="55BA00D3" w:rsidR="00B71E64" w:rsidRPr="00764AC7" w:rsidRDefault="00B71E64" w:rsidP="00A067D9">
            <w:pPr>
              <w:pStyle w:val="BodyCopyNEW"/>
              <w:cnfStyle w:val="000000000000" w:firstRow="0" w:lastRow="0" w:firstColumn="0" w:lastColumn="0" w:oddVBand="0" w:evenVBand="0" w:oddHBand="0" w:evenHBand="0" w:firstRowFirstColumn="0" w:firstRowLastColumn="0" w:lastRowFirstColumn="0" w:lastRowLastColumn="0"/>
            </w:pPr>
            <w:r>
              <w:t xml:space="preserve">NOPSEMA </w:t>
            </w:r>
            <w:r w:rsidR="001937A5">
              <w:t xml:space="preserve">should </w:t>
            </w:r>
            <w:r>
              <w:t xml:space="preserve">continue to ensure procedural fairness for </w:t>
            </w:r>
            <w:r w:rsidR="00140021">
              <w:t>title</w:t>
            </w:r>
            <w:r w:rsidR="001003B9">
              <w:t>holder</w:t>
            </w:r>
            <w:r>
              <w:t xml:space="preserve">s and should communicate to stakeholders </w:t>
            </w:r>
            <w:r w:rsidR="00073AA1">
              <w:t>where</w:t>
            </w:r>
            <w:r>
              <w:t xml:space="preserve"> it is constrained in its ability to engage or provide comment in these circumstances. </w:t>
            </w:r>
          </w:p>
        </w:tc>
      </w:tr>
    </w:tbl>
    <w:p w14:paraId="4A262C84" w14:textId="7950ECDC" w:rsidR="00A9554B" w:rsidRPr="00F81770" w:rsidRDefault="00F81770" w:rsidP="00F81770">
      <w:pPr>
        <w:pStyle w:val="Caption"/>
        <w:rPr>
          <w:b w:val="0"/>
          <w:i/>
          <w:color w:val="75787B" w:themeColor="accent6"/>
        </w:rPr>
      </w:pPr>
      <w:r w:rsidRPr="00F81770">
        <w:rPr>
          <w:b w:val="0"/>
          <w:bCs/>
          <w:i/>
          <w:iCs w:val="0"/>
          <w:color w:val="75787B" w:themeColor="accent6"/>
        </w:rPr>
        <w:t>Source: Deloitte analysis</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A9554B" w:rsidRPr="00DA0585" w14:paraId="33FB9406" w14:textId="77777777" w:rsidTr="00EC5F12">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7835689F" w14:textId="10751415" w:rsidR="00A9554B" w:rsidRPr="00A470B1" w:rsidRDefault="00A9554B" w:rsidP="00053250">
            <w:pPr>
              <w:pStyle w:val="TableHeadingLeft"/>
              <w:rPr>
                <w:bCs/>
              </w:rPr>
            </w:pPr>
            <w:r w:rsidRPr="00A470B1">
              <w:rPr>
                <w:bCs/>
              </w:rPr>
              <w:t>Recommendation #</w:t>
            </w:r>
            <w:r w:rsidR="00AE6646" w:rsidRPr="00A470B1">
              <w:rPr>
                <w:bCs/>
              </w:rPr>
              <w:t>2</w:t>
            </w:r>
            <w:r w:rsidR="005E06AF">
              <w:rPr>
                <w:bCs/>
              </w:rPr>
              <w:t>0</w:t>
            </w:r>
          </w:p>
        </w:tc>
      </w:tr>
      <w:tr w:rsidR="00DA0585" w:rsidRPr="00DA0585" w14:paraId="33922784" w14:textId="77777777" w:rsidTr="00EC5F12">
        <w:tc>
          <w:tcPr>
            <w:tcW w:w="9864" w:type="dxa"/>
            <w:tcBorders>
              <w:bottom w:val="nil"/>
            </w:tcBorders>
            <w:shd w:val="clear" w:color="auto" w:fill="F2F2F2" w:themeFill="background1" w:themeFillShade="F2"/>
          </w:tcPr>
          <w:p w14:paraId="37436466" w14:textId="77777777" w:rsidR="00691F60" w:rsidRPr="00DA0585" w:rsidRDefault="00691F60" w:rsidP="00691F60">
            <w:pPr>
              <w:pStyle w:val="BodyCopyNEW"/>
              <w:rPr>
                <w:szCs w:val="18"/>
              </w:rPr>
            </w:pPr>
            <w:r w:rsidRPr="00DA0585">
              <w:rPr>
                <w:szCs w:val="18"/>
              </w:rPr>
              <w:t>NOPSEMA should identify further mechanisms for transparently communicating its decision-making rationale, including:</w:t>
            </w:r>
          </w:p>
          <w:p w14:paraId="2F6F6B22" w14:textId="77777777" w:rsidR="00691F60" w:rsidRPr="00DA0585" w:rsidRDefault="00691F60" w:rsidP="000C1F53">
            <w:pPr>
              <w:pStyle w:val="BodycopyNEW0"/>
              <w:numPr>
                <w:ilvl w:val="0"/>
                <w:numId w:val="23"/>
              </w:numPr>
              <w:ind w:left="378"/>
            </w:pPr>
            <w:r w:rsidRPr="00DA0585">
              <w:t>Greater use of proactive communication by NOPSEMA of decision-making documents to impacted stakeholders who have raised concerns, beyond communication through the NOPSEMA website</w:t>
            </w:r>
          </w:p>
          <w:p w14:paraId="606DB52A" w14:textId="77777777" w:rsidR="00691F60" w:rsidRPr="00DA0585" w:rsidRDefault="00691F60" w:rsidP="000C1F53">
            <w:pPr>
              <w:pStyle w:val="BodycopyNEW0"/>
              <w:numPr>
                <w:ilvl w:val="0"/>
                <w:numId w:val="23"/>
              </w:numPr>
              <w:ind w:left="378"/>
            </w:pPr>
            <w:r w:rsidRPr="00DA0585">
              <w:t>Establishing clarity and transparency for stakeholders over the process and methodologies used to arrive at the decisions, ensuring such explanations are accessible to non-technical audiences</w:t>
            </w:r>
          </w:p>
          <w:p w14:paraId="6BCC06D7" w14:textId="77777777" w:rsidR="00691F60" w:rsidRPr="00DA0585" w:rsidRDefault="00691F60" w:rsidP="000C1F53">
            <w:pPr>
              <w:pStyle w:val="BodycopyNEW0"/>
              <w:numPr>
                <w:ilvl w:val="0"/>
                <w:numId w:val="23"/>
              </w:numPr>
              <w:ind w:left="378"/>
            </w:pPr>
            <w:r w:rsidRPr="00DA0585">
              <w:t>Reinforcing the independence of NOPSEMA and its assessment processes.</w:t>
            </w:r>
          </w:p>
          <w:p w14:paraId="1D3273D3" w14:textId="0D2F463E" w:rsidR="00C15E20" w:rsidRPr="00DA0585" w:rsidRDefault="00691F60" w:rsidP="00691F60">
            <w:pPr>
              <w:pStyle w:val="BodyBullet1"/>
              <w:numPr>
                <w:ilvl w:val="0"/>
                <w:numId w:val="0"/>
              </w:numPr>
            </w:pPr>
            <w:r w:rsidRPr="00DA0585">
              <w:rPr>
                <w:szCs w:val="18"/>
              </w:rPr>
              <w:t>NOPSEMA may wish to engage with stakeholders on how it could further build trust and confidence in its role as the regulator.</w:t>
            </w:r>
          </w:p>
        </w:tc>
      </w:tr>
    </w:tbl>
    <w:p w14:paraId="6978EA09" w14:textId="77777777" w:rsidR="00B71E64" w:rsidRPr="001B4EBA" w:rsidRDefault="00B71E64" w:rsidP="00784E0E">
      <w:pPr>
        <w:pStyle w:val="Heading3"/>
      </w:pPr>
      <w:r w:rsidRPr="001B4EBA">
        <w:lastRenderedPageBreak/>
        <w:t>Managing increasing transparency and engagement demands</w:t>
      </w:r>
    </w:p>
    <w:p w14:paraId="3C00E0F6" w14:textId="77777777" w:rsidR="00B71E64" w:rsidRPr="001B4EBA" w:rsidRDefault="00B71E64" w:rsidP="002D458D">
      <w:pPr>
        <w:pStyle w:val="Heading3NoNumber"/>
      </w:pPr>
      <w:bookmarkStart w:id="106" w:name="_Hlk55493789"/>
      <w:r>
        <w:t>Strategic and informed stakeholder engagement will be needed to manage increasing demands of NOPSEMA</w:t>
      </w:r>
    </w:p>
    <w:p w14:paraId="08C3017B" w14:textId="2F0E6C5D" w:rsidR="00B71E64" w:rsidRDefault="00B71E64" w:rsidP="002D458D">
      <w:pPr>
        <w:pStyle w:val="BodyCopyNEW"/>
      </w:pPr>
      <w:r w:rsidRPr="001B4EBA">
        <w:t xml:space="preserve">The step change </w:t>
      </w:r>
      <w:r w:rsidR="00E8232E">
        <w:t>seen</w:t>
      </w:r>
      <w:r w:rsidRPr="001B4EBA">
        <w:t xml:space="preserve"> in </w:t>
      </w:r>
      <w:r w:rsidR="00E8232E">
        <w:t xml:space="preserve">NOPSEMA’s </w:t>
      </w:r>
      <w:r w:rsidRPr="001B4EBA">
        <w:t xml:space="preserve">stakeholder engagement </w:t>
      </w:r>
      <w:r w:rsidR="00B60717">
        <w:t xml:space="preserve">(see </w:t>
      </w:r>
      <w:r w:rsidR="00B60717" w:rsidRPr="00B60717">
        <w:rPr>
          <w:b/>
          <w:bCs/>
        </w:rPr>
        <w:fldChar w:fldCharType="begin"/>
      </w:r>
      <w:r w:rsidR="00B60717" w:rsidRPr="00B60717">
        <w:rPr>
          <w:b/>
          <w:bCs/>
        </w:rPr>
        <w:instrText xml:space="preserve"> REF _Ref58963518 \h </w:instrText>
      </w:r>
      <w:r w:rsidR="00B60717">
        <w:rPr>
          <w:b/>
          <w:bCs/>
        </w:rPr>
        <w:instrText xml:space="preserve"> \* MERGEFORMAT </w:instrText>
      </w:r>
      <w:r w:rsidR="00B60717" w:rsidRPr="00B60717">
        <w:rPr>
          <w:b/>
          <w:bCs/>
        </w:rPr>
      </w:r>
      <w:r w:rsidR="00B60717" w:rsidRPr="00B60717">
        <w:rPr>
          <w:b/>
          <w:bCs/>
        </w:rPr>
        <w:fldChar w:fldCharType="separate"/>
      </w:r>
      <w:r w:rsidR="00E816B8" w:rsidRPr="00E816B8">
        <w:rPr>
          <w:b/>
          <w:bCs/>
          <w:szCs w:val="18"/>
        </w:rPr>
        <w:t xml:space="preserve">Figure </w:t>
      </w:r>
      <w:r w:rsidR="00E816B8" w:rsidRPr="00E816B8">
        <w:rPr>
          <w:b/>
          <w:bCs/>
          <w:noProof/>
          <w:szCs w:val="18"/>
        </w:rPr>
        <w:t>9.6</w:t>
      </w:r>
      <w:r w:rsidR="00B60717" w:rsidRPr="00B60717">
        <w:rPr>
          <w:b/>
          <w:bCs/>
        </w:rPr>
        <w:fldChar w:fldCharType="end"/>
      </w:r>
      <w:r w:rsidR="00B60717">
        <w:t xml:space="preserve">) </w:t>
      </w:r>
      <w:r w:rsidRPr="001B4EBA">
        <w:t>has demanded significant resourc</w:t>
      </w:r>
      <w:r>
        <w:t xml:space="preserve">ing </w:t>
      </w:r>
      <w:r w:rsidRPr="001B4EBA">
        <w:t xml:space="preserve">from NOPSEMA and will continue to do so. Globally, regulators are facing renewed demands from stakeholders to improve transparency and increase levels of engagement. This is particularly pronounced for the regulation of contentious matters such as </w:t>
      </w:r>
      <w:r>
        <w:t>petroleum</w:t>
      </w:r>
      <w:r w:rsidRPr="001B4EBA">
        <w:t xml:space="preserve"> activities.</w:t>
      </w:r>
    </w:p>
    <w:p w14:paraId="00E56760" w14:textId="27490A2A" w:rsidR="00795ABB" w:rsidRDefault="00B71E64" w:rsidP="002D458D">
      <w:pPr>
        <w:pStyle w:val="BodyCopyNEW"/>
      </w:pPr>
      <w:r>
        <w:t xml:space="preserve">NOPSEMA’s current system capabilities for managing stakeholder engagement are not sufficient for meeting these demands. For instance, the use of a shared Excel register is not </w:t>
      </w:r>
      <w:r w:rsidR="00BC1306">
        <w:t>suitable</w:t>
      </w:r>
      <w:r>
        <w:t xml:space="preserve"> for managing </w:t>
      </w:r>
      <w:r w:rsidR="00BC1306">
        <w:t xml:space="preserve">in excess </w:t>
      </w:r>
      <w:r w:rsidR="00FA6B21">
        <w:t>of</w:t>
      </w:r>
      <w:r w:rsidR="00BC1306">
        <w:t xml:space="preserve"> </w:t>
      </w:r>
      <w:r>
        <w:t>1,000 engagement</w:t>
      </w:r>
      <w:r w:rsidR="00FA6B21">
        <w:t xml:space="preserve"> activities</w:t>
      </w:r>
      <w:r>
        <w:t xml:space="preserve"> per annum. A </w:t>
      </w:r>
      <w:r w:rsidR="001E5E48">
        <w:t xml:space="preserve">technology enabled </w:t>
      </w:r>
      <w:r>
        <w:t>and insight-</w:t>
      </w:r>
      <w:r w:rsidR="001E5E48">
        <w:t>driven</w:t>
      </w:r>
      <w:r>
        <w:t xml:space="preserve"> approach to stakeholder engagement is needed. </w:t>
      </w:r>
      <w:bookmarkEnd w:id="106"/>
    </w:p>
    <w:p w14:paraId="3C1C836E" w14:textId="76839C70" w:rsidR="00B71E64" w:rsidRDefault="00795ABB" w:rsidP="002D458D">
      <w:pPr>
        <w:pStyle w:val="BodyCopyNEW"/>
      </w:pPr>
      <w:r>
        <w:t xml:space="preserve">An appropriately scaled </w:t>
      </w:r>
      <w:r w:rsidR="002F1D12">
        <w:t>CRM</w:t>
      </w:r>
      <w:r w:rsidR="00B71E64">
        <w:t xml:space="preserve"> capability would allow NOPSEMA to:</w:t>
      </w:r>
    </w:p>
    <w:p w14:paraId="2CEAF232" w14:textId="3E3863B5" w:rsidR="00B71E64" w:rsidRDefault="00B71E64" w:rsidP="000C1F53">
      <w:pPr>
        <w:pStyle w:val="BodycopyNEW0"/>
        <w:numPr>
          <w:ilvl w:val="0"/>
          <w:numId w:val="23"/>
        </w:numPr>
        <w:ind w:left="378"/>
      </w:pPr>
      <w:r>
        <w:t>Use data to help identify emerging issues</w:t>
      </w:r>
      <w:r w:rsidR="003E5030">
        <w:t xml:space="preserve"> (where possible)</w:t>
      </w:r>
    </w:p>
    <w:p w14:paraId="4C5A3CD5" w14:textId="0CBC7DF8" w:rsidR="00B71E64" w:rsidRDefault="00B71E64" w:rsidP="000C1F53">
      <w:pPr>
        <w:pStyle w:val="BodycopyNEW0"/>
        <w:numPr>
          <w:ilvl w:val="0"/>
          <w:numId w:val="23"/>
        </w:numPr>
        <w:ind w:left="378"/>
      </w:pPr>
      <w:r>
        <w:t>Identify and track the needs of a large number of stakeholders</w:t>
      </w:r>
    </w:p>
    <w:p w14:paraId="3CDC9AF6" w14:textId="77777777" w:rsidR="00B71E64" w:rsidRDefault="00B71E64" w:rsidP="000C1F53">
      <w:pPr>
        <w:pStyle w:val="BodycopyNEW0"/>
        <w:numPr>
          <w:ilvl w:val="0"/>
          <w:numId w:val="23"/>
        </w:numPr>
        <w:ind w:left="378"/>
      </w:pPr>
      <w:r>
        <w:t>M</w:t>
      </w:r>
      <w:r w:rsidRPr="001B4EBA">
        <w:t>onitor the efficacy of specific engagement methods employed (e.g. through running of stakeholder surveys or implementing other feedback mechanisms) to ensure resources are focused on the most effective initiatives</w:t>
      </w:r>
    </w:p>
    <w:p w14:paraId="76319233" w14:textId="77777777" w:rsidR="00B71E64" w:rsidRDefault="00B71E64" w:rsidP="000C1F53">
      <w:pPr>
        <w:pStyle w:val="BodycopyNEW0"/>
        <w:numPr>
          <w:ilvl w:val="0"/>
          <w:numId w:val="23"/>
        </w:numPr>
        <w:ind w:left="378"/>
      </w:pPr>
      <w:r>
        <w:t>Integrate, with time, regulatory processing information captured in RMS with stakeholder management information.</w:t>
      </w:r>
    </w:p>
    <w:p w14:paraId="76B6C567" w14:textId="44BF7FEE" w:rsidR="00A913BD" w:rsidRPr="007A30CA" w:rsidRDefault="009800AE" w:rsidP="00901C7B">
      <w:pPr>
        <w:pStyle w:val="BodyCopyNEW"/>
      </w:pPr>
      <w:r>
        <w:t xml:space="preserve">Given </w:t>
      </w:r>
      <w:r w:rsidR="00A913BD">
        <w:t xml:space="preserve">‘there is always more’ that could be done </w:t>
      </w:r>
      <w:r w:rsidR="00E529C0">
        <w:t>with regards to stakeholder engagement</w:t>
      </w:r>
      <w:r w:rsidR="00F27EEE">
        <w:t xml:space="preserve">, </w:t>
      </w:r>
      <w:r w:rsidR="00175405">
        <w:t>NOPSEMA needs to ensure that its stakeholder engagement approach is organisationally ‘sustainable’, given the levels of resourcing such activities can require. The application of tools, such as a CRM, may help address some operational challenges in this respect.</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B71E64" w:rsidRPr="00DA0585" w14:paraId="55D88C21" w14:textId="77777777" w:rsidTr="00EC5F12">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66C2AFA0" w14:textId="63E52F44" w:rsidR="00B71E64" w:rsidRPr="002A1E0A" w:rsidRDefault="00B71E64" w:rsidP="00053250">
            <w:pPr>
              <w:pStyle w:val="TableHeadingLeft"/>
              <w:rPr>
                <w:bCs/>
              </w:rPr>
            </w:pPr>
            <w:r w:rsidRPr="002A1E0A">
              <w:rPr>
                <w:bCs/>
              </w:rPr>
              <w:t>Opportunity</w:t>
            </w:r>
            <w:r w:rsidR="00F03805" w:rsidRPr="002A1E0A">
              <w:rPr>
                <w:bCs/>
              </w:rPr>
              <w:t xml:space="preserve"> #</w:t>
            </w:r>
            <w:r w:rsidR="00830185" w:rsidRPr="002A1E0A">
              <w:rPr>
                <w:bCs/>
              </w:rPr>
              <w:t>1</w:t>
            </w:r>
            <w:r w:rsidR="00C224DC">
              <w:rPr>
                <w:bCs/>
              </w:rPr>
              <w:t>3</w:t>
            </w:r>
          </w:p>
        </w:tc>
      </w:tr>
      <w:tr w:rsidR="00DA0585" w:rsidRPr="00DA0585" w14:paraId="4E77E993" w14:textId="77777777" w:rsidTr="00EC5F12">
        <w:tc>
          <w:tcPr>
            <w:tcW w:w="5000" w:type="pct"/>
            <w:tcBorders>
              <w:bottom w:val="nil"/>
            </w:tcBorders>
            <w:shd w:val="clear" w:color="auto" w:fill="F2F2F2" w:themeFill="background1" w:themeFillShade="F2"/>
          </w:tcPr>
          <w:p w14:paraId="6F84A341" w14:textId="31D54795" w:rsidR="00C039F1" w:rsidRPr="00DA0585" w:rsidRDefault="00C039F1" w:rsidP="00C039F1">
            <w:pPr>
              <w:pStyle w:val="BodyCopyNEW"/>
            </w:pPr>
            <w:r w:rsidRPr="00DA0585">
              <w:rPr>
                <w:szCs w:val="18"/>
              </w:rPr>
              <w:t>NOPSEMA is encouraged to conduct an evaluation of and develop a business case for implementing an appropriately scaled CRM tool to support its growing stakeholder engagement requirements.</w:t>
            </w:r>
          </w:p>
        </w:tc>
      </w:tr>
    </w:tbl>
    <w:p w14:paraId="2E06D325" w14:textId="1A921DF1" w:rsidR="00621961" w:rsidRPr="00AD41F8" w:rsidRDefault="00AD41F8" w:rsidP="008D69C2">
      <w:pPr>
        <w:pStyle w:val="Caption"/>
        <w:keepNext/>
      </w:pPr>
      <w:bookmarkStart w:id="107" w:name="_Ref58963518"/>
      <w:r w:rsidRPr="00AD41F8">
        <w:t xml:space="preserve">Figure </w:t>
      </w:r>
      <w:r w:rsidRPr="00AD41F8">
        <w:fldChar w:fldCharType="begin"/>
      </w:r>
      <w:r w:rsidRPr="00AD41F8">
        <w:instrText xml:space="preserve"> STYLEREF 1 \s </w:instrText>
      </w:r>
      <w:r w:rsidRPr="00AD41F8">
        <w:fldChar w:fldCharType="separate"/>
      </w:r>
      <w:r w:rsidR="00E816B8">
        <w:rPr>
          <w:noProof/>
        </w:rPr>
        <w:t>9</w:t>
      </w:r>
      <w:r w:rsidRPr="00AD41F8">
        <w:fldChar w:fldCharType="end"/>
      </w:r>
      <w:r w:rsidRPr="00AD41F8">
        <w:t>.</w:t>
      </w:r>
      <w:r w:rsidRPr="00AD41F8">
        <w:fldChar w:fldCharType="begin"/>
      </w:r>
      <w:r w:rsidRPr="00AD41F8">
        <w:instrText xml:space="preserve"> SEQ Figure \* ARABIC \s 1 </w:instrText>
      </w:r>
      <w:r w:rsidRPr="00AD41F8">
        <w:fldChar w:fldCharType="separate"/>
      </w:r>
      <w:r w:rsidR="00E816B8">
        <w:rPr>
          <w:noProof/>
        </w:rPr>
        <w:t>6</w:t>
      </w:r>
      <w:r w:rsidRPr="00AD41F8">
        <w:fldChar w:fldCharType="end"/>
      </w:r>
      <w:bookmarkEnd w:id="107"/>
      <w:r w:rsidRPr="00AD41F8">
        <w:t xml:space="preserve">: </w:t>
      </w:r>
      <w:r w:rsidRPr="00C10D2A">
        <w:t xml:space="preserve">NOPSEMA stakeholder engagement </w:t>
      </w:r>
      <w:r>
        <w:t>summary by segment</w:t>
      </w:r>
    </w:p>
    <w:p w14:paraId="2171E63F" w14:textId="688012EC" w:rsidR="00B71E64" w:rsidRDefault="34D5384C" w:rsidP="00E923DB">
      <w:pPr>
        <w:spacing w:before="120" w:after="0" w:line="240" w:lineRule="auto"/>
        <w:jc w:val="center"/>
        <w:rPr>
          <w:rFonts w:ascii="OpenSansRegular" w:hAnsi="OpenSansRegular" w:cs="OpenSansRegular"/>
        </w:rPr>
      </w:pPr>
      <w:r>
        <w:rPr>
          <w:noProof/>
          <w:lang w:eastAsia="en-AU"/>
        </w:rPr>
        <w:drawing>
          <wp:inline distT="0" distB="0" distL="0" distR="0" wp14:anchorId="5F64A956" wp14:editId="246A53D9">
            <wp:extent cx="4824000" cy="366234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60" cstate="print">
                      <a:extLst>
                        <a:ext uri="{28A0092B-C50C-407E-A947-70E740481C1C}">
                          <a14:useLocalDpi xmlns:a14="http://schemas.microsoft.com/office/drawing/2010/main"/>
                        </a:ext>
                      </a:extLst>
                    </a:blip>
                    <a:stretch>
                      <a:fillRect/>
                    </a:stretch>
                  </pic:blipFill>
                  <pic:spPr>
                    <a:xfrm>
                      <a:off x="0" y="0"/>
                      <a:ext cx="4824000" cy="3662347"/>
                    </a:xfrm>
                    <a:prstGeom prst="rect">
                      <a:avLst/>
                    </a:prstGeom>
                  </pic:spPr>
                </pic:pic>
              </a:graphicData>
            </a:graphic>
          </wp:inline>
        </w:drawing>
      </w:r>
    </w:p>
    <w:p w14:paraId="1B7EF56E" w14:textId="77777777" w:rsidR="00B71E64" w:rsidRDefault="00B71E64" w:rsidP="00A067D9">
      <w:pPr>
        <w:pStyle w:val="Caption"/>
        <w:rPr>
          <w:b w:val="0"/>
          <w:bCs/>
          <w:i/>
          <w:iCs w:val="0"/>
          <w:color w:val="75787B" w:themeColor="accent6"/>
        </w:rPr>
      </w:pPr>
      <w:r w:rsidRPr="00BC60E9">
        <w:rPr>
          <w:b w:val="0"/>
          <w:bCs/>
          <w:i/>
          <w:iCs w:val="0"/>
          <w:color w:val="75787B" w:themeColor="accent6"/>
        </w:rPr>
        <w:t xml:space="preserve">Source: </w:t>
      </w:r>
      <w:r w:rsidR="00C534DC" w:rsidRPr="00300717">
        <w:rPr>
          <w:b w:val="0"/>
          <w:bCs/>
          <w:i/>
          <w:iCs w:val="0"/>
          <w:color w:val="75787B" w:themeColor="accent6"/>
        </w:rPr>
        <w:t>Deloitte analysis adapted from NOPSEMA data</w:t>
      </w:r>
    </w:p>
    <w:p w14:paraId="7514ED95" w14:textId="4BA63272" w:rsidR="00B71E64" w:rsidRPr="005810AE" w:rsidRDefault="00B71E64" w:rsidP="00AE2D6E">
      <w:pPr>
        <w:pStyle w:val="Heading2"/>
      </w:pPr>
      <w:bookmarkStart w:id="108" w:name="_Ref58594171"/>
      <w:r w:rsidRPr="005810AE">
        <w:lastRenderedPageBreak/>
        <w:t>Quality of relationships with industry and other stakeholders</w:t>
      </w:r>
      <w:bookmarkEnd w:id="108"/>
    </w:p>
    <w:p w14:paraId="4B22FBF3" w14:textId="42E349AA" w:rsidR="00B71E64" w:rsidRDefault="00B71E64" w:rsidP="00784E0E">
      <w:pPr>
        <w:pStyle w:val="Heading3"/>
      </w:pPr>
      <w:r w:rsidRPr="00F42387">
        <w:t xml:space="preserve">NOPSEMA’s </w:t>
      </w:r>
      <w:r w:rsidR="007E0D5F">
        <w:t>relationship</w:t>
      </w:r>
      <w:r w:rsidR="007E0D5F" w:rsidRPr="00F42387">
        <w:t xml:space="preserve"> </w:t>
      </w:r>
      <w:r w:rsidRPr="00F42387">
        <w:t>with industry</w:t>
      </w:r>
    </w:p>
    <w:p w14:paraId="6E561B1D" w14:textId="7C1E3352" w:rsidR="00B71E64" w:rsidRPr="00025791" w:rsidRDefault="00B71E64" w:rsidP="002D458D">
      <w:pPr>
        <w:pStyle w:val="Heading3NoNumber"/>
      </w:pPr>
      <w:r w:rsidRPr="00F87C84">
        <w:t xml:space="preserve">NOPSEMA’s stakeholder engagement with </w:t>
      </w:r>
      <w:r w:rsidR="00EA06AF">
        <w:t>title</w:t>
      </w:r>
      <w:r w:rsidR="001003B9">
        <w:t>holder</w:t>
      </w:r>
      <w:r>
        <w:t>s was viewed favourably but NOPSEMA’s collaboration could be improved</w:t>
      </w:r>
    </w:p>
    <w:p w14:paraId="7BD84899" w14:textId="782C7313" w:rsidR="00B71E64" w:rsidRPr="00E17E8F" w:rsidRDefault="00B71E64" w:rsidP="002D458D">
      <w:pPr>
        <w:pStyle w:val="BodyCopyNEW"/>
        <w:rPr>
          <w:szCs w:val="18"/>
        </w:rPr>
      </w:pPr>
      <w:r w:rsidRPr="00E17E8F">
        <w:rPr>
          <w:szCs w:val="18"/>
        </w:rPr>
        <w:t xml:space="preserve">Based on interactions with stakeholders consulted, there has been an improvement in NOPSEMA’s interactions with industry over the </w:t>
      </w:r>
      <w:r w:rsidR="00F213BB" w:rsidRPr="00E17E8F">
        <w:rPr>
          <w:szCs w:val="18"/>
        </w:rPr>
        <w:t xml:space="preserve">review </w:t>
      </w:r>
      <w:r w:rsidRPr="00E17E8F">
        <w:rPr>
          <w:szCs w:val="18"/>
        </w:rPr>
        <w:t xml:space="preserve">period. Outside of NOPSEMA’s interactions with regard to regulatory processes, </w:t>
      </w:r>
      <w:r w:rsidR="00622BCB" w:rsidRPr="00E17E8F">
        <w:rPr>
          <w:szCs w:val="18"/>
        </w:rPr>
        <w:t>titleholders and operators</w:t>
      </w:r>
      <w:r w:rsidRPr="00E17E8F">
        <w:rPr>
          <w:szCs w:val="18"/>
        </w:rPr>
        <w:t xml:space="preserve"> were largely positive about NOPSEMA’s approach to stakeholder engagement</w:t>
      </w:r>
      <w:r w:rsidR="00117B67" w:rsidRPr="00E17E8F">
        <w:rPr>
          <w:rStyle w:val="FootnoteReference"/>
          <w:sz w:val="18"/>
          <w:szCs w:val="18"/>
        </w:rPr>
        <w:footnoteReference w:id="40"/>
      </w:r>
      <w:r w:rsidRPr="00E17E8F">
        <w:rPr>
          <w:szCs w:val="18"/>
        </w:rPr>
        <w:t xml:space="preserve">. For example, many stakeholders described NOPSEMA as proactive. Furthermore, NOPSEMA were seen as approachable, open to engagement, and being ‘present’ in the industry. </w:t>
      </w:r>
    </w:p>
    <w:p w14:paraId="04F61096" w14:textId="39004C31" w:rsidR="00B71E64" w:rsidRPr="00E17E8F" w:rsidRDefault="00B71E64" w:rsidP="002D458D">
      <w:pPr>
        <w:pStyle w:val="BodyCopyNEW"/>
        <w:rPr>
          <w:szCs w:val="18"/>
        </w:rPr>
      </w:pPr>
      <w:r w:rsidRPr="00E17E8F">
        <w:rPr>
          <w:szCs w:val="18"/>
        </w:rPr>
        <w:t xml:space="preserve">There were improvement opportunities identified. A number of </w:t>
      </w:r>
      <w:r w:rsidR="00B66761" w:rsidRPr="00E17E8F">
        <w:rPr>
          <w:szCs w:val="18"/>
        </w:rPr>
        <w:t xml:space="preserve">titleholders </w:t>
      </w:r>
      <w:r w:rsidRPr="00E17E8F">
        <w:rPr>
          <w:szCs w:val="18"/>
        </w:rPr>
        <w:t xml:space="preserve">stated that NOPSEMA did not always appear to take on board and action industry feedback provided (this point is discussed further above). </w:t>
      </w:r>
      <w:r w:rsidR="00B66761" w:rsidRPr="00E17E8F">
        <w:rPr>
          <w:szCs w:val="18"/>
        </w:rPr>
        <w:t>Titleholders</w:t>
      </w:r>
      <w:r w:rsidRPr="00E17E8F">
        <w:rPr>
          <w:szCs w:val="18"/>
        </w:rPr>
        <w:t xml:space="preserve"> noted instances of inconsistencies in engagement across NOPSEMA’s functions and across organisational levels. While NOPSEMA’s executive leadership were seen to be highly effective at engagement, perception was that engagement is often less effective below the executive level. Further development of stakeholder engagement capabilities below the executive level may be required</w:t>
      </w:r>
      <w:r w:rsidR="00B66761" w:rsidRPr="00E17E8F">
        <w:rPr>
          <w:szCs w:val="18"/>
        </w:rPr>
        <w:t xml:space="preserve"> and this is addressed in </w:t>
      </w:r>
      <w:r w:rsidR="00B66761" w:rsidRPr="00E17E8F">
        <w:rPr>
          <w:b/>
          <w:szCs w:val="18"/>
        </w:rPr>
        <w:t>Section</w:t>
      </w:r>
      <w:r w:rsidR="00B66761" w:rsidRPr="00E17E8F">
        <w:rPr>
          <w:szCs w:val="18"/>
        </w:rPr>
        <w:t xml:space="preserve"> </w:t>
      </w:r>
      <w:r w:rsidR="00B66761" w:rsidRPr="00E17E8F">
        <w:rPr>
          <w:b/>
          <w:szCs w:val="18"/>
        </w:rPr>
        <w:fldChar w:fldCharType="begin"/>
      </w:r>
      <w:r w:rsidR="00B66761" w:rsidRPr="00E17E8F">
        <w:rPr>
          <w:b/>
          <w:szCs w:val="18"/>
        </w:rPr>
        <w:instrText xml:space="preserve"> REF _Ref55990509 \r \h  \* MERGEFORMAT </w:instrText>
      </w:r>
      <w:r w:rsidR="00B66761" w:rsidRPr="00E17E8F">
        <w:rPr>
          <w:b/>
          <w:szCs w:val="18"/>
        </w:rPr>
      </w:r>
      <w:r w:rsidR="00B66761" w:rsidRPr="00E17E8F">
        <w:rPr>
          <w:b/>
          <w:szCs w:val="18"/>
        </w:rPr>
        <w:fldChar w:fldCharType="separate"/>
      </w:r>
      <w:r w:rsidR="00E816B8">
        <w:rPr>
          <w:b/>
          <w:szCs w:val="18"/>
        </w:rPr>
        <w:t>7</w:t>
      </w:r>
      <w:r w:rsidR="00B66761" w:rsidRPr="00E17E8F">
        <w:rPr>
          <w:b/>
          <w:szCs w:val="18"/>
        </w:rPr>
        <w:fldChar w:fldCharType="end"/>
      </w:r>
      <w:r w:rsidRPr="00E17E8F">
        <w:rPr>
          <w:szCs w:val="18"/>
        </w:rPr>
        <w:t>.</w:t>
      </w:r>
    </w:p>
    <w:p w14:paraId="7B64BBEA" w14:textId="4F6D670C" w:rsidR="00B71E64" w:rsidRPr="00E17E8F" w:rsidRDefault="00B71E64" w:rsidP="002D458D">
      <w:pPr>
        <w:pStyle w:val="BodyCopyNEW"/>
        <w:rPr>
          <w:szCs w:val="18"/>
        </w:rPr>
      </w:pPr>
      <w:r w:rsidRPr="00E17E8F">
        <w:rPr>
          <w:szCs w:val="18"/>
        </w:rPr>
        <w:t xml:space="preserve">A key concern raised by industry was an apparent disconnect between NOPSEMA’s Safety and Integrity and Environment Divisions. For instance, </w:t>
      </w:r>
      <w:r w:rsidR="00700038" w:rsidRPr="00E17E8F">
        <w:rPr>
          <w:szCs w:val="18"/>
        </w:rPr>
        <w:t>titleholders</w:t>
      </w:r>
      <w:r w:rsidRPr="00E17E8F">
        <w:rPr>
          <w:szCs w:val="18"/>
        </w:rPr>
        <w:t xml:space="preserve"> noted inconsistencies in the outcomes of engagement between divisions </w:t>
      </w:r>
      <w:r w:rsidR="00B66761" w:rsidRPr="00E17E8F">
        <w:rPr>
          <w:szCs w:val="18"/>
        </w:rPr>
        <w:t>and, in some cases,</w:t>
      </w:r>
      <w:r w:rsidRPr="00E17E8F">
        <w:rPr>
          <w:szCs w:val="18"/>
        </w:rPr>
        <w:t xml:space="preserve"> between teams</w:t>
      </w:r>
      <w:r w:rsidR="00B66761" w:rsidRPr="00E17E8F">
        <w:rPr>
          <w:szCs w:val="18"/>
        </w:rPr>
        <w:t xml:space="preserve"> within a division</w:t>
      </w:r>
      <w:r w:rsidRPr="00E17E8F">
        <w:rPr>
          <w:szCs w:val="18"/>
        </w:rPr>
        <w:t xml:space="preserve">. By way of example, feedback given on a WOMP may be inconsistent with the NOPSEMA position on an </w:t>
      </w:r>
      <w:r w:rsidR="00F87C84" w:rsidRPr="00E17E8F">
        <w:rPr>
          <w:szCs w:val="18"/>
        </w:rPr>
        <w:t>EP</w:t>
      </w:r>
      <w:r w:rsidRPr="00E17E8F">
        <w:rPr>
          <w:szCs w:val="18"/>
        </w:rPr>
        <w:t xml:space="preserve"> for an activity. </w:t>
      </w:r>
      <w:r w:rsidR="009D767D" w:rsidRPr="00E17E8F">
        <w:rPr>
          <w:szCs w:val="18"/>
        </w:rPr>
        <w:t xml:space="preserve">As we have outlined in </w:t>
      </w:r>
      <w:r w:rsidR="009D767D" w:rsidRPr="00E17E8F">
        <w:rPr>
          <w:b/>
          <w:szCs w:val="18"/>
        </w:rPr>
        <w:t xml:space="preserve">Sections </w:t>
      </w:r>
      <w:r w:rsidR="009D767D" w:rsidRPr="00E17E8F">
        <w:rPr>
          <w:b/>
          <w:szCs w:val="18"/>
        </w:rPr>
        <w:fldChar w:fldCharType="begin"/>
      </w:r>
      <w:r w:rsidR="009D767D" w:rsidRPr="00E17E8F">
        <w:rPr>
          <w:b/>
          <w:szCs w:val="18"/>
        </w:rPr>
        <w:instrText xml:space="preserve"> REF _Ref55990498 \r \h </w:instrText>
      </w:r>
      <w:r w:rsidR="007123E9" w:rsidRPr="00E17E8F">
        <w:rPr>
          <w:b/>
          <w:szCs w:val="18"/>
        </w:rPr>
        <w:instrText xml:space="preserve"> \* MERGEFORMAT </w:instrText>
      </w:r>
      <w:r w:rsidR="009D767D" w:rsidRPr="00E17E8F">
        <w:rPr>
          <w:b/>
          <w:szCs w:val="18"/>
        </w:rPr>
      </w:r>
      <w:r w:rsidR="009D767D" w:rsidRPr="00E17E8F">
        <w:rPr>
          <w:b/>
          <w:szCs w:val="18"/>
        </w:rPr>
        <w:fldChar w:fldCharType="separate"/>
      </w:r>
      <w:r w:rsidR="00E816B8">
        <w:rPr>
          <w:b/>
          <w:szCs w:val="18"/>
        </w:rPr>
        <w:t>6</w:t>
      </w:r>
      <w:r w:rsidR="009D767D" w:rsidRPr="00E17E8F">
        <w:rPr>
          <w:b/>
          <w:szCs w:val="18"/>
        </w:rPr>
        <w:fldChar w:fldCharType="end"/>
      </w:r>
      <w:r w:rsidR="00286D78" w:rsidRPr="00E17E8F">
        <w:rPr>
          <w:szCs w:val="18"/>
        </w:rPr>
        <w:t xml:space="preserve"> and </w:t>
      </w:r>
      <w:r w:rsidR="009D767D" w:rsidRPr="00E17E8F">
        <w:rPr>
          <w:b/>
          <w:szCs w:val="18"/>
        </w:rPr>
        <w:fldChar w:fldCharType="begin"/>
      </w:r>
      <w:r w:rsidR="009D767D" w:rsidRPr="00E17E8F">
        <w:rPr>
          <w:b/>
          <w:szCs w:val="18"/>
        </w:rPr>
        <w:instrText xml:space="preserve"> REF _Ref55990509 \r \h </w:instrText>
      </w:r>
      <w:r w:rsidR="007123E9" w:rsidRPr="00E17E8F">
        <w:rPr>
          <w:b/>
          <w:szCs w:val="18"/>
        </w:rPr>
        <w:instrText xml:space="preserve"> \* MERGEFORMAT </w:instrText>
      </w:r>
      <w:r w:rsidR="009D767D" w:rsidRPr="00E17E8F">
        <w:rPr>
          <w:b/>
          <w:szCs w:val="18"/>
        </w:rPr>
      </w:r>
      <w:r w:rsidR="009D767D" w:rsidRPr="00E17E8F">
        <w:rPr>
          <w:b/>
          <w:szCs w:val="18"/>
        </w:rPr>
        <w:fldChar w:fldCharType="separate"/>
      </w:r>
      <w:r w:rsidR="00E816B8">
        <w:rPr>
          <w:b/>
          <w:szCs w:val="18"/>
        </w:rPr>
        <w:t>7</w:t>
      </w:r>
      <w:r w:rsidR="009D767D" w:rsidRPr="00E17E8F">
        <w:rPr>
          <w:b/>
          <w:szCs w:val="18"/>
        </w:rPr>
        <w:fldChar w:fldCharType="end"/>
      </w:r>
      <w:r w:rsidR="00286D78" w:rsidRPr="00E17E8F">
        <w:rPr>
          <w:szCs w:val="18"/>
        </w:rPr>
        <w:t xml:space="preserve">, a ‘One NOPSEMA’ approach to </w:t>
      </w:r>
      <w:r w:rsidR="00137A9D" w:rsidRPr="00E17E8F">
        <w:rPr>
          <w:szCs w:val="18"/>
        </w:rPr>
        <w:t xml:space="preserve">engagement, as well as to regulatory activities, is </w:t>
      </w:r>
      <w:r w:rsidR="001F48AE" w:rsidRPr="00E17E8F">
        <w:rPr>
          <w:szCs w:val="18"/>
        </w:rPr>
        <w:t>essential.</w:t>
      </w:r>
    </w:p>
    <w:p w14:paraId="628A0C46" w14:textId="270E2C9C" w:rsidR="00B71E64" w:rsidRPr="00E17E8F" w:rsidRDefault="00B71E64" w:rsidP="002D458D">
      <w:pPr>
        <w:pStyle w:val="BodyCopyNEW"/>
        <w:rPr>
          <w:szCs w:val="18"/>
        </w:rPr>
      </w:pPr>
      <w:r w:rsidRPr="00E17E8F">
        <w:rPr>
          <w:szCs w:val="18"/>
        </w:rPr>
        <w:t xml:space="preserve">A finding of the previous review was that NOPSEMA should share better practice methods with industry through its stakeholder engagements. We observed a number of examples where </w:t>
      </w:r>
      <w:r w:rsidR="00327ACB" w:rsidRPr="00E17E8F">
        <w:rPr>
          <w:szCs w:val="18"/>
        </w:rPr>
        <w:t>NOPSEMA is</w:t>
      </w:r>
      <w:r w:rsidRPr="00E17E8F">
        <w:rPr>
          <w:szCs w:val="18"/>
        </w:rPr>
        <w:t xml:space="preserve"> seeking to communicate better practice methods to industry. For example, referring to</w:t>
      </w:r>
      <w:r w:rsidR="00520042" w:rsidRPr="00E17E8F">
        <w:rPr>
          <w:b/>
          <w:szCs w:val="18"/>
        </w:rPr>
        <w:t xml:space="preserve"> </w:t>
      </w:r>
      <w:r w:rsidR="00520042" w:rsidRPr="00E17E8F">
        <w:rPr>
          <w:b/>
          <w:szCs w:val="18"/>
          <w:highlight w:val="yellow"/>
        </w:rPr>
        <w:fldChar w:fldCharType="begin"/>
      </w:r>
      <w:r w:rsidR="00520042" w:rsidRPr="00E17E8F">
        <w:rPr>
          <w:b/>
          <w:szCs w:val="18"/>
        </w:rPr>
        <w:instrText xml:space="preserve"> REF _Ref58447201 \h </w:instrText>
      </w:r>
      <w:r w:rsidR="00520042" w:rsidRPr="00E17E8F">
        <w:rPr>
          <w:b/>
          <w:szCs w:val="18"/>
          <w:highlight w:val="yellow"/>
        </w:rPr>
        <w:instrText xml:space="preserve"> \* MERGEFORMAT </w:instrText>
      </w:r>
      <w:r w:rsidR="00520042" w:rsidRPr="00E17E8F">
        <w:rPr>
          <w:b/>
          <w:szCs w:val="18"/>
          <w:highlight w:val="yellow"/>
        </w:rPr>
      </w:r>
      <w:r w:rsidR="00520042" w:rsidRPr="00E17E8F">
        <w:rPr>
          <w:b/>
          <w:szCs w:val="18"/>
          <w:highlight w:val="yellow"/>
        </w:rPr>
        <w:fldChar w:fldCharType="separate"/>
      </w:r>
      <w:r w:rsidR="00E816B8" w:rsidRPr="00E816B8">
        <w:rPr>
          <w:b/>
          <w:szCs w:val="18"/>
        </w:rPr>
        <w:t>Table 9.1</w:t>
      </w:r>
      <w:r w:rsidR="00520042" w:rsidRPr="00E17E8F">
        <w:rPr>
          <w:b/>
          <w:szCs w:val="18"/>
          <w:highlight w:val="yellow"/>
        </w:rPr>
        <w:fldChar w:fldCharType="end"/>
      </w:r>
      <w:r w:rsidRPr="00E17E8F">
        <w:rPr>
          <w:szCs w:val="18"/>
        </w:rPr>
        <w:t>, NOPSEMA hosted various forums and workshops to address a range of technical matters, including a Health and Safety Representatives Forum (2019), an ORA Workshop (2019), and a workshop with industry to share well failure data and best practices in well integrity management (2018).</w:t>
      </w:r>
      <w:r w:rsidR="001B777E" w:rsidRPr="00E17E8F">
        <w:rPr>
          <w:szCs w:val="18"/>
        </w:rPr>
        <w:t xml:space="preserve"> Industry perception is that </w:t>
      </w:r>
      <w:r w:rsidR="00327ACB" w:rsidRPr="00E17E8F">
        <w:rPr>
          <w:szCs w:val="18"/>
        </w:rPr>
        <w:t>NOPSEMA is</w:t>
      </w:r>
      <w:r w:rsidR="001B777E" w:rsidRPr="00E17E8F">
        <w:rPr>
          <w:szCs w:val="18"/>
        </w:rPr>
        <w:t xml:space="preserve"> more effectively sharing better practice but must be careful to avoid using better practice to mandate specific risk mitigation actions (thereby taking a prescriptive approach).</w:t>
      </w:r>
    </w:p>
    <w:p w14:paraId="72A45320" w14:textId="78048196" w:rsidR="008D1108" w:rsidRPr="00E17E8F" w:rsidRDefault="008D1108" w:rsidP="008D1108">
      <w:pPr>
        <w:pStyle w:val="BodyCopyNEW"/>
        <w:rPr>
          <w:b/>
          <w:szCs w:val="18"/>
        </w:rPr>
      </w:pPr>
      <w:r w:rsidRPr="00E17E8F">
        <w:rPr>
          <w:szCs w:val="18"/>
        </w:rPr>
        <w:t xml:space="preserve">As highlighted in </w:t>
      </w:r>
      <w:r w:rsidRPr="00E17E8F">
        <w:rPr>
          <w:b/>
          <w:szCs w:val="18"/>
        </w:rPr>
        <w:fldChar w:fldCharType="begin"/>
      </w:r>
      <w:r w:rsidRPr="00E17E8F">
        <w:rPr>
          <w:b/>
          <w:szCs w:val="18"/>
        </w:rPr>
        <w:instrText xml:space="preserve"> REF _Ref58447201 \h  \* MERGEFORMAT </w:instrText>
      </w:r>
      <w:r w:rsidRPr="00E17E8F">
        <w:rPr>
          <w:b/>
          <w:szCs w:val="18"/>
        </w:rPr>
      </w:r>
      <w:r w:rsidRPr="00E17E8F">
        <w:rPr>
          <w:b/>
          <w:szCs w:val="18"/>
        </w:rPr>
        <w:fldChar w:fldCharType="separate"/>
      </w:r>
      <w:r w:rsidR="00E816B8" w:rsidRPr="00E816B8">
        <w:rPr>
          <w:b/>
          <w:szCs w:val="18"/>
        </w:rPr>
        <w:t>Table 9.1</w:t>
      </w:r>
      <w:r w:rsidRPr="00E17E8F">
        <w:rPr>
          <w:b/>
          <w:szCs w:val="18"/>
        </w:rPr>
        <w:fldChar w:fldCharType="end"/>
      </w:r>
      <w:r w:rsidR="007B6B2F" w:rsidRPr="00E17E8F">
        <w:rPr>
          <w:szCs w:val="18"/>
        </w:rPr>
        <w:t>,</w:t>
      </w:r>
      <w:r w:rsidRPr="00E17E8F">
        <w:rPr>
          <w:b/>
          <w:szCs w:val="18"/>
        </w:rPr>
        <w:t xml:space="preserve"> </w:t>
      </w:r>
      <w:r w:rsidR="00230710" w:rsidRPr="00230710">
        <w:rPr>
          <w:b/>
          <w:szCs w:val="18"/>
        </w:rPr>
        <w:fldChar w:fldCharType="begin"/>
      </w:r>
      <w:r w:rsidR="00230710" w:rsidRPr="00230710">
        <w:rPr>
          <w:b/>
          <w:szCs w:val="18"/>
        </w:rPr>
        <w:instrText xml:space="preserve"> REF _Ref58448111 \h  \* MERGEFORMAT </w:instrText>
      </w:r>
      <w:r w:rsidR="00230710" w:rsidRPr="00230710">
        <w:rPr>
          <w:b/>
          <w:szCs w:val="18"/>
        </w:rPr>
      </w:r>
      <w:r w:rsidR="00230710" w:rsidRPr="00230710">
        <w:rPr>
          <w:b/>
          <w:szCs w:val="18"/>
        </w:rPr>
        <w:fldChar w:fldCharType="separate"/>
      </w:r>
      <w:r w:rsidR="00E816B8" w:rsidRPr="00E816B8">
        <w:rPr>
          <w:b/>
        </w:rPr>
        <w:t xml:space="preserve">Figure </w:t>
      </w:r>
      <w:r w:rsidR="00E816B8" w:rsidRPr="00E816B8">
        <w:rPr>
          <w:b/>
          <w:noProof/>
        </w:rPr>
        <w:t>9.2</w:t>
      </w:r>
      <w:r w:rsidR="00230710" w:rsidRPr="00230710">
        <w:rPr>
          <w:b/>
          <w:szCs w:val="18"/>
        </w:rPr>
        <w:fldChar w:fldCharType="end"/>
      </w:r>
      <w:r w:rsidR="00230710">
        <w:rPr>
          <w:b/>
          <w:szCs w:val="18"/>
        </w:rPr>
        <w:t xml:space="preserve"> </w:t>
      </w:r>
      <w:r w:rsidR="00F27226" w:rsidRPr="00E17E8F">
        <w:rPr>
          <w:szCs w:val="18"/>
        </w:rPr>
        <w:t xml:space="preserve">and </w:t>
      </w:r>
      <w:r w:rsidR="00F27226" w:rsidRPr="00E17E8F">
        <w:rPr>
          <w:b/>
          <w:szCs w:val="18"/>
        </w:rPr>
        <w:fldChar w:fldCharType="begin"/>
      </w:r>
      <w:r w:rsidR="00F27226" w:rsidRPr="00E17E8F">
        <w:rPr>
          <w:b/>
          <w:szCs w:val="18"/>
        </w:rPr>
        <w:instrText xml:space="preserve"> REF _Ref58963518 \h  \* MERGEFORMAT </w:instrText>
      </w:r>
      <w:r w:rsidR="00F27226" w:rsidRPr="00E17E8F">
        <w:rPr>
          <w:b/>
          <w:szCs w:val="18"/>
        </w:rPr>
      </w:r>
      <w:r w:rsidR="00F27226" w:rsidRPr="00E17E8F">
        <w:rPr>
          <w:b/>
          <w:szCs w:val="18"/>
        </w:rPr>
        <w:fldChar w:fldCharType="separate"/>
      </w:r>
      <w:r w:rsidR="00E816B8" w:rsidRPr="00E816B8">
        <w:rPr>
          <w:b/>
          <w:bCs/>
          <w:szCs w:val="18"/>
        </w:rPr>
        <w:t xml:space="preserve">Figure </w:t>
      </w:r>
      <w:r w:rsidR="00E816B8" w:rsidRPr="00E816B8">
        <w:rPr>
          <w:b/>
          <w:bCs/>
          <w:noProof/>
          <w:szCs w:val="18"/>
        </w:rPr>
        <w:t>9.6</w:t>
      </w:r>
      <w:r w:rsidR="00F27226" w:rsidRPr="00E17E8F">
        <w:rPr>
          <w:b/>
          <w:szCs w:val="18"/>
        </w:rPr>
        <w:fldChar w:fldCharType="end"/>
      </w:r>
      <w:r w:rsidRPr="00E17E8F">
        <w:rPr>
          <w:szCs w:val="18"/>
        </w:rPr>
        <w:t xml:space="preserve">, NOPSEMA undertakes a significant volume of engagements with other industry stakeholders. </w:t>
      </w:r>
    </w:p>
    <w:p w14:paraId="4874DA36" w14:textId="77777777" w:rsidR="00633667" w:rsidRPr="00E17E8F" w:rsidRDefault="008D1108" w:rsidP="008D1108">
      <w:pPr>
        <w:pStyle w:val="BodyCopyNEW"/>
        <w:rPr>
          <w:szCs w:val="18"/>
        </w:rPr>
      </w:pPr>
      <w:r w:rsidRPr="00E17E8F">
        <w:rPr>
          <w:szCs w:val="18"/>
        </w:rPr>
        <w:t xml:space="preserve">NOPSEMA engages with industry peak bodies, such as APPEA. This relationship has improved over the review period. For example, APPEA and NOPSEMA engage formally and informally through a number of regular and ad hoc engagements. </w:t>
      </w:r>
    </w:p>
    <w:p w14:paraId="2515F680" w14:textId="07B0E7A4" w:rsidR="008D1108" w:rsidRPr="00E17E8F" w:rsidRDefault="00633667" w:rsidP="008D1108">
      <w:pPr>
        <w:pStyle w:val="BodyCopyNEW"/>
        <w:rPr>
          <w:szCs w:val="18"/>
        </w:rPr>
      </w:pPr>
      <w:r w:rsidRPr="00E17E8F">
        <w:rPr>
          <w:szCs w:val="18"/>
        </w:rPr>
        <w:t>Other industry stakeholders</w:t>
      </w:r>
      <w:r w:rsidR="008D1108" w:rsidRPr="00E17E8F">
        <w:rPr>
          <w:szCs w:val="18"/>
        </w:rPr>
        <w:t xml:space="preserve"> </w:t>
      </w:r>
      <w:r w:rsidRPr="00E17E8F">
        <w:rPr>
          <w:szCs w:val="18"/>
        </w:rPr>
        <w:t>highlighted to us</w:t>
      </w:r>
      <w:r w:rsidR="008D1108" w:rsidRPr="00E17E8F">
        <w:rPr>
          <w:szCs w:val="18"/>
        </w:rPr>
        <w:t xml:space="preserve"> that NOPSEMA’s stakeholder environment is becoming increasingly complex and, as a result, NOPSEMA is subjected to significant pressures on decision-making from stakeholders outside the industry, such as other users of the marine estate, environment advocates, and community groups. It was put to the </w:t>
      </w:r>
      <w:r w:rsidRPr="00E17E8F">
        <w:rPr>
          <w:szCs w:val="18"/>
        </w:rPr>
        <w:t>review</w:t>
      </w:r>
      <w:r w:rsidR="008D1108" w:rsidRPr="00E17E8F">
        <w:rPr>
          <w:szCs w:val="18"/>
        </w:rPr>
        <w:t xml:space="preserve"> team that </w:t>
      </w:r>
      <w:r w:rsidRPr="00E17E8F">
        <w:rPr>
          <w:szCs w:val="18"/>
        </w:rPr>
        <w:t>such</w:t>
      </w:r>
      <w:r w:rsidR="008D1108" w:rsidRPr="00E17E8F">
        <w:rPr>
          <w:szCs w:val="18"/>
        </w:rPr>
        <w:t xml:space="preserve"> pressure has made NOPSEMA more risk-averse (i.e. in respect to being conservative in decision-making), which may be placing additional regulatory burden on industry as the bar for acceptance is raised by NOPSEMA in response.</w:t>
      </w:r>
      <w:r w:rsidR="00E4245A" w:rsidRPr="00E17E8F">
        <w:rPr>
          <w:szCs w:val="18"/>
        </w:rPr>
        <w:t xml:space="preserve"> </w:t>
      </w:r>
      <w:r w:rsidR="00967200" w:rsidRPr="00E17E8F">
        <w:rPr>
          <w:szCs w:val="18"/>
        </w:rPr>
        <w:t xml:space="preserve">We discuss </w:t>
      </w:r>
      <w:r w:rsidR="004B5359" w:rsidRPr="00E17E8F">
        <w:rPr>
          <w:szCs w:val="18"/>
        </w:rPr>
        <w:t xml:space="preserve">potential challenges in the efficiency of </w:t>
      </w:r>
      <w:r w:rsidR="000C175C" w:rsidRPr="00E17E8F">
        <w:rPr>
          <w:szCs w:val="18"/>
        </w:rPr>
        <w:t xml:space="preserve">permissioning processes in </w:t>
      </w:r>
      <w:r w:rsidR="000C175C" w:rsidRPr="00E17E8F">
        <w:rPr>
          <w:b/>
          <w:szCs w:val="18"/>
        </w:rPr>
        <w:t xml:space="preserve">Section </w:t>
      </w:r>
      <w:r w:rsidR="000C175C" w:rsidRPr="00E17E8F">
        <w:rPr>
          <w:b/>
          <w:szCs w:val="18"/>
        </w:rPr>
        <w:fldChar w:fldCharType="begin"/>
      </w:r>
      <w:r w:rsidR="000C175C" w:rsidRPr="00E17E8F">
        <w:rPr>
          <w:b/>
          <w:szCs w:val="18"/>
        </w:rPr>
        <w:instrText xml:space="preserve"> REF _Ref55990498 \r \h  \* MERGEFORMAT </w:instrText>
      </w:r>
      <w:r w:rsidR="000C175C" w:rsidRPr="00E17E8F">
        <w:rPr>
          <w:b/>
          <w:szCs w:val="18"/>
        </w:rPr>
      </w:r>
      <w:r w:rsidR="000C175C" w:rsidRPr="00E17E8F">
        <w:rPr>
          <w:b/>
          <w:szCs w:val="18"/>
        </w:rPr>
        <w:fldChar w:fldCharType="separate"/>
      </w:r>
      <w:r w:rsidR="00E816B8">
        <w:rPr>
          <w:b/>
          <w:szCs w:val="18"/>
        </w:rPr>
        <w:t>6</w:t>
      </w:r>
      <w:r w:rsidR="000C175C" w:rsidRPr="00E17E8F">
        <w:rPr>
          <w:b/>
          <w:szCs w:val="18"/>
        </w:rPr>
        <w:fldChar w:fldCharType="end"/>
      </w:r>
      <w:r w:rsidR="000C175C" w:rsidRPr="00E17E8F">
        <w:rPr>
          <w:b/>
          <w:szCs w:val="18"/>
        </w:rPr>
        <w:t xml:space="preserve"> </w:t>
      </w:r>
      <w:r w:rsidR="000C175C" w:rsidRPr="00E17E8F">
        <w:rPr>
          <w:szCs w:val="18"/>
        </w:rPr>
        <w:t>and do not duplicate that discussion here.</w:t>
      </w:r>
    </w:p>
    <w:p w14:paraId="569E5A59" w14:textId="237516D1" w:rsidR="008D1108" w:rsidRPr="00E17E8F" w:rsidRDefault="008D1108" w:rsidP="008D1108">
      <w:pPr>
        <w:pStyle w:val="BodyCopyNEW"/>
        <w:rPr>
          <w:szCs w:val="18"/>
        </w:rPr>
      </w:pPr>
      <w:r w:rsidRPr="00E17E8F">
        <w:rPr>
          <w:szCs w:val="18"/>
        </w:rPr>
        <w:t xml:space="preserve">NOPSEMA also engage on an as required basis with other members of the offshore petroleum industry, including oil field services companies. </w:t>
      </w:r>
    </w:p>
    <w:p w14:paraId="04BFB50E" w14:textId="1C5E6BE4" w:rsidR="008D69C2" w:rsidRDefault="00B7611C" w:rsidP="008D69C2">
      <w:pPr>
        <w:pStyle w:val="BodyCopyNEW"/>
        <w:rPr>
          <w:szCs w:val="18"/>
        </w:rPr>
      </w:pPr>
      <w:r w:rsidRPr="00E17E8F">
        <w:rPr>
          <w:szCs w:val="18"/>
        </w:rPr>
        <w:t xml:space="preserve">Through our examination, we noted </w:t>
      </w:r>
      <w:r w:rsidR="008D1108" w:rsidRPr="00E17E8F">
        <w:rPr>
          <w:szCs w:val="18"/>
        </w:rPr>
        <w:t>NOPSEMA sought to address a gap in HSR engagement with non-</w:t>
      </w:r>
      <w:r w:rsidRPr="00E17E8F">
        <w:rPr>
          <w:szCs w:val="18"/>
        </w:rPr>
        <w:t xml:space="preserve">operator </w:t>
      </w:r>
      <w:r w:rsidR="008D1108" w:rsidRPr="00E17E8F">
        <w:rPr>
          <w:szCs w:val="18"/>
        </w:rPr>
        <w:t>HSRs (e.g. those belonging to service providers). NOPSEMA has put in place, among other measures, the HSR Forum (in collaboration with industry and other stakeholders) to help address the gap</w:t>
      </w:r>
      <w:r w:rsidR="00C51A9F" w:rsidRPr="00E17E8F">
        <w:rPr>
          <w:rStyle w:val="FootnoteReference"/>
          <w:sz w:val="18"/>
          <w:szCs w:val="18"/>
        </w:rPr>
        <w:footnoteReference w:id="41"/>
      </w:r>
      <w:r w:rsidR="008D1108" w:rsidRPr="00E17E8F">
        <w:rPr>
          <w:szCs w:val="18"/>
        </w:rPr>
        <w:t xml:space="preserve">. The forum provides the opportunity for HSRs to connect and share with peers, industry and regulatory bodies. However, while progress has been made, </w:t>
      </w:r>
      <w:r w:rsidR="005702B2" w:rsidRPr="00E17E8F">
        <w:rPr>
          <w:szCs w:val="18"/>
        </w:rPr>
        <w:t>a number of</w:t>
      </w:r>
      <w:r w:rsidR="008D1108" w:rsidRPr="00E17E8F">
        <w:rPr>
          <w:szCs w:val="18"/>
        </w:rPr>
        <w:t xml:space="preserve"> industry stakeholders </w:t>
      </w:r>
      <w:r w:rsidR="005702B2" w:rsidRPr="00E17E8F">
        <w:rPr>
          <w:szCs w:val="18"/>
        </w:rPr>
        <w:t xml:space="preserve">mentioned </w:t>
      </w:r>
      <w:r w:rsidR="008D1108" w:rsidRPr="00E17E8F">
        <w:rPr>
          <w:szCs w:val="18"/>
        </w:rPr>
        <w:t xml:space="preserve">that some HSRs </w:t>
      </w:r>
      <w:r w:rsidR="00215E56" w:rsidRPr="00E17E8F">
        <w:rPr>
          <w:szCs w:val="18"/>
        </w:rPr>
        <w:t xml:space="preserve">from </w:t>
      </w:r>
      <w:r w:rsidR="00927151" w:rsidRPr="00E17E8F">
        <w:rPr>
          <w:szCs w:val="18"/>
        </w:rPr>
        <w:t>service providers</w:t>
      </w:r>
      <w:r w:rsidR="008D1108" w:rsidRPr="00E17E8F">
        <w:rPr>
          <w:szCs w:val="18"/>
        </w:rPr>
        <w:t xml:space="preserve"> are still not engaged to a sufficient degree. </w:t>
      </w:r>
    </w:p>
    <w:p w14:paraId="53C3996F" w14:textId="02D981FB" w:rsidR="008D69C2" w:rsidRDefault="008D69C2" w:rsidP="008D69C2">
      <w:pPr>
        <w:pStyle w:val="BodyCopyNEW"/>
        <w:rPr>
          <w:szCs w:val="18"/>
        </w:rPr>
      </w:pPr>
    </w:p>
    <w:p w14:paraId="6D5C3573" w14:textId="77777777" w:rsidR="008D69C2" w:rsidRPr="008D69C2" w:rsidRDefault="008D69C2" w:rsidP="008D69C2">
      <w:pPr>
        <w:pStyle w:val="BodyCopyNEW"/>
        <w:rPr>
          <w:szCs w:val="18"/>
        </w:rPr>
      </w:pPr>
    </w:p>
    <w:tbl>
      <w:tblPr>
        <w:tblStyle w:val="TableGrid"/>
        <w:tblW w:w="9865" w:type="dxa"/>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5"/>
      </w:tblGrid>
      <w:tr w:rsidR="008D1108" w:rsidRPr="00DA0585" w14:paraId="253C12DC" w14:textId="77777777" w:rsidTr="00040EBD">
        <w:trPr>
          <w:cnfStyle w:val="100000000000" w:firstRow="1" w:lastRow="0" w:firstColumn="0" w:lastColumn="0" w:oddVBand="0" w:evenVBand="0" w:oddHBand="0" w:evenHBand="0" w:firstRowFirstColumn="0" w:firstRowLastColumn="0" w:lastRowFirstColumn="0" w:lastRowLastColumn="0"/>
        </w:trPr>
        <w:tc>
          <w:tcPr>
            <w:tcW w:w="9865" w:type="dxa"/>
            <w:shd w:val="clear" w:color="auto" w:fill="6FC2B4"/>
          </w:tcPr>
          <w:p w14:paraId="6BA7F3AD" w14:textId="16D6F32A" w:rsidR="008D1108" w:rsidRPr="00F72718" w:rsidRDefault="008D1108" w:rsidP="00751AB3">
            <w:pPr>
              <w:pStyle w:val="TableHeadingLeft"/>
            </w:pPr>
            <w:r w:rsidRPr="00F72718">
              <w:lastRenderedPageBreak/>
              <w:t>Opportunity #1</w:t>
            </w:r>
            <w:r w:rsidR="00C224DC">
              <w:t>4</w:t>
            </w:r>
          </w:p>
        </w:tc>
      </w:tr>
      <w:tr w:rsidR="00DA0585" w:rsidRPr="00DA0585" w14:paraId="4760C684" w14:textId="77777777" w:rsidTr="00040EBD">
        <w:tc>
          <w:tcPr>
            <w:tcW w:w="9865" w:type="dxa"/>
            <w:tcBorders>
              <w:bottom w:val="nil"/>
            </w:tcBorders>
            <w:shd w:val="clear" w:color="auto" w:fill="F2F2F2" w:themeFill="background1" w:themeFillShade="F2"/>
          </w:tcPr>
          <w:p w14:paraId="0CAC41B0" w14:textId="5100BB56" w:rsidR="008D1108" w:rsidRPr="00DA0585" w:rsidRDefault="00C537C2" w:rsidP="00751AB3">
            <w:pPr>
              <w:pStyle w:val="BodyCopyNEW"/>
            </w:pPr>
            <w:r w:rsidRPr="00C537C2">
              <w:rPr>
                <w:szCs w:val="18"/>
              </w:rPr>
              <w:t>NOPSEMA is encouraged to identify, with broad industry input, any potential gaps in engagement with non-operator Health and Safety Representatives (</w:t>
            </w:r>
            <w:r w:rsidRPr="00C537C2">
              <w:rPr>
                <w:b/>
                <w:szCs w:val="18"/>
              </w:rPr>
              <w:t>HSRs</w:t>
            </w:r>
            <w:r w:rsidRPr="00C537C2">
              <w:rPr>
                <w:szCs w:val="18"/>
              </w:rPr>
              <w:t>).</w:t>
            </w:r>
          </w:p>
        </w:tc>
      </w:tr>
    </w:tbl>
    <w:p w14:paraId="6479CB9D" w14:textId="77777777" w:rsidR="00E8232E" w:rsidRDefault="00E8232E" w:rsidP="00BA4D90">
      <w:pPr>
        <w:pStyle w:val="Heading4"/>
      </w:pPr>
      <w:r w:rsidRPr="007B7214">
        <w:t>COVID-19: a case study of effective stakeholder engagement</w:t>
      </w:r>
    </w:p>
    <w:p w14:paraId="2F852499" w14:textId="15F06A0B" w:rsidR="00E8232E" w:rsidRPr="00EC5F12" w:rsidRDefault="00E8232E" w:rsidP="00EC5F12">
      <w:pPr>
        <w:pStyle w:val="Heading3NoNumber"/>
      </w:pPr>
      <w:r w:rsidRPr="00EC5F12">
        <w:t>Recent tripartite approaches employed during the COVID-19 pandemic have been viewed positively by stakeholders</w:t>
      </w:r>
      <w:r w:rsidR="00692CAC" w:rsidRPr="00EC5F12">
        <w:t xml:space="preserve"> </w:t>
      </w:r>
      <w:r w:rsidRPr="00EC5F12">
        <w:t>and momentum should be maintained</w:t>
      </w:r>
    </w:p>
    <w:p w14:paraId="21D9BDE7" w14:textId="77777777" w:rsidR="00E8232E" w:rsidRDefault="00E8232E" w:rsidP="002D458D">
      <w:pPr>
        <w:pStyle w:val="BodyCopyNEW"/>
      </w:pPr>
      <w:r w:rsidRPr="00723E1E">
        <w:t>NOPSEMA convened a forum between industry, regulators, and unions to guide engagement with offshore HSRs, which was pivoted in early 2020 to address the challenges from COVID-19. This was widely viewed by industry, unions, and NOPSEMA as a watershed moment for effective tripartite engagement</w:t>
      </w:r>
      <w:r>
        <w:t xml:space="preserve"> and an effective mechanism for discussing and resolving issues arising from the pandemic in a pragmatic and collaborative manner. </w:t>
      </w:r>
    </w:p>
    <w:p w14:paraId="395702DD" w14:textId="77777777" w:rsidR="00E8232E" w:rsidRDefault="00E8232E" w:rsidP="002D458D">
      <w:pPr>
        <w:pStyle w:val="BodyCopyNEW"/>
      </w:pPr>
      <w:r>
        <w:t>There is b</w:t>
      </w:r>
      <w:r w:rsidRPr="00723E1E">
        <w:t>enefit in tripartite engagements being applied more broadly to proactively and rapidly address emerging health and safety issues and risks.</w:t>
      </w:r>
      <w:r>
        <w:t xml:space="preserve"> T</w:t>
      </w:r>
      <w:r w:rsidRPr="00723E1E">
        <w:t xml:space="preserve">ripartite forums between regulators, industry, and unions are the norm globally. </w:t>
      </w:r>
      <w:r>
        <w:t>F</w:t>
      </w:r>
      <w:r w:rsidRPr="00723E1E">
        <w:t xml:space="preserve">orming ongoing, productive, and open tripartite forums will require the cooperation from all parties and engagements should be aligned to a set of mutually agreed engagement principles. </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E8232E" w:rsidRPr="00DA0585" w14:paraId="096B74D3" w14:textId="77777777" w:rsidTr="00EC5F12">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5A1597C0" w14:textId="30C3C566" w:rsidR="00E8232E" w:rsidRPr="00F72718" w:rsidRDefault="00E8232E" w:rsidP="00053250">
            <w:pPr>
              <w:pStyle w:val="TableHeadingLeft"/>
            </w:pPr>
            <w:r w:rsidRPr="00F72718">
              <w:t>Opportunity #</w:t>
            </w:r>
            <w:r w:rsidR="00B93E48" w:rsidRPr="00F72718">
              <w:t>1</w:t>
            </w:r>
            <w:r w:rsidR="00C224DC">
              <w:t>5</w:t>
            </w:r>
          </w:p>
        </w:tc>
      </w:tr>
      <w:tr w:rsidR="00DA0585" w:rsidRPr="00DA0585" w14:paraId="53346EDA" w14:textId="77777777" w:rsidTr="00EC5F12">
        <w:tc>
          <w:tcPr>
            <w:tcW w:w="5000" w:type="pct"/>
            <w:tcBorders>
              <w:bottom w:val="nil"/>
            </w:tcBorders>
            <w:shd w:val="clear" w:color="auto" w:fill="F2F2F2" w:themeFill="background1" w:themeFillShade="F2"/>
          </w:tcPr>
          <w:p w14:paraId="7A6D6E7B" w14:textId="6B4554B7" w:rsidR="00C039F1" w:rsidRPr="00DA0585" w:rsidRDefault="00C039F1" w:rsidP="00C039F1">
            <w:pPr>
              <w:pStyle w:val="BodyCopyNEW"/>
            </w:pPr>
            <w:r w:rsidRPr="00DA0585">
              <w:rPr>
                <w:szCs w:val="18"/>
              </w:rPr>
              <w:t>NOPSEMA, in collaboration with industry and unions, is encouraged to</w:t>
            </w:r>
            <w:r w:rsidRPr="00DA0585" w:rsidDel="00502ABD">
              <w:rPr>
                <w:szCs w:val="18"/>
              </w:rPr>
              <w:t xml:space="preserve"> </w:t>
            </w:r>
            <w:r w:rsidRPr="00DA0585">
              <w:rPr>
                <w:szCs w:val="18"/>
              </w:rPr>
              <w:t>establish tripartite forum(s) (beyond its current applications) to facilitate proactive engagement on health and safety matters. This could consider the establishment of a mutually agreed set of engagement principles and a clear terms of reference for the forum(s).</w:t>
            </w:r>
          </w:p>
        </w:tc>
      </w:tr>
    </w:tbl>
    <w:p w14:paraId="7E74577B" w14:textId="3366F931" w:rsidR="00887C0C" w:rsidRPr="00F71679" w:rsidRDefault="00887C0C" w:rsidP="00901C7B">
      <w:pPr>
        <w:pStyle w:val="BodyCopyNEW"/>
        <w:spacing w:before="120"/>
      </w:pPr>
      <w:bookmarkStart w:id="109" w:name="_Ref56451574"/>
      <w:r>
        <w:t xml:space="preserve">Although outside the formal scope of our review period, we </w:t>
      </w:r>
      <w:r w:rsidR="00267BB0">
        <w:t>have</w:t>
      </w:r>
      <w:r>
        <w:t xml:space="preserve"> include</w:t>
      </w:r>
      <w:r w:rsidR="00267BB0">
        <w:t>d</w:t>
      </w:r>
      <w:r>
        <w:t xml:space="preserve"> this case study given the near unanimous and strong </w:t>
      </w:r>
      <w:r w:rsidR="00B464D3">
        <w:t xml:space="preserve">positive </w:t>
      </w:r>
      <w:r>
        <w:t>feedback from stakeholders we consulted with and the</w:t>
      </w:r>
      <w:r w:rsidR="00B464D3">
        <w:t xml:space="preserve"> perceived</w:t>
      </w:r>
      <w:r>
        <w:t xml:space="preserve"> importance for NOPSEMA’s engagement model moving forward.</w:t>
      </w:r>
    </w:p>
    <w:p w14:paraId="2840A9B7" w14:textId="0C8B9E13" w:rsidR="00B71E64" w:rsidRPr="00F42387" w:rsidRDefault="00B71E64" w:rsidP="00784E0E">
      <w:pPr>
        <w:pStyle w:val="Heading3"/>
      </w:pPr>
      <w:bookmarkStart w:id="110" w:name="_Ref56431258"/>
      <w:bookmarkEnd w:id="109"/>
      <w:r w:rsidRPr="00F42387">
        <w:t>NOPSEMA’s engagement with other stakeholders</w:t>
      </w:r>
      <w:bookmarkEnd w:id="110"/>
    </w:p>
    <w:p w14:paraId="10A58432" w14:textId="3F7409CE" w:rsidR="00B71E64" w:rsidRPr="00F42387" w:rsidRDefault="00B71E64" w:rsidP="00BA4D90">
      <w:pPr>
        <w:pStyle w:val="Heading4"/>
      </w:pPr>
      <w:r w:rsidRPr="00F42387">
        <w:t xml:space="preserve">NOPSEMA’s relationship with </w:t>
      </w:r>
      <w:r>
        <w:t>u</w:t>
      </w:r>
      <w:r w:rsidRPr="00F42387">
        <w:t>nions</w:t>
      </w:r>
    </w:p>
    <w:p w14:paraId="29972E97" w14:textId="77777777" w:rsidR="00B71E64" w:rsidRPr="00C442B6" w:rsidRDefault="00B71E64" w:rsidP="002D458D">
      <w:pPr>
        <w:pStyle w:val="Heading3NoNumber"/>
      </w:pPr>
      <w:r w:rsidRPr="00F87C84">
        <w:t>NOPSEMA’s relationship with unio</w:t>
      </w:r>
      <w:r>
        <w:t>ns has improved but further work is required</w:t>
      </w:r>
    </w:p>
    <w:p w14:paraId="27E31F3D" w14:textId="6E62F660" w:rsidR="00B71E64" w:rsidRDefault="00B71E64" w:rsidP="002D458D">
      <w:pPr>
        <w:pStyle w:val="BodyCopyNEW"/>
      </w:pPr>
      <w:r>
        <w:t xml:space="preserve">Unions </w:t>
      </w:r>
      <w:r w:rsidR="00B82832">
        <w:t>generally</w:t>
      </w:r>
      <w:r>
        <w:t xml:space="preserve"> perceive that</w:t>
      </w:r>
      <w:r w:rsidRPr="00F42387">
        <w:t xml:space="preserve"> NOPSEMA </w:t>
      </w:r>
      <w:r>
        <w:t>does not sufficiently engage them and is not sufficiently</w:t>
      </w:r>
      <w:r w:rsidRPr="00F42387">
        <w:t xml:space="preserve"> transparent or consistent in their </w:t>
      </w:r>
      <w:r>
        <w:t xml:space="preserve">engagement </w:t>
      </w:r>
      <w:r w:rsidRPr="00F42387">
        <w:t>approach.</w:t>
      </w:r>
      <w:r>
        <w:t xml:space="preserve"> Unions stated that NOPSEMA’s levels of engagement with them </w:t>
      </w:r>
      <w:r w:rsidR="00693588">
        <w:t xml:space="preserve">was </w:t>
      </w:r>
      <w:r>
        <w:t xml:space="preserve">not comparable to engagement </w:t>
      </w:r>
      <w:r w:rsidR="00B82832">
        <w:t>unions</w:t>
      </w:r>
      <w:r>
        <w:t xml:space="preserve"> have with other safety regulators. </w:t>
      </w:r>
    </w:p>
    <w:p w14:paraId="4F322C78" w14:textId="1F13A122" w:rsidR="00B71E64" w:rsidRPr="00F42387" w:rsidRDefault="00B71E64" w:rsidP="002D458D">
      <w:pPr>
        <w:pStyle w:val="BodyCopyNEW"/>
      </w:pPr>
      <w:r w:rsidRPr="00F42387">
        <w:t xml:space="preserve">Specific issues raised by </w:t>
      </w:r>
      <w:r>
        <w:t>u</w:t>
      </w:r>
      <w:r w:rsidRPr="00F42387">
        <w:t>nions</w:t>
      </w:r>
      <w:r>
        <w:t xml:space="preserve"> in relation to engagement activities</w:t>
      </w:r>
      <w:r w:rsidRPr="00F42387">
        <w:t xml:space="preserve"> </w:t>
      </w:r>
      <w:r w:rsidR="00E06640">
        <w:t>included</w:t>
      </w:r>
      <w:r>
        <w:t xml:space="preserve"> a</w:t>
      </w:r>
      <w:r w:rsidRPr="00F42387">
        <w:t>:</w:t>
      </w:r>
    </w:p>
    <w:p w14:paraId="52E0D21B" w14:textId="77777777" w:rsidR="00B71E64" w:rsidRDefault="00B71E64" w:rsidP="000C1F53">
      <w:pPr>
        <w:pStyle w:val="BodyCopyNEW"/>
        <w:numPr>
          <w:ilvl w:val="0"/>
          <w:numId w:val="31"/>
        </w:numPr>
        <w:ind w:left="357" w:hanging="357"/>
      </w:pPr>
      <w:r>
        <w:t>Need for more frequent and regular engagements, outside of ad-hoc union-driven engagements</w:t>
      </w:r>
    </w:p>
    <w:p w14:paraId="15E93FD6" w14:textId="7A8F3103" w:rsidR="00B71E64" w:rsidRDefault="00B71E64" w:rsidP="000C1F53">
      <w:pPr>
        <w:pStyle w:val="BodyCopyNEW"/>
        <w:numPr>
          <w:ilvl w:val="0"/>
          <w:numId w:val="31"/>
        </w:numPr>
        <w:ind w:left="357" w:hanging="357"/>
      </w:pPr>
      <w:r>
        <w:t>L</w:t>
      </w:r>
      <w:r w:rsidRPr="00F42387">
        <w:t>ack of visibility over NOPSEMA decision-making</w:t>
      </w:r>
      <w:r>
        <w:t xml:space="preserve">, in particular </w:t>
      </w:r>
      <w:r w:rsidR="00930741">
        <w:t xml:space="preserve">as to </w:t>
      </w:r>
      <w:r w:rsidRPr="005772A2">
        <w:t>how union feedback has been incorporated into decision-making</w:t>
      </w:r>
    </w:p>
    <w:p w14:paraId="3042A90B" w14:textId="77777777" w:rsidR="00B71E64" w:rsidRPr="005772A2" w:rsidRDefault="00B71E64" w:rsidP="000C1F53">
      <w:pPr>
        <w:pStyle w:val="BodyCopyNEW"/>
        <w:numPr>
          <w:ilvl w:val="0"/>
          <w:numId w:val="31"/>
        </w:numPr>
        <w:ind w:left="357" w:hanging="357"/>
      </w:pPr>
      <w:r>
        <w:t>Lack of sufficient consultation by NOPSEMA with the offshore workforce during inspections</w:t>
      </w:r>
      <w:r w:rsidRPr="005772A2">
        <w:t>.</w:t>
      </w:r>
    </w:p>
    <w:p w14:paraId="4926F0E6" w14:textId="32741A2C" w:rsidR="000A7C60" w:rsidRDefault="00FA45E0" w:rsidP="000A7C60">
      <w:pPr>
        <w:pStyle w:val="BodyCopyNEW"/>
      </w:pPr>
      <w:r>
        <w:t>T</w:t>
      </w:r>
      <w:r w:rsidR="00B71E64" w:rsidRPr="00F42387">
        <w:t>his feedback is consistent with the 2015 Operational Review</w:t>
      </w:r>
      <w:r w:rsidR="00B71E64">
        <w:t xml:space="preserve"> and </w:t>
      </w:r>
      <w:r w:rsidR="00327ACB">
        <w:t>NOPSEMA is</w:t>
      </w:r>
      <w:r>
        <w:t xml:space="preserve"> encouraged </w:t>
      </w:r>
      <w:r w:rsidR="00B71E64">
        <w:t>to continue to build its relationships with unions</w:t>
      </w:r>
      <w:r w:rsidR="00B71E64" w:rsidRPr="00F42387">
        <w:t xml:space="preserve">. </w:t>
      </w:r>
      <w:r>
        <w:t>The aforementioned establishment of tripartite forums will be a useful first step.</w:t>
      </w:r>
      <w:r w:rsidR="0097535A">
        <w:t xml:space="preserve"> In addition, NOPSEMA’s </w:t>
      </w:r>
      <w:r w:rsidR="004F3135">
        <w:t xml:space="preserve">accessibility </w:t>
      </w:r>
      <w:r w:rsidR="001A4224">
        <w:t xml:space="preserve">for unions should be a </w:t>
      </w:r>
      <w:r w:rsidR="00406CAD">
        <w:t>focus. NOPSEMA should engage further with unions on mutually agreeable channels for communication</w:t>
      </w:r>
      <w:r w:rsidR="002F1241">
        <w:t xml:space="preserve"> that blends regular and ad hoc </w:t>
      </w:r>
      <w:r w:rsidR="00B7107C">
        <w:t>engagement mechanisms.</w:t>
      </w:r>
      <w:r w:rsidR="000A7C60">
        <w:t xml:space="preserve"> However, there was acknowledgement from unions that engagement with NOPSEMA has generally improved over the review period – just not to the level </w:t>
      </w:r>
      <w:r w:rsidR="00871B3B">
        <w:t>desired</w:t>
      </w:r>
      <w:r w:rsidR="000A7C60">
        <w:t xml:space="preserve">. </w:t>
      </w:r>
    </w:p>
    <w:p w14:paraId="472A85A4" w14:textId="49EFC368" w:rsidR="00B71E64" w:rsidRPr="00F42387" w:rsidRDefault="00B71E64" w:rsidP="00BA4D90">
      <w:pPr>
        <w:pStyle w:val="Heading4"/>
      </w:pPr>
      <w:bookmarkStart w:id="111" w:name="_Ref63253193"/>
      <w:r w:rsidRPr="00F42387">
        <w:t>NOPSEMA’s relationship with other users of the marine estate</w:t>
      </w:r>
      <w:bookmarkEnd w:id="111"/>
    </w:p>
    <w:p w14:paraId="5D468E88" w14:textId="099E6935" w:rsidR="00B71E64" w:rsidRPr="000F4CBE" w:rsidRDefault="00B71E64" w:rsidP="002D458D">
      <w:pPr>
        <w:pStyle w:val="Heading3NoNumber"/>
      </w:pPr>
      <w:r w:rsidRPr="00F87C84">
        <w:t xml:space="preserve">NOPSEMA’s </w:t>
      </w:r>
      <w:r w:rsidRPr="000F4CBE">
        <w:t>relationship with other users of the marine estate is strained</w:t>
      </w:r>
    </w:p>
    <w:p w14:paraId="043429C9" w14:textId="10728BF8" w:rsidR="004E288F" w:rsidRDefault="00B71E64" w:rsidP="002D458D">
      <w:pPr>
        <w:pStyle w:val="BodyCopyNEW"/>
        <w:rPr>
          <w:rFonts w:cs="OpenSansRegular"/>
        </w:rPr>
      </w:pPr>
      <w:r>
        <w:t xml:space="preserve">Stakeholder feedback during the </w:t>
      </w:r>
      <w:r w:rsidR="00270A1A">
        <w:t xml:space="preserve">review process </w:t>
      </w:r>
      <w:r>
        <w:t xml:space="preserve">highlighted the frustration and anger felt by the fishing industry with regards to the potential impacts of the </w:t>
      </w:r>
      <w:r w:rsidR="00643D10">
        <w:t>petroleum</w:t>
      </w:r>
      <w:r>
        <w:t xml:space="preserve"> industry </w:t>
      </w:r>
      <w:r w:rsidR="00270A1A">
        <w:t xml:space="preserve">on fishing activities </w:t>
      </w:r>
      <w:r>
        <w:t xml:space="preserve">– which </w:t>
      </w:r>
      <w:r w:rsidR="00F12477">
        <w:t>stakeholders noted</w:t>
      </w:r>
      <w:r>
        <w:t xml:space="preserve"> to be a long-held issue. </w:t>
      </w:r>
      <w:r>
        <w:rPr>
          <w:rFonts w:cs="OpenSansRegular"/>
        </w:rPr>
        <w:t xml:space="preserve">Fisheries near universally noted NOPSEMA’s professionalism and openness to engaging with them. </w:t>
      </w:r>
      <w:r w:rsidR="004A4391">
        <w:rPr>
          <w:rFonts w:cs="OpenSansRegular"/>
        </w:rPr>
        <w:t>This reflects a strength in NOPSEMA’s stakeholder engagement approach.</w:t>
      </w:r>
    </w:p>
    <w:p w14:paraId="173939A2" w14:textId="0F386145" w:rsidR="00B71E64" w:rsidRPr="006E4DE0" w:rsidRDefault="00B71E64" w:rsidP="002D458D">
      <w:pPr>
        <w:pStyle w:val="BodyCopyNEW"/>
        <w:rPr>
          <w:rFonts w:cs="Calibri"/>
        </w:rPr>
      </w:pPr>
      <w:r>
        <w:rPr>
          <w:rFonts w:cs="Calibri"/>
        </w:rPr>
        <w:lastRenderedPageBreak/>
        <w:t>However</w:t>
      </w:r>
      <w:r w:rsidR="00AD7F7F">
        <w:rPr>
          <w:rFonts w:cs="Calibri"/>
        </w:rPr>
        <w:t>,</w:t>
      </w:r>
      <w:r>
        <w:rPr>
          <w:rFonts w:cs="Calibri"/>
        </w:rPr>
        <w:t xml:space="preserve"> despite </w:t>
      </w:r>
      <w:r w:rsidR="00B83875">
        <w:rPr>
          <w:rFonts w:cs="Calibri"/>
        </w:rPr>
        <w:t xml:space="preserve">the </w:t>
      </w:r>
      <w:r w:rsidR="00D51AFF">
        <w:rPr>
          <w:rFonts w:cs="Calibri"/>
        </w:rPr>
        <w:t>openness</w:t>
      </w:r>
      <w:r w:rsidR="005F5169">
        <w:rPr>
          <w:rFonts w:cs="Calibri"/>
        </w:rPr>
        <w:t xml:space="preserve">, </w:t>
      </w:r>
      <w:r w:rsidR="00D51AFF">
        <w:rPr>
          <w:rFonts w:cs="Calibri"/>
        </w:rPr>
        <w:t>professional</w:t>
      </w:r>
      <w:r w:rsidR="00D4753C">
        <w:rPr>
          <w:rFonts w:cs="Calibri"/>
        </w:rPr>
        <w:t xml:space="preserve">ism of </w:t>
      </w:r>
      <w:r w:rsidR="005F5169">
        <w:rPr>
          <w:rFonts w:cs="Calibri"/>
        </w:rPr>
        <w:t xml:space="preserve">staff, </w:t>
      </w:r>
      <w:r w:rsidR="002621C3">
        <w:rPr>
          <w:rFonts w:cs="Calibri"/>
        </w:rPr>
        <w:t xml:space="preserve">and </w:t>
      </w:r>
      <w:r w:rsidR="006668B8">
        <w:rPr>
          <w:rFonts w:cs="Calibri"/>
        </w:rPr>
        <w:t>demonstrated</w:t>
      </w:r>
      <w:r w:rsidR="002621C3">
        <w:rPr>
          <w:rFonts w:cs="Calibri"/>
        </w:rPr>
        <w:t xml:space="preserve"> willingness </w:t>
      </w:r>
      <w:r w:rsidR="005F5169">
        <w:rPr>
          <w:rFonts w:cs="Calibri"/>
        </w:rPr>
        <w:t>by NOPSEMA</w:t>
      </w:r>
      <w:r>
        <w:rPr>
          <w:rFonts w:cs="Calibri"/>
        </w:rPr>
        <w:t xml:space="preserve">, the </w:t>
      </w:r>
      <w:r w:rsidRPr="000F4CBE">
        <w:t xml:space="preserve">relationship </w:t>
      </w:r>
      <w:r>
        <w:t>between NOPSEMA and</w:t>
      </w:r>
      <w:r w:rsidRPr="000F4CBE">
        <w:t xml:space="preserve"> other users of the marine estate (e.g. commercial fishing, pearling) has </w:t>
      </w:r>
      <w:r w:rsidR="004E288F">
        <w:t>eroded</w:t>
      </w:r>
      <w:r w:rsidRPr="000F4CBE">
        <w:t xml:space="preserve"> across the </w:t>
      </w:r>
      <w:r w:rsidR="00866821">
        <w:t>review</w:t>
      </w:r>
      <w:r w:rsidR="00866821" w:rsidRPr="000F4CBE">
        <w:t xml:space="preserve"> </w:t>
      </w:r>
      <w:r w:rsidRPr="000F4CBE">
        <w:t xml:space="preserve">period. </w:t>
      </w:r>
      <w:r w:rsidR="006E5AC0">
        <w:t>This is based on feedback from our stakeholder survey, stakeholder interviews, and discussions with NOPSEMA.</w:t>
      </w:r>
      <w:r w:rsidRPr="000F4CBE">
        <w:t xml:space="preserve"> </w:t>
      </w:r>
      <w:r w:rsidR="00B83875">
        <w:t>We observed</w:t>
      </w:r>
      <w:r w:rsidR="00333F3C">
        <w:t xml:space="preserve"> low trust and confidence in NOPSEMA as </w:t>
      </w:r>
      <w:r w:rsidR="00B83875">
        <w:t xml:space="preserve">the </w:t>
      </w:r>
      <w:r w:rsidR="00333F3C">
        <w:t>regulator</w:t>
      </w:r>
      <w:r w:rsidR="006E5AC0">
        <w:t xml:space="preserve"> </w:t>
      </w:r>
      <w:r w:rsidR="00B83875">
        <w:t xml:space="preserve">for offshore petroleum </w:t>
      </w:r>
      <w:r w:rsidR="001624B3">
        <w:t xml:space="preserve">activities </w:t>
      </w:r>
      <w:r w:rsidR="006E5AC0">
        <w:t>with this group</w:t>
      </w:r>
      <w:r w:rsidR="00333F3C">
        <w:t>.</w:t>
      </w:r>
      <w:r w:rsidRPr="000F4CBE">
        <w:t xml:space="preserve"> Potential drivers </w:t>
      </w:r>
      <w:r>
        <w:t xml:space="preserve">and exacerbating factors </w:t>
      </w:r>
      <w:r w:rsidR="006A7C65">
        <w:t xml:space="preserve">that </w:t>
      </w:r>
      <w:r w:rsidR="00784563">
        <w:t xml:space="preserve">may have contributed to </w:t>
      </w:r>
      <w:r w:rsidRPr="000F4CBE">
        <w:t xml:space="preserve">this </w:t>
      </w:r>
      <w:r w:rsidR="004E288F">
        <w:t>erosion include</w:t>
      </w:r>
      <w:r w:rsidRPr="000F4CBE">
        <w:t>:</w:t>
      </w:r>
    </w:p>
    <w:p w14:paraId="5C588069" w14:textId="0BCB1281" w:rsidR="00B71E64" w:rsidRPr="0012633F" w:rsidRDefault="00B71E64" w:rsidP="000C1F53">
      <w:pPr>
        <w:pStyle w:val="BodycopyNEW0"/>
        <w:numPr>
          <w:ilvl w:val="0"/>
          <w:numId w:val="23"/>
        </w:numPr>
        <w:ind w:left="378"/>
        <w:rPr>
          <w:szCs w:val="18"/>
        </w:rPr>
      </w:pPr>
      <w:r w:rsidRPr="000F4CBE">
        <w:t>Greater transparency over proposed offshore petroleum activities</w:t>
      </w:r>
      <w:r>
        <w:t xml:space="preserve"> with the introduction of the </w:t>
      </w:r>
      <w:r w:rsidR="00807EB7">
        <w:t xml:space="preserve">transparency </w:t>
      </w:r>
      <w:r>
        <w:t xml:space="preserve">enhancements for the </w:t>
      </w:r>
      <w:r w:rsidR="00333F3C">
        <w:t>EP assessment</w:t>
      </w:r>
      <w:r>
        <w:t xml:space="preserve"> process</w:t>
      </w:r>
      <w:r w:rsidR="00807EB7">
        <w:t xml:space="preserve"> (i.e. </w:t>
      </w:r>
      <w:r w:rsidR="006736DD">
        <w:t xml:space="preserve">a </w:t>
      </w:r>
      <w:r w:rsidR="00807EB7">
        <w:t xml:space="preserve">public comment period </w:t>
      </w:r>
      <w:r w:rsidR="006736DD">
        <w:t xml:space="preserve">for EPs </w:t>
      </w:r>
      <w:r w:rsidR="00C36B94">
        <w:t xml:space="preserve">related to exploration activities </w:t>
      </w:r>
      <w:r w:rsidR="00807EB7">
        <w:t xml:space="preserve">and </w:t>
      </w:r>
      <w:r w:rsidR="0090415B">
        <w:t xml:space="preserve">mandatory </w:t>
      </w:r>
      <w:r w:rsidR="00665BC9">
        <w:t xml:space="preserve">publication </w:t>
      </w:r>
      <w:r w:rsidR="0090415B">
        <w:t xml:space="preserve">of EPs </w:t>
      </w:r>
      <w:r w:rsidR="00665BC9">
        <w:t xml:space="preserve">on the </w:t>
      </w:r>
      <w:r w:rsidR="0097561D">
        <w:t>NOPSEMA</w:t>
      </w:r>
      <w:r w:rsidR="00665BC9">
        <w:t xml:space="preserve"> website)</w:t>
      </w:r>
      <w:r>
        <w:t xml:space="preserve">, which </w:t>
      </w:r>
      <w:r w:rsidR="001624B3">
        <w:t xml:space="preserve">served to </w:t>
      </w:r>
      <w:r w:rsidRPr="0012633F">
        <w:rPr>
          <w:szCs w:val="18"/>
        </w:rPr>
        <w:t xml:space="preserve">highlighted potential issues </w:t>
      </w:r>
      <w:r w:rsidR="001624B3" w:rsidRPr="0012633F">
        <w:rPr>
          <w:szCs w:val="18"/>
        </w:rPr>
        <w:t>and risks of titleholder activities</w:t>
      </w:r>
      <w:r w:rsidRPr="0012633F">
        <w:rPr>
          <w:szCs w:val="18"/>
        </w:rPr>
        <w:t xml:space="preserve"> to affected stakeholders</w:t>
      </w:r>
    </w:p>
    <w:p w14:paraId="59FF3769" w14:textId="48BF9E40" w:rsidR="00B71E64" w:rsidRPr="0012633F" w:rsidRDefault="00B71E64" w:rsidP="000C1F53">
      <w:pPr>
        <w:pStyle w:val="BodycopyNEW0"/>
        <w:numPr>
          <w:ilvl w:val="0"/>
          <w:numId w:val="23"/>
        </w:numPr>
        <w:ind w:left="378"/>
        <w:rPr>
          <w:szCs w:val="18"/>
        </w:rPr>
      </w:pPr>
      <w:r w:rsidRPr="0012633F">
        <w:rPr>
          <w:szCs w:val="18"/>
        </w:rPr>
        <w:t xml:space="preserve">Fundamental disagreement between the </w:t>
      </w:r>
      <w:r w:rsidR="005865F5" w:rsidRPr="0012633F">
        <w:rPr>
          <w:szCs w:val="18"/>
        </w:rPr>
        <w:t>f</w:t>
      </w:r>
      <w:r w:rsidRPr="0012633F">
        <w:rPr>
          <w:szCs w:val="18"/>
        </w:rPr>
        <w:t>ishing industry</w:t>
      </w:r>
      <w:r w:rsidR="005865F5" w:rsidRPr="0012633F">
        <w:rPr>
          <w:szCs w:val="18"/>
        </w:rPr>
        <w:t>,</w:t>
      </w:r>
      <w:r w:rsidRPr="0012633F">
        <w:rPr>
          <w:szCs w:val="18"/>
        </w:rPr>
        <w:t xml:space="preserve"> </w:t>
      </w:r>
      <w:r w:rsidR="00B66761" w:rsidRPr="0012633F">
        <w:rPr>
          <w:szCs w:val="18"/>
        </w:rPr>
        <w:t>title</w:t>
      </w:r>
      <w:r w:rsidR="005865F5" w:rsidRPr="0012633F">
        <w:rPr>
          <w:szCs w:val="18"/>
        </w:rPr>
        <w:t>holders,</w:t>
      </w:r>
      <w:r w:rsidRPr="0012633F">
        <w:rPr>
          <w:szCs w:val="18"/>
        </w:rPr>
        <w:t xml:space="preserve"> and NOPSEMA over the definition of ALARP and ‘acceptability’ in the context of </w:t>
      </w:r>
      <w:r w:rsidR="00E5532B" w:rsidRPr="0012633F">
        <w:rPr>
          <w:szCs w:val="18"/>
        </w:rPr>
        <w:t>EPs,</w:t>
      </w:r>
      <w:r w:rsidRPr="0012633F">
        <w:rPr>
          <w:szCs w:val="18"/>
        </w:rPr>
        <w:t xml:space="preserve"> risk impacts to commercial fishing activities</w:t>
      </w:r>
      <w:r w:rsidR="00E5532B" w:rsidRPr="0012633F">
        <w:rPr>
          <w:szCs w:val="18"/>
        </w:rPr>
        <w:t>, and restorative measures</w:t>
      </w:r>
      <w:r w:rsidRPr="0012633F">
        <w:rPr>
          <w:szCs w:val="18"/>
        </w:rPr>
        <w:t xml:space="preserve">. The </w:t>
      </w:r>
      <w:r w:rsidR="00246043" w:rsidRPr="0012633F">
        <w:rPr>
          <w:szCs w:val="18"/>
        </w:rPr>
        <w:t>Chief</w:t>
      </w:r>
      <w:r w:rsidR="00BB6987" w:rsidRPr="0012633F">
        <w:rPr>
          <w:szCs w:val="18"/>
        </w:rPr>
        <w:t xml:space="preserve"> </w:t>
      </w:r>
      <w:r w:rsidR="00246043" w:rsidRPr="0012633F">
        <w:rPr>
          <w:szCs w:val="18"/>
        </w:rPr>
        <w:t>Sci</w:t>
      </w:r>
      <w:r w:rsidR="00BB6987" w:rsidRPr="0012633F">
        <w:rPr>
          <w:szCs w:val="18"/>
        </w:rPr>
        <w:t>entist’s</w:t>
      </w:r>
      <w:r w:rsidRPr="0012633F">
        <w:rPr>
          <w:szCs w:val="18"/>
        </w:rPr>
        <w:t xml:space="preserve"> Independent Audit </w:t>
      </w:r>
      <w:r w:rsidR="002044FD" w:rsidRPr="0012633F">
        <w:rPr>
          <w:szCs w:val="18"/>
        </w:rPr>
        <w:t>into NOPSEMA</w:t>
      </w:r>
      <w:r w:rsidRPr="0012633F">
        <w:rPr>
          <w:i/>
          <w:szCs w:val="18"/>
        </w:rPr>
        <w:t xml:space="preserve"> </w:t>
      </w:r>
      <w:r w:rsidRPr="0012633F">
        <w:rPr>
          <w:szCs w:val="18"/>
        </w:rPr>
        <w:t xml:space="preserve">identified </w:t>
      </w:r>
      <w:r w:rsidR="00E5532B" w:rsidRPr="0012633F">
        <w:rPr>
          <w:szCs w:val="18"/>
        </w:rPr>
        <w:t>a</w:t>
      </w:r>
      <w:r w:rsidRPr="0012633F">
        <w:rPr>
          <w:szCs w:val="18"/>
        </w:rPr>
        <w:t xml:space="preserve"> relevant opportunity for improving clarity in this area, which we </w:t>
      </w:r>
      <w:r w:rsidR="00665BC9" w:rsidRPr="0012633F">
        <w:rPr>
          <w:szCs w:val="18"/>
        </w:rPr>
        <w:t>agree with in principal</w:t>
      </w:r>
      <w:r w:rsidRPr="0012633F">
        <w:rPr>
          <w:szCs w:val="18"/>
        </w:rPr>
        <w:t>:</w:t>
      </w:r>
    </w:p>
    <w:p w14:paraId="4B3A147D" w14:textId="32AA5FAE" w:rsidR="00B71E64" w:rsidRPr="0012633F" w:rsidRDefault="00B71E64" w:rsidP="002D458D">
      <w:pPr>
        <w:pStyle w:val="Bodybullet2"/>
        <w:rPr>
          <w:i/>
          <w:szCs w:val="18"/>
        </w:rPr>
      </w:pPr>
      <w:r w:rsidRPr="0012633F">
        <w:rPr>
          <w:i/>
          <w:szCs w:val="18"/>
        </w:rPr>
        <w:t xml:space="preserve">“NOPSEMA could provide clearer guidance to the public </w:t>
      </w:r>
      <w:r w:rsidR="007D45CA" w:rsidRPr="0012633F">
        <w:rPr>
          <w:i/>
          <w:szCs w:val="18"/>
        </w:rPr>
        <w:t xml:space="preserve">[and, by extension, the fishing industry] </w:t>
      </w:r>
      <w:r w:rsidRPr="0012633F">
        <w:rPr>
          <w:i/>
          <w:szCs w:val="18"/>
        </w:rPr>
        <w:t>on what it considers when it assesses environmental impact and risk to be ALARP and acceptable</w:t>
      </w:r>
      <w:r w:rsidR="00520AB6" w:rsidRPr="0012633F">
        <w:rPr>
          <w:szCs w:val="18"/>
          <w:vertAlign w:val="superscript"/>
        </w:rPr>
        <w:footnoteReference w:id="42"/>
      </w:r>
      <w:r w:rsidRPr="0012633F">
        <w:rPr>
          <w:i/>
          <w:szCs w:val="18"/>
        </w:rPr>
        <w:t>.”</w:t>
      </w:r>
      <w:r w:rsidR="00BB6987" w:rsidRPr="0012633F">
        <w:rPr>
          <w:szCs w:val="18"/>
          <w:vertAlign w:val="superscript"/>
        </w:rPr>
        <w:t xml:space="preserve"> </w:t>
      </w:r>
    </w:p>
    <w:p w14:paraId="346108BA" w14:textId="7A26D6C9" w:rsidR="00B71E64" w:rsidRPr="0012633F" w:rsidRDefault="007D45CA" w:rsidP="000C1F53">
      <w:pPr>
        <w:pStyle w:val="BodycopyNEW0"/>
        <w:numPr>
          <w:ilvl w:val="0"/>
          <w:numId w:val="23"/>
        </w:numPr>
        <w:ind w:left="378"/>
        <w:rPr>
          <w:szCs w:val="18"/>
        </w:rPr>
      </w:pPr>
      <w:r w:rsidRPr="0012633F">
        <w:rPr>
          <w:szCs w:val="18"/>
        </w:rPr>
        <w:t>Confusion</w:t>
      </w:r>
      <w:r w:rsidR="00B71E64" w:rsidRPr="0012633F">
        <w:rPr>
          <w:szCs w:val="18"/>
        </w:rPr>
        <w:t xml:space="preserve"> over NOPSEMA’s role in regulating offshore petroleum activitie</w:t>
      </w:r>
      <w:r w:rsidR="0044068B" w:rsidRPr="0012633F">
        <w:rPr>
          <w:szCs w:val="18"/>
        </w:rPr>
        <w:t xml:space="preserve">s, particularly with regard to </w:t>
      </w:r>
      <w:r w:rsidR="000633CE" w:rsidRPr="0012633F">
        <w:rPr>
          <w:szCs w:val="18"/>
        </w:rPr>
        <w:t>perceptions</w:t>
      </w:r>
      <w:r w:rsidR="0044068B" w:rsidRPr="0012633F">
        <w:rPr>
          <w:szCs w:val="18"/>
        </w:rPr>
        <w:t xml:space="preserve"> by many fisheries </w:t>
      </w:r>
      <w:r w:rsidR="00C165CF" w:rsidRPr="0012633F">
        <w:rPr>
          <w:szCs w:val="18"/>
        </w:rPr>
        <w:t xml:space="preserve">that </w:t>
      </w:r>
      <w:r w:rsidR="000633CE" w:rsidRPr="0012633F">
        <w:rPr>
          <w:szCs w:val="18"/>
        </w:rPr>
        <w:t xml:space="preserve">NOPSEMA </w:t>
      </w:r>
      <w:r w:rsidR="00C165CF" w:rsidRPr="0012633F">
        <w:rPr>
          <w:szCs w:val="18"/>
        </w:rPr>
        <w:t>should preside</w:t>
      </w:r>
      <w:r w:rsidR="00233E51" w:rsidRPr="0012633F">
        <w:rPr>
          <w:szCs w:val="18"/>
        </w:rPr>
        <w:t xml:space="preserve"> </w:t>
      </w:r>
      <w:r w:rsidR="00BF45AE" w:rsidRPr="0012633F">
        <w:rPr>
          <w:szCs w:val="18"/>
        </w:rPr>
        <w:t xml:space="preserve">over </w:t>
      </w:r>
      <w:r w:rsidR="00D40F6C" w:rsidRPr="0012633F">
        <w:rPr>
          <w:szCs w:val="18"/>
        </w:rPr>
        <w:t xml:space="preserve">disputes </w:t>
      </w:r>
      <w:r w:rsidR="00BD1B9C" w:rsidRPr="0012633F">
        <w:rPr>
          <w:szCs w:val="18"/>
        </w:rPr>
        <w:t xml:space="preserve">between fisheries and </w:t>
      </w:r>
      <w:r w:rsidR="00CD4246" w:rsidRPr="0012633F">
        <w:rPr>
          <w:szCs w:val="18"/>
        </w:rPr>
        <w:t>titleholders</w:t>
      </w:r>
      <w:r w:rsidR="00C165CF" w:rsidRPr="0012633F">
        <w:rPr>
          <w:szCs w:val="18"/>
        </w:rPr>
        <w:t xml:space="preserve"> and that NOPSEMA </w:t>
      </w:r>
      <w:r w:rsidR="00EC6B53" w:rsidRPr="0012633F">
        <w:rPr>
          <w:szCs w:val="18"/>
        </w:rPr>
        <w:t xml:space="preserve">has a policy role, when neither of these are </w:t>
      </w:r>
      <w:r w:rsidR="00E810A9" w:rsidRPr="0012633F">
        <w:rPr>
          <w:szCs w:val="18"/>
        </w:rPr>
        <w:t>legislated roles of NOPSEMA</w:t>
      </w:r>
    </w:p>
    <w:p w14:paraId="21E175FD" w14:textId="40173EFE" w:rsidR="00B71E64" w:rsidRPr="0012633F" w:rsidRDefault="00B71E64" w:rsidP="000C1F53">
      <w:pPr>
        <w:pStyle w:val="BodycopyNEW0"/>
        <w:numPr>
          <w:ilvl w:val="0"/>
          <w:numId w:val="23"/>
        </w:numPr>
        <w:ind w:left="378"/>
        <w:rPr>
          <w:szCs w:val="18"/>
        </w:rPr>
      </w:pPr>
      <w:r w:rsidRPr="0012633F">
        <w:rPr>
          <w:szCs w:val="18"/>
        </w:rPr>
        <w:t xml:space="preserve">Poor clarity on guidance relating to </w:t>
      </w:r>
      <w:r w:rsidR="00E810A9" w:rsidRPr="0012633F">
        <w:rPr>
          <w:szCs w:val="18"/>
        </w:rPr>
        <w:t>‘</w:t>
      </w:r>
      <w:r w:rsidRPr="0012633F">
        <w:rPr>
          <w:szCs w:val="18"/>
        </w:rPr>
        <w:t>relevant persons</w:t>
      </w:r>
      <w:r w:rsidR="00E810A9" w:rsidRPr="0012633F">
        <w:rPr>
          <w:szCs w:val="18"/>
        </w:rPr>
        <w:t>’</w:t>
      </w:r>
      <w:r w:rsidR="00CC754B" w:rsidRPr="0012633F">
        <w:rPr>
          <w:szCs w:val="18"/>
        </w:rPr>
        <w:t xml:space="preserve"> as set out in the Environment Regulations</w:t>
      </w:r>
      <w:r w:rsidRPr="0012633F">
        <w:rPr>
          <w:szCs w:val="18"/>
        </w:rPr>
        <w:t xml:space="preserve">. While some members of industry felt there had been improvement in guidance from NOPSEMA in helping define relevant persons, several stakeholders expressed a persisting lack of clarity over this definition. Consistent with the </w:t>
      </w:r>
      <w:r w:rsidR="00C4683F" w:rsidRPr="0012633F">
        <w:rPr>
          <w:szCs w:val="18"/>
        </w:rPr>
        <w:t>2015</w:t>
      </w:r>
      <w:r w:rsidRPr="0012633F">
        <w:rPr>
          <w:szCs w:val="18"/>
        </w:rPr>
        <w:t xml:space="preserve"> Operational Review, other </w:t>
      </w:r>
      <w:r w:rsidR="00087B94" w:rsidRPr="0012633F">
        <w:rPr>
          <w:szCs w:val="18"/>
        </w:rPr>
        <w:t xml:space="preserve">industry </w:t>
      </w:r>
      <w:r w:rsidRPr="0012633F">
        <w:rPr>
          <w:szCs w:val="18"/>
        </w:rPr>
        <w:t xml:space="preserve">stakeholders provided feedback that they are not sufficiently consulted on the development of risk mitigations or remediation plans for activities potentially impacting their operations. Although it is the responsibility of the </w:t>
      </w:r>
      <w:r w:rsidR="00087B94" w:rsidRPr="0012633F">
        <w:rPr>
          <w:szCs w:val="18"/>
        </w:rPr>
        <w:t>title</w:t>
      </w:r>
      <w:r w:rsidR="006E6166" w:rsidRPr="0012633F">
        <w:rPr>
          <w:szCs w:val="18"/>
        </w:rPr>
        <w:t>holder</w:t>
      </w:r>
      <w:r w:rsidRPr="0012633F">
        <w:rPr>
          <w:szCs w:val="18"/>
        </w:rPr>
        <w:t xml:space="preserve"> undertaking the activity to specify the risk mitigation proposed (in consultation with relevant persons), further work is needed to engage </w:t>
      </w:r>
      <w:r w:rsidR="00452C64" w:rsidRPr="0012633F">
        <w:rPr>
          <w:szCs w:val="18"/>
        </w:rPr>
        <w:t xml:space="preserve">impacted </w:t>
      </w:r>
      <w:r w:rsidRPr="0012633F">
        <w:rPr>
          <w:szCs w:val="18"/>
        </w:rPr>
        <w:t xml:space="preserve">adjacent industries. </w:t>
      </w:r>
      <w:r w:rsidR="00127DFE" w:rsidRPr="0012633F">
        <w:rPr>
          <w:szCs w:val="18"/>
        </w:rPr>
        <w:t>T</w:t>
      </w:r>
      <w:r w:rsidRPr="0012633F">
        <w:rPr>
          <w:szCs w:val="18"/>
        </w:rPr>
        <w:t>he Independent Audit of NOPSEMA</w:t>
      </w:r>
      <w:r w:rsidRPr="0012633F">
        <w:rPr>
          <w:i/>
          <w:szCs w:val="18"/>
        </w:rPr>
        <w:t xml:space="preserve"> </w:t>
      </w:r>
      <w:r w:rsidRPr="0012633F">
        <w:rPr>
          <w:szCs w:val="18"/>
        </w:rPr>
        <w:t xml:space="preserve">identified two opportunities for improving clarity in this area, which </w:t>
      </w:r>
      <w:r w:rsidR="00452C64" w:rsidRPr="0012633F">
        <w:rPr>
          <w:szCs w:val="18"/>
        </w:rPr>
        <w:t>we agree with</w:t>
      </w:r>
      <w:r w:rsidRPr="0012633F">
        <w:rPr>
          <w:szCs w:val="18"/>
        </w:rPr>
        <w:t>:</w:t>
      </w:r>
    </w:p>
    <w:p w14:paraId="61781DA3" w14:textId="66E78E13" w:rsidR="00B71E64" w:rsidRPr="0012633F" w:rsidRDefault="00B71E64" w:rsidP="002D458D">
      <w:pPr>
        <w:pStyle w:val="Bodybullet2"/>
        <w:rPr>
          <w:i/>
          <w:szCs w:val="18"/>
        </w:rPr>
      </w:pPr>
      <w:r w:rsidRPr="0012633F">
        <w:rPr>
          <w:i/>
          <w:szCs w:val="18"/>
        </w:rPr>
        <w:t xml:space="preserve">“Opportunity: NOPSEMA could provide further clarification to the public </w:t>
      </w:r>
      <w:r w:rsidR="00127DFE" w:rsidRPr="0012633F">
        <w:rPr>
          <w:i/>
          <w:szCs w:val="18"/>
        </w:rPr>
        <w:t xml:space="preserve">[and, by extension, the fishing industry] </w:t>
      </w:r>
      <w:r w:rsidRPr="0012633F">
        <w:rPr>
          <w:i/>
          <w:szCs w:val="18"/>
        </w:rPr>
        <w:t>of what it considers when it assesses whether titleholders have appropriately identified and consulted with relevant persons</w:t>
      </w:r>
    </w:p>
    <w:p w14:paraId="5815CEEE" w14:textId="36A892E8" w:rsidR="00B71E64" w:rsidRPr="0012633F" w:rsidRDefault="00B71E64" w:rsidP="002D458D">
      <w:pPr>
        <w:pStyle w:val="Bodybullet2"/>
        <w:rPr>
          <w:szCs w:val="18"/>
        </w:rPr>
      </w:pPr>
      <w:r w:rsidRPr="0012633F">
        <w:rPr>
          <w:i/>
          <w:szCs w:val="18"/>
        </w:rPr>
        <w:t>Opportunity: Titleholders could consider ongoing community engagement opportunities for stakeholders not meeting the regulatory definition of relevant persons</w:t>
      </w:r>
      <w:r w:rsidR="00520AB6" w:rsidRPr="0012633F">
        <w:rPr>
          <w:rStyle w:val="FootnoteReference"/>
          <w:i/>
          <w:sz w:val="18"/>
          <w:szCs w:val="18"/>
        </w:rPr>
        <w:footnoteReference w:id="43"/>
      </w:r>
      <w:r w:rsidRPr="0012633F">
        <w:rPr>
          <w:i/>
          <w:szCs w:val="18"/>
        </w:rPr>
        <w:t>.”</w:t>
      </w:r>
    </w:p>
    <w:p w14:paraId="1E2F4280" w14:textId="3F0BAB87" w:rsidR="006F191D" w:rsidRPr="0012633F" w:rsidRDefault="00862947" w:rsidP="002D458D">
      <w:pPr>
        <w:pStyle w:val="BodyCopyNEW"/>
        <w:rPr>
          <w:szCs w:val="18"/>
        </w:rPr>
      </w:pPr>
      <w:r w:rsidRPr="0012633F">
        <w:rPr>
          <w:szCs w:val="18"/>
        </w:rPr>
        <w:t>NOPSEMA has undertake</w:t>
      </w:r>
      <w:r w:rsidR="00CF1908" w:rsidRPr="0012633F">
        <w:rPr>
          <w:szCs w:val="18"/>
        </w:rPr>
        <w:t>n</w:t>
      </w:r>
      <w:r w:rsidRPr="0012633F">
        <w:rPr>
          <w:szCs w:val="18"/>
        </w:rPr>
        <w:t xml:space="preserve"> a number of actions in </w:t>
      </w:r>
      <w:r w:rsidR="00CF1908" w:rsidRPr="0012633F">
        <w:rPr>
          <w:szCs w:val="18"/>
        </w:rPr>
        <w:t>response</w:t>
      </w:r>
      <w:r w:rsidRPr="0012633F">
        <w:rPr>
          <w:szCs w:val="18"/>
        </w:rPr>
        <w:t xml:space="preserve"> to the opportunities raised by the Independent Audit into </w:t>
      </w:r>
      <w:r w:rsidR="0097561D" w:rsidRPr="0012633F">
        <w:rPr>
          <w:szCs w:val="18"/>
        </w:rPr>
        <w:t>NOPSEMA</w:t>
      </w:r>
      <w:r w:rsidR="00CF1908" w:rsidRPr="0012633F">
        <w:rPr>
          <w:szCs w:val="18"/>
        </w:rPr>
        <w:t>, which we</w:t>
      </w:r>
      <w:r w:rsidRPr="0012633F">
        <w:rPr>
          <w:szCs w:val="18"/>
        </w:rPr>
        <w:t xml:space="preserve"> do not replicate </w:t>
      </w:r>
      <w:r w:rsidR="00CF1908" w:rsidRPr="0012633F">
        <w:rPr>
          <w:szCs w:val="18"/>
        </w:rPr>
        <w:t xml:space="preserve">or examine in detail </w:t>
      </w:r>
      <w:r w:rsidRPr="0012633F">
        <w:rPr>
          <w:szCs w:val="18"/>
        </w:rPr>
        <w:t xml:space="preserve">here. </w:t>
      </w:r>
    </w:p>
    <w:p w14:paraId="51261945" w14:textId="48FDBBFA" w:rsidR="00B71E64" w:rsidRPr="0012633F" w:rsidRDefault="006D4005" w:rsidP="002D458D">
      <w:pPr>
        <w:pStyle w:val="BodyCopyNEW"/>
        <w:rPr>
          <w:szCs w:val="18"/>
        </w:rPr>
      </w:pPr>
      <w:r w:rsidRPr="0012633F">
        <w:rPr>
          <w:szCs w:val="18"/>
        </w:rPr>
        <w:t xml:space="preserve">The </w:t>
      </w:r>
      <w:r w:rsidR="00B71E64" w:rsidRPr="0012633F">
        <w:rPr>
          <w:szCs w:val="18"/>
        </w:rPr>
        <w:t>impacts of stakeholder fatigue</w:t>
      </w:r>
      <w:r w:rsidRPr="0012633F">
        <w:rPr>
          <w:szCs w:val="18"/>
        </w:rPr>
        <w:t>,</w:t>
      </w:r>
      <w:r w:rsidR="00B71E64" w:rsidRPr="0012633F">
        <w:rPr>
          <w:szCs w:val="18"/>
        </w:rPr>
        <w:t xml:space="preserve"> reported by a number of stakeholders who are required to provide multiple submissions into multiple </w:t>
      </w:r>
      <w:r w:rsidR="008832BE" w:rsidRPr="0012633F">
        <w:rPr>
          <w:szCs w:val="18"/>
        </w:rPr>
        <w:t>EP</w:t>
      </w:r>
      <w:r w:rsidR="00B71E64" w:rsidRPr="0012633F">
        <w:rPr>
          <w:szCs w:val="18"/>
        </w:rPr>
        <w:t xml:space="preserve"> assessment processes for the same or similar geography</w:t>
      </w:r>
      <w:r w:rsidRPr="0012633F">
        <w:rPr>
          <w:szCs w:val="18"/>
        </w:rPr>
        <w:t>, could become an issue</w:t>
      </w:r>
      <w:r w:rsidR="006464E3" w:rsidRPr="0012633F">
        <w:rPr>
          <w:szCs w:val="18"/>
        </w:rPr>
        <w:t xml:space="preserve"> for NOPSEMA</w:t>
      </w:r>
      <w:r w:rsidR="00B71E64" w:rsidRPr="0012633F">
        <w:rPr>
          <w:szCs w:val="18"/>
        </w:rPr>
        <w:t xml:space="preserve">. By way of example, a single fisheries organisation may have multiple </w:t>
      </w:r>
      <w:r w:rsidR="008832BE" w:rsidRPr="0012633F">
        <w:rPr>
          <w:szCs w:val="18"/>
        </w:rPr>
        <w:t>EPs</w:t>
      </w:r>
      <w:r w:rsidR="00B71E64" w:rsidRPr="0012633F">
        <w:rPr>
          <w:szCs w:val="18"/>
        </w:rPr>
        <w:t xml:space="preserve"> to provide feedback on in rapid succession, resulting in significant cost and effort for the fishery</w:t>
      </w:r>
      <w:r w:rsidR="008832BE" w:rsidRPr="0012633F">
        <w:rPr>
          <w:szCs w:val="18"/>
        </w:rPr>
        <w:t xml:space="preserve"> in question</w:t>
      </w:r>
      <w:r w:rsidR="00B71E64" w:rsidRPr="0012633F">
        <w:rPr>
          <w:szCs w:val="18"/>
        </w:rPr>
        <w:t xml:space="preserve">. </w:t>
      </w:r>
      <w:r w:rsidR="008832BE" w:rsidRPr="0012633F">
        <w:rPr>
          <w:szCs w:val="18"/>
        </w:rPr>
        <w:t>Many of these organisations are resource constrained due to their relatively small size. We do</w:t>
      </w:r>
      <w:r w:rsidR="00B71E64" w:rsidRPr="0012633F">
        <w:rPr>
          <w:szCs w:val="18"/>
        </w:rPr>
        <w:t xml:space="preserve"> not </w:t>
      </w:r>
      <w:r w:rsidR="008832BE" w:rsidRPr="0012633F">
        <w:rPr>
          <w:szCs w:val="18"/>
        </w:rPr>
        <w:t xml:space="preserve">consider </w:t>
      </w:r>
      <w:r w:rsidR="0022348A" w:rsidRPr="0012633F">
        <w:rPr>
          <w:szCs w:val="18"/>
        </w:rPr>
        <w:t>this</w:t>
      </w:r>
      <w:r w:rsidR="008832BE" w:rsidRPr="0012633F">
        <w:rPr>
          <w:szCs w:val="18"/>
        </w:rPr>
        <w:t xml:space="preserve"> as being</w:t>
      </w:r>
      <w:r w:rsidR="00B71E64" w:rsidRPr="0012633F">
        <w:rPr>
          <w:szCs w:val="18"/>
        </w:rPr>
        <w:t xml:space="preserve"> an </w:t>
      </w:r>
      <w:r w:rsidR="0022348A" w:rsidRPr="0012633F">
        <w:rPr>
          <w:szCs w:val="18"/>
        </w:rPr>
        <w:t>intended outcome of the current arrangements</w:t>
      </w:r>
      <w:r w:rsidR="00850680" w:rsidRPr="0012633F">
        <w:rPr>
          <w:szCs w:val="18"/>
        </w:rPr>
        <w:t xml:space="preserve"> and consider a more pragmatic solution be sought</w:t>
      </w:r>
      <w:r w:rsidR="0022348A" w:rsidRPr="0012633F">
        <w:rPr>
          <w:szCs w:val="18"/>
        </w:rPr>
        <w:t>.</w:t>
      </w:r>
    </w:p>
    <w:tbl>
      <w:tblPr>
        <w:tblStyle w:val="TableGrid"/>
        <w:tblW w:w="5000" w:type="pct"/>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B71E64" w:rsidRPr="00DA0585" w14:paraId="47F3D617" w14:textId="77777777" w:rsidTr="00EC5F12">
        <w:trPr>
          <w:cnfStyle w:val="100000000000" w:firstRow="1" w:lastRow="0" w:firstColumn="0" w:lastColumn="0" w:oddVBand="0" w:evenVBand="0" w:oddHBand="0" w:evenHBand="0" w:firstRowFirstColumn="0" w:firstRowLastColumn="0" w:lastRowFirstColumn="0" w:lastRowLastColumn="0"/>
        </w:trPr>
        <w:tc>
          <w:tcPr>
            <w:tcW w:w="5000" w:type="pct"/>
            <w:shd w:val="clear" w:color="auto" w:fill="6FC2B4"/>
          </w:tcPr>
          <w:p w14:paraId="6D07311B" w14:textId="6ED3A746" w:rsidR="00B71E64" w:rsidRPr="002A70A4" w:rsidRDefault="00B71E64" w:rsidP="00053250">
            <w:pPr>
              <w:pStyle w:val="TableHeadingLeft"/>
            </w:pPr>
            <w:r w:rsidRPr="002A70A4">
              <w:t>Opportunity</w:t>
            </w:r>
            <w:r w:rsidR="006D1BC8" w:rsidRPr="002A70A4">
              <w:t xml:space="preserve"> #</w:t>
            </w:r>
            <w:r w:rsidR="000B379C" w:rsidRPr="002A70A4">
              <w:t>1</w:t>
            </w:r>
            <w:r w:rsidR="00C224DC">
              <w:t>6</w:t>
            </w:r>
          </w:p>
        </w:tc>
      </w:tr>
      <w:tr w:rsidR="00DA0585" w:rsidRPr="00DA0585" w14:paraId="0704057F" w14:textId="77777777" w:rsidTr="00EC5F12">
        <w:tc>
          <w:tcPr>
            <w:tcW w:w="5000" w:type="pct"/>
            <w:tcBorders>
              <w:bottom w:val="nil"/>
            </w:tcBorders>
            <w:shd w:val="clear" w:color="auto" w:fill="F2F2F2" w:themeFill="background1" w:themeFillShade="F2"/>
          </w:tcPr>
          <w:p w14:paraId="7068FECE" w14:textId="136AC27A" w:rsidR="00C039F1" w:rsidRPr="00DA0585" w:rsidRDefault="00C039F1" w:rsidP="00C039F1">
            <w:pPr>
              <w:pStyle w:val="BodyCopyNEW"/>
            </w:pPr>
            <w:r w:rsidRPr="00DA0585">
              <w:rPr>
                <w:szCs w:val="18"/>
              </w:rPr>
              <w:t xml:space="preserve">NOPSEMA, in collaboration with DISER, is encouraged to explore mechanisms for reducing engagement burden on adjacent industry stakeholders where there are identified overlaps in permissioning documents covering a single geography. </w:t>
            </w:r>
          </w:p>
        </w:tc>
      </w:tr>
    </w:tbl>
    <w:p w14:paraId="1BD9FE14" w14:textId="59C96D5B" w:rsidR="00421D6F" w:rsidRDefault="00B71E64" w:rsidP="00901C7B">
      <w:pPr>
        <w:pStyle w:val="BodyCopyNEW"/>
        <w:spacing w:before="120"/>
      </w:pPr>
      <w:r>
        <w:t xml:space="preserve">In a complex, multi-regulator environment, it appears greater work is needed to ensure that the Commonwealth and </w:t>
      </w:r>
      <w:r w:rsidR="00DA0E3D">
        <w:t>s</w:t>
      </w:r>
      <w:r w:rsidR="00126648">
        <w:t>tate/</w:t>
      </w:r>
      <w:r w:rsidR="00DA0E3D">
        <w:t>t</w:t>
      </w:r>
      <w:r w:rsidR="00126648">
        <w:t>erritory</w:t>
      </w:r>
      <w:r>
        <w:t xml:space="preserve"> </w:t>
      </w:r>
      <w:r w:rsidR="008832BE">
        <w:t>g</w:t>
      </w:r>
      <w:r>
        <w:t xml:space="preserve">overnments are clear in their approach to managing issues where there are numerous interested parties with overlapping and potentially (or perceived) conflicting marine property rights being issued. Feedback from our consultation indicated a perception that NOPSEMA is a “passive, fence sitter” leaving the fishing industry to engage with </w:t>
      </w:r>
      <w:r w:rsidR="00F23C0C">
        <w:t xml:space="preserve">offshore petroleum </w:t>
      </w:r>
      <w:r>
        <w:t>operators.</w:t>
      </w:r>
      <w:r w:rsidR="00A5423C">
        <w:t xml:space="preserve"> </w:t>
      </w:r>
    </w:p>
    <w:p w14:paraId="0AAE1EDB" w14:textId="02A4088E" w:rsidR="00317961" w:rsidRDefault="0065174E" w:rsidP="00317961">
      <w:pPr>
        <w:pStyle w:val="BodyCopyNEW"/>
        <w:rPr>
          <w:rFonts w:cs="Times New Roman"/>
          <w:szCs w:val="18"/>
        </w:rPr>
      </w:pPr>
      <w:r>
        <w:lastRenderedPageBreak/>
        <w:t>Our examinations showed there would be</w:t>
      </w:r>
      <w:r w:rsidR="00A5423C">
        <w:t xml:space="preserve"> benefit in agreement being sought on areas of contention, where possible, ahead of assessment processes (where parties are </w:t>
      </w:r>
      <w:r w:rsidR="00BB3C12">
        <w:t xml:space="preserve">often </w:t>
      </w:r>
      <w:r w:rsidR="00A5423C">
        <w:t xml:space="preserve">under significant </w:t>
      </w:r>
      <w:r w:rsidR="00BB3C12">
        <w:t>time constraints to address issues)</w:t>
      </w:r>
      <w:r w:rsidR="007A5959">
        <w:t xml:space="preserve"> and standard, predictable approaches to loss-adjustment being </w:t>
      </w:r>
      <w:r w:rsidR="004645DE">
        <w:t>developed, where feasible</w:t>
      </w:r>
      <w:r w:rsidR="00BB3C12">
        <w:t>.</w:t>
      </w:r>
      <w:r w:rsidR="00DE017F" w:rsidRPr="00317961">
        <w:t xml:space="preserve"> </w:t>
      </w:r>
      <w:r w:rsidR="00421D6F" w:rsidRPr="00901C7B">
        <w:rPr>
          <w:szCs w:val="18"/>
        </w:rPr>
        <w:t>NOPSEMA and other relevant parties are encouraged to explore mechanisms applied internationally for managing the interactions between petroleum and fishing activities, such as in the United Kingdom and in Norway. One aim should be to provide a consistent Government perspective to the various users of the marine estate, outlining actions taken and the role of the different regulators in the industry.</w:t>
      </w:r>
      <w:r w:rsidR="00421D6F" w:rsidRPr="00901C7B">
        <w:rPr>
          <w:rFonts w:cs="Times New Roman"/>
          <w:szCs w:val="18"/>
        </w:rPr>
        <w:t xml:space="preserve"> Consideration should be given, where appropriate, to the reinforcement of NOPSEMA’s role within the offshore legislative framework.</w:t>
      </w:r>
      <w:r w:rsidR="00317961">
        <w:rPr>
          <w:rFonts w:cs="Times New Roman"/>
          <w:szCs w:val="18"/>
        </w:rPr>
        <w:t xml:space="preserve"> </w:t>
      </w:r>
    </w:p>
    <w:p w14:paraId="02B25E66" w14:textId="1D797633" w:rsidR="00B71E64" w:rsidRDefault="004C2250" w:rsidP="002D458D">
      <w:pPr>
        <w:pStyle w:val="BodyCopyNEW"/>
      </w:pPr>
      <w:r>
        <w:t xml:space="preserve">From our analysis, </w:t>
      </w:r>
      <w:r w:rsidR="00E95675">
        <w:t xml:space="preserve">we </w:t>
      </w:r>
      <w:r w:rsidR="00DE017F">
        <w:t>understand such a concept is being pursued by relevant parties currently and</w:t>
      </w:r>
      <w:r w:rsidR="000265CD">
        <w:t>,</w:t>
      </w:r>
      <w:r w:rsidR="00DE017F">
        <w:t xml:space="preserve"> therefore</w:t>
      </w:r>
      <w:r w:rsidR="000265CD">
        <w:t>,</w:t>
      </w:r>
      <w:r w:rsidR="00DE017F">
        <w:t xml:space="preserve"> </w:t>
      </w:r>
      <w:r w:rsidR="00421D6F">
        <w:t xml:space="preserve">we do not offer a recommendation </w:t>
      </w:r>
      <w:r w:rsidR="000265CD">
        <w:t xml:space="preserve">or </w:t>
      </w:r>
      <w:r w:rsidR="00AF5D1C">
        <w:t xml:space="preserve">identify an opportunity </w:t>
      </w:r>
      <w:r w:rsidR="00421D6F">
        <w:t xml:space="preserve">to this </w:t>
      </w:r>
      <w:r w:rsidR="00D66C0B">
        <w:t>effect</w:t>
      </w:r>
      <w:r w:rsidR="00421D6F">
        <w:t>.</w:t>
      </w:r>
    </w:p>
    <w:p w14:paraId="2880FD2D" w14:textId="5053300B" w:rsidR="00B71E64" w:rsidRPr="00F42387" w:rsidRDefault="00B71E64" w:rsidP="00BA4D90">
      <w:pPr>
        <w:pStyle w:val="Heading4"/>
      </w:pPr>
      <w:bookmarkStart w:id="112" w:name="_Ref55932337"/>
      <w:r w:rsidRPr="00F42387">
        <w:t>NOPSEMA’s relationship with environmental advocacy groups and community</w:t>
      </w:r>
      <w:bookmarkEnd w:id="112"/>
    </w:p>
    <w:p w14:paraId="5C99BF9F" w14:textId="1CD8EBD4" w:rsidR="00B71E64" w:rsidRPr="00BA3AB7" w:rsidRDefault="00B71E64" w:rsidP="002D458D">
      <w:pPr>
        <w:pStyle w:val="Heading3NoNumber"/>
      </w:pPr>
      <w:r w:rsidRPr="00BA3AB7">
        <w:t>NOPSEMA’s engagement with ENGOs and community groups has improved since 2015 although disagreements over acceptability of activities and definition of relevant persons are focus areas</w:t>
      </w:r>
    </w:p>
    <w:p w14:paraId="066024F7" w14:textId="5B2C54D1" w:rsidR="00C42B82" w:rsidRDefault="001E1EE5" w:rsidP="002D458D">
      <w:pPr>
        <w:pStyle w:val="BodyCopyNEW"/>
      </w:pPr>
      <w:r>
        <w:t xml:space="preserve">Across the review period there has been significant and growing interest by community groups and </w:t>
      </w:r>
      <w:r w:rsidR="00C42B82">
        <w:t>E</w:t>
      </w:r>
      <w:r w:rsidR="00C42B82" w:rsidRPr="00BA3AB7">
        <w:t>nvironmental advocacy groups/non-government organisations (</w:t>
      </w:r>
      <w:r w:rsidR="00C42B82" w:rsidRPr="00BA3AB7">
        <w:rPr>
          <w:b/>
          <w:bCs/>
        </w:rPr>
        <w:t>ENGOs</w:t>
      </w:r>
      <w:r w:rsidR="00C42B82" w:rsidRPr="00BA3AB7">
        <w:t>)</w:t>
      </w:r>
      <w:r w:rsidR="00F723E1">
        <w:t xml:space="preserve"> in offshore </w:t>
      </w:r>
      <w:r w:rsidR="009A4C62">
        <w:t>petroleum activities (</w:t>
      </w:r>
      <w:r w:rsidR="00AF5D1C">
        <w:t xml:space="preserve">e.g. </w:t>
      </w:r>
      <w:r w:rsidR="009A4C62">
        <w:t xml:space="preserve">as </w:t>
      </w:r>
      <w:r w:rsidR="00BF318C">
        <w:t>underscored</w:t>
      </w:r>
      <w:r w:rsidR="009A4C62">
        <w:t xml:space="preserve"> through the </w:t>
      </w:r>
      <w:r w:rsidR="00BF318C">
        <w:t xml:space="preserve">events surrounding the </w:t>
      </w:r>
      <w:r w:rsidR="009A4C62">
        <w:t xml:space="preserve">consideration of exploration in the Great Australian Bight). </w:t>
      </w:r>
      <w:r w:rsidR="009927E7">
        <w:t>NOPSEMA</w:t>
      </w:r>
      <w:r w:rsidR="00AC552E">
        <w:t xml:space="preserve"> plays a critical role in </w:t>
      </w:r>
      <w:r w:rsidR="00AF5D1C">
        <w:t xml:space="preserve">the offshore legislative framework by </w:t>
      </w:r>
      <w:r w:rsidR="00687F3F">
        <w:t xml:space="preserve">maintaining the confidence of these groups in </w:t>
      </w:r>
      <w:r w:rsidR="00AF5D1C">
        <w:t xml:space="preserve">the </w:t>
      </w:r>
      <w:r w:rsidR="00687F3F">
        <w:t xml:space="preserve">ability to regulate offshore petroleum activities effectively. Nevertheless, </w:t>
      </w:r>
      <w:r w:rsidR="00191A4A">
        <w:t xml:space="preserve">these groups </w:t>
      </w:r>
      <w:r w:rsidR="007D0944">
        <w:t>are often in</w:t>
      </w:r>
      <w:r w:rsidR="00191A4A">
        <w:t xml:space="preserve"> opposition to </w:t>
      </w:r>
      <w:r w:rsidR="00191F6E">
        <w:t xml:space="preserve">petroleum </w:t>
      </w:r>
      <w:r w:rsidR="00D15FC6">
        <w:t>activities being undertaken</w:t>
      </w:r>
      <w:r w:rsidR="006B56AF">
        <w:t xml:space="preserve"> – a policy consideration and outside of NOPSEMA’s remit.</w:t>
      </w:r>
      <w:r w:rsidR="00E000AF" w:rsidRPr="00E000AF">
        <w:t xml:space="preserve"> </w:t>
      </w:r>
      <w:r w:rsidR="00E000AF" w:rsidRPr="00BA3AB7">
        <w:t>NOPSEMA</w:t>
      </w:r>
      <w:r w:rsidR="00AE5CE2">
        <w:t>’s</w:t>
      </w:r>
      <w:r w:rsidR="00E000AF" w:rsidRPr="00BA3AB7">
        <w:t xml:space="preserve"> role i</w:t>
      </w:r>
      <w:r w:rsidR="00AE5CE2">
        <w:t>s</w:t>
      </w:r>
      <w:r w:rsidR="00E000AF" w:rsidRPr="00BA3AB7">
        <w:t xml:space="preserve"> facilitating effective engagement between the ENGOs, the community, and </w:t>
      </w:r>
      <w:r w:rsidR="000A573D">
        <w:t>titleholders</w:t>
      </w:r>
      <w:r w:rsidR="007D0944">
        <w:t xml:space="preserve"> in support of </w:t>
      </w:r>
      <w:r w:rsidR="00E27AF8">
        <w:t>the EP permissioning process</w:t>
      </w:r>
      <w:r w:rsidR="00E000AF" w:rsidRPr="00BA3AB7">
        <w:t>.</w:t>
      </w:r>
    </w:p>
    <w:p w14:paraId="63A980EC" w14:textId="2B487E93" w:rsidR="00B71E64" w:rsidRPr="00BA3AB7" w:rsidRDefault="00B71E64" w:rsidP="002D458D">
      <w:pPr>
        <w:pStyle w:val="BodyCopyNEW"/>
      </w:pPr>
      <w:r>
        <w:rPr>
          <w:rFonts w:cs="OpenSansRegular"/>
        </w:rPr>
        <w:t>ENGOs</w:t>
      </w:r>
      <w:r w:rsidRPr="00BA3AB7">
        <w:t xml:space="preserve"> </w:t>
      </w:r>
      <w:r w:rsidR="002149E1">
        <w:t xml:space="preserve">we </w:t>
      </w:r>
      <w:r w:rsidRPr="00BA3AB7">
        <w:t xml:space="preserve">consulted with felt NOPSEMA had made a concerted effort to improve engagement with them over the </w:t>
      </w:r>
      <w:r w:rsidR="00866821">
        <w:t>review</w:t>
      </w:r>
      <w:r w:rsidR="00866821" w:rsidRPr="00BA3AB7">
        <w:t xml:space="preserve"> </w:t>
      </w:r>
      <w:r w:rsidRPr="00BA3AB7">
        <w:t xml:space="preserve">period and that </w:t>
      </w:r>
      <w:r w:rsidR="00327ACB">
        <w:t>NOPSEMA is</w:t>
      </w:r>
      <w:r w:rsidRPr="00BA3AB7">
        <w:t xml:space="preserve"> generally approachable and open to engagement</w:t>
      </w:r>
      <w:r w:rsidR="006B56AF">
        <w:t>.</w:t>
      </w:r>
      <w:r w:rsidRPr="00BA3AB7">
        <w:t xml:space="preserve"> This is an improvement since the </w:t>
      </w:r>
      <w:r w:rsidR="00E255C1">
        <w:t>2015 Operational Review</w:t>
      </w:r>
      <w:r w:rsidRPr="00BA3AB7">
        <w:t xml:space="preserve">. </w:t>
      </w:r>
      <w:r w:rsidR="00A24C5F">
        <w:t>T</w:t>
      </w:r>
      <w:r w:rsidR="006B56AF" w:rsidRPr="006B56AF">
        <w:t>here has been a marked increase in NOPSEMA’s levels of engagement with these groups across the review period.</w:t>
      </w:r>
      <w:r w:rsidRPr="006B56AF">
        <w:t xml:space="preserve"> </w:t>
      </w:r>
      <w:r w:rsidRPr="00BA3AB7">
        <w:t>Stakeholders commented that NOPSEMA were open to discussing their concerns, even if the outcome from that engagement was not their desired outcome.</w:t>
      </w:r>
    </w:p>
    <w:p w14:paraId="65CB934A" w14:textId="31924CE7" w:rsidR="00B71E64" w:rsidRPr="00BA3AB7" w:rsidRDefault="00B71E64" w:rsidP="002D458D">
      <w:pPr>
        <w:pStyle w:val="BodyCopyNEW"/>
      </w:pPr>
      <w:r w:rsidRPr="00BA3AB7">
        <w:t>Three key concerns were raised by</w:t>
      </w:r>
      <w:r w:rsidR="000118F1">
        <w:t xml:space="preserve"> ENGOs</w:t>
      </w:r>
      <w:r w:rsidRPr="00BA3AB7">
        <w:t>:</w:t>
      </w:r>
    </w:p>
    <w:p w14:paraId="05957EF8" w14:textId="0FD5F23B" w:rsidR="00B71E64" w:rsidRDefault="00B71E64" w:rsidP="000C1F53">
      <w:pPr>
        <w:pStyle w:val="BodycopyNEW0"/>
        <w:numPr>
          <w:ilvl w:val="0"/>
          <w:numId w:val="23"/>
        </w:numPr>
        <w:ind w:left="378"/>
      </w:pPr>
      <w:r w:rsidRPr="00BA3AB7">
        <w:t xml:space="preserve">As with other marine estate users, ENGOs often disagree with NOPSEMA and </w:t>
      </w:r>
      <w:r w:rsidR="002F0C80">
        <w:t>titleholders</w:t>
      </w:r>
      <w:r w:rsidRPr="00BA3AB7">
        <w:t xml:space="preserve"> on definitions of ALARP</w:t>
      </w:r>
      <w:r w:rsidR="0036302A">
        <w:t xml:space="preserve">, </w:t>
      </w:r>
      <w:r w:rsidRPr="00BA3AB7">
        <w:t>the acceptability of offshore petroleum activities</w:t>
      </w:r>
      <w:r w:rsidR="0036302A">
        <w:t>, and the risk mitigations proposed by titleholders</w:t>
      </w:r>
    </w:p>
    <w:p w14:paraId="76C85980" w14:textId="77777777" w:rsidR="00B71E64" w:rsidRPr="00BA3AB7" w:rsidRDefault="00B71E64" w:rsidP="000C1F53">
      <w:pPr>
        <w:pStyle w:val="BodycopyNEW0"/>
        <w:numPr>
          <w:ilvl w:val="0"/>
          <w:numId w:val="23"/>
        </w:numPr>
        <w:ind w:left="378"/>
      </w:pPr>
      <w:r w:rsidRPr="00BA3AB7">
        <w:t>The definition of relevant persons remains unclear and may not be seen to be inclusive enough</w:t>
      </w:r>
    </w:p>
    <w:p w14:paraId="4B709AB7" w14:textId="1DE2D418" w:rsidR="00B71E64" w:rsidRPr="00BA3AB7" w:rsidRDefault="00B71E64" w:rsidP="000C1F53">
      <w:pPr>
        <w:pStyle w:val="BodycopyNEW0"/>
        <w:numPr>
          <w:ilvl w:val="0"/>
          <w:numId w:val="23"/>
        </w:numPr>
        <w:ind w:left="378"/>
      </w:pPr>
      <w:r w:rsidRPr="00BA3AB7">
        <w:t>Transparency over NOPSEMA’s decision-making remained an area for improvement.</w:t>
      </w:r>
    </w:p>
    <w:p w14:paraId="32482A5B" w14:textId="1D0C89D9" w:rsidR="00B71E64" w:rsidRDefault="00B71E64" w:rsidP="002D458D">
      <w:pPr>
        <w:pStyle w:val="BodyCopyNEW"/>
      </w:pPr>
      <w:r w:rsidRPr="00BA3AB7">
        <w:t xml:space="preserve">We have discussed NOPSEMA’s efforts to improve decision-making transparency made associated recommendations above. </w:t>
      </w:r>
    </w:p>
    <w:p w14:paraId="020012EB" w14:textId="1205E051" w:rsidR="00B71E64" w:rsidRPr="002A294C" w:rsidRDefault="00327ACB" w:rsidP="002D458D">
      <w:pPr>
        <w:pStyle w:val="Heading3NoNumber"/>
      </w:pPr>
      <w:r>
        <w:t>NOPSEMA has</w:t>
      </w:r>
      <w:r w:rsidR="00B71E64">
        <w:t xml:space="preserve"> defined processes and channels for capturing, managing, and responding to feedback or complaints</w:t>
      </w:r>
    </w:p>
    <w:p w14:paraId="300DBB33" w14:textId="527FFCDA" w:rsidR="00B71E64" w:rsidRPr="004851E1" w:rsidRDefault="00B71E64" w:rsidP="002D458D">
      <w:pPr>
        <w:pStyle w:val="BodyCopyNEW"/>
      </w:pPr>
      <w:r>
        <w:t xml:space="preserve">Based on our examination of NOPSEMA’s processes and procedures relating to stakeholder engagement, we </w:t>
      </w:r>
      <w:r w:rsidR="00955596">
        <w:t>found</w:t>
      </w:r>
      <w:r>
        <w:t xml:space="preserve"> that NOPSEMA has in place </w:t>
      </w:r>
      <w:r w:rsidR="005327F3">
        <w:t xml:space="preserve">appropriate </w:t>
      </w:r>
      <w:r>
        <w:t xml:space="preserve">mechanisms for capturing and managing complaints and feedback (including anonymously) either about NOPSEMA or its regulatory decisions. For example, NOPSEMA has a </w:t>
      </w:r>
      <w:r w:rsidRPr="003D26F2">
        <w:rPr>
          <w:rFonts w:cs="OpenSansRegular"/>
        </w:rPr>
        <w:t xml:space="preserve">procedure for </w:t>
      </w:r>
      <w:r w:rsidRPr="00F43031">
        <w:rPr>
          <w:rFonts w:cs="OpenSansRegular"/>
          <w:i/>
          <w:iCs/>
        </w:rPr>
        <w:t>Managing Stakeholder Complaints and Feedback</w:t>
      </w:r>
      <w:r>
        <w:rPr>
          <w:rFonts w:cs="OpenSansRegular"/>
        </w:rPr>
        <w:t xml:space="preserve">, has </w:t>
      </w:r>
      <w:r w:rsidR="008A1DC4">
        <w:rPr>
          <w:rFonts w:cs="OpenSansRegular"/>
        </w:rPr>
        <w:t xml:space="preserve">suitable </w:t>
      </w:r>
      <w:r>
        <w:rPr>
          <w:rFonts w:cs="OpenSansRegular"/>
        </w:rPr>
        <w:t xml:space="preserve">channels on its website for complainants to lodge a complaint, and publishes its </w:t>
      </w:r>
      <w:r>
        <w:rPr>
          <w:rFonts w:cs="OpenSansRegular"/>
          <w:i/>
          <w:iCs/>
        </w:rPr>
        <w:t>Regulatory Services Charter</w:t>
      </w:r>
      <w:r>
        <w:rPr>
          <w:rFonts w:cs="OpenSansRegular"/>
        </w:rPr>
        <w:t>, which specifies (among other items) how stakeholders can contact NOPSEMA</w:t>
      </w:r>
      <w:r w:rsidR="00F645FD">
        <w:rPr>
          <w:rFonts w:cs="OpenSansRegular"/>
        </w:rPr>
        <w:t xml:space="preserve"> about </w:t>
      </w:r>
      <w:r w:rsidR="008D73B9">
        <w:rPr>
          <w:rFonts w:cs="OpenSansRegular"/>
        </w:rPr>
        <w:t>complaints</w:t>
      </w:r>
      <w:r>
        <w:rPr>
          <w:rFonts w:cs="OpenSansRegular"/>
        </w:rPr>
        <w:t>.</w:t>
      </w:r>
      <w:r w:rsidR="008D73B9">
        <w:rPr>
          <w:rFonts w:cs="OpenSansRegular"/>
        </w:rPr>
        <w:t xml:space="preserve"> </w:t>
      </w:r>
    </w:p>
    <w:p w14:paraId="02C9B368" w14:textId="7DBA45B5" w:rsidR="0045688A" w:rsidRPr="00263E36" w:rsidRDefault="0045688A" w:rsidP="0045688A">
      <w:pPr>
        <w:pStyle w:val="Heading2"/>
      </w:pPr>
      <w:bookmarkStart w:id="113" w:name="_Ref58594184"/>
      <w:r w:rsidRPr="00263E36">
        <w:t xml:space="preserve">NOPSEMA’s </w:t>
      </w:r>
      <w:r w:rsidR="007E0D5F">
        <w:t>relationships</w:t>
      </w:r>
      <w:r w:rsidRPr="00263E36">
        <w:t xml:space="preserve"> with international stakeholders</w:t>
      </w:r>
      <w:bookmarkEnd w:id="113"/>
    </w:p>
    <w:p w14:paraId="0EF43CA1" w14:textId="61B7C863" w:rsidR="0045688A" w:rsidRPr="00263E36" w:rsidRDefault="0045688A" w:rsidP="0045688A">
      <w:pPr>
        <w:pStyle w:val="Heading3NoNumber"/>
      </w:pPr>
      <w:r w:rsidRPr="00263E36">
        <w:t>NOPSEMA’s engagement with international stakeholders</w:t>
      </w:r>
      <w:r w:rsidR="00CB48A1">
        <w:t xml:space="preserve"> is appropriate</w:t>
      </w:r>
      <w:r w:rsidRPr="00263E36">
        <w:t xml:space="preserve"> as there are clear and demonstrated instances where </w:t>
      </w:r>
      <w:r>
        <w:t>NOPSEMA has</w:t>
      </w:r>
      <w:r w:rsidRPr="00263E36">
        <w:t xml:space="preserve"> applied global learnings locally – a critical element of being a regulator that learns</w:t>
      </w:r>
    </w:p>
    <w:p w14:paraId="4AC6A789" w14:textId="505C7976" w:rsidR="0045688A" w:rsidRPr="00263E36" w:rsidRDefault="0045688A" w:rsidP="0045688A">
      <w:pPr>
        <w:pStyle w:val="BodyCopyNEW"/>
      </w:pPr>
      <w:r>
        <w:t xml:space="preserve">NOPSEMA regulates an industry that, in many cases, is globally connected. Therefore, it </w:t>
      </w:r>
      <w:r w:rsidR="00A56086">
        <w:t>i</w:t>
      </w:r>
      <w:r>
        <w:t xml:space="preserve">s essential that NOPSEMA continue to engage with international peers to identify and apply learnings to the Australian context. </w:t>
      </w:r>
      <w:r w:rsidRPr="00263E36">
        <w:t xml:space="preserve">Based on the </w:t>
      </w:r>
      <w:r w:rsidR="006057B4">
        <w:t>information</w:t>
      </w:r>
      <w:r w:rsidR="006057B4" w:rsidRPr="00263E36">
        <w:t xml:space="preserve"> </w:t>
      </w:r>
      <w:r w:rsidRPr="00263E36">
        <w:t>provided by NOPSEMA, their engagements with international regulators have resulted in tangible change</w:t>
      </w:r>
      <w:r w:rsidR="008A1DC4">
        <w:t>s</w:t>
      </w:r>
      <w:r w:rsidRPr="00263E36">
        <w:t xml:space="preserve"> with the objective of improving health, safety, and environmental outcomes. </w:t>
      </w:r>
    </w:p>
    <w:p w14:paraId="42160258" w14:textId="77777777" w:rsidR="0045688A" w:rsidRPr="00263E36" w:rsidRDefault="0045688A" w:rsidP="0045688A">
      <w:pPr>
        <w:pStyle w:val="BodyCopyNEW"/>
      </w:pPr>
      <w:r w:rsidRPr="00263E36">
        <w:t>Case studies provided to us by NOPSEMA include:</w:t>
      </w:r>
    </w:p>
    <w:p w14:paraId="6164C00F" w14:textId="77777777" w:rsidR="0045688A" w:rsidRPr="00263E36" w:rsidRDefault="0045688A" w:rsidP="000C1F53">
      <w:pPr>
        <w:pStyle w:val="BodycopyNEW0"/>
        <w:numPr>
          <w:ilvl w:val="0"/>
          <w:numId w:val="23"/>
        </w:numPr>
        <w:ind w:left="378"/>
      </w:pPr>
      <w:r w:rsidRPr="00263E36">
        <w:rPr>
          <w:b/>
          <w:bCs/>
        </w:rPr>
        <w:t>Safer automated positioning systems:</w:t>
      </w:r>
      <w:r w:rsidRPr="00263E36">
        <w:t xml:space="preserve"> NOPSEMA identified weak risk signals locally regarding a specific risk with automated positioning systems. Through international engagement, NOPSEMA were able to establish a that the trend was present globally. The issue was presented at the October 2017 IRF meeting, which resulted in IRF member countries agreeing to take action within their respective jurisdictions and to engage collectively with the manufacturer of dynamic positioning systems to address the issue. </w:t>
      </w:r>
      <w:r w:rsidRPr="00263E36">
        <w:lastRenderedPageBreak/>
        <w:t xml:space="preserve">A </w:t>
      </w:r>
      <w:hyperlink r:id="rId61" w:history="1">
        <w:r w:rsidRPr="00263E36">
          <w:t>safety alert was issued</w:t>
        </w:r>
      </w:hyperlink>
      <w:r w:rsidRPr="00263E36">
        <w:t xml:space="preserve">, a publication was contained in </w:t>
      </w:r>
      <w:hyperlink r:id="rId62" w:history="1">
        <w:r w:rsidRPr="00F223FC">
          <w:rPr>
            <w:i/>
            <w:iCs/>
          </w:rPr>
          <w:t>The Regulator</w:t>
        </w:r>
      </w:hyperlink>
      <w:r w:rsidRPr="00263E36">
        <w:t>, and a presentation was given at the Dynamic Positioning Asia Conference in 2017</w:t>
      </w:r>
    </w:p>
    <w:p w14:paraId="7128F456" w14:textId="77777777" w:rsidR="0045688A" w:rsidRPr="00263E36" w:rsidRDefault="0045688A" w:rsidP="000C1F53">
      <w:pPr>
        <w:pStyle w:val="BodycopyNEW0"/>
        <w:numPr>
          <w:ilvl w:val="0"/>
          <w:numId w:val="23"/>
        </w:numPr>
        <w:ind w:left="378"/>
      </w:pPr>
      <w:r w:rsidRPr="00263E36">
        <w:rPr>
          <w:b/>
          <w:bCs/>
        </w:rPr>
        <w:t>IOPER marine sound working group:</w:t>
      </w:r>
      <w:r w:rsidRPr="00263E36">
        <w:t xml:space="preserve"> Engagements with the working group have resulted in a joint conference paper with the Bureau of Ocean Energy Management (</w:t>
      </w:r>
      <w:r w:rsidRPr="004C497D">
        <w:rPr>
          <w:b/>
          <w:bCs/>
        </w:rPr>
        <w:t>BOEM</w:t>
      </w:r>
      <w:r w:rsidRPr="00263E36">
        <w:t>), influence over the research agenda to support environmental impact assessments, and international support for the development of a ‘good practice standard’ for managing the interaction between seismic surveys and whales</w:t>
      </w:r>
    </w:p>
    <w:p w14:paraId="4B326EDE" w14:textId="77777777" w:rsidR="0045688A" w:rsidRDefault="0045688A" w:rsidP="000C1F53">
      <w:pPr>
        <w:pStyle w:val="BodycopyNEW0"/>
        <w:numPr>
          <w:ilvl w:val="0"/>
          <w:numId w:val="23"/>
        </w:numPr>
        <w:ind w:left="378"/>
      </w:pPr>
      <w:r w:rsidRPr="00263E36">
        <w:rPr>
          <w:b/>
          <w:bCs/>
        </w:rPr>
        <w:t xml:space="preserve">IOPER Oil Spill Working Group: </w:t>
      </w:r>
      <w:r w:rsidRPr="00263E36">
        <w:t xml:space="preserve">NOPSEMA engaged with the working group to raise the profile of critical areas for further development for oil spill response preparedness. </w:t>
      </w:r>
    </w:p>
    <w:p w14:paraId="6AA0E8FE" w14:textId="1EB0824D" w:rsidR="008A1DC4" w:rsidRPr="00263E36" w:rsidRDefault="008A1DC4" w:rsidP="00901C7B">
      <w:pPr>
        <w:pStyle w:val="BodyCopyNEW"/>
      </w:pPr>
      <w:r w:rsidRPr="00263E36">
        <w:t xml:space="preserve">NOPSEMA </w:t>
      </w:r>
      <w:r w:rsidR="001F69F2">
        <w:t xml:space="preserve">should </w:t>
      </w:r>
      <w:r w:rsidR="001F69F2" w:rsidRPr="00263E36">
        <w:t>continue</w:t>
      </w:r>
      <w:r w:rsidRPr="00263E36">
        <w:t xml:space="preserve"> engaging with its international counterparts.</w:t>
      </w:r>
    </w:p>
    <w:p w14:paraId="0B7050B7" w14:textId="6267F8C0" w:rsidR="00CC187B" w:rsidRPr="00645742" w:rsidRDefault="00CC187B" w:rsidP="00901C7B">
      <w:pPr>
        <w:pStyle w:val="Heading2"/>
        <w:numPr>
          <w:ilvl w:val="1"/>
          <w:numId w:val="1"/>
        </w:numPr>
        <w:spacing w:before="120"/>
      </w:pPr>
      <w:bookmarkStart w:id="114" w:name="_Ref58594198"/>
      <w:r w:rsidRPr="00645742">
        <w:t>NOPSEMA</w:t>
      </w:r>
      <w:r w:rsidR="00830B60">
        <w:t>’s</w:t>
      </w:r>
      <w:r w:rsidRPr="00645742">
        <w:t xml:space="preserve"> cooperat</w:t>
      </w:r>
      <w:r w:rsidR="00830B60">
        <w:t>ion</w:t>
      </w:r>
      <w:r w:rsidRPr="00645742">
        <w:t>, coordinat</w:t>
      </w:r>
      <w:r w:rsidR="00830B60">
        <w:t>ion</w:t>
      </w:r>
      <w:r w:rsidRPr="00645742">
        <w:t xml:space="preserve"> and consult</w:t>
      </w:r>
      <w:r w:rsidR="00830B60">
        <w:t>ation</w:t>
      </w:r>
      <w:r w:rsidRPr="00645742">
        <w:t xml:space="preserve"> with other government authorities and agencies to deliver </w:t>
      </w:r>
      <w:r w:rsidR="00663400">
        <w:t xml:space="preserve">its </w:t>
      </w:r>
      <w:r w:rsidRPr="00645742">
        <w:t>functions</w:t>
      </w:r>
      <w:bookmarkEnd w:id="114"/>
    </w:p>
    <w:p w14:paraId="75574572" w14:textId="77777777" w:rsidR="00CC187B" w:rsidRDefault="00CC187B" w:rsidP="00784E0E">
      <w:pPr>
        <w:pStyle w:val="Heading3"/>
      </w:pPr>
      <w:bookmarkStart w:id="115" w:name="_Ref55656163"/>
      <w:r w:rsidRPr="009568B1">
        <w:t>NOPSEMA’s engagement with Commonwealth Government</w:t>
      </w:r>
      <w:bookmarkEnd w:id="115"/>
    </w:p>
    <w:p w14:paraId="30100F2A" w14:textId="3B93DE28" w:rsidR="00CC187B" w:rsidRDefault="00CC187B" w:rsidP="00BA4D90">
      <w:pPr>
        <w:pStyle w:val="Heading4"/>
      </w:pPr>
      <w:bookmarkStart w:id="116" w:name="_Ref56064509"/>
      <w:r w:rsidRPr="009568B1">
        <w:t xml:space="preserve">NOPSEMA’s </w:t>
      </w:r>
      <w:r w:rsidR="007E0D5F">
        <w:t>relationship</w:t>
      </w:r>
      <w:r w:rsidR="007E0D5F" w:rsidRPr="009568B1">
        <w:t xml:space="preserve"> </w:t>
      </w:r>
      <w:r w:rsidRPr="009568B1">
        <w:t xml:space="preserve">with </w:t>
      </w:r>
      <w:r w:rsidR="004765A4">
        <w:t>DISER</w:t>
      </w:r>
      <w:bookmarkEnd w:id="116"/>
      <w:r>
        <w:t xml:space="preserve"> </w:t>
      </w:r>
    </w:p>
    <w:p w14:paraId="673F1A7A" w14:textId="14435388" w:rsidR="00373698" w:rsidRPr="00E94BB2" w:rsidRDefault="00BC3AE5" w:rsidP="002D458D">
      <w:pPr>
        <w:pStyle w:val="Heading3NoNumber"/>
        <w:rPr>
          <w:rFonts w:asciiTheme="majorHAnsi" w:hAnsiTheme="majorHAnsi"/>
        </w:rPr>
      </w:pPr>
      <w:r>
        <w:t xml:space="preserve">NOPSEMA has </w:t>
      </w:r>
      <w:r w:rsidR="00E934E4">
        <w:t xml:space="preserve">an </w:t>
      </w:r>
      <w:r>
        <w:t>effective and open relationship with DISER</w:t>
      </w:r>
      <w:r w:rsidR="00E934E4">
        <w:t>, although sharing of information of issues of mutual importance could be improved</w:t>
      </w:r>
    </w:p>
    <w:p w14:paraId="42EBFFF0" w14:textId="7CABBF3C" w:rsidR="009C52EC" w:rsidRDefault="009622B2" w:rsidP="009C52EC">
      <w:pPr>
        <w:pStyle w:val="BodyCopyNEW"/>
      </w:pPr>
      <w:r>
        <w:t xml:space="preserve">We observed that the relationship between NOPSEMA and DISER has strengthened since NOPSEMA’s inception. </w:t>
      </w:r>
      <w:r w:rsidR="003027F0">
        <w:t xml:space="preserve">In general, DISER and </w:t>
      </w:r>
      <w:r w:rsidR="00327ACB">
        <w:t xml:space="preserve">NOPSEMA </w:t>
      </w:r>
      <w:r w:rsidR="00375C16">
        <w:t>have</w:t>
      </w:r>
      <w:r w:rsidR="003027F0">
        <w:t xml:space="preserve"> open communication</w:t>
      </w:r>
      <w:r w:rsidR="001D2E3D">
        <w:t xml:space="preserve"> channels and </w:t>
      </w:r>
      <w:r w:rsidR="0067700A">
        <w:t xml:space="preserve">engage frequently and regularly on </w:t>
      </w:r>
      <w:r w:rsidR="00C117EF">
        <w:t>items of mutual interest</w:t>
      </w:r>
      <w:r w:rsidR="007D0E0C">
        <w:t xml:space="preserve"> and areas of regulatory and policy enhancement</w:t>
      </w:r>
      <w:r w:rsidR="00E103FD">
        <w:t>.</w:t>
      </w:r>
      <w:r w:rsidR="00C117EF">
        <w:t xml:space="preserve"> </w:t>
      </w:r>
      <w:r w:rsidR="0082102F">
        <w:t xml:space="preserve">There are examples of </w:t>
      </w:r>
      <w:r w:rsidR="00154CBF">
        <w:t>NOPSEMA collaborating on policy matters</w:t>
      </w:r>
      <w:r w:rsidR="00A81920">
        <w:t xml:space="preserve"> across multiple areas </w:t>
      </w:r>
      <w:r w:rsidR="007325AD">
        <w:t>within DISER</w:t>
      </w:r>
      <w:r w:rsidR="00154CBF">
        <w:t xml:space="preserve">. For example, </w:t>
      </w:r>
      <w:r w:rsidR="00C35846" w:rsidRPr="008E45AD">
        <w:t xml:space="preserve">NOPSEMA is working with </w:t>
      </w:r>
      <w:r w:rsidR="00C35846">
        <w:t>DISER</w:t>
      </w:r>
      <w:r w:rsidR="00C35846" w:rsidRPr="008E45AD">
        <w:t xml:space="preserve"> </w:t>
      </w:r>
      <w:r w:rsidR="00C35846">
        <w:t xml:space="preserve">in the development of the regulatory framework to enable offshore wind and other clean technologies in Commonwealth waters. </w:t>
      </w:r>
      <w:r w:rsidR="009C52EC">
        <w:t>NOPSEMA considers that the relationship with DISER is generally effective through regular their interactions on policy and regulatory improvement matters.</w:t>
      </w:r>
    </w:p>
    <w:p w14:paraId="794DADBC" w14:textId="5620A5DF" w:rsidR="00FE4273" w:rsidRDefault="00F24CD3" w:rsidP="002D458D">
      <w:pPr>
        <w:pStyle w:val="BodyCopyNEW"/>
      </w:pPr>
      <w:r>
        <w:t xml:space="preserve">It was noted by some stakeholders that </w:t>
      </w:r>
      <w:r w:rsidR="00CC187B">
        <w:t xml:space="preserve">NOPSEMA could be more open to discussing and engaging on matters in a collaborative and cooperative fashion where NOPSEMA may have divergent views from </w:t>
      </w:r>
      <w:r w:rsidR="004765A4">
        <w:t>DISER</w:t>
      </w:r>
      <w:r w:rsidR="00CC187B">
        <w:t xml:space="preserve">. </w:t>
      </w:r>
      <w:r w:rsidR="00934107">
        <w:t>Furthermore, i</w:t>
      </w:r>
      <w:r w:rsidR="00CC187B">
        <w:t xml:space="preserve">t was noted that there were instances where policy formation and regulation activities would benefit from greater collaboration and sharing of </w:t>
      </w:r>
      <w:r w:rsidR="008E76DB">
        <w:t xml:space="preserve">relevant </w:t>
      </w:r>
      <w:r w:rsidR="00CC187B">
        <w:t>industry intelligence</w:t>
      </w:r>
      <w:r w:rsidR="008E76DB">
        <w:t xml:space="preserve"> between DISER and NOPSEMA</w:t>
      </w:r>
      <w:r w:rsidR="00CC187B">
        <w:t>.</w:t>
      </w:r>
      <w:r w:rsidR="009750B5">
        <w:t xml:space="preserve"> </w:t>
      </w:r>
    </w:p>
    <w:p w14:paraId="3BC47558" w14:textId="4EC7F097" w:rsidR="00CC187B" w:rsidRDefault="00CC187B" w:rsidP="00BA4D90">
      <w:pPr>
        <w:pStyle w:val="Heading4"/>
      </w:pPr>
      <w:r w:rsidRPr="009568B1">
        <w:t xml:space="preserve">NOPSEMA’s </w:t>
      </w:r>
      <w:r w:rsidR="007E0D5F">
        <w:t>relationship</w:t>
      </w:r>
      <w:r w:rsidR="007E0D5F" w:rsidRPr="009568B1">
        <w:t xml:space="preserve"> </w:t>
      </w:r>
      <w:r w:rsidRPr="009568B1">
        <w:t xml:space="preserve">with </w:t>
      </w:r>
      <w:r w:rsidR="00606206">
        <w:t xml:space="preserve">the Australian </w:t>
      </w:r>
      <w:r w:rsidR="0026653C">
        <w:t xml:space="preserve">Maritime Safety Authority </w:t>
      </w:r>
    </w:p>
    <w:p w14:paraId="3C07D65E" w14:textId="193CC912" w:rsidR="00697696" w:rsidRDefault="00697696" w:rsidP="002D458D">
      <w:pPr>
        <w:pStyle w:val="Heading3NoNumber"/>
        <w:rPr>
          <w:rFonts w:asciiTheme="majorHAnsi" w:hAnsiTheme="majorHAnsi"/>
        </w:rPr>
      </w:pPr>
      <w:r>
        <w:t>NOPSEMA has an effective and open relationship with AMSA</w:t>
      </w:r>
    </w:p>
    <w:p w14:paraId="21CAB9BD" w14:textId="012FDE7C" w:rsidR="002F2AF0" w:rsidRPr="006C6945" w:rsidRDefault="00CC187B" w:rsidP="002D458D">
      <w:pPr>
        <w:pStyle w:val="BodyCopyNEW"/>
        <w:rPr>
          <w:szCs w:val="18"/>
        </w:rPr>
      </w:pPr>
      <w:r w:rsidRPr="006C6945">
        <w:rPr>
          <w:szCs w:val="18"/>
        </w:rPr>
        <w:t>NOPSEMA’s relationship with AMSA was noted as being positive and collaborative. There is a</w:t>
      </w:r>
      <w:r w:rsidR="0073445E" w:rsidRPr="006C6945">
        <w:rPr>
          <w:szCs w:val="18"/>
        </w:rPr>
        <w:t>n</w:t>
      </w:r>
      <w:r w:rsidRPr="006C6945">
        <w:rPr>
          <w:szCs w:val="18"/>
        </w:rPr>
        <w:t xml:space="preserve"> MOU in place between </w:t>
      </w:r>
      <w:r w:rsidR="00544BBC" w:rsidRPr="006C6945">
        <w:rPr>
          <w:szCs w:val="18"/>
        </w:rPr>
        <w:t>the two parties</w:t>
      </w:r>
      <w:r w:rsidRPr="006C6945">
        <w:rPr>
          <w:szCs w:val="18"/>
        </w:rPr>
        <w:t xml:space="preserve"> and there are </w:t>
      </w:r>
      <w:r w:rsidR="009C5451" w:rsidRPr="006C6945">
        <w:rPr>
          <w:szCs w:val="18"/>
        </w:rPr>
        <w:t xml:space="preserve">frequent and </w:t>
      </w:r>
      <w:r w:rsidRPr="006C6945">
        <w:rPr>
          <w:szCs w:val="18"/>
        </w:rPr>
        <w:t xml:space="preserve">regular meetings </w:t>
      </w:r>
      <w:r w:rsidR="009C5451" w:rsidRPr="006C6945">
        <w:rPr>
          <w:szCs w:val="18"/>
        </w:rPr>
        <w:t>held at both a strategic and operational level</w:t>
      </w:r>
      <w:r w:rsidR="00520AB6" w:rsidRPr="00901C7B">
        <w:rPr>
          <w:rStyle w:val="FootnoteReference"/>
          <w:sz w:val="18"/>
          <w:szCs w:val="18"/>
        </w:rPr>
        <w:footnoteReference w:id="44"/>
      </w:r>
      <w:r w:rsidRPr="006C6945">
        <w:rPr>
          <w:szCs w:val="18"/>
        </w:rPr>
        <w:t>.</w:t>
      </w:r>
      <w:r w:rsidRPr="001D4317">
        <w:rPr>
          <w:szCs w:val="18"/>
        </w:rPr>
        <w:t xml:space="preserve"> </w:t>
      </w:r>
      <w:r w:rsidR="00F93D68" w:rsidRPr="006C6945">
        <w:rPr>
          <w:szCs w:val="18"/>
        </w:rPr>
        <w:t xml:space="preserve">Furthermore, NOPSEMA continues to </w:t>
      </w:r>
      <w:r w:rsidR="00250B38" w:rsidRPr="006C6945">
        <w:rPr>
          <w:szCs w:val="18"/>
        </w:rPr>
        <w:t>engage with AMSA</w:t>
      </w:r>
      <w:r w:rsidR="00F93D68" w:rsidRPr="006C6945">
        <w:rPr>
          <w:szCs w:val="18"/>
        </w:rPr>
        <w:t xml:space="preserve"> on the National Plan for</w:t>
      </w:r>
      <w:r w:rsidR="00250B38" w:rsidRPr="006C6945">
        <w:rPr>
          <w:szCs w:val="18"/>
        </w:rPr>
        <w:t xml:space="preserve"> </w:t>
      </w:r>
      <w:r w:rsidR="00F93D68" w:rsidRPr="006C6945">
        <w:rPr>
          <w:szCs w:val="18"/>
        </w:rPr>
        <w:t>Maritime Environmental Emergencies (</w:t>
      </w:r>
      <w:r w:rsidR="00F93D68" w:rsidRPr="006C6945">
        <w:rPr>
          <w:b/>
          <w:szCs w:val="18"/>
        </w:rPr>
        <w:t>National Plan</w:t>
      </w:r>
      <w:r w:rsidR="00F93D68" w:rsidRPr="006C6945">
        <w:rPr>
          <w:szCs w:val="18"/>
        </w:rPr>
        <w:t>). Th</w:t>
      </w:r>
      <w:r w:rsidR="00250B38" w:rsidRPr="006C6945">
        <w:rPr>
          <w:szCs w:val="18"/>
        </w:rPr>
        <w:t>e National P</w:t>
      </w:r>
      <w:r w:rsidR="00F93D68" w:rsidRPr="006C6945">
        <w:rPr>
          <w:szCs w:val="18"/>
        </w:rPr>
        <w:t>lan establishes responsibilities for each agency</w:t>
      </w:r>
      <w:r w:rsidR="00250B38" w:rsidRPr="006C6945">
        <w:rPr>
          <w:szCs w:val="18"/>
        </w:rPr>
        <w:t xml:space="preserve"> </w:t>
      </w:r>
      <w:r w:rsidR="00F93D68" w:rsidRPr="006C6945">
        <w:rPr>
          <w:szCs w:val="18"/>
        </w:rPr>
        <w:t>during oil spill response efforts.</w:t>
      </w:r>
    </w:p>
    <w:p w14:paraId="7AD6723A" w14:textId="36CFDA9D" w:rsidR="00CC187B" w:rsidRPr="006C6945" w:rsidRDefault="004C5874" w:rsidP="002D458D">
      <w:pPr>
        <w:pStyle w:val="BodyCopyNEW"/>
        <w:rPr>
          <w:szCs w:val="18"/>
        </w:rPr>
      </w:pPr>
      <w:r w:rsidRPr="006C6945">
        <w:rPr>
          <w:szCs w:val="18"/>
        </w:rPr>
        <w:t>Based on our experience, we agree there</w:t>
      </w:r>
      <w:r w:rsidR="00BA505F" w:rsidRPr="006C6945">
        <w:rPr>
          <w:szCs w:val="18"/>
        </w:rPr>
        <w:t xml:space="preserve"> </w:t>
      </w:r>
      <w:r w:rsidR="00DD2BC6" w:rsidRPr="006C6945">
        <w:rPr>
          <w:szCs w:val="18"/>
        </w:rPr>
        <w:t xml:space="preserve">is value </w:t>
      </w:r>
      <w:r w:rsidR="007801E4" w:rsidRPr="006C6945">
        <w:rPr>
          <w:szCs w:val="18"/>
        </w:rPr>
        <w:t>in having</w:t>
      </w:r>
      <w:r w:rsidR="00D30C31">
        <w:rPr>
          <w:szCs w:val="18"/>
        </w:rPr>
        <w:t xml:space="preserve"> an MOU</w:t>
      </w:r>
      <w:r w:rsidR="00BD072A">
        <w:rPr>
          <w:szCs w:val="18"/>
        </w:rPr>
        <w:t xml:space="preserve"> with</w:t>
      </w:r>
      <w:r w:rsidR="007801E4" w:rsidRPr="006C6945">
        <w:rPr>
          <w:szCs w:val="18"/>
        </w:rPr>
        <w:t xml:space="preserve"> a clear set of </w:t>
      </w:r>
      <w:r w:rsidR="000E0E7E" w:rsidRPr="006C6945">
        <w:rPr>
          <w:szCs w:val="18"/>
        </w:rPr>
        <w:t xml:space="preserve">engagement </w:t>
      </w:r>
      <w:r w:rsidR="00B444DF" w:rsidRPr="006C6945">
        <w:rPr>
          <w:szCs w:val="18"/>
        </w:rPr>
        <w:t>principl</w:t>
      </w:r>
      <w:r w:rsidR="00BD072A">
        <w:rPr>
          <w:szCs w:val="18"/>
        </w:rPr>
        <w:t>e</w:t>
      </w:r>
      <w:r w:rsidR="00B444DF" w:rsidRPr="006C6945">
        <w:rPr>
          <w:szCs w:val="18"/>
        </w:rPr>
        <w:t xml:space="preserve">s and </w:t>
      </w:r>
      <w:r w:rsidR="000E0E7E" w:rsidRPr="006C6945">
        <w:rPr>
          <w:szCs w:val="18"/>
        </w:rPr>
        <w:t>pro</w:t>
      </w:r>
      <w:r w:rsidR="008F74C2" w:rsidRPr="006C6945">
        <w:rPr>
          <w:szCs w:val="18"/>
        </w:rPr>
        <w:t>tocols</w:t>
      </w:r>
      <w:r w:rsidR="00014D03" w:rsidRPr="006C6945">
        <w:rPr>
          <w:szCs w:val="18"/>
        </w:rPr>
        <w:t xml:space="preserve"> (including </w:t>
      </w:r>
      <w:r w:rsidR="002F2AF0" w:rsidRPr="006C6945">
        <w:rPr>
          <w:szCs w:val="18"/>
        </w:rPr>
        <w:t xml:space="preserve">with regards to </w:t>
      </w:r>
      <w:r w:rsidR="00014D03" w:rsidRPr="006C6945">
        <w:rPr>
          <w:szCs w:val="18"/>
        </w:rPr>
        <w:t xml:space="preserve">information </w:t>
      </w:r>
      <w:r w:rsidR="002F2AF0" w:rsidRPr="006C6945">
        <w:rPr>
          <w:szCs w:val="18"/>
        </w:rPr>
        <w:t>sharing</w:t>
      </w:r>
      <w:r w:rsidR="004718CD" w:rsidRPr="006C6945">
        <w:rPr>
          <w:szCs w:val="18"/>
        </w:rPr>
        <w:t>)</w:t>
      </w:r>
      <w:r w:rsidR="008F74C2" w:rsidRPr="006C6945">
        <w:rPr>
          <w:szCs w:val="18"/>
        </w:rPr>
        <w:t xml:space="preserve">, agreements on joint funding or </w:t>
      </w:r>
      <w:r w:rsidR="00507F00" w:rsidRPr="006C6945">
        <w:rPr>
          <w:szCs w:val="18"/>
        </w:rPr>
        <w:t xml:space="preserve">joint </w:t>
      </w:r>
      <w:r w:rsidR="008F74C2" w:rsidRPr="006C6945">
        <w:rPr>
          <w:szCs w:val="18"/>
        </w:rPr>
        <w:t xml:space="preserve">approaches to issues, </w:t>
      </w:r>
      <w:r w:rsidR="00B444DF" w:rsidRPr="006C6945">
        <w:rPr>
          <w:szCs w:val="18"/>
        </w:rPr>
        <w:t xml:space="preserve">established </w:t>
      </w:r>
      <w:r w:rsidR="00963163" w:rsidRPr="006C6945">
        <w:rPr>
          <w:szCs w:val="18"/>
        </w:rPr>
        <w:t xml:space="preserve">meeting cadences, </w:t>
      </w:r>
      <w:r w:rsidR="00BB022B" w:rsidRPr="006C6945">
        <w:rPr>
          <w:szCs w:val="18"/>
        </w:rPr>
        <w:t xml:space="preserve">and a clear signal to </w:t>
      </w:r>
      <w:r w:rsidR="007733E7" w:rsidRPr="006C6945">
        <w:rPr>
          <w:szCs w:val="18"/>
        </w:rPr>
        <w:t xml:space="preserve">other external </w:t>
      </w:r>
      <w:r w:rsidR="00BB022B" w:rsidRPr="006C6945">
        <w:rPr>
          <w:szCs w:val="18"/>
        </w:rPr>
        <w:t>stakeholders of a close relationship.</w:t>
      </w:r>
    </w:p>
    <w:p w14:paraId="7C450A14" w14:textId="20740330" w:rsidR="00384051" w:rsidRDefault="00B233F3" w:rsidP="008D69C2">
      <w:pPr>
        <w:pStyle w:val="BodyCopyNEW"/>
        <w:rPr>
          <w:szCs w:val="18"/>
        </w:rPr>
      </w:pPr>
      <w:r w:rsidRPr="006C6945">
        <w:rPr>
          <w:szCs w:val="18"/>
        </w:rPr>
        <w:t>From the information we examined, t</w:t>
      </w:r>
      <w:r w:rsidR="00AB236F" w:rsidRPr="006C6945">
        <w:rPr>
          <w:szCs w:val="18"/>
        </w:rPr>
        <w:t xml:space="preserve">here is evidence of NOPSEMA and AMSA identifying and addressing areas of regulatory overlap. </w:t>
      </w:r>
      <w:r w:rsidR="0055380A" w:rsidRPr="006C6945">
        <w:rPr>
          <w:szCs w:val="18"/>
        </w:rPr>
        <w:t>Notwithstanding</w:t>
      </w:r>
      <w:r w:rsidR="00AB236F" w:rsidRPr="006C6945">
        <w:rPr>
          <w:szCs w:val="18"/>
        </w:rPr>
        <w:t xml:space="preserve"> NOPSEMA and AMSA’s efforts to </w:t>
      </w:r>
      <w:r w:rsidR="00D56A78" w:rsidRPr="006C6945">
        <w:rPr>
          <w:szCs w:val="18"/>
        </w:rPr>
        <w:t>address areas of regulatory interface, stakeholders we consulted</w:t>
      </w:r>
      <w:r w:rsidR="00CC187B" w:rsidRPr="006C6945">
        <w:rPr>
          <w:szCs w:val="18"/>
        </w:rPr>
        <w:t xml:space="preserve"> noted areas of overlaps between NOPSEMA and AMSA’s functions that require clarification</w:t>
      </w:r>
      <w:r w:rsidR="009640A8" w:rsidRPr="006C6945">
        <w:rPr>
          <w:szCs w:val="18"/>
        </w:rPr>
        <w:t>.</w:t>
      </w:r>
      <w:r w:rsidR="00CC187B" w:rsidRPr="006C6945">
        <w:rPr>
          <w:szCs w:val="18"/>
        </w:rPr>
        <w:t xml:space="preserve"> </w:t>
      </w:r>
      <w:r w:rsidR="004003A2" w:rsidRPr="006C6945">
        <w:rPr>
          <w:szCs w:val="18"/>
        </w:rPr>
        <w:t xml:space="preserve">This is in line with findings from the 2015 Operational Review. </w:t>
      </w:r>
      <w:r w:rsidR="00CC187B" w:rsidRPr="006C6945">
        <w:rPr>
          <w:szCs w:val="18"/>
        </w:rPr>
        <w:t>We encourage NOPSEMA and AMSA to continue to identify areas of regulatory interface and provide clarity on their respective roles and responsibilities to industry (e.g. through publishing of joint guidance notes</w:t>
      </w:r>
      <w:r w:rsidR="009640A8" w:rsidRPr="006C6945">
        <w:rPr>
          <w:szCs w:val="18"/>
        </w:rPr>
        <w:t xml:space="preserve">, </w:t>
      </w:r>
      <w:r w:rsidR="00043DE7" w:rsidRPr="006C6945">
        <w:rPr>
          <w:szCs w:val="18"/>
        </w:rPr>
        <w:t xml:space="preserve">information in the Regulator’s newsletter </w:t>
      </w:r>
      <w:r w:rsidR="009640A8" w:rsidRPr="006C6945">
        <w:rPr>
          <w:szCs w:val="18"/>
        </w:rPr>
        <w:t>or a joint</w:t>
      </w:r>
      <w:r w:rsidR="00C369C7" w:rsidRPr="006C6945">
        <w:rPr>
          <w:szCs w:val="18"/>
        </w:rPr>
        <w:t xml:space="preserve"> news article through APPEA, for example</w:t>
      </w:r>
      <w:r w:rsidR="00CC187B" w:rsidRPr="006C6945">
        <w:rPr>
          <w:szCs w:val="18"/>
        </w:rPr>
        <w:t>).</w:t>
      </w:r>
      <w:r w:rsidR="004003A2" w:rsidRPr="006C6945">
        <w:rPr>
          <w:szCs w:val="18"/>
        </w:rPr>
        <w:t xml:space="preserve"> </w:t>
      </w:r>
      <w:r w:rsidR="002B35DC" w:rsidRPr="006C6945">
        <w:rPr>
          <w:szCs w:val="18"/>
        </w:rPr>
        <w:t xml:space="preserve">A planned, methodical approach to identifying areas of </w:t>
      </w:r>
      <w:r w:rsidR="008D21D4" w:rsidRPr="006C6945">
        <w:rPr>
          <w:szCs w:val="18"/>
        </w:rPr>
        <w:t xml:space="preserve">unresolved </w:t>
      </w:r>
      <w:r w:rsidR="00CC6136" w:rsidRPr="006C6945">
        <w:rPr>
          <w:szCs w:val="18"/>
        </w:rPr>
        <w:t>regulatory</w:t>
      </w:r>
      <w:r w:rsidR="002B35DC" w:rsidRPr="006C6945">
        <w:rPr>
          <w:szCs w:val="18"/>
        </w:rPr>
        <w:t xml:space="preserve"> interface between the OPGGS Act and the </w:t>
      </w:r>
      <w:r w:rsidR="00921B63" w:rsidRPr="006C6945">
        <w:rPr>
          <w:i/>
          <w:szCs w:val="18"/>
        </w:rPr>
        <w:t xml:space="preserve">Navigation Act </w:t>
      </w:r>
      <w:r w:rsidR="00705CA1" w:rsidRPr="006C6945">
        <w:rPr>
          <w:i/>
          <w:szCs w:val="18"/>
        </w:rPr>
        <w:t>2012</w:t>
      </w:r>
      <w:r w:rsidR="00705CA1" w:rsidRPr="006C6945">
        <w:rPr>
          <w:szCs w:val="18"/>
        </w:rPr>
        <w:t xml:space="preserve"> (</w:t>
      </w:r>
      <w:r w:rsidR="00705CA1" w:rsidRPr="006C6945">
        <w:rPr>
          <w:b/>
          <w:szCs w:val="18"/>
        </w:rPr>
        <w:t>Navigation Act</w:t>
      </w:r>
      <w:r w:rsidR="00705CA1" w:rsidRPr="006C6945">
        <w:rPr>
          <w:szCs w:val="18"/>
        </w:rPr>
        <w:t>) is required.</w:t>
      </w:r>
    </w:p>
    <w:p w14:paraId="1DAAFB77" w14:textId="437DD275" w:rsidR="008D69C2" w:rsidRDefault="008D69C2" w:rsidP="008D69C2">
      <w:pPr>
        <w:pStyle w:val="BodyCopyNEW"/>
        <w:rPr>
          <w:szCs w:val="18"/>
        </w:rPr>
      </w:pPr>
    </w:p>
    <w:p w14:paraId="4CFF9E42" w14:textId="056715F5" w:rsidR="008D69C2" w:rsidRDefault="008D69C2" w:rsidP="008D69C2">
      <w:pPr>
        <w:pStyle w:val="BodyCopyNEW"/>
        <w:rPr>
          <w:szCs w:val="18"/>
        </w:rPr>
      </w:pPr>
    </w:p>
    <w:p w14:paraId="5EC21285" w14:textId="77777777" w:rsidR="008D69C2" w:rsidRPr="008D69C2" w:rsidRDefault="008D69C2" w:rsidP="008D69C2">
      <w:pPr>
        <w:pStyle w:val="BodyCopyNEW"/>
        <w:rPr>
          <w:szCs w:val="18"/>
        </w:rPr>
      </w:pPr>
    </w:p>
    <w:tbl>
      <w:tblPr>
        <w:tblStyle w:val="TableGrid"/>
        <w:tblW w:w="0" w:type="auto"/>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2D3790" w:rsidRPr="00DA0585" w14:paraId="229DB130" w14:textId="77777777" w:rsidTr="00EC5F12">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FC2B4"/>
          </w:tcPr>
          <w:p w14:paraId="30E02950" w14:textId="4DC8EB34" w:rsidR="002D3790" w:rsidRPr="00384051" w:rsidRDefault="002D3790" w:rsidP="00053250">
            <w:pPr>
              <w:pStyle w:val="TableHeadingLeft"/>
              <w:rPr>
                <w:bCs/>
              </w:rPr>
            </w:pPr>
            <w:r w:rsidRPr="00384051">
              <w:rPr>
                <w:bCs/>
              </w:rPr>
              <w:lastRenderedPageBreak/>
              <w:t>Opportunity #1</w:t>
            </w:r>
            <w:r w:rsidR="00C224DC">
              <w:rPr>
                <w:bCs/>
              </w:rPr>
              <w:t>7</w:t>
            </w:r>
          </w:p>
        </w:tc>
      </w:tr>
      <w:tr w:rsidR="00DA0585" w:rsidRPr="00DA0585" w14:paraId="126A79E2" w14:textId="77777777" w:rsidTr="00EC5F12">
        <w:tc>
          <w:tcPr>
            <w:tcW w:w="9864" w:type="dxa"/>
            <w:tcBorders>
              <w:bottom w:val="nil"/>
            </w:tcBorders>
            <w:shd w:val="clear" w:color="auto" w:fill="F2F2F2" w:themeFill="background1" w:themeFillShade="F2"/>
          </w:tcPr>
          <w:p w14:paraId="16A35116" w14:textId="0C0B018F" w:rsidR="00335AB5" w:rsidRPr="00DA0585" w:rsidRDefault="00485ECE" w:rsidP="00FD0609">
            <w:pPr>
              <w:pStyle w:val="BodyCopyNEW"/>
            </w:pPr>
            <w:r w:rsidRPr="00DA0585">
              <w:rPr>
                <w:szCs w:val="18"/>
              </w:rPr>
              <w:t>The Australian Government is encouraged to identify opportunities for NOPSEMA and AMSA in building and delivering joint guidance, briefings, or information packages for industry on issues of strategic importance or regulatory overlap, such as decommissioning.</w:t>
            </w:r>
          </w:p>
        </w:tc>
      </w:tr>
    </w:tbl>
    <w:p w14:paraId="4F35217A" w14:textId="3E1EBD36" w:rsidR="00CC187B" w:rsidRPr="000B0191" w:rsidRDefault="00CC187B" w:rsidP="00BA4D90">
      <w:pPr>
        <w:pStyle w:val="Heading4"/>
      </w:pPr>
      <w:bookmarkStart w:id="117" w:name="_Ref56427626"/>
      <w:r w:rsidRPr="000B0191">
        <w:t xml:space="preserve">NOPSEMA’s </w:t>
      </w:r>
      <w:r w:rsidR="007E0D5F">
        <w:t>relationship</w:t>
      </w:r>
      <w:r w:rsidR="007E0D5F" w:rsidRPr="000B0191">
        <w:t xml:space="preserve"> </w:t>
      </w:r>
      <w:r w:rsidRPr="000B0191">
        <w:t>with DAWE</w:t>
      </w:r>
      <w:r w:rsidR="00803E1A" w:rsidRPr="000B0191">
        <w:t>,</w:t>
      </w:r>
      <w:r w:rsidRPr="000B0191">
        <w:t xml:space="preserve"> including Parks Australia </w:t>
      </w:r>
      <w:r w:rsidR="000F5A07" w:rsidRPr="000B0191">
        <w:t xml:space="preserve">and </w:t>
      </w:r>
      <w:r w:rsidR="00C6750F" w:rsidRPr="000B0191">
        <w:t xml:space="preserve">the </w:t>
      </w:r>
      <w:r w:rsidR="000F5A07" w:rsidRPr="000B0191">
        <w:t>Australian Antarctic</w:t>
      </w:r>
      <w:r w:rsidR="00605959" w:rsidRPr="000B0191">
        <w:t xml:space="preserve"> Division</w:t>
      </w:r>
      <w:bookmarkEnd w:id="117"/>
      <w:r w:rsidR="00605959" w:rsidRPr="000B0191">
        <w:t xml:space="preserve"> </w:t>
      </w:r>
    </w:p>
    <w:p w14:paraId="353DA967" w14:textId="77777777" w:rsidR="00B50B0B" w:rsidRDefault="00B50B0B" w:rsidP="007E62D5">
      <w:pPr>
        <w:pStyle w:val="Heading3NoNumber"/>
      </w:pPr>
      <w:r w:rsidRPr="00026E3D">
        <w:t>Collaboration with DAWE is positive, with opportunities to work together to improve key resources</w:t>
      </w:r>
    </w:p>
    <w:p w14:paraId="3AD8F918" w14:textId="299B6378" w:rsidR="00CB00C4" w:rsidRPr="006C6945" w:rsidRDefault="002A4B05" w:rsidP="007E62D5">
      <w:pPr>
        <w:pStyle w:val="BodyCopyNEW"/>
        <w:rPr>
          <w:b/>
          <w:i/>
          <w:szCs w:val="18"/>
        </w:rPr>
      </w:pPr>
      <w:r w:rsidRPr="006C6945">
        <w:rPr>
          <w:szCs w:val="18"/>
        </w:rPr>
        <w:t>NOPSEMA’s engagement with DAWE and portfolio agenc</w:t>
      </w:r>
      <w:r w:rsidR="00F40D44" w:rsidRPr="006C6945">
        <w:rPr>
          <w:szCs w:val="18"/>
        </w:rPr>
        <w:t>ies</w:t>
      </w:r>
      <w:r w:rsidRPr="006C6945">
        <w:rPr>
          <w:szCs w:val="18"/>
        </w:rPr>
        <w:t xml:space="preserve"> Parks Australia </w:t>
      </w:r>
      <w:r w:rsidR="009A1E22" w:rsidRPr="006C6945">
        <w:rPr>
          <w:szCs w:val="18"/>
        </w:rPr>
        <w:t>and the Australian Antarctic Division</w:t>
      </w:r>
      <w:r w:rsidRPr="006C6945">
        <w:rPr>
          <w:szCs w:val="18"/>
        </w:rPr>
        <w:t xml:space="preserve"> is </w:t>
      </w:r>
      <w:r w:rsidR="00527CD7" w:rsidRPr="006C6945">
        <w:rPr>
          <w:szCs w:val="18"/>
        </w:rPr>
        <w:t xml:space="preserve">generally </w:t>
      </w:r>
      <w:r w:rsidRPr="006C6945">
        <w:rPr>
          <w:szCs w:val="18"/>
        </w:rPr>
        <w:t xml:space="preserve">positive, regular and proactive. </w:t>
      </w:r>
    </w:p>
    <w:p w14:paraId="280AD336" w14:textId="0DF26AEC" w:rsidR="00B41005" w:rsidRPr="006C6945" w:rsidRDefault="00474E70" w:rsidP="007E62D5">
      <w:pPr>
        <w:pStyle w:val="BodyCopyNEW"/>
        <w:rPr>
          <w:szCs w:val="18"/>
        </w:rPr>
      </w:pPr>
      <w:r w:rsidRPr="006C6945">
        <w:rPr>
          <w:szCs w:val="18"/>
        </w:rPr>
        <w:t>In February 2014, the environmental management authorisation process for petroleum and greenhouse gas activities administered by the NOPSEMA under the OPGGS Act and associated regulations was endorsed by the Commonwealth Minister for the Environment under Part 10</w:t>
      </w:r>
      <w:r w:rsidR="008847D1" w:rsidRPr="006C6945">
        <w:rPr>
          <w:szCs w:val="18"/>
        </w:rPr>
        <w:t xml:space="preserve"> </w:t>
      </w:r>
      <w:r w:rsidRPr="006C6945">
        <w:rPr>
          <w:szCs w:val="18"/>
        </w:rPr>
        <w:t>of the EPBC Act</w:t>
      </w:r>
      <w:r w:rsidR="004B30CF" w:rsidRPr="006C6945">
        <w:rPr>
          <w:szCs w:val="18"/>
        </w:rPr>
        <w:t>, subject to a number of exclusions</w:t>
      </w:r>
      <w:r w:rsidRPr="006C6945">
        <w:rPr>
          <w:szCs w:val="18"/>
        </w:rPr>
        <w:t xml:space="preserve">. </w:t>
      </w:r>
      <w:r w:rsidR="00B41005" w:rsidRPr="006C6945">
        <w:rPr>
          <w:szCs w:val="18"/>
        </w:rPr>
        <w:t>The Minister’s approval mean</w:t>
      </w:r>
      <w:r w:rsidR="004B30CF" w:rsidRPr="006C6945">
        <w:rPr>
          <w:szCs w:val="18"/>
        </w:rPr>
        <w:t>t</w:t>
      </w:r>
      <w:r w:rsidR="00B41005" w:rsidRPr="006C6945">
        <w:rPr>
          <w:szCs w:val="18"/>
        </w:rPr>
        <w:t xml:space="preserve"> titleholders seeking to undertake offshore petroleum or </w:t>
      </w:r>
      <w:r w:rsidR="004B30CF" w:rsidRPr="006C6945">
        <w:rPr>
          <w:szCs w:val="18"/>
        </w:rPr>
        <w:t>GHG</w:t>
      </w:r>
      <w:r w:rsidR="00B41005" w:rsidRPr="006C6945">
        <w:rPr>
          <w:szCs w:val="18"/>
        </w:rPr>
        <w:t xml:space="preserve"> </w:t>
      </w:r>
      <w:r w:rsidR="007733E7" w:rsidRPr="006C6945">
        <w:rPr>
          <w:szCs w:val="18"/>
        </w:rPr>
        <w:t xml:space="preserve">storage </w:t>
      </w:r>
      <w:r w:rsidR="00B41005" w:rsidRPr="006C6945">
        <w:rPr>
          <w:szCs w:val="18"/>
        </w:rPr>
        <w:t xml:space="preserve">activities in Commonwealth waters in accordance with the </w:t>
      </w:r>
      <w:r w:rsidR="004B30CF" w:rsidRPr="006C6945">
        <w:rPr>
          <w:szCs w:val="18"/>
        </w:rPr>
        <w:t>Endorsed Program</w:t>
      </w:r>
      <w:r w:rsidR="00B41005" w:rsidRPr="006C6945">
        <w:rPr>
          <w:szCs w:val="18"/>
        </w:rPr>
        <w:t xml:space="preserve"> no longer need</w:t>
      </w:r>
      <w:r w:rsidR="004B30CF" w:rsidRPr="006C6945">
        <w:rPr>
          <w:szCs w:val="18"/>
        </w:rPr>
        <w:t>ed</w:t>
      </w:r>
      <w:r w:rsidR="00B41005" w:rsidRPr="006C6945">
        <w:rPr>
          <w:szCs w:val="18"/>
        </w:rPr>
        <w:t xml:space="preserve"> to refer those actions for assessment under the EPBC Act</w:t>
      </w:r>
      <w:r w:rsidR="00520AB6" w:rsidRPr="006C6945">
        <w:rPr>
          <w:rStyle w:val="FootnoteReference"/>
          <w:sz w:val="18"/>
          <w:szCs w:val="18"/>
        </w:rPr>
        <w:footnoteReference w:id="45"/>
      </w:r>
      <w:r w:rsidR="00B41005" w:rsidRPr="006C6945">
        <w:rPr>
          <w:szCs w:val="18"/>
        </w:rPr>
        <w:t>.</w:t>
      </w:r>
      <w:r w:rsidR="00E32029" w:rsidRPr="006C6945">
        <w:rPr>
          <w:szCs w:val="18"/>
        </w:rPr>
        <w:t xml:space="preserve"> </w:t>
      </w:r>
    </w:p>
    <w:p w14:paraId="344BB08F" w14:textId="79CE502C" w:rsidR="00E37F95" w:rsidRPr="006C6945" w:rsidRDefault="002B0955" w:rsidP="007E62D5">
      <w:pPr>
        <w:pStyle w:val="BodyCopyNEW"/>
        <w:rPr>
          <w:szCs w:val="18"/>
        </w:rPr>
      </w:pPr>
      <w:r w:rsidRPr="006C6945">
        <w:rPr>
          <w:szCs w:val="18"/>
        </w:rPr>
        <w:t xml:space="preserve">NOPSEMA </w:t>
      </w:r>
      <w:r w:rsidR="002A04A3" w:rsidRPr="006C6945">
        <w:rPr>
          <w:szCs w:val="18"/>
        </w:rPr>
        <w:t>must</w:t>
      </w:r>
      <w:r w:rsidRPr="006C6945">
        <w:rPr>
          <w:szCs w:val="18"/>
        </w:rPr>
        <w:t xml:space="preserve"> engage closely with two </w:t>
      </w:r>
      <w:r w:rsidR="002A04A3" w:rsidRPr="006C6945">
        <w:rPr>
          <w:szCs w:val="18"/>
        </w:rPr>
        <w:t xml:space="preserve">Commonwealth government </w:t>
      </w:r>
      <w:r w:rsidR="002D50AB" w:rsidRPr="006C6945">
        <w:rPr>
          <w:szCs w:val="18"/>
        </w:rPr>
        <w:t>departments</w:t>
      </w:r>
      <w:r w:rsidR="002A04A3" w:rsidRPr="006C6945">
        <w:rPr>
          <w:szCs w:val="18"/>
        </w:rPr>
        <w:t xml:space="preserve"> on </w:t>
      </w:r>
      <w:r w:rsidR="00003E9E" w:rsidRPr="006C6945">
        <w:rPr>
          <w:szCs w:val="18"/>
        </w:rPr>
        <w:t xml:space="preserve">environmental </w:t>
      </w:r>
      <w:r w:rsidR="002A04A3" w:rsidRPr="006C6945">
        <w:rPr>
          <w:szCs w:val="18"/>
        </w:rPr>
        <w:t>policy issues</w:t>
      </w:r>
      <w:r w:rsidR="002D50AB" w:rsidRPr="006C6945">
        <w:rPr>
          <w:szCs w:val="18"/>
        </w:rPr>
        <w:t xml:space="preserve"> </w:t>
      </w:r>
      <w:r w:rsidR="00585F97" w:rsidRPr="006C6945">
        <w:rPr>
          <w:szCs w:val="18"/>
        </w:rPr>
        <w:t>(</w:t>
      </w:r>
      <w:r w:rsidR="004B30CF" w:rsidRPr="006C6945">
        <w:rPr>
          <w:szCs w:val="18"/>
        </w:rPr>
        <w:t xml:space="preserve">DISER for offshore resources </w:t>
      </w:r>
      <w:r w:rsidR="00343681" w:rsidRPr="006C6945">
        <w:rPr>
          <w:szCs w:val="18"/>
        </w:rPr>
        <w:t xml:space="preserve">environment matters </w:t>
      </w:r>
      <w:r w:rsidR="004B30CF" w:rsidRPr="006C6945">
        <w:rPr>
          <w:szCs w:val="18"/>
        </w:rPr>
        <w:t xml:space="preserve">and DAWE for </w:t>
      </w:r>
      <w:r w:rsidR="00343681" w:rsidRPr="006C6945">
        <w:rPr>
          <w:szCs w:val="18"/>
        </w:rPr>
        <w:t>select</w:t>
      </w:r>
      <w:r w:rsidR="004B30CF" w:rsidRPr="006C6945">
        <w:rPr>
          <w:szCs w:val="18"/>
        </w:rPr>
        <w:t xml:space="preserve"> environment-related matters</w:t>
      </w:r>
      <w:r w:rsidR="00585F97" w:rsidRPr="006C6945">
        <w:rPr>
          <w:szCs w:val="18"/>
        </w:rPr>
        <w:t>)</w:t>
      </w:r>
      <w:r w:rsidR="004B30CF" w:rsidRPr="006C6945">
        <w:rPr>
          <w:szCs w:val="18"/>
        </w:rPr>
        <w:t xml:space="preserve">. </w:t>
      </w:r>
      <w:r w:rsidR="00043FAE" w:rsidRPr="006C6945">
        <w:rPr>
          <w:szCs w:val="18"/>
        </w:rPr>
        <w:t xml:space="preserve">DAWE continue to hold </w:t>
      </w:r>
      <w:r w:rsidR="00343681" w:rsidRPr="006C6945">
        <w:rPr>
          <w:szCs w:val="18"/>
        </w:rPr>
        <w:t xml:space="preserve">relevant </w:t>
      </w:r>
      <w:r w:rsidR="00043FAE" w:rsidRPr="006C6945">
        <w:rPr>
          <w:szCs w:val="18"/>
        </w:rPr>
        <w:t xml:space="preserve">policy responsibility for </w:t>
      </w:r>
      <w:r w:rsidR="00133FB1" w:rsidRPr="006C6945">
        <w:rPr>
          <w:szCs w:val="18"/>
        </w:rPr>
        <w:t xml:space="preserve">environmental </w:t>
      </w:r>
      <w:r w:rsidR="00662F2D" w:rsidRPr="006C6945">
        <w:rPr>
          <w:szCs w:val="18"/>
        </w:rPr>
        <w:t>protection matters,</w:t>
      </w:r>
      <w:r w:rsidR="00533067" w:rsidRPr="006C6945">
        <w:rPr>
          <w:szCs w:val="18"/>
        </w:rPr>
        <w:t xml:space="preserve"> which NOPSEMA must comply with in its assessments</w:t>
      </w:r>
      <w:r w:rsidR="00533067" w:rsidRPr="006C6945">
        <w:rPr>
          <w:i/>
          <w:szCs w:val="18"/>
        </w:rPr>
        <w:t xml:space="preserve">. </w:t>
      </w:r>
      <w:r w:rsidR="007042FF" w:rsidRPr="006C6945">
        <w:rPr>
          <w:i/>
          <w:szCs w:val="18"/>
        </w:rPr>
        <w:t>An Administrative Arrangement</w:t>
      </w:r>
      <w:r w:rsidR="007042FF" w:rsidRPr="006C6945">
        <w:rPr>
          <w:szCs w:val="18"/>
        </w:rPr>
        <w:t xml:space="preserve"> was </w:t>
      </w:r>
      <w:r w:rsidR="002A5368" w:rsidRPr="006C6945">
        <w:rPr>
          <w:szCs w:val="18"/>
        </w:rPr>
        <w:t xml:space="preserve">agreed by NOPSEMA and DAWE </w:t>
      </w:r>
      <w:r w:rsidR="00622CDD" w:rsidRPr="006C6945">
        <w:rPr>
          <w:szCs w:val="18"/>
        </w:rPr>
        <w:t xml:space="preserve">following the </w:t>
      </w:r>
      <w:r w:rsidR="002A5368" w:rsidRPr="006C6945">
        <w:rPr>
          <w:szCs w:val="18"/>
        </w:rPr>
        <w:t xml:space="preserve">establishment of the </w:t>
      </w:r>
      <w:r w:rsidR="00622CDD" w:rsidRPr="006C6945">
        <w:rPr>
          <w:szCs w:val="18"/>
        </w:rPr>
        <w:t>Endorsed Program</w:t>
      </w:r>
      <w:r w:rsidR="007042FF" w:rsidRPr="006C6945">
        <w:rPr>
          <w:szCs w:val="18"/>
        </w:rPr>
        <w:t xml:space="preserve"> </w:t>
      </w:r>
      <w:r w:rsidR="00622CDD" w:rsidRPr="006C6945">
        <w:rPr>
          <w:szCs w:val="18"/>
        </w:rPr>
        <w:t>and</w:t>
      </w:r>
      <w:r w:rsidR="002A5368" w:rsidRPr="006C6945">
        <w:rPr>
          <w:szCs w:val="18"/>
        </w:rPr>
        <w:t xml:space="preserve"> subsequently</w:t>
      </w:r>
      <w:r w:rsidR="00622CDD" w:rsidRPr="006C6945">
        <w:rPr>
          <w:szCs w:val="18"/>
        </w:rPr>
        <w:t xml:space="preserve"> updated</w:t>
      </w:r>
      <w:r w:rsidR="007042FF" w:rsidRPr="006C6945">
        <w:rPr>
          <w:szCs w:val="18"/>
        </w:rPr>
        <w:t xml:space="preserve"> in 2017</w:t>
      </w:r>
      <w:r w:rsidR="002A5368" w:rsidRPr="006C6945">
        <w:rPr>
          <w:szCs w:val="18"/>
        </w:rPr>
        <w:t>. Among other matters,</w:t>
      </w:r>
      <w:r w:rsidR="00C71B6A" w:rsidRPr="006C6945">
        <w:rPr>
          <w:szCs w:val="18"/>
        </w:rPr>
        <w:t xml:space="preserve"> the Administrative Arrangements </w:t>
      </w:r>
      <w:r w:rsidR="007042FF" w:rsidRPr="006C6945">
        <w:rPr>
          <w:szCs w:val="18"/>
        </w:rPr>
        <w:t xml:space="preserve">set out the information sharing and consultation arrangements between </w:t>
      </w:r>
      <w:r w:rsidR="00635955" w:rsidRPr="006C6945">
        <w:rPr>
          <w:szCs w:val="18"/>
        </w:rPr>
        <w:t>the parties</w:t>
      </w:r>
      <w:r w:rsidR="008034EA" w:rsidRPr="006C6945">
        <w:rPr>
          <w:szCs w:val="18"/>
        </w:rPr>
        <w:t>.</w:t>
      </w:r>
    </w:p>
    <w:p w14:paraId="33C9D726" w14:textId="7AE6A689" w:rsidR="00882EF6" w:rsidRPr="006C6945" w:rsidRDefault="006446E8" w:rsidP="007E62D5">
      <w:pPr>
        <w:pStyle w:val="BodyCopyNEW"/>
        <w:rPr>
          <w:szCs w:val="18"/>
        </w:rPr>
      </w:pPr>
      <w:r w:rsidRPr="006C6945">
        <w:rPr>
          <w:szCs w:val="18"/>
        </w:rPr>
        <w:t>As part of the</w:t>
      </w:r>
      <w:r w:rsidR="008264FE" w:rsidRPr="006C6945">
        <w:rPr>
          <w:szCs w:val="18"/>
        </w:rPr>
        <w:t xml:space="preserve"> Administrative Arrangement, </w:t>
      </w:r>
      <w:r w:rsidR="00882EF6" w:rsidRPr="006C6945">
        <w:rPr>
          <w:szCs w:val="18"/>
        </w:rPr>
        <w:t>DAWE and NOPSEMA hold monthly meetings to discuss the</w:t>
      </w:r>
      <w:r w:rsidR="003C18FE" w:rsidRPr="006C6945">
        <w:rPr>
          <w:szCs w:val="18"/>
        </w:rPr>
        <w:t xml:space="preserve"> pipeline of work and approvals under consideration</w:t>
      </w:r>
      <w:r w:rsidR="006F4D30" w:rsidRPr="006C6945">
        <w:rPr>
          <w:szCs w:val="18"/>
        </w:rPr>
        <w:t xml:space="preserve"> as well as relevant </w:t>
      </w:r>
      <w:r w:rsidR="00BD1E68" w:rsidRPr="006C6945">
        <w:rPr>
          <w:szCs w:val="18"/>
        </w:rPr>
        <w:t>guidelines or statutory instruments</w:t>
      </w:r>
      <w:r w:rsidR="003C18FE" w:rsidRPr="006C6945">
        <w:rPr>
          <w:szCs w:val="18"/>
        </w:rPr>
        <w:t xml:space="preserve">. </w:t>
      </w:r>
      <w:r w:rsidR="003C569A" w:rsidRPr="006C6945">
        <w:rPr>
          <w:szCs w:val="18"/>
        </w:rPr>
        <w:t xml:space="preserve">The parties also hold </w:t>
      </w:r>
      <w:r w:rsidR="00635955" w:rsidRPr="006C6945">
        <w:rPr>
          <w:szCs w:val="18"/>
        </w:rPr>
        <w:t xml:space="preserve">frequent </w:t>
      </w:r>
      <w:r w:rsidR="003C569A" w:rsidRPr="006C6945">
        <w:rPr>
          <w:szCs w:val="18"/>
        </w:rPr>
        <w:t xml:space="preserve">ad hoc meetings on </w:t>
      </w:r>
      <w:r w:rsidR="00E663FE" w:rsidRPr="006C6945">
        <w:rPr>
          <w:szCs w:val="18"/>
        </w:rPr>
        <w:t xml:space="preserve">specific approval </w:t>
      </w:r>
      <w:r w:rsidR="00625ED1" w:rsidRPr="006C6945">
        <w:rPr>
          <w:szCs w:val="18"/>
        </w:rPr>
        <w:t>matters</w:t>
      </w:r>
      <w:r w:rsidR="003473CA" w:rsidRPr="006C6945">
        <w:rPr>
          <w:szCs w:val="18"/>
        </w:rPr>
        <w:t xml:space="preserve"> as</w:t>
      </w:r>
      <w:r w:rsidR="00625ED1" w:rsidRPr="006C6945" w:rsidDel="003473CA">
        <w:rPr>
          <w:szCs w:val="18"/>
        </w:rPr>
        <w:t xml:space="preserve"> </w:t>
      </w:r>
      <w:r w:rsidR="00625ED1" w:rsidRPr="006C6945">
        <w:rPr>
          <w:szCs w:val="18"/>
        </w:rPr>
        <w:t>required.</w:t>
      </w:r>
      <w:r w:rsidR="00882EF6" w:rsidRPr="006C6945">
        <w:rPr>
          <w:szCs w:val="18"/>
        </w:rPr>
        <w:t xml:space="preserve"> </w:t>
      </w:r>
    </w:p>
    <w:p w14:paraId="507E01E0" w14:textId="69E8EA1A" w:rsidR="0049113A" w:rsidRPr="006C6945" w:rsidRDefault="00456600" w:rsidP="007E62D5">
      <w:pPr>
        <w:pStyle w:val="BodyCopyNEW"/>
        <w:rPr>
          <w:szCs w:val="18"/>
        </w:rPr>
      </w:pPr>
      <w:r w:rsidRPr="006C6945">
        <w:rPr>
          <w:szCs w:val="18"/>
        </w:rPr>
        <w:t xml:space="preserve">NOPSEMA can only accept an </w:t>
      </w:r>
      <w:r w:rsidR="000B0191" w:rsidRPr="006C6945">
        <w:rPr>
          <w:szCs w:val="18"/>
        </w:rPr>
        <w:t>EP</w:t>
      </w:r>
      <w:r w:rsidRPr="006C6945">
        <w:rPr>
          <w:szCs w:val="18"/>
        </w:rPr>
        <w:t xml:space="preserve"> if it </w:t>
      </w:r>
      <w:r w:rsidR="001F61A2" w:rsidRPr="006C6945">
        <w:rPr>
          <w:szCs w:val="18"/>
        </w:rPr>
        <w:t xml:space="preserve">meets the acceptance criteria outlined in the Environment Regulations and </w:t>
      </w:r>
      <w:r w:rsidRPr="006C6945">
        <w:rPr>
          <w:szCs w:val="18"/>
        </w:rPr>
        <w:t xml:space="preserve">is </w:t>
      </w:r>
      <w:r w:rsidR="001F61A2" w:rsidRPr="006C6945">
        <w:rPr>
          <w:szCs w:val="18"/>
        </w:rPr>
        <w:t>not inconsistent with</w:t>
      </w:r>
      <w:r w:rsidR="00FD470E" w:rsidRPr="006C6945">
        <w:rPr>
          <w:szCs w:val="18"/>
        </w:rPr>
        <w:t xml:space="preserve"> </w:t>
      </w:r>
      <w:r w:rsidR="001F61A2" w:rsidRPr="006C6945">
        <w:rPr>
          <w:szCs w:val="18"/>
        </w:rPr>
        <w:t>a</w:t>
      </w:r>
      <w:r w:rsidRPr="006C6945">
        <w:rPr>
          <w:szCs w:val="18"/>
        </w:rPr>
        <w:t xml:space="preserve"> relevant</w:t>
      </w:r>
      <w:r w:rsidR="00627E42" w:rsidRPr="006C6945">
        <w:rPr>
          <w:szCs w:val="18"/>
        </w:rPr>
        <w:t xml:space="preserve"> recovery plan or threat abatement plan for a listed species </w:t>
      </w:r>
      <w:r w:rsidR="00D219A5" w:rsidRPr="006C6945">
        <w:rPr>
          <w:szCs w:val="18"/>
        </w:rPr>
        <w:t xml:space="preserve">or ecological community </w:t>
      </w:r>
      <w:r w:rsidR="001F61A2" w:rsidRPr="006C6945">
        <w:rPr>
          <w:szCs w:val="18"/>
        </w:rPr>
        <w:t>(referred to as Recovery Plans)</w:t>
      </w:r>
      <w:r w:rsidR="00D219A5" w:rsidRPr="006C6945">
        <w:rPr>
          <w:szCs w:val="18"/>
        </w:rPr>
        <w:t>.</w:t>
      </w:r>
      <w:r w:rsidRPr="006C6945">
        <w:rPr>
          <w:szCs w:val="18"/>
        </w:rPr>
        <w:t xml:space="preserve"> </w:t>
      </w:r>
      <w:r w:rsidR="00846926" w:rsidRPr="006C6945">
        <w:rPr>
          <w:szCs w:val="18"/>
        </w:rPr>
        <w:t xml:space="preserve">Recovery </w:t>
      </w:r>
      <w:r w:rsidR="000D2F56" w:rsidRPr="006C6945">
        <w:rPr>
          <w:szCs w:val="18"/>
        </w:rPr>
        <w:t>P</w:t>
      </w:r>
      <w:r w:rsidR="00846926" w:rsidRPr="006C6945">
        <w:rPr>
          <w:szCs w:val="18"/>
        </w:rPr>
        <w:t>lans are made or adopted under the EPBC Act</w:t>
      </w:r>
      <w:r w:rsidR="00DA213D" w:rsidRPr="006C6945">
        <w:rPr>
          <w:szCs w:val="18"/>
        </w:rPr>
        <w:t xml:space="preserve"> and</w:t>
      </w:r>
      <w:r w:rsidR="00846926" w:rsidRPr="006C6945">
        <w:rPr>
          <w:szCs w:val="18"/>
        </w:rPr>
        <w:t xml:space="preserve"> remain in force u</w:t>
      </w:r>
      <w:r w:rsidR="00247BD5" w:rsidRPr="006C6945">
        <w:rPr>
          <w:szCs w:val="18"/>
        </w:rPr>
        <w:t>n</w:t>
      </w:r>
      <w:r w:rsidR="00846926" w:rsidRPr="006C6945">
        <w:rPr>
          <w:szCs w:val="18"/>
        </w:rPr>
        <w:t xml:space="preserve">til </w:t>
      </w:r>
      <w:r w:rsidR="00247BD5" w:rsidRPr="006C6945">
        <w:rPr>
          <w:szCs w:val="18"/>
        </w:rPr>
        <w:t xml:space="preserve">the species is removed from the list. </w:t>
      </w:r>
      <w:r w:rsidR="00FF1A44" w:rsidRPr="006C6945">
        <w:rPr>
          <w:szCs w:val="18"/>
        </w:rPr>
        <w:t xml:space="preserve">These plans are binding on the Australian government – once a plan is in place, all </w:t>
      </w:r>
      <w:r w:rsidR="000D2F56" w:rsidRPr="006C6945">
        <w:rPr>
          <w:szCs w:val="18"/>
        </w:rPr>
        <w:t xml:space="preserve">relevant </w:t>
      </w:r>
      <w:r w:rsidR="00FF1A44" w:rsidRPr="006C6945">
        <w:rPr>
          <w:szCs w:val="18"/>
        </w:rPr>
        <w:t xml:space="preserve">Australian government agencies must act in accordance with </w:t>
      </w:r>
      <w:r w:rsidR="000D2F56" w:rsidRPr="006C6945">
        <w:rPr>
          <w:szCs w:val="18"/>
        </w:rPr>
        <w:t>the Recov</w:t>
      </w:r>
      <w:r w:rsidR="00222B3F" w:rsidRPr="006C6945">
        <w:rPr>
          <w:szCs w:val="18"/>
        </w:rPr>
        <w:t>ery</w:t>
      </w:r>
      <w:r w:rsidR="000D2F56" w:rsidRPr="006C6945">
        <w:rPr>
          <w:szCs w:val="18"/>
        </w:rPr>
        <w:t xml:space="preserve"> </w:t>
      </w:r>
      <w:r w:rsidR="00DA213D" w:rsidRPr="006C6945">
        <w:rPr>
          <w:szCs w:val="18"/>
        </w:rPr>
        <w:t>P</w:t>
      </w:r>
      <w:r w:rsidR="00FF1A44" w:rsidRPr="006C6945">
        <w:rPr>
          <w:szCs w:val="18"/>
        </w:rPr>
        <w:t xml:space="preserve">lan. </w:t>
      </w:r>
      <w:r w:rsidR="005A6854" w:rsidRPr="006C6945">
        <w:rPr>
          <w:szCs w:val="18"/>
        </w:rPr>
        <w:t>Therefore,</w:t>
      </w:r>
      <w:r w:rsidRPr="006C6945">
        <w:rPr>
          <w:szCs w:val="18"/>
        </w:rPr>
        <w:t xml:space="preserve"> it is essential that NOPSEMA has a </w:t>
      </w:r>
      <w:r w:rsidR="005D7E7A" w:rsidRPr="006C6945">
        <w:rPr>
          <w:szCs w:val="18"/>
        </w:rPr>
        <w:t>clear</w:t>
      </w:r>
      <w:r w:rsidRPr="006C6945">
        <w:rPr>
          <w:szCs w:val="18"/>
        </w:rPr>
        <w:t xml:space="preserve"> </w:t>
      </w:r>
      <w:r w:rsidR="005D7E7A" w:rsidRPr="006C6945">
        <w:rPr>
          <w:szCs w:val="18"/>
        </w:rPr>
        <w:t>view</w:t>
      </w:r>
      <w:r w:rsidRPr="006C6945">
        <w:rPr>
          <w:szCs w:val="18"/>
        </w:rPr>
        <w:t xml:space="preserve"> of upcoming </w:t>
      </w:r>
      <w:r w:rsidR="005D7E7A" w:rsidRPr="006C6945">
        <w:rPr>
          <w:szCs w:val="18"/>
        </w:rPr>
        <w:t>Recovery P</w:t>
      </w:r>
      <w:r w:rsidRPr="006C6945">
        <w:rPr>
          <w:szCs w:val="18"/>
        </w:rPr>
        <w:t>lans for endorsement</w:t>
      </w:r>
      <w:r w:rsidR="005D7E7A" w:rsidRPr="006C6945">
        <w:rPr>
          <w:szCs w:val="18"/>
        </w:rPr>
        <w:t xml:space="preserve"> to ensure they remain compliant</w:t>
      </w:r>
      <w:r w:rsidRPr="006C6945">
        <w:rPr>
          <w:szCs w:val="18"/>
        </w:rPr>
        <w:t xml:space="preserve">. </w:t>
      </w:r>
      <w:r w:rsidR="00581678" w:rsidRPr="006C6945">
        <w:rPr>
          <w:szCs w:val="18"/>
        </w:rPr>
        <w:t xml:space="preserve">DAWE provides a weekly update to NOPSEMA on new </w:t>
      </w:r>
      <w:r w:rsidR="00A92370" w:rsidRPr="006C6945">
        <w:rPr>
          <w:szCs w:val="18"/>
        </w:rPr>
        <w:t>Recovery Plans</w:t>
      </w:r>
      <w:r w:rsidR="00581678" w:rsidRPr="006C6945">
        <w:rPr>
          <w:szCs w:val="18"/>
        </w:rPr>
        <w:t xml:space="preserve"> or updates to </w:t>
      </w:r>
      <w:r w:rsidR="00A92370" w:rsidRPr="006C6945">
        <w:rPr>
          <w:szCs w:val="18"/>
        </w:rPr>
        <w:t>existing</w:t>
      </w:r>
      <w:r w:rsidR="00581678" w:rsidRPr="006C6945">
        <w:rPr>
          <w:szCs w:val="18"/>
        </w:rPr>
        <w:t xml:space="preserve"> </w:t>
      </w:r>
      <w:r w:rsidR="00A92370" w:rsidRPr="006C6945">
        <w:rPr>
          <w:szCs w:val="18"/>
        </w:rPr>
        <w:t>R</w:t>
      </w:r>
      <w:r w:rsidR="00581678" w:rsidRPr="006C6945">
        <w:rPr>
          <w:szCs w:val="18"/>
        </w:rPr>
        <w:t xml:space="preserve">ecovery </w:t>
      </w:r>
      <w:r w:rsidR="00A92370" w:rsidRPr="006C6945">
        <w:rPr>
          <w:szCs w:val="18"/>
        </w:rPr>
        <w:t>P</w:t>
      </w:r>
      <w:r w:rsidR="00581678" w:rsidRPr="006C6945">
        <w:rPr>
          <w:szCs w:val="18"/>
        </w:rPr>
        <w:t>lans</w:t>
      </w:r>
      <w:r w:rsidR="00A92370" w:rsidRPr="006C6945">
        <w:rPr>
          <w:szCs w:val="18"/>
        </w:rPr>
        <w:t>.</w:t>
      </w:r>
      <w:r w:rsidR="00581678" w:rsidRPr="006C6945">
        <w:rPr>
          <w:szCs w:val="18"/>
        </w:rPr>
        <w:t xml:space="preserve"> NOPSEMA has a dedicated </w:t>
      </w:r>
      <w:r w:rsidR="00A92370" w:rsidRPr="006C6945">
        <w:rPr>
          <w:szCs w:val="18"/>
        </w:rPr>
        <w:t xml:space="preserve">resource </w:t>
      </w:r>
      <w:r w:rsidR="00581678" w:rsidRPr="006C6945">
        <w:rPr>
          <w:szCs w:val="18"/>
        </w:rPr>
        <w:t xml:space="preserve">monitoring </w:t>
      </w:r>
      <w:r w:rsidR="00C73E95" w:rsidRPr="006C6945">
        <w:rPr>
          <w:szCs w:val="18"/>
        </w:rPr>
        <w:t xml:space="preserve">notifications and ensuring they are </w:t>
      </w:r>
      <w:r w:rsidR="00A92370" w:rsidRPr="006C6945">
        <w:rPr>
          <w:szCs w:val="18"/>
        </w:rPr>
        <w:t>effectively disseminated across NOPSEMA</w:t>
      </w:r>
      <w:r w:rsidR="00C73E95" w:rsidRPr="006C6945">
        <w:rPr>
          <w:szCs w:val="18"/>
        </w:rPr>
        <w:t xml:space="preserve">. </w:t>
      </w:r>
      <w:r w:rsidR="00A92370" w:rsidRPr="006C6945">
        <w:rPr>
          <w:szCs w:val="18"/>
        </w:rPr>
        <w:t>T</w:t>
      </w:r>
      <w:r w:rsidR="002246C5" w:rsidRPr="006C6945">
        <w:rPr>
          <w:szCs w:val="18"/>
        </w:rPr>
        <w:t xml:space="preserve">his has </w:t>
      </w:r>
      <w:r w:rsidR="00984508" w:rsidRPr="006C6945">
        <w:rPr>
          <w:szCs w:val="18"/>
        </w:rPr>
        <w:t xml:space="preserve">process </w:t>
      </w:r>
      <w:r w:rsidR="002246C5" w:rsidRPr="006C6945">
        <w:rPr>
          <w:szCs w:val="18"/>
        </w:rPr>
        <w:t xml:space="preserve">improved since </w:t>
      </w:r>
      <w:r w:rsidR="00A92370" w:rsidRPr="006C6945">
        <w:rPr>
          <w:szCs w:val="18"/>
        </w:rPr>
        <w:t>its establishment</w:t>
      </w:r>
      <w:r w:rsidR="002246C5" w:rsidRPr="006C6945">
        <w:rPr>
          <w:szCs w:val="18"/>
        </w:rPr>
        <w:t xml:space="preserve"> in 2015 and is </w:t>
      </w:r>
      <w:r w:rsidR="00A92370" w:rsidRPr="006C6945">
        <w:rPr>
          <w:szCs w:val="18"/>
        </w:rPr>
        <w:t>functioning</w:t>
      </w:r>
      <w:r w:rsidR="002246C5" w:rsidRPr="006C6945">
        <w:rPr>
          <w:szCs w:val="18"/>
        </w:rPr>
        <w:t xml:space="preserve"> well. </w:t>
      </w:r>
    </w:p>
    <w:p w14:paraId="139492C6" w14:textId="5A815D93" w:rsidR="00E26E2B" w:rsidRPr="006C6945" w:rsidRDefault="003C7910" w:rsidP="007E62D5">
      <w:pPr>
        <w:pStyle w:val="BodyCopyNEW"/>
        <w:rPr>
          <w:szCs w:val="18"/>
        </w:rPr>
      </w:pPr>
      <w:r w:rsidRPr="006C6945">
        <w:rPr>
          <w:szCs w:val="18"/>
        </w:rPr>
        <w:t xml:space="preserve">Recovery </w:t>
      </w:r>
      <w:r w:rsidR="00A92370" w:rsidRPr="006C6945">
        <w:rPr>
          <w:szCs w:val="18"/>
        </w:rPr>
        <w:t xml:space="preserve">Plans </w:t>
      </w:r>
      <w:r w:rsidRPr="006C6945">
        <w:rPr>
          <w:szCs w:val="18"/>
        </w:rPr>
        <w:t xml:space="preserve">are listed on the Species Profile and Threats </w:t>
      </w:r>
      <w:r w:rsidR="00A92370" w:rsidRPr="006C6945">
        <w:rPr>
          <w:szCs w:val="18"/>
        </w:rPr>
        <w:t>(</w:t>
      </w:r>
      <w:r w:rsidR="00A92370" w:rsidRPr="006C6945">
        <w:rPr>
          <w:b/>
          <w:szCs w:val="18"/>
        </w:rPr>
        <w:t>SPRAT</w:t>
      </w:r>
      <w:r w:rsidR="00A92370" w:rsidRPr="006C6945">
        <w:rPr>
          <w:szCs w:val="18"/>
        </w:rPr>
        <w:t xml:space="preserve">) </w:t>
      </w:r>
      <w:r w:rsidRPr="006C6945">
        <w:rPr>
          <w:szCs w:val="18"/>
        </w:rPr>
        <w:t>database</w:t>
      </w:r>
      <w:r w:rsidR="009A38FD" w:rsidRPr="006C6945">
        <w:rPr>
          <w:szCs w:val="18"/>
        </w:rPr>
        <w:t>, hosted by DAWE</w:t>
      </w:r>
      <w:r w:rsidR="00205F8F" w:rsidRPr="006C6945">
        <w:rPr>
          <w:szCs w:val="18"/>
        </w:rPr>
        <w:t xml:space="preserve">. </w:t>
      </w:r>
      <w:r w:rsidR="009A38FD" w:rsidRPr="006C6945">
        <w:rPr>
          <w:szCs w:val="18"/>
        </w:rPr>
        <w:t xml:space="preserve">NOPSEMA utilises the </w:t>
      </w:r>
      <w:r w:rsidR="00394634" w:rsidRPr="006C6945">
        <w:rPr>
          <w:szCs w:val="18"/>
        </w:rPr>
        <w:t xml:space="preserve">SPRAT database, and the </w:t>
      </w:r>
      <w:r w:rsidR="00B61ECE" w:rsidRPr="006C6945">
        <w:rPr>
          <w:szCs w:val="18"/>
        </w:rPr>
        <w:t>National Conservation Values Atlas (</w:t>
      </w:r>
      <w:r w:rsidR="00394634" w:rsidRPr="006C6945">
        <w:rPr>
          <w:b/>
          <w:bCs/>
          <w:szCs w:val="18"/>
        </w:rPr>
        <w:t>NVCA</w:t>
      </w:r>
      <w:r w:rsidR="00394634" w:rsidRPr="006C6945">
        <w:rPr>
          <w:szCs w:val="18"/>
        </w:rPr>
        <w:t xml:space="preserve">) amongst other information to inform assessments and provided advice to titleholders. The NVCA is </w:t>
      </w:r>
      <w:r w:rsidR="007811FD" w:rsidRPr="006C6945">
        <w:rPr>
          <w:szCs w:val="18"/>
        </w:rPr>
        <w:t xml:space="preserve">an interactive mapping tool </w:t>
      </w:r>
      <w:r w:rsidR="00394634" w:rsidRPr="006C6945">
        <w:rPr>
          <w:szCs w:val="18"/>
        </w:rPr>
        <w:t xml:space="preserve">developed to support implementation </w:t>
      </w:r>
      <w:r w:rsidR="007811FD" w:rsidRPr="006C6945">
        <w:rPr>
          <w:szCs w:val="18"/>
        </w:rPr>
        <w:t xml:space="preserve">of </w:t>
      </w:r>
      <w:r w:rsidR="00394634" w:rsidRPr="006C6945">
        <w:rPr>
          <w:szCs w:val="18"/>
        </w:rPr>
        <w:t>Marine Bioregional Plans. It incorporates a range of data on Australia's</w:t>
      </w:r>
      <w:r w:rsidR="008B6701" w:rsidRPr="006C6945">
        <w:rPr>
          <w:szCs w:val="18"/>
        </w:rPr>
        <w:t xml:space="preserve"> marine environment</w:t>
      </w:r>
      <w:r w:rsidR="003D5536" w:rsidRPr="006C6945">
        <w:rPr>
          <w:szCs w:val="18"/>
        </w:rPr>
        <w:t xml:space="preserve"> </w:t>
      </w:r>
      <w:r w:rsidR="00394634" w:rsidRPr="006C6945">
        <w:rPr>
          <w:szCs w:val="18"/>
        </w:rPr>
        <w:t>as well as specific information on the location and area of important marine habitats, ecological features, known breeding and feeding areas for protected species and other conservation values in the marine regions.</w:t>
      </w:r>
      <w:r w:rsidR="00B11B37" w:rsidRPr="006C6945">
        <w:rPr>
          <w:szCs w:val="18"/>
        </w:rPr>
        <w:t xml:space="preserve"> </w:t>
      </w:r>
      <w:r w:rsidR="00860158" w:rsidRPr="006C6945">
        <w:rPr>
          <w:szCs w:val="18"/>
        </w:rPr>
        <w:t xml:space="preserve">As </w:t>
      </w:r>
      <w:r w:rsidR="003D5536" w:rsidRPr="006C6945">
        <w:rPr>
          <w:szCs w:val="18"/>
        </w:rPr>
        <w:t>discussed in</w:t>
      </w:r>
      <w:r w:rsidR="00A92370" w:rsidRPr="006C6945">
        <w:rPr>
          <w:szCs w:val="18"/>
        </w:rPr>
        <w:t xml:space="preserve"> </w:t>
      </w:r>
      <w:r w:rsidR="00723DD7" w:rsidRPr="006C6945">
        <w:rPr>
          <w:szCs w:val="18"/>
        </w:rPr>
        <w:t xml:space="preserve">our </w:t>
      </w:r>
      <w:r w:rsidR="00723DD7" w:rsidRPr="006C6945">
        <w:rPr>
          <w:i/>
          <w:szCs w:val="18"/>
        </w:rPr>
        <w:t>2020 Endorsed Program Assessment</w:t>
      </w:r>
      <w:r w:rsidR="00723DD7" w:rsidRPr="006C6945">
        <w:rPr>
          <w:szCs w:val="18"/>
        </w:rPr>
        <w:t xml:space="preserve">, which is attached at </w:t>
      </w:r>
      <w:r w:rsidR="00723DD7" w:rsidRPr="006C6945">
        <w:rPr>
          <w:b/>
          <w:szCs w:val="18"/>
        </w:rPr>
        <w:t xml:space="preserve">Appendix </w:t>
      </w:r>
      <w:r w:rsidR="007905F8" w:rsidRPr="006C6945">
        <w:rPr>
          <w:b/>
          <w:szCs w:val="18"/>
        </w:rPr>
        <w:t>B</w:t>
      </w:r>
      <w:r w:rsidR="009661F9" w:rsidRPr="006C6945">
        <w:rPr>
          <w:szCs w:val="18"/>
        </w:rPr>
        <w:t xml:space="preserve">, </w:t>
      </w:r>
      <w:r w:rsidR="00860158" w:rsidRPr="006C6945">
        <w:rPr>
          <w:szCs w:val="18"/>
        </w:rPr>
        <w:t xml:space="preserve">there is an opportunity for </w:t>
      </w:r>
      <w:r w:rsidR="00E42D28" w:rsidRPr="006C6945">
        <w:rPr>
          <w:szCs w:val="18"/>
        </w:rPr>
        <w:t xml:space="preserve">improvement of the </w:t>
      </w:r>
      <w:r w:rsidR="0020690A" w:rsidRPr="006C6945">
        <w:rPr>
          <w:szCs w:val="18"/>
        </w:rPr>
        <w:t>NCVA</w:t>
      </w:r>
      <w:r w:rsidR="00E42D28" w:rsidRPr="006C6945">
        <w:rPr>
          <w:szCs w:val="18"/>
        </w:rPr>
        <w:t xml:space="preserve"> </w:t>
      </w:r>
      <w:r w:rsidR="004532EE" w:rsidRPr="006C6945">
        <w:rPr>
          <w:szCs w:val="18"/>
        </w:rPr>
        <w:t xml:space="preserve">via enhancement of the functionality and </w:t>
      </w:r>
      <w:r w:rsidR="00EE116A" w:rsidRPr="006C6945">
        <w:rPr>
          <w:szCs w:val="18"/>
        </w:rPr>
        <w:t xml:space="preserve">timeliness of updates. This </w:t>
      </w:r>
      <w:r w:rsidR="00AB6CE0" w:rsidRPr="006C6945">
        <w:rPr>
          <w:szCs w:val="18"/>
        </w:rPr>
        <w:t xml:space="preserve">could be an opportunity for </w:t>
      </w:r>
      <w:r w:rsidR="000B0191" w:rsidRPr="006C6945">
        <w:rPr>
          <w:szCs w:val="18"/>
        </w:rPr>
        <w:t xml:space="preserve">further </w:t>
      </w:r>
      <w:r w:rsidR="001D003F" w:rsidRPr="006C6945">
        <w:rPr>
          <w:szCs w:val="18"/>
        </w:rPr>
        <w:t>collaboration between NOPSEMA and DAW</w:t>
      </w:r>
      <w:r w:rsidR="00051A18" w:rsidRPr="006C6945">
        <w:rPr>
          <w:szCs w:val="18"/>
        </w:rPr>
        <w:t>E</w:t>
      </w:r>
      <w:r w:rsidR="000B0191" w:rsidRPr="006C6945">
        <w:rPr>
          <w:szCs w:val="18"/>
        </w:rPr>
        <w:t>.</w:t>
      </w:r>
      <w:r w:rsidR="008A1490" w:rsidRPr="006C6945">
        <w:rPr>
          <w:szCs w:val="18"/>
        </w:rPr>
        <w:t xml:space="preserve"> </w:t>
      </w:r>
      <w:r w:rsidR="00D5386D" w:rsidRPr="006C6945">
        <w:rPr>
          <w:szCs w:val="18"/>
        </w:rPr>
        <w:t>There may also be additional opportunity for NOPSEMA to provide input to new</w:t>
      </w:r>
      <w:r w:rsidR="00BF0929" w:rsidRPr="006C6945">
        <w:rPr>
          <w:szCs w:val="18"/>
        </w:rPr>
        <w:t xml:space="preserve"> or updated</w:t>
      </w:r>
      <w:r w:rsidR="00D5386D" w:rsidRPr="006C6945">
        <w:rPr>
          <w:szCs w:val="18"/>
        </w:rPr>
        <w:t xml:space="preserve"> </w:t>
      </w:r>
      <w:r w:rsidR="00BF0929" w:rsidRPr="006C6945">
        <w:rPr>
          <w:szCs w:val="18"/>
        </w:rPr>
        <w:t xml:space="preserve">threatened marine species </w:t>
      </w:r>
      <w:r w:rsidR="000B0191" w:rsidRPr="006C6945">
        <w:rPr>
          <w:szCs w:val="18"/>
        </w:rPr>
        <w:t>Recovery Plans</w:t>
      </w:r>
      <w:r w:rsidR="00BF0929" w:rsidRPr="006C6945">
        <w:rPr>
          <w:szCs w:val="18"/>
        </w:rPr>
        <w:t xml:space="preserve">, to </w:t>
      </w:r>
      <w:r w:rsidR="00D078D8" w:rsidRPr="006C6945">
        <w:rPr>
          <w:szCs w:val="18"/>
        </w:rPr>
        <w:t>better</w:t>
      </w:r>
      <w:r w:rsidR="00BF0929" w:rsidRPr="006C6945">
        <w:rPr>
          <w:szCs w:val="18"/>
        </w:rPr>
        <w:t xml:space="preserve"> ensure that they </w:t>
      </w:r>
      <w:r w:rsidR="00DC28EC" w:rsidRPr="006C6945">
        <w:rPr>
          <w:szCs w:val="18"/>
        </w:rPr>
        <w:t xml:space="preserve">are constructed in a way </w:t>
      </w:r>
      <w:r w:rsidR="00EA5321" w:rsidRPr="006C6945">
        <w:rPr>
          <w:szCs w:val="18"/>
        </w:rPr>
        <w:t xml:space="preserve">that </w:t>
      </w:r>
      <w:r w:rsidR="00233E6B" w:rsidRPr="006C6945">
        <w:rPr>
          <w:szCs w:val="18"/>
        </w:rPr>
        <w:t xml:space="preserve">allows industry to </w:t>
      </w:r>
      <w:r w:rsidR="0038168B" w:rsidRPr="006C6945">
        <w:rPr>
          <w:szCs w:val="18"/>
        </w:rPr>
        <w:t xml:space="preserve">understand and interpret </w:t>
      </w:r>
      <w:r w:rsidR="00D078D8" w:rsidRPr="006C6945">
        <w:rPr>
          <w:szCs w:val="18"/>
        </w:rPr>
        <w:t xml:space="preserve">its </w:t>
      </w:r>
      <w:r w:rsidR="0038168B" w:rsidRPr="006C6945">
        <w:rPr>
          <w:szCs w:val="18"/>
        </w:rPr>
        <w:t xml:space="preserve">responsibilities in submitting the relevant EP </w:t>
      </w:r>
      <w:r w:rsidR="0064589A" w:rsidRPr="006C6945">
        <w:rPr>
          <w:szCs w:val="18"/>
        </w:rPr>
        <w:t>to NOPSEMA</w:t>
      </w:r>
      <w:r w:rsidR="0038168B" w:rsidRPr="006C6945">
        <w:rPr>
          <w:szCs w:val="18"/>
        </w:rPr>
        <w:t>.</w:t>
      </w:r>
    </w:p>
    <w:p w14:paraId="54DDECA2" w14:textId="434F5EA6" w:rsidR="00612F81" w:rsidRPr="00026E3D" w:rsidRDefault="000A2985" w:rsidP="007E62D5">
      <w:pPr>
        <w:pStyle w:val="Heading3NoNumber"/>
      </w:pPr>
      <w:r w:rsidRPr="00E94BB2">
        <w:t xml:space="preserve">NOPSEMA cooperates effectively with </w:t>
      </w:r>
      <w:r w:rsidR="009918D9" w:rsidRPr="00E94BB2">
        <w:t xml:space="preserve">Parks Australia and the </w:t>
      </w:r>
      <w:r w:rsidR="009918D9" w:rsidRPr="009918D9">
        <w:t>Australian Antarctic Division</w:t>
      </w:r>
    </w:p>
    <w:p w14:paraId="530AB4F2" w14:textId="66C3DC7C" w:rsidR="004404A3" w:rsidRDefault="00296CD0">
      <w:pPr>
        <w:pStyle w:val="BodyCopyNEW"/>
      </w:pPr>
      <w:r>
        <w:t xml:space="preserve">We heard from stakeholders that NOPSEMA and Parks Australia work collaboratively on issues of overlap and mutual interest. </w:t>
      </w:r>
    </w:p>
    <w:p w14:paraId="1CBAF8B1" w14:textId="02EE706F" w:rsidR="00B93895" w:rsidRDefault="00A405D0" w:rsidP="007E62D5">
      <w:pPr>
        <w:pStyle w:val="BodyCopyNEW"/>
      </w:pPr>
      <w:r>
        <w:t xml:space="preserve">Parks Australia are </w:t>
      </w:r>
      <w:r w:rsidR="004404A3">
        <w:t xml:space="preserve">considered </w:t>
      </w:r>
      <w:r>
        <w:t xml:space="preserve">a ‘relevant person’ under the OPGGS Act, so will be notified directly when an EP has been assessed. </w:t>
      </w:r>
      <w:r w:rsidR="004404A3">
        <w:t>Title</w:t>
      </w:r>
      <w:r>
        <w:t xml:space="preserve">holders will also contact Parks Australia when they are entering a Marine Park to conduct specified activities, and NOPSEMA has a role in facilitating </w:t>
      </w:r>
      <w:r w:rsidR="009D5493">
        <w:t>‘relevant persons’ correspondence</w:t>
      </w:r>
      <w:r>
        <w:t xml:space="preserve">. </w:t>
      </w:r>
    </w:p>
    <w:p w14:paraId="3FDE9399" w14:textId="7408CADB" w:rsidR="00B05A0E" w:rsidRPr="006C6945" w:rsidRDefault="00B93895" w:rsidP="007E62D5">
      <w:pPr>
        <w:pStyle w:val="BodyCopyNEW"/>
        <w:rPr>
          <w:szCs w:val="18"/>
        </w:rPr>
      </w:pPr>
      <w:r>
        <w:lastRenderedPageBreak/>
        <w:t xml:space="preserve">There is evidence of a </w:t>
      </w:r>
      <w:r w:rsidR="007B505E">
        <w:t xml:space="preserve">collaborative </w:t>
      </w:r>
      <w:r w:rsidR="00296CD0">
        <w:t xml:space="preserve">relationship between NOPSEMA and Parks Australia. </w:t>
      </w:r>
      <w:r>
        <w:t xml:space="preserve">For example, </w:t>
      </w:r>
      <w:r w:rsidR="00535B76" w:rsidRPr="00A26E6F">
        <w:t xml:space="preserve">NOPSEMA </w:t>
      </w:r>
      <w:r w:rsidR="00535B76">
        <w:t>worked</w:t>
      </w:r>
      <w:r w:rsidR="00535B76" w:rsidRPr="00A26E6F">
        <w:t xml:space="preserve"> with Parks Australia to revise NOPSEMA’s guidance note on petroleum</w:t>
      </w:r>
      <w:r w:rsidR="00535B76">
        <w:t xml:space="preserve"> </w:t>
      </w:r>
      <w:r w:rsidR="00535B76" w:rsidRPr="00A26E6F">
        <w:t xml:space="preserve">activities within Commonwealth Marine Reserves to reflect contemporary </w:t>
      </w:r>
      <w:r w:rsidR="00535B76" w:rsidRPr="006C6945">
        <w:rPr>
          <w:szCs w:val="18"/>
        </w:rPr>
        <w:t xml:space="preserve">expectations for </w:t>
      </w:r>
      <w:r w:rsidR="00EA06AF" w:rsidRPr="006C6945">
        <w:rPr>
          <w:szCs w:val="18"/>
        </w:rPr>
        <w:t>title</w:t>
      </w:r>
      <w:r w:rsidR="00327ACB" w:rsidRPr="006C6945">
        <w:rPr>
          <w:szCs w:val="18"/>
        </w:rPr>
        <w:t>holder</w:t>
      </w:r>
      <w:r w:rsidR="00535B76" w:rsidRPr="006C6945">
        <w:rPr>
          <w:szCs w:val="18"/>
        </w:rPr>
        <w:t xml:space="preserve"> consultation with </w:t>
      </w:r>
      <w:r w:rsidR="00535B76" w:rsidRPr="00835E5C">
        <w:rPr>
          <w:szCs w:val="18"/>
        </w:rPr>
        <w:t>the Director of National Parks</w:t>
      </w:r>
      <w:r w:rsidR="00520AB6" w:rsidRPr="006C6945">
        <w:rPr>
          <w:rStyle w:val="FootnoteReference"/>
          <w:sz w:val="18"/>
          <w:szCs w:val="18"/>
        </w:rPr>
        <w:footnoteReference w:id="46"/>
      </w:r>
      <w:r w:rsidR="00535B76" w:rsidRPr="00835E5C">
        <w:rPr>
          <w:szCs w:val="18"/>
        </w:rPr>
        <w:t>.</w:t>
      </w:r>
      <w:r w:rsidR="003133B3" w:rsidRPr="006C6945">
        <w:rPr>
          <w:szCs w:val="18"/>
        </w:rPr>
        <w:t xml:space="preserve"> </w:t>
      </w:r>
      <w:r w:rsidR="00B05A0E" w:rsidRPr="00835E5C">
        <w:rPr>
          <w:szCs w:val="18"/>
        </w:rPr>
        <w:t>NOPSEMA has also conducted a number</w:t>
      </w:r>
      <w:r w:rsidR="00B05A0E" w:rsidRPr="006C6945">
        <w:rPr>
          <w:szCs w:val="18"/>
        </w:rPr>
        <w:t xml:space="preserve"> of workshops for Parks </w:t>
      </w:r>
      <w:r w:rsidR="00F02728" w:rsidRPr="006C6945">
        <w:rPr>
          <w:szCs w:val="18"/>
        </w:rPr>
        <w:t xml:space="preserve">Australia </w:t>
      </w:r>
      <w:r w:rsidRPr="006C6945">
        <w:rPr>
          <w:szCs w:val="18"/>
        </w:rPr>
        <w:t xml:space="preserve">outlining </w:t>
      </w:r>
      <w:r w:rsidR="00F02728" w:rsidRPr="006C6945">
        <w:rPr>
          <w:szCs w:val="18"/>
        </w:rPr>
        <w:t xml:space="preserve">the </w:t>
      </w:r>
      <w:r w:rsidR="003133B3" w:rsidRPr="006C6945">
        <w:rPr>
          <w:szCs w:val="18"/>
        </w:rPr>
        <w:t>offshore petroleum environment regulation framework</w:t>
      </w:r>
      <w:r w:rsidRPr="006C6945">
        <w:rPr>
          <w:szCs w:val="18"/>
        </w:rPr>
        <w:t>.</w:t>
      </w:r>
    </w:p>
    <w:p w14:paraId="25384F13" w14:textId="6E389CBB" w:rsidR="004404A3" w:rsidRPr="006C6945" w:rsidRDefault="004404A3" w:rsidP="004404A3">
      <w:pPr>
        <w:pStyle w:val="BodyCopyNEW"/>
        <w:rPr>
          <w:szCs w:val="18"/>
        </w:rPr>
      </w:pPr>
      <w:r w:rsidRPr="006C6945">
        <w:rPr>
          <w:szCs w:val="18"/>
        </w:rPr>
        <w:t>Although outside the review period, we note that an MOU between Parks Australia and NOPSEMA was executed on 28 August 2020</w:t>
      </w:r>
      <w:r w:rsidR="00520AB6" w:rsidRPr="006C6945">
        <w:rPr>
          <w:rStyle w:val="FootnoteReference"/>
          <w:sz w:val="18"/>
          <w:szCs w:val="18"/>
        </w:rPr>
        <w:footnoteReference w:id="47"/>
      </w:r>
      <w:r w:rsidRPr="006C6945">
        <w:rPr>
          <w:szCs w:val="18"/>
        </w:rPr>
        <w:t xml:space="preserve">. The MOU with Parks Australia is intended to outline arrangements for cooperation and collaboration between the parties in performing statutory functions regarding environmental management of offshore petroleum and GHG storage activities that may impact Australian Marine Parks. </w:t>
      </w:r>
    </w:p>
    <w:p w14:paraId="0C5470EE" w14:textId="78DDC59D" w:rsidR="00ED2106" w:rsidRPr="006C6945" w:rsidRDefault="00ED2106" w:rsidP="007E62D5">
      <w:pPr>
        <w:pStyle w:val="BodyCopyNEW"/>
        <w:rPr>
          <w:szCs w:val="18"/>
        </w:rPr>
      </w:pPr>
      <w:r w:rsidRPr="006C6945">
        <w:rPr>
          <w:szCs w:val="18"/>
        </w:rPr>
        <w:t>The Australian Antarctic Division</w:t>
      </w:r>
      <w:r w:rsidR="00556DFC" w:rsidRPr="006C6945">
        <w:rPr>
          <w:szCs w:val="18"/>
        </w:rPr>
        <w:t xml:space="preserve"> (</w:t>
      </w:r>
      <w:r w:rsidR="00556DFC" w:rsidRPr="006C6945">
        <w:rPr>
          <w:b/>
          <w:szCs w:val="18"/>
        </w:rPr>
        <w:t>AAD</w:t>
      </w:r>
      <w:r w:rsidR="00556DFC" w:rsidRPr="006C6945">
        <w:rPr>
          <w:szCs w:val="18"/>
        </w:rPr>
        <w:t>)</w:t>
      </w:r>
      <w:r w:rsidRPr="006C6945">
        <w:rPr>
          <w:szCs w:val="18"/>
        </w:rPr>
        <w:t xml:space="preserve"> is contracted by NOPSEMA to provide specialist advice on cetacean related matters. </w:t>
      </w:r>
      <w:r w:rsidR="001F60EA" w:rsidRPr="006C6945">
        <w:rPr>
          <w:szCs w:val="18"/>
        </w:rPr>
        <w:t xml:space="preserve">For instance, </w:t>
      </w:r>
      <w:r w:rsidR="00556DFC" w:rsidRPr="006C6945">
        <w:rPr>
          <w:szCs w:val="18"/>
        </w:rPr>
        <w:t xml:space="preserve">NOPSEMA and AAD also </w:t>
      </w:r>
      <w:r w:rsidR="00222929" w:rsidRPr="006C6945">
        <w:rPr>
          <w:szCs w:val="18"/>
        </w:rPr>
        <w:t xml:space="preserve">worked together to </w:t>
      </w:r>
      <w:r w:rsidR="00F75EC1" w:rsidRPr="006C6945">
        <w:rPr>
          <w:szCs w:val="18"/>
        </w:rPr>
        <w:t>bring a proposal to the Australian Government Business Research and Innovation Initiative, to improve the detection and identification of whales during marine seismic surveys</w:t>
      </w:r>
      <w:r w:rsidR="00520AB6" w:rsidRPr="006C6945">
        <w:rPr>
          <w:rStyle w:val="FootnoteReference"/>
          <w:sz w:val="18"/>
          <w:szCs w:val="18"/>
        </w:rPr>
        <w:footnoteReference w:id="48"/>
      </w:r>
      <w:r w:rsidR="00F75EC1" w:rsidRPr="006C6945">
        <w:rPr>
          <w:szCs w:val="18"/>
        </w:rPr>
        <w:t>.</w:t>
      </w:r>
      <w:r w:rsidR="00791F57" w:rsidRPr="006C6945">
        <w:rPr>
          <w:szCs w:val="18"/>
        </w:rPr>
        <w:t xml:space="preserve"> We understand up to $2.4 million may be available to </w:t>
      </w:r>
      <w:r w:rsidR="000D1117" w:rsidRPr="006C6945">
        <w:rPr>
          <w:szCs w:val="18"/>
        </w:rPr>
        <w:t>support industry to conduct feasibility studies and buil</w:t>
      </w:r>
      <w:r w:rsidR="001F60EA" w:rsidRPr="006C6945">
        <w:rPr>
          <w:szCs w:val="18"/>
        </w:rPr>
        <w:t>d</w:t>
      </w:r>
      <w:r w:rsidR="000D1117" w:rsidRPr="006C6945">
        <w:rPr>
          <w:szCs w:val="18"/>
        </w:rPr>
        <w:t xml:space="preserve"> automated and integrated whale detection systems for vessels while conducting seismic surveys. </w:t>
      </w:r>
      <w:r w:rsidR="00AC74ED" w:rsidRPr="006C6945">
        <w:rPr>
          <w:szCs w:val="18"/>
        </w:rPr>
        <w:t xml:space="preserve">We consider </w:t>
      </w:r>
      <w:r w:rsidR="001F60EA" w:rsidRPr="006C6945">
        <w:rPr>
          <w:szCs w:val="18"/>
        </w:rPr>
        <w:t>NOPSEMA’s and AAD’s</w:t>
      </w:r>
      <w:r w:rsidR="00AC74ED" w:rsidRPr="006C6945">
        <w:rPr>
          <w:szCs w:val="18"/>
        </w:rPr>
        <w:t xml:space="preserve"> relationship </w:t>
      </w:r>
      <w:r w:rsidR="001626E0" w:rsidRPr="006C6945">
        <w:rPr>
          <w:szCs w:val="18"/>
        </w:rPr>
        <w:t>to be effective</w:t>
      </w:r>
      <w:r w:rsidR="00AC74ED" w:rsidRPr="006C6945">
        <w:rPr>
          <w:szCs w:val="18"/>
        </w:rPr>
        <w:t xml:space="preserve"> and </w:t>
      </w:r>
      <w:r w:rsidR="00B562AA" w:rsidRPr="006C6945">
        <w:rPr>
          <w:szCs w:val="18"/>
        </w:rPr>
        <w:t>highlight</w:t>
      </w:r>
      <w:r w:rsidR="00AC74ED" w:rsidRPr="006C6945">
        <w:rPr>
          <w:szCs w:val="18"/>
        </w:rPr>
        <w:t xml:space="preserve"> the innovative approach </w:t>
      </w:r>
      <w:r w:rsidR="00B562AA" w:rsidRPr="006C6945">
        <w:rPr>
          <w:szCs w:val="18"/>
        </w:rPr>
        <w:t xml:space="preserve">adopted by the parties </w:t>
      </w:r>
      <w:r w:rsidR="001626E0" w:rsidRPr="006C6945">
        <w:rPr>
          <w:szCs w:val="18"/>
        </w:rPr>
        <w:t>to supporting desired regulatory outcomes</w:t>
      </w:r>
      <w:r w:rsidR="00AC74ED" w:rsidRPr="006C6945">
        <w:rPr>
          <w:szCs w:val="18"/>
        </w:rPr>
        <w:t>.</w:t>
      </w:r>
    </w:p>
    <w:p w14:paraId="3D194994" w14:textId="77777777" w:rsidR="009F5B5B" w:rsidRPr="009568B1" w:rsidRDefault="009F5B5B" w:rsidP="009F5B5B">
      <w:pPr>
        <w:pStyle w:val="Heading4"/>
      </w:pPr>
      <w:r w:rsidRPr="009568B1">
        <w:t xml:space="preserve">NOPSEMA’s </w:t>
      </w:r>
      <w:r>
        <w:t>relationship</w:t>
      </w:r>
      <w:r w:rsidRPr="009568B1">
        <w:t xml:space="preserve"> with NOPTA</w:t>
      </w:r>
    </w:p>
    <w:p w14:paraId="0E288604" w14:textId="77777777" w:rsidR="009F5B5B" w:rsidRPr="00E77F92" w:rsidRDefault="009F5B5B" w:rsidP="00E77F92">
      <w:pPr>
        <w:spacing w:before="120" w:after="60" w:line="264" w:lineRule="auto"/>
        <w:rPr>
          <w:rFonts w:ascii="Calibri" w:hAnsi="Calibri" w:cs="Calibri"/>
          <w:b/>
          <w:bCs/>
          <w:sz w:val="20"/>
          <w:szCs w:val="20"/>
        </w:rPr>
      </w:pPr>
      <w:r w:rsidRPr="00E77F92">
        <w:rPr>
          <w:rFonts w:ascii="Calibri" w:hAnsi="Calibri" w:cs="Calibri"/>
          <w:b/>
          <w:bCs/>
          <w:sz w:val="20"/>
          <w:szCs w:val="20"/>
        </w:rPr>
        <w:t>NOPSEMA and NOPTA are working closer together but improvements to collaboration and coordination will be required</w:t>
      </w:r>
    </w:p>
    <w:p w14:paraId="43A9F35C" w14:textId="77777777" w:rsidR="009F5B5B" w:rsidRPr="004522E8" w:rsidRDefault="009F5B5B" w:rsidP="009F5B5B">
      <w:pPr>
        <w:spacing w:after="120" w:line="240" w:lineRule="auto"/>
        <w:rPr>
          <w:rFonts w:ascii="Calibri Light" w:hAnsi="Calibri Light" w:cs="Calibri Light"/>
        </w:rPr>
      </w:pPr>
      <w:r w:rsidRPr="004522E8">
        <w:rPr>
          <w:rFonts w:ascii="Calibri Light" w:hAnsi="Calibri Light" w:cs="Calibri Light"/>
        </w:rPr>
        <w:t>A legislated function for both NOPTA (see section 695B(e)) and NOPSEMA (see section 646(gr)) is to cooperate with one another in relation to the administration and enforcement of the OPGGS Act and its regulations. We have assessed the effectiveness and efficiency of NOPTA and NOPSEMA’s relationship through an examination of examples of collaboration and whether:</w:t>
      </w:r>
    </w:p>
    <w:p w14:paraId="69E9FB31" w14:textId="77777777" w:rsidR="009F5B5B" w:rsidRPr="004522E8" w:rsidRDefault="009F5B5B" w:rsidP="000C1F53">
      <w:pPr>
        <w:pStyle w:val="ListParagraph"/>
        <w:widowControl w:val="0"/>
        <w:numPr>
          <w:ilvl w:val="0"/>
          <w:numId w:val="20"/>
        </w:numPr>
        <w:spacing w:after="120" w:line="240" w:lineRule="auto"/>
        <w:ind w:left="357" w:hanging="357"/>
        <w:contextualSpacing w:val="0"/>
        <w:rPr>
          <w:rFonts w:ascii="Calibri Light" w:hAnsi="Calibri Light" w:cs="Calibri Light"/>
        </w:rPr>
      </w:pPr>
      <w:r w:rsidRPr="004522E8">
        <w:rPr>
          <w:rFonts w:ascii="Calibri Light" w:hAnsi="Calibri Light" w:cs="Calibri Light"/>
        </w:rPr>
        <w:t xml:space="preserve">Effective communication and consultation mechanisms have been established </w:t>
      </w:r>
    </w:p>
    <w:p w14:paraId="505680C9" w14:textId="77777777" w:rsidR="009F5B5B" w:rsidRPr="004522E8" w:rsidRDefault="009F5B5B" w:rsidP="000C1F53">
      <w:pPr>
        <w:pStyle w:val="ListParagraph"/>
        <w:widowControl w:val="0"/>
        <w:numPr>
          <w:ilvl w:val="0"/>
          <w:numId w:val="20"/>
        </w:numPr>
        <w:spacing w:after="120" w:line="240" w:lineRule="auto"/>
        <w:ind w:left="357" w:hanging="357"/>
        <w:contextualSpacing w:val="0"/>
        <w:rPr>
          <w:rFonts w:ascii="Calibri Light" w:hAnsi="Calibri Light" w:cs="Calibri Light"/>
        </w:rPr>
      </w:pPr>
      <w:r w:rsidRPr="004522E8">
        <w:rPr>
          <w:rFonts w:ascii="Calibri Light" w:hAnsi="Calibri Light" w:cs="Calibri Light"/>
        </w:rPr>
        <w:t>Cross border coordination and collaboration mechanisms are in place</w:t>
      </w:r>
    </w:p>
    <w:p w14:paraId="21976DC5" w14:textId="77777777" w:rsidR="009F5B5B" w:rsidRPr="004522E8" w:rsidRDefault="009F5B5B" w:rsidP="000C1F53">
      <w:pPr>
        <w:pStyle w:val="ListParagraph"/>
        <w:widowControl w:val="0"/>
        <w:numPr>
          <w:ilvl w:val="0"/>
          <w:numId w:val="20"/>
        </w:numPr>
        <w:spacing w:after="120" w:line="240" w:lineRule="auto"/>
        <w:ind w:left="357" w:hanging="357"/>
        <w:contextualSpacing w:val="0"/>
        <w:rPr>
          <w:rFonts w:ascii="Calibri Light" w:hAnsi="Calibri Light" w:cs="Calibri Light"/>
        </w:rPr>
      </w:pPr>
      <w:r w:rsidRPr="004522E8">
        <w:rPr>
          <w:rFonts w:ascii="Calibri Light" w:hAnsi="Calibri Light" w:cs="Calibri Light"/>
        </w:rPr>
        <w:t>Formal mechanisms are in place to share learnings and promote a collegiate approach to regulating the industry.</w:t>
      </w:r>
    </w:p>
    <w:p w14:paraId="495AF4BC" w14:textId="77777777" w:rsidR="009F5B5B" w:rsidRPr="004522E8" w:rsidRDefault="009F5B5B" w:rsidP="009F5B5B">
      <w:pPr>
        <w:spacing w:after="120" w:line="240" w:lineRule="auto"/>
        <w:rPr>
          <w:rFonts w:ascii="Calibri Light" w:hAnsi="Calibri Light" w:cs="Calibri Light"/>
        </w:rPr>
      </w:pPr>
      <w:r w:rsidRPr="004522E8">
        <w:rPr>
          <w:rFonts w:ascii="Calibri Light" w:hAnsi="Calibri Light" w:cs="Calibri Light"/>
        </w:rPr>
        <w:t xml:space="preserve">The 2015 Operational Review recommended that NOPSEMA and NOPTA </w:t>
      </w:r>
      <w:r w:rsidRPr="004522E8">
        <w:rPr>
          <w:rFonts w:ascii="Calibri Light" w:hAnsi="Calibri Light" w:cs="Calibri Light"/>
          <w:i/>
          <w:iCs/>
        </w:rPr>
        <w:t>“</w:t>
      </w:r>
      <w:r w:rsidRPr="004522E8">
        <w:rPr>
          <w:rFonts w:ascii="Calibri Light" w:hAnsi="Calibri Light" w:cs="Calibri Light"/>
          <w:i/>
        </w:rPr>
        <w:t>develop an appropriate mechanism (for example an MOU or charter of engagement) to identify the interfacing points and areas of cooperation between the agencies and their respective responsibilities</w:t>
      </w:r>
      <w:r w:rsidRPr="004522E8">
        <w:rPr>
          <w:rFonts w:ascii="Calibri Light" w:hAnsi="Calibri Light" w:cs="Calibri Light"/>
          <w:i/>
          <w:iCs/>
        </w:rPr>
        <w:t>”</w:t>
      </w:r>
      <w:r w:rsidRPr="004522E8">
        <w:rPr>
          <w:rFonts w:ascii="Calibri Light" w:hAnsi="Calibri Light" w:cs="Calibri Light"/>
        </w:rPr>
        <w:t xml:space="preserve">. </w:t>
      </w:r>
    </w:p>
    <w:p w14:paraId="416BA5CA" w14:textId="77777777" w:rsidR="009F5B5B" w:rsidRPr="004522E8" w:rsidRDefault="009F5B5B" w:rsidP="009F5B5B">
      <w:pPr>
        <w:pStyle w:val="BodycopyNEW0"/>
        <w:rPr>
          <w:rFonts w:cs="Calibri Light"/>
          <w:szCs w:val="18"/>
        </w:rPr>
      </w:pPr>
      <w:r w:rsidRPr="004522E8">
        <w:rPr>
          <w:rFonts w:cs="Calibri Light"/>
          <w:szCs w:val="18"/>
        </w:rPr>
        <w:t>We heard from NOPTA and NOPSEMA that generally over the review period, cooperation and coordination has improved. Examples cited by NOPTA and NOPSEMA as evidence of improved cooperation and coordination include personnel secondments in the environment, communications, legal and human resources areas within both organisations. Furthermore, NOPTA and NOPSEMA have co-located offices in Perth and Melbourne, which has been beneficial to formal and informal resolution of issues and knowledge sharing between the entities. We understand that there is now a good level of interaction at all levels of the organisations, with regular meetings between the NOPSEMA CEO and the Titles Administrator, members of the senior leadership teams, and operational personnel. Positively, we also heard from industry stakeholders that the adoption of joint meetings by NOPTA and NOPSEMA where there may be areas of overlap was positively received. This is an area we encourage NOPTA and NOPSEMA to continue to pursue. There may also be an opportunity to conduct more strategic, joint training or presentations to industry on emerging issues of overlap into the future.</w:t>
      </w:r>
    </w:p>
    <w:tbl>
      <w:tblPr>
        <w:tblStyle w:val="TableGrid"/>
        <w:tblW w:w="0" w:type="auto"/>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9F5B5B" w:rsidRPr="00407F7B" w14:paraId="5321FBB2" w14:textId="77777777" w:rsidTr="00DA4B5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FC2B4"/>
          </w:tcPr>
          <w:p w14:paraId="59C419E3" w14:textId="3F205007" w:rsidR="009F5B5B" w:rsidRPr="00407F7B" w:rsidRDefault="009F5B5B" w:rsidP="00DA4B5E">
            <w:pPr>
              <w:pStyle w:val="TableHeadingLeft"/>
              <w:rPr>
                <w:bCs/>
              </w:rPr>
            </w:pPr>
            <w:r w:rsidRPr="00407F7B">
              <w:rPr>
                <w:bCs/>
              </w:rPr>
              <w:t>Opportunity #</w:t>
            </w:r>
            <w:r w:rsidR="008918DB" w:rsidRPr="00407F7B">
              <w:rPr>
                <w:bCs/>
              </w:rPr>
              <w:t>1</w:t>
            </w:r>
            <w:r w:rsidR="00C224DC">
              <w:rPr>
                <w:bCs/>
              </w:rPr>
              <w:t>8</w:t>
            </w:r>
          </w:p>
        </w:tc>
      </w:tr>
      <w:tr w:rsidR="00DA0585" w:rsidRPr="00DA0585" w14:paraId="781D7EDE" w14:textId="77777777" w:rsidTr="00DA4B5E">
        <w:tc>
          <w:tcPr>
            <w:tcW w:w="9864" w:type="dxa"/>
            <w:tcBorders>
              <w:bottom w:val="nil"/>
            </w:tcBorders>
            <w:shd w:val="clear" w:color="auto" w:fill="F2F2F2" w:themeFill="background1" w:themeFillShade="F2"/>
          </w:tcPr>
          <w:p w14:paraId="59C1BA86" w14:textId="792D01E7" w:rsidR="00CA1AC4" w:rsidRPr="00DA0585" w:rsidRDefault="00CA1AC4" w:rsidP="00CA1AC4">
            <w:pPr>
              <w:pStyle w:val="BodyCopyNEW"/>
            </w:pPr>
            <w:r w:rsidRPr="00DA0585">
              <w:rPr>
                <w:szCs w:val="18"/>
              </w:rPr>
              <w:t>NOPTA and NOPSEMA are encouraged to identify further opportunities for building and delivering joint guidance, briefings, or information packages for industry on issues of strategic importance or regulatory overlap, such as decommissioning.</w:t>
            </w:r>
          </w:p>
        </w:tc>
      </w:tr>
    </w:tbl>
    <w:p w14:paraId="1E9902D6" w14:textId="2EAC3153" w:rsidR="009F5B5B" w:rsidRPr="004522E8" w:rsidRDefault="003F049B" w:rsidP="009F5B5B">
      <w:pPr>
        <w:spacing w:before="120" w:after="120"/>
        <w:rPr>
          <w:rFonts w:ascii="Calibri Light" w:hAnsi="Calibri Light" w:cs="Calibri Light"/>
        </w:rPr>
      </w:pPr>
      <w:r>
        <w:rPr>
          <w:rFonts w:ascii="Calibri Light" w:hAnsi="Calibri Light" w:cs="Calibri Light"/>
        </w:rPr>
        <w:t xml:space="preserve">While we have not performed a </w:t>
      </w:r>
      <w:r w:rsidR="009F5B5B" w:rsidRPr="004522E8">
        <w:rPr>
          <w:rFonts w:ascii="Calibri Light" w:hAnsi="Calibri Light" w:cs="Calibri Light"/>
        </w:rPr>
        <w:t xml:space="preserve">re-review the events that the Walker Review </w:t>
      </w:r>
      <w:r w:rsidR="001F69F2" w:rsidRPr="004522E8">
        <w:rPr>
          <w:rFonts w:ascii="Calibri Light" w:hAnsi="Calibri Light" w:cs="Calibri Light"/>
        </w:rPr>
        <w:t>examined</w:t>
      </w:r>
      <w:r w:rsidR="001F69F2">
        <w:rPr>
          <w:rFonts w:ascii="Calibri Light" w:hAnsi="Calibri Light" w:cs="Calibri Light"/>
        </w:rPr>
        <w:t xml:space="preserve">, </w:t>
      </w:r>
      <w:r w:rsidR="001F69F2" w:rsidRPr="004522E8">
        <w:rPr>
          <w:rFonts w:ascii="Calibri Light" w:hAnsi="Calibri Light" w:cs="Calibri Light"/>
        </w:rPr>
        <w:t>we</w:t>
      </w:r>
      <w:r w:rsidR="009F5B5B" w:rsidRPr="004522E8">
        <w:rPr>
          <w:rFonts w:ascii="Calibri Light" w:hAnsi="Calibri Light" w:cs="Calibri Light"/>
        </w:rPr>
        <w:t xml:space="preserve"> refer to this event to demonstrate how the NOPSEMA – NOPTA relationship may continue to be improved. Stakeholder feedback from the Government and industry indicated that collaboration between NOPTA and NOPSEMA is still, in their view, siloed. Feedback was that NOPSEMA and NOPTA could work together more effectively, to continue to share knowledge and break down information silos. The Walker Review demonstrated that both </w:t>
      </w:r>
      <w:r w:rsidR="009F5B5B" w:rsidRPr="004522E8">
        <w:rPr>
          <w:rFonts w:ascii="Calibri Light" w:hAnsi="Calibri Light" w:cs="Calibri Light"/>
        </w:rPr>
        <w:lastRenderedPageBreak/>
        <w:t xml:space="preserve">agencies need to have a clear and consistent interpretation of the OPGGS Act and hold the ability to compel information to ensure the financial capability of titleholders. It is not enough to hold a regulatory power; it must be exercised where necessary and in a timely manner. NOPSEMA and NOPTA must be willing to coordinate and collaborate where such powers may be exercised, engage on difficult cases or issues, and be proactive in doing so. The reports of increased interaction between NOPTA and NOPSEMA are positive but must be extended further to help manage the significant risks from the maturing of the industry. </w:t>
      </w:r>
    </w:p>
    <w:p w14:paraId="6F0E8CB4" w14:textId="1AC18C0A" w:rsidR="009F5B5B" w:rsidRPr="004522E8" w:rsidRDefault="009F5B5B" w:rsidP="009F5B5B">
      <w:pPr>
        <w:spacing w:after="120"/>
        <w:rPr>
          <w:rFonts w:ascii="Calibri Light" w:hAnsi="Calibri Light" w:cs="Calibri Light"/>
        </w:rPr>
      </w:pPr>
      <w:r w:rsidRPr="004522E8">
        <w:rPr>
          <w:rFonts w:ascii="Calibri Light" w:hAnsi="Calibri Light" w:cs="Calibri Light"/>
        </w:rPr>
        <w:t>We have made three relevant recommendations: the first is to investigate greater functionality, as part of NOPTA’s planned development of the ‘NOPSEMA NEATS portal’ to digitally transact on items of shared interest</w:t>
      </w:r>
      <w:r w:rsidR="00A83E86">
        <w:rPr>
          <w:rFonts w:ascii="Calibri Light" w:hAnsi="Calibri Light" w:cs="Calibri Light"/>
        </w:rPr>
        <w:t xml:space="preserve"> – t</w:t>
      </w:r>
      <w:r>
        <w:rPr>
          <w:rFonts w:ascii="Calibri Light" w:hAnsi="Calibri Light" w:cs="Calibri Light"/>
        </w:rPr>
        <w:t xml:space="preserve">he </w:t>
      </w:r>
      <w:r w:rsidRPr="00F71679">
        <w:rPr>
          <w:rFonts w:ascii="Calibri Light" w:hAnsi="Calibri Light" w:cs="Calibri Light"/>
          <w:i/>
          <w:iCs/>
        </w:rPr>
        <w:t>2020 Statutory review of the National Offshore Petroleum Titles Administrator</w:t>
      </w:r>
      <w:r>
        <w:rPr>
          <w:rFonts w:ascii="Calibri Light" w:hAnsi="Calibri Light" w:cs="Calibri Light"/>
        </w:rPr>
        <w:t xml:space="preserve"> contains the recommendations to this effect</w:t>
      </w:r>
      <w:r w:rsidRPr="004522E8">
        <w:rPr>
          <w:rFonts w:ascii="Calibri Light" w:hAnsi="Calibri Light" w:cs="Calibri Light"/>
        </w:rPr>
        <w:t xml:space="preserve">. The second is for the various arms of the offshore legislative framework to align on roles and responsibilities. The third is the requirement to break down information and data sharing barriers. These latter two points are discussed further below. </w:t>
      </w:r>
    </w:p>
    <w:p w14:paraId="30EADC7C" w14:textId="7D7FF5A9" w:rsidR="009F5B5B" w:rsidRPr="001D4317" w:rsidRDefault="009F5B5B" w:rsidP="00901C7B">
      <w:pPr>
        <w:spacing w:after="120"/>
      </w:pPr>
      <w:r w:rsidRPr="004522E8">
        <w:rPr>
          <w:rFonts w:ascii="Calibri Light" w:hAnsi="Calibri Light" w:cs="Calibri Light"/>
        </w:rPr>
        <w:t xml:space="preserve">A key and unresolved question is whether the degree of collaboration and coordination required to support a maturing industry is possible under the current offshore model where administrative and regulatory arms of the framework remain separate. We discuss this further in </w:t>
      </w:r>
      <w:r w:rsidRPr="004522E8">
        <w:rPr>
          <w:rFonts w:ascii="Calibri Light" w:hAnsi="Calibri Light" w:cs="Calibri Light"/>
          <w:b/>
          <w:bCs/>
        </w:rPr>
        <w:t>Section</w:t>
      </w:r>
      <w:r w:rsidR="00633C24">
        <w:rPr>
          <w:rFonts w:ascii="Calibri Light" w:hAnsi="Calibri Light" w:cs="Calibri Light"/>
          <w:b/>
          <w:bCs/>
        </w:rPr>
        <w:t xml:space="preserve"> </w:t>
      </w:r>
      <w:r w:rsidR="00653EDB">
        <w:rPr>
          <w:rFonts w:ascii="Calibri Light" w:hAnsi="Calibri Light" w:cs="Calibri Light"/>
          <w:b/>
          <w:bCs/>
        </w:rPr>
        <w:fldChar w:fldCharType="begin"/>
      </w:r>
      <w:r w:rsidR="00653EDB">
        <w:rPr>
          <w:rFonts w:ascii="Calibri Light" w:hAnsi="Calibri Light" w:cs="Calibri Light"/>
          <w:b/>
          <w:bCs/>
        </w:rPr>
        <w:instrText xml:space="preserve"> REF _Ref63976321 \r \h </w:instrText>
      </w:r>
      <w:r w:rsidR="00653EDB">
        <w:rPr>
          <w:rFonts w:ascii="Calibri Light" w:hAnsi="Calibri Light" w:cs="Calibri Light"/>
          <w:b/>
          <w:bCs/>
        </w:rPr>
      </w:r>
      <w:r w:rsidR="00653EDB">
        <w:rPr>
          <w:rFonts w:ascii="Calibri Light" w:hAnsi="Calibri Light" w:cs="Calibri Light"/>
          <w:b/>
          <w:bCs/>
        </w:rPr>
        <w:fldChar w:fldCharType="separate"/>
      </w:r>
      <w:r w:rsidR="00E816B8">
        <w:rPr>
          <w:rFonts w:ascii="Calibri Light" w:hAnsi="Calibri Light" w:cs="Calibri Light"/>
          <w:b/>
          <w:bCs/>
        </w:rPr>
        <w:t>12</w:t>
      </w:r>
      <w:r w:rsidR="00653EDB">
        <w:rPr>
          <w:rFonts w:ascii="Calibri Light" w:hAnsi="Calibri Light" w:cs="Calibri Light"/>
          <w:b/>
          <w:bCs/>
        </w:rPr>
        <w:fldChar w:fldCharType="end"/>
      </w:r>
      <w:r w:rsidRPr="004522E8">
        <w:rPr>
          <w:rFonts w:ascii="Calibri Light" w:hAnsi="Calibri Light" w:cs="Calibri Light"/>
          <w:b/>
          <w:bCs/>
        </w:rPr>
        <w:t>.</w:t>
      </w:r>
    </w:p>
    <w:p w14:paraId="1C2F08D4" w14:textId="58399F17" w:rsidR="00CC187B" w:rsidRPr="00E54D30" w:rsidRDefault="00CC187B" w:rsidP="00784E0E">
      <w:pPr>
        <w:pStyle w:val="Heading3"/>
      </w:pPr>
      <w:r w:rsidRPr="009568B1">
        <w:t xml:space="preserve">NOPSEMA’s </w:t>
      </w:r>
      <w:r w:rsidR="007E0D5F">
        <w:t>relationship</w:t>
      </w:r>
      <w:r w:rsidR="007E0D5F" w:rsidRPr="009568B1">
        <w:t xml:space="preserve"> </w:t>
      </w:r>
      <w:r w:rsidRPr="009568B1">
        <w:t>with</w:t>
      </w:r>
      <w:r>
        <w:t xml:space="preserve"> </w:t>
      </w:r>
      <w:r w:rsidR="00AB50D2">
        <w:t>s</w:t>
      </w:r>
      <w:r w:rsidR="00126648">
        <w:t xml:space="preserve">tate and </w:t>
      </w:r>
      <w:r w:rsidR="00AB50D2">
        <w:t xml:space="preserve">territory </w:t>
      </w:r>
      <w:r>
        <w:t xml:space="preserve">agencies </w:t>
      </w:r>
    </w:p>
    <w:p w14:paraId="537279F7" w14:textId="1E545CC7" w:rsidR="00CC187B" w:rsidRPr="00203391" w:rsidRDefault="00CC187B" w:rsidP="00E77F92">
      <w:pPr>
        <w:pStyle w:val="Heading3NoNumber"/>
      </w:pPr>
      <w:r w:rsidRPr="00EF38C0">
        <w:t>I</w:t>
      </w:r>
      <w:r w:rsidRPr="00203391">
        <w:t xml:space="preserve">nteractions with </w:t>
      </w:r>
      <w:r w:rsidR="00DA0E3D" w:rsidRPr="00E94BB2">
        <w:rPr>
          <w:bCs/>
          <w:iCs/>
        </w:rPr>
        <w:t>s</w:t>
      </w:r>
      <w:r w:rsidR="00126648" w:rsidRPr="00ED2EF6">
        <w:t>tate/</w:t>
      </w:r>
      <w:r w:rsidR="00DA0E3D" w:rsidRPr="00E94BB2">
        <w:rPr>
          <w:bCs/>
          <w:iCs/>
        </w:rPr>
        <w:t>t</w:t>
      </w:r>
      <w:r w:rsidR="00126648" w:rsidRPr="00203391">
        <w:t>erritory</w:t>
      </w:r>
      <w:r w:rsidRPr="00AE393D">
        <w:t xml:space="preserve"> Government </w:t>
      </w:r>
      <w:r w:rsidR="00EB254D" w:rsidRPr="004D22F5">
        <w:t>agencies</w:t>
      </w:r>
      <w:r w:rsidR="00183FDC" w:rsidRPr="00E94BB2">
        <w:t xml:space="preserve"> have improved</w:t>
      </w:r>
      <w:r w:rsidR="00211559" w:rsidRPr="00E94BB2">
        <w:t xml:space="preserve"> but information sharing barriers remain</w:t>
      </w:r>
      <w:r w:rsidR="00EB254D" w:rsidRPr="00EF38C0">
        <w:t xml:space="preserve"> </w:t>
      </w:r>
    </w:p>
    <w:p w14:paraId="245E3598" w14:textId="5E323AFD" w:rsidR="00413872" w:rsidRPr="00E94BB2" w:rsidRDefault="005458B0" w:rsidP="007E62D5">
      <w:pPr>
        <w:pStyle w:val="BodyCopyNEW"/>
      </w:pPr>
      <w:r w:rsidRPr="00E94BB2">
        <w:t xml:space="preserve">NOPSEMA and state/territory government agencies have increased their level of interactions over the review period. State/territory </w:t>
      </w:r>
      <w:r w:rsidR="00567217" w:rsidRPr="00E94BB2">
        <w:t xml:space="preserve">government agencies engaged through our review process were largely complimentary of the relationship between NOPSEMA and their department. We also heard from NOPSEMA that they </w:t>
      </w:r>
      <w:r w:rsidR="005A4D2D" w:rsidRPr="00E94BB2">
        <w:t xml:space="preserve">engage in joint fora </w:t>
      </w:r>
      <w:r w:rsidR="000570F0" w:rsidRPr="00E94BB2">
        <w:t xml:space="preserve">(in some cases as an observer) </w:t>
      </w:r>
      <w:r w:rsidR="005A4D2D" w:rsidRPr="00E94BB2">
        <w:t>with state/territory counterparts, such as</w:t>
      </w:r>
      <w:r w:rsidR="000570F0" w:rsidRPr="00E94BB2">
        <w:t xml:space="preserve"> health and safety matters. NOPSEMA and their state/territory counterpart departments seek to coordinate on matters where there is a shared regulatory interest, such as with pipelines. For example, </w:t>
      </w:r>
      <w:r w:rsidR="00327ACB">
        <w:t>NOPSEMA has</w:t>
      </w:r>
      <w:r w:rsidR="000570F0" w:rsidRPr="00E94BB2">
        <w:t xml:space="preserve"> frequent (up to weekly) meetings with WA DMIRS</w:t>
      </w:r>
      <w:r w:rsidR="00512772" w:rsidRPr="00E94BB2">
        <w:t xml:space="preserve">. </w:t>
      </w:r>
    </w:p>
    <w:p w14:paraId="0C364399" w14:textId="07B69C73" w:rsidR="005458B0" w:rsidRPr="00E94BB2" w:rsidRDefault="0081492D" w:rsidP="007E62D5">
      <w:pPr>
        <w:pStyle w:val="BodyCopyNEW"/>
      </w:pPr>
      <w:r>
        <w:t xml:space="preserve">Our examination of information/stakeholder consultations </w:t>
      </w:r>
      <w:r w:rsidR="001F69F2">
        <w:t xml:space="preserve">showed </w:t>
      </w:r>
      <w:r w:rsidR="001F69F2" w:rsidRPr="00E94BB2">
        <w:t>streamlining</w:t>
      </w:r>
      <w:r w:rsidR="00413872" w:rsidRPr="00E94BB2">
        <w:t xml:space="preserve"> </w:t>
      </w:r>
      <w:r w:rsidR="0061038B" w:rsidRPr="00E94BB2">
        <w:t xml:space="preserve">of regulatory processes, for example </w:t>
      </w:r>
      <w:r w:rsidR="00413872" w:rsidRPr="00E94BB2">
        <w:t xml:space="preserve">with regards to </w:t>
      </w:r>
      <w:r w:rsidR="001610DC" w:rsidRPr="00E94BB2">
        <w:t xml:space="preserve">safety cases </w:t>
      </w:r>
      <w:r w:rsidR="0061038B" w:rsidRPr="00E94BB2">
        <w:t xml:space="preserve">for the same </w:t>
      </w:r>
      <w:r w:rsidR="00463650">
        <w:t>structure</w:t>
      </w:r>
      <w:r w:rsidR="00463650" w:rsidRPr="00E94BB2">
        <w:t xml:space="preserve"> </w:t>
      </w:r>
      <w:r w:rsidR="00463650">
        <w:t xml:space="preserve">(e.g. pipeline that covers </w:t>
      </w:r>
      <w:r w:rsidR="003D12B8" w:rsidRPr="00E94BB2">
        <w:t>Commonwealth and state/territory waters</w:t>
      </w:r>
      <w:r w:rsidR="00463650">
        <w:t>)</w:t>
      </w:r>
      <w:r w:rsidR="003D12B8" w:rsidRPr="00E94BB2">
        <w:t>. NOPSEMA noted that t</w:t>
      </w:r>
      <w:r w:rsidR="00E3796D" w:rsidRPr="00E94BB2">
        <w:t>here are a number of legislative and regulatory challenges with such an approach</w:t>
      </w:r>
      <w:r w:rsidR="003D6BE4" w:rsidRPr="00E94BB2">
        <w:t xml:space="preserve">, as NOPSEMA and </w:t>
      </w:r>
      <w:r w:rsidR="00F67865" w:rsidRPr="00E94BB2">
        <w:t xml:space="preserve">its state/territory counterparts have to adhere to different </w:t>
      </w:r>
      <w:r w:rsidR="00475404" w:rsidRPr="00E94BB2">
        <w:t>legislation and regulatory instruments.</w:t>
      </w:r>
    </w:p>
    <w:p w14:paraId="24FE0C72" w14:textId="36FB5867" w:rsidR="001A7636" w:rsidRDefault="0061038B" w:rsidP="007E62D5">
      <w:pPr>
        <w:pStyle w:val="BodyCopyNEW"/>
      </w:pPr>
      <w:r w:rsidRPr="00E94BB2">
        <w:t xml:space="preserve">Importantly, </w:t>
      </w:r>
      <w:r w:rsidR="001A7636" w:rsidRPr="00ED2EF6">
        <w:t xml:space="preserve">NOPSEMA’s relationship with other </w:t>
      </w:r>
      <w:r w:rsidR="00EA7224" w:rsidRPr="00ED2EF6">
        <w:t>state, t</w:t>
      </w:r>
      <w:r w:rsidR="00126648" w:rsidRPr="00ED2EF6">
        <w:t>erritory</w:t>
      </w:r>
      <w:r w:rsidR="001A7636" w:rsidRPr="00ED2EF6">
        <w:t xml:space="preserve"> and Commonwealth Government stakeholders is inhibited by information sharing barriers. </w:t>
      </w:r>
      <w:r w:rsidR="00A4033E" w:rsidRPr="00E94BB2">
        <w:t>We discuss a</w:t>
      </w:r>
      <w:r w:rsidR="001A7636" w:rsidRPr="00ED2EF6">
        <w:t xml:space="preserve"> more pragmatic and open approach to sharing data and information </w:t>
      </w:r>
      <w:r w:rsidR="00B12284">
        <w:t>below.</w:t>
      </w:r>
    </w:p>
    <w:p w14:paraId="2B40A223" w14:textId="77777777" w:rsidR="006146FA" w:rsidRPr="003B25E2" w:rsidRDefault="006146FA" w:rsidP="006146FA">
      <w:pPr>
        <w:pStyle w:val="Heading2"/>
        <w:spacing w:before="120"/>
        <w:contextualSpacing w:val="0"/>
      </w:pPr>
      <w:bookmarkStart w:id="118" w:name="_Ref57886397"/>
      <w:r w:rsidRPr="003B25E2">
        <w:t>A ‘One Government’ approach to the delivery of the offshore legislative framework</w:t>
      </w:r>
      <w:bookmarkEnd w:id="118"/>
    </w:p>
    <w:p w14:paraId="6998D781" w14:textId="77777777" w:rsidR="006146FA" w:rsidRPr="00E77F92" w:rsidRDefault="006146FA" w:rsidP="00E77F92">
      <w:pPr>
        <w:spacing w:before="120" w:after="60" w:line="264" w:lineRule="auto"/>
        <w:rPr>
          <w:rFonts w:ascii="Calibri" w:hAnsi="Calibri" w:cs="Calibri"/>
          <w:sz w:val="20"/>
          <w:szCs w:val="20"/>
        </w:rPr>
      </w:pPr>
      <w:r w:rsidRPr="00E77F92">
        <w:rPr>
          <w:rFonts w:ascii="Calibri" w:hAnsi="Calibri" w:cs="Calibri"/>
          <w:b/>
          <w:bCs/>
          <w:sz w:val="20"/>
          <w:szCs w:val="20"/>
        </w:rPr>
        <w:t>Alignment between the administrative, policy, and regulatory arms of the offshore legislative framework should be improved</w:t>
      </w:r>
    </w:p>
    <w:p w14:paraId="279051F2" w14:textId="77777777" w:rsidR="006146FA" w:rsidRPr="004522E8" w:rsidRDefault="006146FA" w:rsidP="006146FA">
      <w:pPr>
        <w:rPr>
          <w:rFonts w:ascii="Calibri Light" w:hAnsi="Calibri Light" w:cs="Calibri Light"/>
        </w:rPr>
      </w:pPr>
      <w:r w:rsidRPr="004522E8">
        <w:rPr>
          <w:rFonts w:ascii="Calibri Light" w:hAnsi="Calibri Light" w:cs="Calibri Light"/>
        </w:rPr>
        <w:t>We have observed that the delivery model of the offshore legislative framework is complex, with multiple parties responsible for respective elements across the administration (NOPTA), decision-making (the Joint Authorities), policy development (DISER Offshore Resources Branch), and regulation (NOPSEMA). The delivery complexity is compounded by the length and structure of the legislation itself, which spans three volumes and associated regulations. The outcome sought should be a cohesive and consistent 'One Government' approach to the industry and its risks in the delivery of legislative and regulatory instruments. The criticality of a ‘One Government’ approach (be it across state, territory, or Commonwealth Government) has been starkly highlighted by the events surrounding the Northern Endeavour Floating Production and Storage Offtake facility and the broader Laminaria-Corallina fields.</w:t>
      </w:r>
    </w:p>
    <w:p w14:paraId="66A481D6" w14:textId="0E578539" w:rsidR="006146FA" w:rsidRPr="004522E8" w:rsidRDefault="006146FA" w:rsidP="006146FA">
      <w:pPr>
        <w:rPr>
          <w:rFonts w:ascii="Calibri Light" w:hAnsi="Calibri Light" w:cs="Calibri Light"/>
        </w:rPr>
      </w:pPr>
      <w:r w:rsidRPr="004522E8">
        <w:rPr>
          <w:rFonts w:ascii="Calibri Light" w:hAnsi="Calibri Light" w:cs="Calibri Light"/>
        </w:rPr>
        <w:t>As outlined in the discussion above, there are positive indications of a more cohesive approach being taken in some cases, particularly during the latter part of the review period. Nevertheless, further work needs to be done to properly connect processes across the parties.</w:t>
      </w:r>
    </w:p>
    <w:p w14:paraId="5015CF2D" w14:textId="525DFFFF" w:rsidR="006146FA" w:rsidRDefault="006146FA" w:rsidP="006146FA">
      <w:pPr>
        <w:pStyle w:val="BodyBullet1NEW"/>
        <w:numPr>
          <w:ilvl w:val="0"/>
          <w:numId w:val="0"/>
        </w:numPr>
        <w:rPr>
          <w:rFonts w:cs="Calibri Light"/>
          <w:szCs w:val="18"/>
        </w:rPr>
      </w:pPr>
      <w:r w:rsidRPr="004522E8">
        <w:rPr>
          <w:rFonts w:cs="Calibri Light"/>
          <w:szCs w:val="18"/>
        </w:rPr>
        <w:t>At the core of a coordinated and collaborative approach is gaining further alignment between the expectations, roles, and responsibilities of the administrative, policy, and regulatory facets of the offshore legislative framework. We have observed, through our interactions between NOPTA, NOPSEMA, and the DISER Offshore Resources Branch, deviations in the understanding of roles and responsibilities of each party and, in some cases, interpretations of the OPGGS Act. This fact and the general complexity of the offshore legislative framework itself may further contribute to a misunderstanding of the various roles and responsibilities by external stakeholders. We see benefit in closer alignment on these areas while also respecting the independence of each arm.</w:t>
      </w:r>
    </w:p>
    <w:p w14:paraId="7B32B904" w14:textId="63F0D76C" w:rsidR="00E77F92" w:rsidRDefault="00E77F92" w:rsidP="006146FA">
      <w:pPr>
        <w:pStyle w:val="BodyBullet1NEW"/>
        <w:numPr>
          <w:ilvl w:val="0"/>
          <w:numId w:val="0"/>
        </w:numPr>
        <w:rPr>
          <w:rFonts w:cs="Calibri Light"/>
          <w:szCs w:val="18"/>
        </w:rPr>
      </w:pPr>
    </w:p>
    <w:p w14:paraId="29852593" w14:textId="73FF3BFC" w:rsidR="00E77F92" w:rsidRDefault="00E77F92" w:rsidP="006146FA">
      <w:pPr>
        <w:pStyle w:val="BodyBullet1NEW"/>
        <w:numPr>
          <w:ilvl w:val="0"/>
          <w:numId w:val="0"/>
        </w:numPr>
        <w:rPr>
          <w:rFonts w:cs="Calibri Light"/>
          <w:szCs w:val="18"/>
        </w:rPr>
      </w:pPr>
    </w:p>
    <w:p w14:paraId="21AD2C9B" w14:textId="0B950C1B" w:rsidR="00E77F92" w:rsidRDefault="00E77F92" w:rsidP="006146FA">
      <w:pPr>
        <w:pStyle w:val="BodyBullet1NEW"/>
        <w:numPr>
          <w:ilvl w:val="0"/>
          <w:numId w:val="0"/>
        </w:numPr>
        <w:rPr>
          <w:rFonts w:cs="Calibri Light"/>
          <w:szCs w:val="18"/>
        </w:rPr>
      </w:pPr>
    </w:p>
    <w:p w14:paraId="6FFE1A75" w14:textId="77777777" w:rsidR="00E77F92" w:rsidRDefault="00E77F92" w:rsidP="006146FA">
      <w:pPr>
        <w:pStyle w:val="BodyBullet1NEW"/>
        <w:numPr>
          <w:ilvl w:val="0"/>
          <w:numId w:val="0"/>
        </w:numPr>
        <w:rPr>
          <w:rFonts w:cs="Calibri Light"/>
          <w:szCs w:val="18"/>
        </w:rPr>
      </w:pP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6146FA" w:rsidRPr="00DA0585" w14:paraId="020AEEF6" w14:textId="77777777" w:rsidTr="00DA4B5E">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734D92F0" w14:textId="129C7C44" w:rsidR="006146FA" w:rsidRPr="00A470B1" w:rsidRDefault="006146FA" w:rsidP="00DA4B5E">
            <w:pPr>
              <w:pStyle w:val="TableHeadingLeft"/>
              <w:rPr>
                <w:bCs/>
              </w:rPr>
            </w:pPr>
            <w:r w:rsidRPr="00A470B1">
              <w:rPr>
                <w:bCs/>
              </w:rPr>
              <w:t>Recommendation #</w:t>
            </w:r>
            <w:r w:rsidR="00AE6646" w:rsidRPr="00A470B1">
              <w:rPr>
                <w:bCs/>
              </w:rPr>
              <w:t>2</w:t>
            </w:r>
            <w:r w:rsidR="005E06AF">
              <w:rPr>
                <w:bCs/>
              </w:rPr>
              <w:t>1</w:t>
            </w:r>
          </w:p>
        </w:tc>
      </w:tr>
      <w:tr w:rsidR="00DA0585" w:rsidRPr="00DA0585" w14:paraId="73CCD954" w14:textId="77777777" w:rsidTr="00DA4B5E">
        <w:tc>
          <w:tcPr>
            <w:tcW w:w="9864" w:type="dxa"/>
            <w:tcBorders>
              <w:bottom w:val="nil"/>
            </w:tcBorders>
            <w:shd w:val="clear" w:color="auto" w:fill="F2F2F2" w:themeFill="background1" w:themeFillShade="F2"/>
          </w:tcPr>
          <w:p w14:paraId="33418660" w14:textId="1BB4DC7E" w:rsidR="00691F60" w:rsidRPr="00DA0585" w:rsidRDefault="00691F60" w:rsidP="00691F60">
            <w:pPr>
              <w:pStyle w:val="BodyCopyNEW"/>
            </w:pPr>
            <w:r w:rsidRPr="00DA0585">
              <w:rPr>
                <w:rFonts w:eastAsia="Verdana"/>
                <w:szCs w:val="18"/>
              </w:rPr>
              <w:t xml:space="preserve">The administrative (NOPTA), regulatory (NOPSEMA), and policy development (DISER Offshore Resources Branch) arms of the offshore legislative framework should seek to improve their alignment, coordination and collaboration on matters such as policy development, interpretations of the OPGGS Act, exchange of data and information, and shared priorities to deliver a more cohesive ‘One Government’ approach. </w:t>
            </w:r>
          </w:p>
        </w:tc>
      </w:tr>
    </w:tbl>
    <w:p w14:paraId="7C877C9A" w14:textId="089C74D2" w:rsidR="006146FA" w:rsidRPr="00E77F92" w:rsidRDefault="006146FA" w:rsidP="00E77F92">
      <w:pPr>
        <w:spacing w:before="120" w:after="60" w:line="264" w:lineRule="auto"/>
        <w:rPr>
          <w:rFonts w:ascii="Calibri" w:hAnsi="Calibri" w:cs="Calibri"/>
          <w:b/>
          <w:bCs/>
          <w:sz w:val="20"/>
          <w:szCs w:val="20"/>
        </w:rPr>
      </w:pPr>
      <w:r w:rsidRPr="00E77F92">
        <w:rPr>
          <w:rFonts w:ascii="Calibri" w:hAnsi="Calibri" w:cs="Calibri"/>
          <w:b/>
          <w:bCs/>
          <w:sz w:val="20"/>
          <w:szCs w:val="20"/>
        </w:rPr>
        <w:t>Effective and efficient relationships across the regulatory landscape will be essential to managing a maturing industry</w:t>
      </w:r>
    </w:p>
    <w:p w14:paraId="74C40C97" w14:textId="4E9E9ADF" w:rsidR="006146FA" w:rsidRPr="004522E8" w:rsidRDefault="006146FA" w:rsidP="006146FA">
      <w:pPr>
        <w:widowControl w:val="0"/>
        <w:spacing w:after="120" w:line="240" w:lineRule="auto"/>
        <w:rPr>
          <w:rFonts w:ascii="Calibri Light" w:hAnsi="Calibri Light" w:cs="OpenSansRegular"/>
        </w:rPr>
      </w:pPr>
      <w:r w:rsidRPr="004522E8">
        <w:rPr>
          <w:rFonts w:ascii="Calibri Light" w:hAnsi="Calibri Light" w:cs="OpenSansRegular"/>
        </w:rPr>
        <w:t>While a significant focus has been placed on the effectiveness NOPTA’s and NOPSEMA’s interactions, of importance will also be NOPTA’s and NOPSEMA’s interactions with various state and territory policy developers and regulators who oversee assets within state and territory waters. A number of assets, particularly pipelines, traverse Commonwealth and state/territory waters. Therefore, collaboration on the decommissioning and managing of risk for these assets will be essential. Should conferral of state/territory powers not be pursued, significant improvements to the ability for collaboration and coordination between parties will be required.</w:t>
      </w:r>
    </w:p>
    <w:p w14:paraId="2023E562" w14:textId="77777777" w:rsidR="006146FA" w:rsidRPr="004522E8" w:rsidRDefault="006146FA" w:rsidP="006146FA">
      <w:pPr>
        <w:pStyle w:val="BodyBullet1NEW"/>
        <w:numPr>
          <w:ilvl w:val="0"/>
          <w:numId w:val="0"/>
        </w:numPr>
        <w:rPr>
          <w:rFonts w:cs="OpenSansRegular"/>
          <w:szCs w:val="18"/>
        </w:rPr>
      </w:pPr>
      <w:r w:rsidRPr="004522E8">
        <w:rPr>
          <w:rFonts w:cs="OpenSansRegular"/>
          <w:szCs w:val="18"/>
        </w:rPr>
        <w:t>The ability to exchange data and information in a secure, seamless, and prudent manner will underpin the ability for NOPTA and NOPSEMA, and their state and territory counterparts to coordinate and collaborate effectively. Through our consultation with stakeholders, it was outlined to us that a number of legislative and/or regulatory barriers currently inhibit the seamless sharing of data and information between NOPTA, NOPSEMA and their state/territory counterparts outside of titles-specific Joint Authority interactions. This needs to be addressed and will help improve the effectiveness of interactions beyond the decommissioning of assets.</w:t>
      </w:r>
    </w:p>
    <w:tbl>
      <w:tblPr>
        <w:tblStyle w:val="TableGrid"/>
        <w:tblW w:w="9865" w:type="dxa"/>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5"/>
      </w:tblGrid>
      <w:tr w:rsidR="006146FA" w:rsidRPr="00DA0585" w14:paraId="1075C338" w14:textId="77777777" w:rsidTr="00D718BC">
        <w:trPr>
          <w:cnfStyle w:val="100000000000" w:firstRow="1" w:lastRow="0" w:firstColumn="0" w:lastColumn="0" w:oddVBand="0" w:evenVBand="0" w:oddHBand="0" w:evenHBand="0" w:firstRowFirstColumn="0" w:firstRowLastColumn="0" w:lastRowFirstColumn="0" w:lastRowLastColumn="0"/>
        </w:trPr>
        <w:tc>
          <w:tcPr>
            <w:tcW w:w="9865" w:type="dxa"/>
            <w:shd w:val="clear" w:color="auto" w:fill="007680"/>
          </w:tcPr>
          <w:p w14:paraId="3334ED06" w14:textId="038B8505" w:rsidR="006146FA" w:rsidRPr="00A470B1" w:rsidRDefault="006146FA" w:rsidP="00DA4B5E">
            <w:pPr>
              <w:pStyle w:val="TableHeadingLeft"/>
              <w:rPr>
                <w:bCs/>
              </w:rPr>
            </w:pPr>
            <w:r w:rsidRPr="00A470B1">
              <w:rPr>
                <w:bCs/>
              </w:rPr>
              <w:t>Recommendation #</w:t>
            </w:r>
            <w:r w:rsidR="00AE6646" w:rsidRPr="00A470B1">
              <w:rPr>
                <w:bCs/>
              </w:rPr>
              <w:t>2</w:t>
            </w:r>
            <w:r w:rsidR="005E06AF">
              <w:rPr>
                <w:bCs/>
              </w:rPr>
              <w:t>2</w:t>
            </w:r>
          </w:p>
        </w:tc>
      </w:tr>
      <w:tr w:rsidR="00DA0585" w:rsidRPr="00DA0585" w14:paraId="6D45449D" w14:textId="77777777" w:rsidTr="00D718BC">
        <w:tc>
          <w:tcPr>
            <w:tcW w:w="9865" w:type="dxa"/>
            <w:tcBorders>
              <w:bottom w:val="nil"/>
            </w:tcBorders>
            <w:shd w:val="clear" w:color="auto" w:fill="F2F2F2" w:themeFill="background1" w:themeFillShade="F2"/>
          </w:tcPr>
          <w:p w14:paraId="10CEEC20" w14:textId="4A5F754F" w:rsidR="00691F60" w:rsidRPr="00DA0585" w:rsidRDefault="00691F60" w:rsidP="00691F60">
            <w:pPr>
              <w:pStyle w:val="BodyCopyNEW"/>
            </w:pPr>
            <w:r w:rsidRPr="00DA0585">
              <w:rPr>
                <w:szCs w:val="18"/>
              </w:rPr>
              <w:t xml:space="preserve">DISER, NOPSEMA, NOPTA, and relevant state/territory government departments should examine and address barriers inhibiting the secure, seamless, and sensible exchange of information and data between parties to </w:t>
            </w:r>
            <w:r w:rsidRPr="00DA0585">
              <w:rPr>
                <w:rFonts w:eastAsia="Verdana"/>
                <w:szCs w:val="18"/>
              </w:rPr>
              <w:t>deliver a more cohesive ‘One Government’ approach</w:t>
            </w:r>
            <w:r w:rsidRPr="00DA0585">
              <w:rPr>
                <w:szCs w:val="18"/>
              </w:rPr>
              <w:t xml:space="preserve">. </w:t>
            </w:r>
          </w:p>
        </w:tc>
      </w:tr>
    </w:tbl>
    <w:p w14:paraId="041C80D4" w14:textId="50185452" w:rsidR="006146FA" w:rsidRPr="004522E8" w:rsidRDefault="006146FA" w:rsidP="006146FA">
      <w:pPr>
        <w:widowControl w:val="0"/>
        <w:spacing w:before="120" w:after="120" w:line="240" w:lineRule="auto"/>
        <w:rPr>
          <w:rFonts w:ascii="Calibri Light" w:hAnsi="Calibri Light" w:cs="Calibri Light"/>
        </w:rPr>
      </w:pPr>
      <w:r w:rsidRPr="004522E8">
        <w:rPr>
          <w:rFonts w:ascii="Calibri Light" w:hAnsi="Calibri Light" w:cs="Calibri Light"/>
        </w:rPr>
        <w:t>In implementing the above recommendation, consideration could be given to:</w:t>
      </w:r>
    </w:p>
    <w:p w14:paraId="548700CF" w14:textId="77777777" w:rsidR="006146FA" w:rsidRPr="004522E8" w:rsidRDefault="006146FA" w:rsidP="000C1F53">
      <w:pPr>
        <w:pStyle w:val="ListParagraph"/>
        <w:widowControl w:val="0"/>
        <w:numPr>
          <w:ilvl w:val="0"/>
          <w:numId w:val="19"/>
        </w:numPr>
        <w:spacing w:after="60" w:line="240" w:lineRule="auto"/>
        <w:ind w:left="357" w:hanging="357"/>
        <w:contextualSpacing w:val="0"/>
        <w:rPr>
          <w:rFonts w:ascii="Calibri Light" w:hAnsi="Calibri Light" w:cs="Calibri Light"/>
        </w:rPr>
      </w:pPr>
      <w:r w:rsidRPr="004522E8">
        <w:rPr>
          <w:rFonts w:ascii="Calibri Light" w:hAnsi="Calibri Light" w:cs="Calibri Light"/>
        </w:rPr>
        <w:t>Identifying and addressing any potential regulatory or legislative barriers, prioritising those jurisdictions that have the greatest volume of offshore activity and/or where the risks are highest</w:t>
      </w:r>
    </w:p>
    <w:p w14:paraId="5A36DD17" w14:textId="77777777" w:rsidR="006146FA" w:rsidRPr="004522E8" w:rsidRDefault="006146FA" w:rsidP="000C1F53">
      <w:pPr>
        <w:pStyle w:val="ListParagraph"/>
        <w:widowControl w:val="0"/>
        <w:numPr>
          <w:ilvl w:val="0"/>
          <w:numId w:val="19"/>
        </w:numPr>
        <w:spacing w:after="60" w:line="240" w:lineRule="auto"/>
        <w:ind w:left="357" w:hanging="357"/>
        <w:contextualSpacing w:val="0"/>
        <w:rPr>
          <w:rFonts w:ascii="Calibri Light" w:hAnsi="Calibri Light" w:cs="Calibri Light"/>
        </w:rPr>
      </w:pPr>
      <w:r w:rsidRPr="004522E8">
        <w:rPr>
          <w:rFonts w:ascii="Calibri Light" w:hAnsi="Calibri Light" w:cs="Calibri Light"/>
        </w:rPr>
        <w:t>Applying an outcome, rather than prescriptive, approach to setting which data and information could and should be exchanged</w:t>
      </w:r>
    </w:p>
    <w:p w14:paraId="05CC97AC" w14:textId="77777777" w:rsidR="006146FA" w:rsidRPr="004522E8" w:rsidRDefault="006146FA" w:rsidP="000C1F53">
      <w:pPr>
        <w:pStyle w:val="ListParagraph"/>
        <w:widowControl w:val="0"/>
        <w:numPr>
          <w:ilvl w:val="0"/>
          <w:numId w:val="19"/>
        </w:numPr>
        <w:spacing w:after="60" w:line="240" w:lineRule="auto"/>
        <w:ind w:left="357" w:hanging="357"/>
        <w:contextualSpacing w:val="0"/>
        <w:rPr>
          <w:rFonts w:ascii="Calibri Light" w:hAnsi="Calibri Light" w:cs="Calibri Light"/>
        </w:rPr>
      </w:pPr>
      <w:r w:rsidRPr="004522E8">
        <w:rPr>
          <w:rFonts w:ascii="Calibri Light" w:hAnsi="Calibri Light" w:cs="Calibri Light"/>
        </w:rPr>
        <w:t>Developing protocols for securely and efficiently exchanging information and data in a structured way.</w:t>
      </w:r>
    </w:p>
    <w:p w14:paraId="5E284475" w14:textId="39560010" w:rsidR="00BB2CBE" w:rsidRPr="008D69C2" w:rsidRDefault="006146FA" w:rsidP="007E62D5">
      <w:pPr>
        <w:pStyle w:val="BodyCopyNEW"/>
      </w:pPr>
      <w:r w:rsidRPr="004522E8">
        <w:t>Beyond this recommendation, all parties involved in the delivery of the offshore legislative framework will need to coordinate on risks and issues arising across jurisdictions, particularly where activity overlap is greatest</w:t>
      </w:r>
      <w:r w:rsidRPr="00756B4E">
        <w:rPr>
          <w:sz w:val="20"/>
        </w:rPr>
        <w:t>.</w:t>
      </w:r>
    </w:p>
    <w:p w14:paraId="700EFBB6" w14:textId="39EB6086" w:rsidR="008468CE" w:rsidRDefault="001B290B" w:rsidP="007425F5">
      <w:pPr>
        <w:pStyle w:val="Heading1"/>
        <w:ind w:right="3655"/>
      </w:pPr>
      <w:bookmarkStart w:id="119" w:name="_Toc58570902"/>
      <w:bookmarkStart w:id="120" w:name="_Toc58702994"/>
      <w:bookmarkStart w:id="121" w:name="_Toc58570903"/>
      <w:bookmarkStart w:id="122" w:name="_Toc58702995"/>
      <w:bookmarkStart w:id="123" w:name="_Toc58570904"/>
      <w:bookmarkStart w:id="124" w:name="_Toc58702996"/>
      <w:bookmarkStart w:id="125" w:name="_Toc58570905"/>
      <w:bookmarkStart w:id="126" w:name="_Toc58702997"/>
      <w:bookmarkStart w:id="127" w:name="_Toc58570906"/>
      <w:bookmarkStart w:id="128" w:name="_Toc58702998"/>
      <w:bookmarkStart w:id="129" w:name="_Toc58570907"/>
      <w:bookmarkStart w:id="130" w:name="_Toc58702999"/>
      <w:bookmarkStart w:id="131" w:name="_Toc58570908"/>
      <w:bookmarkStart w:id="132" w:name="_Toc58703000"/>
      <w:bookmarkStart w:id="133" w:name="_Toc58570909"/>
      <w:bookmarkStart w:id="134" w:name="_Toc58703001"/>
      <w:bookmarkStart w:id="135" w:name="_Toc58570914"/>
      <w:bookmarkStart w:id="136" w:name="_Toc58703006"/>
      <w:bookmarkStart w:id="137" w:name="_Toc63970847"/>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Pr>
          <w:noProof/>
        </w:rPr>
        <w:lastRenderedPageBreak/>
        <w:t>How efficient is</w:t>
      </w:r>
      <w:r w:rsidR="008468CE">
        <w:t xml:space="preserve"> NOPSEMA,</w:t>
      </w:r>
      <w:r>
        <w:t xml:space="preserve"> and how does it</w:t>
      </w:r>
      <w:r w:rsidR="008468CE">
        <w:t xml:space="preserve"> reduc</w:t>
      </w:r>
      <w:r>
        <w:t>e</w:t>
      </w:r>
      <w:r w:rsidR="008468CE">
        <w:t xml:space="preserve"> burden for industry and recovering costs</w:t>
      </w:r>
      <w:r>
        <w:t>?</w:t>
      </w:r>
      <w:bookmarkEnd w:id="137"/>
    </w:p>
    <w:p w14:paraId="0CACE248" w14:textId="5F74C55E" w:rsidR="007425F5" w:rsidRPr="00A706C4" w:rsidRDefault="00346867" w:rsidP="007425F5">
      <w:pPr>
        <w:pStyle w:val="Keypoints"/>
      </w:pPr>
      <w:r>
        <w:rPr>
          <w:noProof/>
          <w:lang w:eastAsia="en-AU"/>
        </w:rPr>
        <w:drawing>
          <wp:anchor distT="0" distB="0" distL="114300" distR="114300" simplePos="0" relativeHeight="251658249" behindDoc="1" locked="0" layoutInCell="1" allowOverlap="1" wp14:anchorId="6BDB27AD" wp14:editId="42DB6F02">
            <wp:simplePos x="0" y="0"/>
            <wp:positionH relativeFrom="page">
              <wp:align>right</wp:align>
            </wp:positionH>
            <wp:positionV relativeFrom="paragraph">
              <wp:posOffset>-3656965</wp:posOffset>
            </wp:positionV>
            <wp:extent cx="7559675" cy="10693400"/>
            <wp:effectExtent l="0" t="0" r="3175" b="0"/>
            <wp:wrapNone/>
            <wp:docPr id="1179951878" name="Picture 117995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r w:rsidR="007425F5">
        <w:br/>
      </w:r>
      <w:r w:rsidR="007425F5" w:rsidRPr="00A706C4">
        <w:t>Key points</w:t>
      </w:r>
    </w:p>
    <w:tbl>
      <w:tblPr>
        <w:tblStyle w:val="TableGrid"/>
        <w:tblW w:w="0" w:type="auto"/>
        <w:tblCellMar>
          <w:top w:w="57" w:type="dxa"/>
          <w:left w:w="57" w:type="dxa"/>
          <w:bottom w:w="57" w:type="dxa"/>
          <w:right w:w="170" w:type="dxa"/>
        </w:tblCellMar>
        <w:tblLook w:val="04A0" w:firstRow="1" w:lastRow="0" w:firstColumn="1" w:lastColumn="0" w:noHBand="0" w:noVBand="1"/>
      </w:tblPr>
      <w:tblGrid>
        <w:gridCol w:w="5245"/>
        <w:gridCol w:w="4619"/>
      </w:tblGrid>
      <w:tr w:rsidR="007425F5" w14:paraId="5673B287" w14:textId="77777777" w:rsidTr="00901C7B">
        <w:trPr>
          <w:cnfStyle w:val="100000000000" w:firstRow="1" w:lastRow="0" w:firstColumn="0" w:lastColumn="0" w:oddVBand="0" w:evenVBand="0" w:oddHBand="0" w:evenHBand="0" w:firstRowFirstColumn="0" w:firstRowLastColumn="0" w:lastRowFirstColumn="0" w:lastRowLastColumn="0"/>
        </w:trPr>
        <w:tc>
          <w:tcPr>
            <w:tcW w:w="5245" w:type="dxa"/>
            <w:shd w:val="clear" w:color="auto" w:fill="auto"/>
          </w:tcPr>
          <w:p w14:paraId="2F94C986" w14:textId="77777777" w:rsidR="007425F5" w:rsidRPr="00F2700F" w:rsidRDefault="007425F5" w:rsidP="007425F5">
            <w:pPr>
              <w:spacing w:after="80"/>
              <w:rPr>
                <w:rFonts w:ascii="Calibri" w:hAnsi="Calibri"/>
                <w:b/>
                <w:bCs/>
                <w:sz w:val="20"/>
                <w:szCs w:val="20"/>
              </w:rPr>
            </w:pPr>
            <w:r w:rsidRPr="00F2700F">
              <w:rPr>
                <w:rFonts w:ascii="Calibri" w:hAnsi="Calibri"/>
                <w:b/>
                <w:bCs/>
                <w:sz w:val="20"/>
                <w:szCs w:val="20"/>
              </w:rPr>
              <w:t xml:space="preserve">NOPSEMA is operationally efficient within their current remit </w:t>
            </w:r>
          </w:p>
          <w:p w14:paraId="7A03E368" w14:textId="19E63D72" w:rsidR="007425F5" w:rsidRPr="00F2700F" w:rsidRDefault="007425F5" w:rsidP="007425F5">
            <w:pPr>
              <w:widowControl w:val="0"/>
              <w:spacing w:after="80"/>
              <w:rPr>
                <w:rFonts w:ascii="Calibri Light" w:hAnsi="Calibri Light"/>
              </w:rPr>
            </w:pPr>
            <w:r w:rsidRPr="00F2700F">
              <w:rPr>
                <w:rFonts w:ascii="Calibri Light" w:hAnsi="Calibri Light"/>
              </w:rPr>
              <w:t xml:space="preserve">The majority of NOPSEMA’s costs, approximately 70%, relate to employee expenses. NOPSEMA’s costs have risen </w:t>
            </w:r>
            <w:r w:rsidR="00005313" w:rsidRPr="00F2700F">
              <w:rPr>
                <w:rFonts w:ascii="Calibri Light" w:hAnsi="Calibri Light"/>
              </w:rPr>
              <w:t>over the review peri</w:t>
            </w:r>
            <w:r w:rsidR="00A8444B" w:rsidRPr="00F2700F">
              <w:rPr>
                <w:rFonts w:ascii="Calibri Light" w:hAnsi="Calibri Light"/>
              </w:rPr>
              <w:t xml:space="preserve">od </w:t>
            </w:r>
            <w:r w:rsidRPr="00F2700F">
              <w:rPr>
                <w:rFonts w:ascii="Calibri Light" w:hAnsi="Calibri Light"/>
              </w:rPr>
              <w:t xml:space="preserve">due to </w:t>
            </w:r>
            <w:r w:rsidR="00AA0944" w:rsidRPr="00F2700F">
              <w:rPr>
                <w:rFonts w:ascii="Calibri Light" w:hAnsi="Calibri Light"/>
              </w:rPr>
              <w:t>an</w:t>
            </w:r>
            <w:r w:rsidRPr="00F2700F">
              <w:rPr>
                <w:rFonts w:ascii="Calibri Light" w:hAnsi="Calibri Light"/>
              </w:rPr>
              <w:t xml:space="preserve"> increase in FTEs. However, employee expenses per FTE and employee expenses per regulatory activity undertaken have </w:t>
            </w:r>
            <w:r w:rsidR="00AA0944" w:rsidRPr="00F2700F">
              <w:rPr>
                <w:rFonts w:ascii="Calibri Light" w:hAnsi="Calibri Light"/>
              </w:rPr>
              <w:t xml:space="preserve">generally </w:t>
            </w:r>
            <w:r w:rsidRPr="00F2700F">
              <w:rPr>
                <w:rFonts w:ascii="Calibri Light" w:hAnsi="Calibri Light"/>
              </w:rPr>
              <w:t xml:space="preserve">remained static or fallen. </w:t>
            </w:r>
          </w:p>
          <w:p w14:paraId="023802CC" w14:textId="46E55402" w:rsidR="007425F5" w:rsidRPr="00F2700F" w:rsidRDefault="00CB0BF6" w:rsidP="007425F5">
            <w:pPr>
              <w:widowControl w:val="0"/>
              <w:spacing w:after="80"/>
              <w:rPr>
                <w:rFonts w:ascii="Calibri Light" w:hAnsi="Calibri Light"/>
              </w:rPr>
            </w:pPr>
            <w:r w:rsidRPr="00F2700F">
              <w:rPr>
                <w:rFonts w:ascii="Calibri Light" w:hAnsi="Calibri Light"/>
              </w:rPr>
              <w:t xml:space="preserve">The costs of </w:t>
            </w:r>
            <w:r w:rsidR="007425F5" w:rsidRPr="00F2700F">
              <w:rPr>
                <w:rFonts w:ascii="Calibri Light" w:hAnsi="Calibri Light"/>
              </w:rPr>
              <w:t xml:space="preserve">NOPSEMA’s corporate support function </w:t>
            </w:r>
            <w:r w:rsidRPr="00F2700F">
              <w:rPr>
                <w:rFonts w:ascii="Calibri Light" w:hAnsi="Calibri Light"/>
              </w:rPr>
              <w:t xml:space="preserve">as a proportion of total expenses </w:t>
            </w:r>
            <w:r w:rsidR="007425F5" w:rsidRPr="00F2700F">
              <w:rPr>
                <w:rFonts w:ascii="Calibri Light" w:hAnsi="Calibri Light"/>
              </w:rPr>
              <w:t xml:space="preserve">has remained between 9% to 11% across the review period and is in-line with what we would expect from a corporate support function for an organisation of </w:t>
            </w:r>
            <w:r w:rsidRPr="00F2700F">
              <w:rPr>
                <w:rFonts w:ascii="Calibri Light" w:hAnsi="Calibri Light"/>
              </w:rPr>
              <w:t>NOPSEMA’s</w:t>
            </w:r>
            <w:r w:rsidR="007425F5" w:rsidRPr="00F2700F">
              <w:rPr>
                <w:rFonts w:ascii="Calibri Light" w:hAnsi="Calibri Light"/>
              </w:rPr>
              <w:t xml:space="preserve"> size.</w:t>
            </w:r>
          </w:p>
          <w:p w14:paraId="39D002E2" w14:textId="7163E9BF" w:rsidR="007425F5" w:rsidRPr="00DA0585" w:rsidRDefault="007425F5" w:rsidP="007425F5">
            <w:pPr>
              <w:widowControl w:val="0"/>
              <w:spacing w:after="80"/>
              <w:rPr>
                <w:rFonts w:ascii="Calibri Light" w:hAnsi="Calibri Light"/>
                <w:b/>
                <w:bCs/>
              </w:rPr>
            </w:pPr>
            <w:r w:rsidRPr="00F2700F">
              <w:rPr>
                <w:rFonts w:ascii="Calibri Light" w:hAnsi="Calibri Light"/>
              </w:rPr>
              <w:t xml:space="preserve">Improvements to operational efficiency would be expected should regulatory process efficiency be improved, NOPSEMA more to a ‘One NOPSEMA’ operating model, and the adoption of </w:t>
            </w:r>
            <w:r w:rsidR="00CB0BF6" w:rsidRPr="00F2700F">
              <w:rPr>
                <w:rFonts w:ascii="Calibri Light" w:hAnsi="Calibri Light"/>
              </w:rPr>
              <w:t xml:space="preserve">improved </w:t>
            </w:r>
            <w:r w:rsidRPr="00F2700F">
              <w:rPr>
                <w:rFonts w:ascii="Calibri Light" w:hAnsi="Calibri Light"/>
              </w:rPr>
              <w:t>data-enabled risk-based approaches</w:t>
            </w:r>
            <w:r w:rsidR="00CB0BF6" w:rsidRPr="00F2700F">
              <w:rPr>
                <w:rFonts w:ascii="Calibri Light" w:hAnsi="Calibri Light"/>
              </w:rPr>
              <w:t xml:space="preserve"> – each discussed through our re</w:t>
            </w:r>
            <w:r w:rsidR="000619C0" w:rsidRPr="00F2700F">
              <w:rPr>
                <w:rFonts w:ascii="Calibri Light" w:hAnsi="Calibri Light"/>
              </w:rPr>
              <w:t>port</w:t>
            </w:r>
            <w:r w:rsidRPr="00F2700F">
              <w:rPr>
                <w:rFonts w:ascii="Calibri Light" w:hAnsi="Calibri Light"/>
              </w:rPr>
              <w:t>. For example, should the permissioning document assessment process be streamlined further through digitation, document simplification, or other means – as is recommended – there should be a corresponding reduction in processing costs for NOPSEMA.</w:t>
            </w:r>
          </w:p>
          <w:p w14:paraId="7C0B6979" w14:textId="77777777" w:rsidR="007425F5" w:rsidRPr="00F2700F" w:rsidRDefault="007425F5" w:rsidP="007425F5">
            <w:pPr>
              <w:spacing w:after="80"/>
              <w:rPr>
                <w:rFonts w:ascii="Calibri" w:hAnsi="Calibri"/>
                <w:b/>
                <w:bCs/>
                <w:sz w:val="20"/>
                <w:szCs w:val="20"/>
              </w:rPr>
            </w:pPr>
            <w:r w:rsidRPr="00F2700F">
              <w:rPr>
                <w:rFonts w:ascii="Calibri" w:hAnsi="Calibri"/>
                <w:b/>
                <w:bCs/>
                <w:sz w:val="20"/>
                <w:szCs w:val="20"/>
              </w:rPr>
              <w:t>NOPSEMA’s cost recovery model appears effective, although transparency should be improved</w:t>
            </w:r>
          </w:p>
          <w:p w14:paraId="5CDA41D7" w14:textId="77777777" w:rsidR="007425F5" w:rsidRPr="00F2700F" w:rsidRDefault="007425F5" w:rsidP="007425F5">
            <w:pPr>
              <w:widowControl w:val="0"/>
              <w:spacing w:after="80"/>
              <w:rPr>
                <w:rFonts w:ascii="Calibri Light" w:hAnsi="Calibri Light"/>
              </w:rPr>
            </w:pPr>
            <w:r w:rsidRPr="00F2700F">
              <w:rPr>
                <w:rFonts w:ascii="Calibri Light" w:hAnsi="Calibri Light"/>
              </w:rPr>
              <w:t xml:space="preserve">Based on our analysis, we consider NOPSEMA’s costs to be reasonable and its cost recovery model to be effective. </w:t>
            </w:r>
          </w:p>
          <w:p w14:paraId="3C1CAAC0" w14:textId="1A6983D0" w:rsidR="007425F5" w:rsidRPr="00F2700F" w:rsidRDefault="007425F5" w:rsidP="007425F5">
            <w:pPr>
              <w:widowControl w:val="0"/>
              <w:spacing w:after="80"/>
              <w:rPr>
                <w:rFonts w:ascii="Calibri Light" w:hAnsi="Calibri Light"/>
              </w:rPr>
            </w:pPr>
            <w:r w:rsidRPr="00F2700F">
              <w:rPr>
                <w:rFonts w:ascii="Calibri Light" w:hAnsi="Calibri Light"/>
              </w:rPr>
              <w:t xml:space="preserve">There is some cross-subsidisation between safety levies and environmental levies. If smaller </w:t>
            </w:r>
            <w:r w:rsidR="00EA06AF" w:rsidRPr="00F2700F">
              <w:rPr>
                <w:rFonts w:ascii="Calibri Light" w:hAnsi="Calibri Light"/>
              </w:rPr>
              <w:t>title</w:t>
            </w:r>
            <w:r w:rsidRPr="00F2700F">
              <w:rPr>
                <w:rFonts w:ascii="Calibri Light" w:hAnsi="Calibri Light"/>
              </w:rPr>
              <w:t xml:space="preserve">holders are relatively more involved in exploration than production or less complex activities (resulting in lower activity rating), this could lead to larger </w:t>
            </w:r>
            <w:r w:rsidR="00EA06AF" w:rsidRPr="00F2700F">
              <w:rPr>
                <w:rFonts w:ascii="Calibri Light" w:hAnsi="Calibri Light"/>
              </w:rPr>
              <w:t>title</w:t>
            </w:r>
            <w:r w:rsidRPr="00F2700F">
              <w:rPr>
                <w:rFonts w:ascii="Calibri Light" w:hAnsi="Calibri Light"/>
              </w:rPr>
              <w:t>holders paying relatively more in levies than the cost they impose. However, this needs to be balanced against other factors such as the need to encourage innovation and ability to pay.</w:t>
            </w:r>
          </w:p>
          <w:p w14:paraId="590050A4" w14:textId="09C8C835" w:rsidR="007425F5" w:rsidRPr="00915DBA" w:rsidRDefault="007425F5" w:rsidP="007425F5">
            <w:pPr>
              <w:widowControl w:val="0"/>
              <w:spacing w:after="80"/>
              <w:rPr>
                <w:rFonts w:ascii="Calibri" w:hAnsi="Calibri"/>
                <w:b/>
                <w:bCs/>
                <w:sz w:val="20"/>
                <w:szCs w:val="20"/>
              </w:rPr>
            </w:pPr>
            <w:r w:rsidRPr="00F2700F">
              <w:rPr>
                <w:rFonts w:ascii="Calibri Light" w:hAnsi="Calibri Light"/>
              </w:rPr>
              <w:t>There is an opportunity to improve transparency of the information provided to stakeholders regarding how fees and levies are developed and benefit in investigating the application of inflationary measures, like the CPI, to fees and levies.</w:t>
            </w:r>
          </w:p>
        </w:tc>
        <w:tc>
          <w:tcPr>
            <w:tcW w:w="4619" w:type="dxa"/>
            <w:shd w:val="clear" w:color="auto" w:fill="auto"/>
          </w:tcPr>
          <w:p w14:paraId="179B1DB4" w14:textId="1E9A94F1" w:rsidR="007425F5" w:rsidRPr="007425F5" w:rsidRDefault="007425F5" w:rsidP="007425F5">
            <w:pPr>
              <w:spacing w:after="80"/>
              <w:rPr>
                <w:rFonts w:ascii="Calibri" w:hAnsi="Calibri"/>
                <w:b/>
                <w:bCs/>
                <w:sz w:val="20"/>
                <w:szCs w:val="20"/>
              </w:rPr>
            </w:pPr>
            <w:r w:rsidRPr="007425F5">
              <w:rPr>
                <w:rFonts w:ascii="Calibri" w:hAnsi="Calibri"/>
                <w:b/>
                <w:bCs/>
                <w:sz w:val="20"/>
                <w:szCs w:val="20"/>
              </w:rPr>
              <w:t>Reducing regulatory burden must remain the key focus</w:t>
            </w:r>
          </w:p>
          <w:p w14:paraId="3A99FF68" w14:textId="7C792D00" w:rsidR="004430FF" w:rsidRPr="00F2700F" w:rsidRDefault="007C48CB" w:rsidP="007425F5">
            <w:pPr>
              <w:widowControl w:val="0"/>
              <w:spacing w:after="80"/>
              <w:rPr>
                <w:rFonts w:ascii="Calibri Light" w:hAnsi="Calibri Light"/>
              </w:rPr>
            </w:pPr>
            <w:r w:rsidRPr="00F2700F">
              <w:rPr>
                <w:rFonts w:ascii="Calibri Light" w:hAnsi="Calibri Light"/>
              </w:rPr>
              <w:t>NOPSEMA ha</w:t>
            </w:r>
            <w:r w:rsidR="00255E02">
              <w:rPr>
                <w:rFonts w:ascii="Calibri Light" w:hAnsi="Calibri Light"/>
              </w:rPr>
              <w:t>s</w:t>
            </w:r>
            <w:r w:rsidRPr="00F2700F">
              <w:rPr>
                <w:rFonts w:ascii="Calibri Light" w:hAnsi="Calibri Light"/>
              </w:rPr>
              <w:t xml:space="preserve"> a number of mechanisms in place to </w:t>
            </w:r>
            <w:r w:rsidR="00C51302" w:rsidRPr="00F2700F">
              <w:rPr>
                <w:rFonts w:ascii="Calibri Light" w:hAnsi="Calibri Light"/>
              </w:rPr>
              <w:t xml:space="preserve">examine and improve the efficiency of regulatory processes. </w:t>
            </w:r>
          </w:p>
          <w:p w14:paraId="34CF3BC9" w14:textId="733BF49A" w:rsidR="007425F5" w:rsidRPr="00F2700F" w:rsidRDefault="007425F5" w:rsidP="007425F5">
            <w:pPr>
              <w:widowControl w:val="0"/>
              <w:spacing w:after="80"/>
              <w:rPr>
                <w:rFonts w:ascii="Calibri Light" w:hAnsi="Calibri Light"/>
              </w:rPr>
            </w:pPr>
            <w:r w:rsidRPr="00F2700F">
              <w:rPr>
                <w:rFonts w:ascii="Calibri Light" w:hAnsi="Calibri Light"/>
              </w:rPr>
              <w:t xml:space="preserve">There is an opportunity to reduce regulatory burden on industry through more streamlined permissioning assessment processes. </w:t>
            </w:r>
            <w:r w:rsidR="002455E4">
              <w:rPr>
                <w:rFonts w:ascii="Calibri Light" w:hAnsi="Calibri Light"/>
              </w:rPr>
              <w:t>While</w:t>
            </w:r>
            <w:r w:rsidRPr="00F2700F">
              <w:rPr>
                <w:rFonts w:ascii="Calibri Light" w:hAnsi="Calibri Light"/>
              </w:rPr>
              <w:t xml:space="preserve"> the</w:t>
            </w:r>
            <w:r w:rsidR="002455E4">
              <w:rPr>
                <w:rFonts w:ascii="Calibri Light" w:hAnsi="Calibri Light"/>
              </w:rPr>
              <w:t>re is</w:t>
            </w:r>
            <w:r w:rsidRPr="00F2700F">
              <w:rPr>
                <w:rFonts w:ascii="Calibri Light" w:hAnsi="Calibri Light"/>
              </w:rPr>
              <w:t xml:space="preserve"> complexity in addressing these </w:t>
            </w:r>
            <w:r w:rsidR="001F69F2" w:rsidRPr="00F2700F">
              <w:rPr>
                <w:rFonts w:ascii="Calibri Light" w:hAnsi="Calibri Light"/>
              </w:rPr>
              <w:t>issues</w:t>
            </w:r>
            <w:r w:rsidR="001F69F2">
              <w:rPr>
                <w:rFonts w:ascii="Calibri Light" w:hAnsi="Calibri Light"/>
              </w:rPr>
              <w:t xml:space="preserve">, </w:t>
            </w:r>
            <w:r w:rsidR="001F69F2" w:rsidRPr="00F2700F">
              <w:rPr>
                <w:rFonts w:ascii="Calibri Light" w:hAnsi="Calibri Light"/>
              </w:rPr>
              <w:t>the</w:t>
            </w:r>
            <w:r w:rsidRPr="00F2700F">
              <w:rPr>
                <w:rFonts w:ascii="Calibri Light" w:hAnsi="Calibri Light"/>
              </w:rPr>
              <w:t xml:space="preserve"> current course is not sustainable for either industry or NOPSEMA – it is not reflective of effective and efficient regulation. This issue is discussed more fully in </w:t>
            </w:r>
            <w:r w:rsidRPr="00F2700F">
              <w:rPr>
                <w:rFonts w:ascii="Calibri Light" w:hAnsi="Calibri Light"/>
                <w:b/>
                <w:bCs/>
              </w:rPr>
              <w:t xml:space="preserve">Section </w:t>
            </w:r>
            <w:r w:rsidRPr="00F2700F">
              <w:rPr>
                <w:rFonts w:ascii="Calibri Light" w:hAnsi="Calibri Light"/>
                <w:b/>
                <w:bCs/>
              </w:rPr>
              <w:fldChar w:fldCharType="begin"/>
            </w:r>
            <w:r w:rsidRPr="00F2700F">
              <w:rPr>
                <w:rFonts w:ascii="Calibri Light" w:hAnsi="Calibri Light"/>
                <w:b/>
                <w:bCs/>
              </w:rPr>
              <w:instrText xml:space="preserve"> REF _Ref56369209 \r \h  \* MERGEFORMAT </w:instrText>
            </w:r>
            <w:r w:rsidRPr="00F2700F">
              <w:rPr>
                <w:rFonts w:ascii="Calibri Light" w:hAnsi="Calibri Light"/>
                <w:b/>
                <w:bCs/>
              </w:rPr>
            </w:r>
            <w:r w:rsidRPr="00F2700F">
              <w:rPr>
                <w:rFonts w:ascii="Calibri Light" w:hAnsi="Calibri Light"/>
                <w:b/>
                <w:bCs/>
              </w:rPr>
              <w:fldChar w:fldCharType="separate"/>
            </w:r>
            <w:r w:rsidR="00E816B8">
              <w:rPr>
                <w:rFonts w:ascii="Calibri Light" w:hAnsi="Calibri Light"/>
                <w:b/>
                <w:bCs/>
              </w:rPr>
              <w:t>6.1.4</w:t>
            </w:r>
            <w:r w:rsidRPr="00F2700F">
              <w:rPr>
                <w:rFonts w:ascii="Calibri Light" w:hAnsi="Calibri Light"/>
                <w:b/>
                <w:bCs/>
              </w:rPr>
              <w:fldChar w:fldCharType="end"/>
            </w:r>
            <w:r w:rsidRPr="00F2700F">
              <w:rPr>
                <w:rFonts w:ascii="Calibri Light" w:hAnsi="Calibri Light"/>
              </w:rPr>
              <w:t>.</w:t>
            </w:r>
          </w:p>
          <w:p w14:paraId="0D356D1B" w14:textId="77777777" w:rsidR="007425F5" w:rsidRDefault="007425F5" w:rsidP="007425F5">
            <w:pPr>
              <w:spacing w:after="120"/>
              <w:rPr>
                <w:rFonts w:cstheme="minorHAnsi"/>
              </w:rPr>
            </w:pPr>
          </w:p>
          <w:p w14:paraId="55A76B8A" w14:textId="77777777" w:rsidR="007425F5" w:rsidRPr="004367F1" w:rsidRDefault="007425F5" w:rsidP="007425F5">
            <w:pPr>
              <w:spacing w:after="120"/>
              <w:rPr>
                <w:rFonts w:ascii="Calibri" w:hAnsi="Calibri" w:cs="Calibri"/>
                <w:b/>
                <w:bCs/>
                <w:color w:val="00ABAB"/>
              </w:rPr>
            </w:pPr>
            <w:r w:rsidRPr="004367F1">
              <w:rPr>
                <w:rFonts w:ascii="Calibri" w:hAnsi="Calibri" w:cs="Calibri"/>
                <w:b/>
                <w:bCs/>
              </w:rPr>
              <w:t xml:space="preserve">Recommendations: </w:t>
            </w:r>
            <w:r w:rsidRPr="004367F1">
              <w:rPr>
                <w:rFonts w:ascii="Calibri" w:hAnsi="Calibri" w:cs="Calibri"/>
                <w:b/>
                <w:bCs/>
                <w:color w:val="00ABAB"/>
              </w:rPr>
              <w:t>We do not make recommendations for this section</w:t>
            </w:r>
          </w:p>
          <w:p w14:paraId="7C2299D0" w14:textId="3CF14A05" w:rsidR="007425F5" w:rsidRPr="00915DBA" w:rsidRDefault="007425F5" w:rsidP="007425F5">
            <w:pPr>
              <w:widowControl w:val="0"/>
              <w:spacing w:after="80"/>
              <w:rPr>
                <w:rFonts w:ascii="Calibri Light" w:hAnsi="Calibri Light"/>
                <w:sz w:val="20"/>
                <w:szCs w:val="20"/>
              </w:rPr>
            </w:pPr>
            <w:r w:rsidRPr="004367F1">
              <w:rPr>
                <w:rFonts w:ascii="Calibri" w:hAnsi="Calibri" w:cs="Calibri"/>
                <w:b/>
                <w:bCs/>
              </w:rPr>
              <w:t xml:space="preserve">Opportunities: </w:t>
            </w:r>
            <w:r w:rsidRPr="004367F1">
              <w:rPr>
                <w:rFonts w:ascii="Calibri" w:hAnsi="Calibri" w:cs="Calibri"/>
                <w:b/>
                <w:bCs/>
                <w:color w:val="00ABAB"/>
              </w:rPr>
              <w:t>1</w:t>
            </w:r>
            <w:r w:rsidR="004367F1" w:rsidRPr="004367F1">
              <w:rPr>
                <w:rFonts w:ascii="Calibri" w:hAnsi="Calibri" w:cs="Calibri"/>
                <w:b/>
                <w:bCs/>
                <w:color w:val="00ABAB"/>
              </w:rPr>
              <w:t>9, 20</w:t>
            </w:r>
          </w:p>
        </w:tc>
      </w:tr>
    </w:tbl>
    <w:p w14:paraId="2EAFA5C6" w14:textId="1E76629D" w:rsidR="001D31D3" w:rsidRDefault="0000109F" w:rsidP="00901C7B">
      <w:pPr>
        <w:pStyle w:val="BodyCopyNEW"/>
      </w:pPr>
      <w:r>
        <w:lastRenderedPageBreak/>
        <w:t xml:space="preserve">In this section we seek to answer whether NOPSEMA is efficient in its </w:t>
      </w:r>
      <w:r w:rsidR="00993EAE">
        <w:t xml:space="preserve">delivery of its functions under the OPGGS Act. </w:t>
      </w:r>
      <w:r w:rsidR="001D31D3">
        <w:t xml:space="preserve">We begin with an </w:t>
      </w:r>
      <w:r w:rsidR="00845C6A">
        <w:t>examination</w:t>
      </w:r>
      <w:r w:rsidR="001D31D3">
        <w:t xml:space="preserve"> of NOPSEMA’s </w:t>
      </w:r>
      <w:r w:rsidR="007C3A92">
        <w:t>regulatory processes and operational efficiency</w:t>
      </w:r>
      <w:r w:rsidR="001D31D3">
        <w:t xml:space="preserve"> (</w:t>
      </w:r>
      <w:r w:rsidR="001D31D3" w:rsidRPr="002027C8">
        <w:rPr>
          <w:b/>
          <w:bCs/>
        </w:rPr>
        <w:t>subsection</w:t>
      </w:r>
      <w:r w:rsidR="00A65B36">
        <w:rPr>
          <w:b/>
          <w:bCs/>
        </w:rPr>
        <w:t xml:space="preserve"> </w:t>
      </w:r>
      <w:r w:rsidR="00A65B36">
        <w:rPr>
          <w:b/>
          <w:bCs/>
        </w:rPr>
        <w:fldChar w:fldCharType="begin"/>
      </w:r>
      <w:r w:rsidR="00A65B36">
        <w:rPr>
          <w:b/>
          <w:bCs/>
        </w:rPr>
        <w:instrText xml:space="preserve"> REF _Ref58594568 \r \h </w:instrText>
      </w:r>
      <w:r w:rsidR="00A65B36">
        <w:rPr>
          <w:b/>
          <w:bCs/>
        </w:rPr>
      </w:r>
      <w:r w:rsidR="00A65B36">
        <w:rPr>
          <w:b/>
          <w:bCs/>
        </w:rPr>
        <w:fldChar w:fldCharType="separate"/>
      </w:r>
      <w:r w:rsidR="00E816B8">
        <w:rPr>
          <w:b/>
          <w:bCs/>
        </w:rPr>
        <w:t>10.1</w:t>
      </w:r>
      <w:r w:rsidR="00A65B36">
        <w:rPr>
          <w:b/>
          <w:bCs/>
        </w:rPr>
        <w:fldChar w:fldCharType="end"/>
      </w:r>
      <w:r w:rsidR="001D31D3">
        <w:t xml:space="preserve">). We conclude this section with a discussion </w:t>
      </w:r>
      <w:r w:rsidR="006B0217">
        <w:t>of NOPSEMA’s cost recovery approach</w:t>
      </w:r>
      <w:r w:rsidR="001D31D3">
        <w:t xml:space="preserve"> (</w:t>
      </w:r>
      <w:r w:rsidR="001D31D3" w:rsidRPr="002027C8">
        <w:rPr>
          <w:b/>
          <w:bCs/>
        </w:rPr>
        <w:t>subsection</w:t>
      </w:r>
      <w:r w:rsidR="00B4011A">
        <w:rPr>
          <w:b/>
          <w:bCs/>
        </w:rPr>
        <w:t xml:space="preserve"> </w:t>
      </w:r>
      <w:r w:rsidR="00B4011A">
        <w:rPr>
          <w:b/>
          <w:bCs/>
        </w:rPr>
        <w:fldChar w:fldCharType="begin"/>
      </w:r>
      <w:r w:rsidR="00B4011A">
        <w:rPr>
          <w:b/>
          <w:bCs/>
        </w:rPr>
        <w:instrText xml:space="preserve"> REF _Ref63976608 \r \h </w:instrText>
      </w:r>
      <w:r w:rsidR="00B4011A">
        <w:rPr>
          <w:b/>
          <w:bCs/>
        </w:rPr>
      </w:r>
      <w:r w:rsidR="00B4011A">
        <w:rPr>
          <w:b/>
          <w:bCs/>
        </w:rPr>
        <w:fldChar w:fldCharType="separate"/>
      </w:r>
      <w:r w:rsidR="00E816B8">
        <w:rPr>
          <w:b/>
          <w:bCs/>
        </w:rPr>
        <w:t>10.2</w:t>
      </w:r>
      <w:r w:rsidR="00B4011A">
        <w:rPr>
          <w:b/>
          <w:bCs/>
        </w:rPr>
        <w:fldChar w:fldCharType="end"/>
      </w:r>
      <w:r w:rsidR="001D31D3">
        <w:t xml:space="preserve">). </w:t>
      </w:r>
    </w:p>
    <w:p w14:paraId="09DB6AAF" w14:textId="0708E285" w:rsidR="008468CE" w:rsidRDefault="008468CE" w:rsidP="00AE2D6E">
      <w:pPr>
        <w:pStyle w:val="Heading2"/>
        <w:numPr>
          <w:ilvl w:val="1"/>
          <w:numId w:val="1"/>
        </w:numPr>
      </w:pPr>
      <w:bookmarkStart w:id="138" w:name="_Ref58594568"/>
      <w:r>
        <w:t>Reducing burden on industry and streamlining operational expenditure</w:t>
      </w:r>
      <w:bookmarkEnd w:id="138"/>
    </w:p>
    <w:p w14:paraId="284A53A4" w14:textId="77777777" w:rsidR="001D31D3" w:rsidRDefault="001D31D3" w:rsidP="001D31D3">
      <w:pPr>
        <w:pStyle w:val="BodyCopyNEW"/>
      </w:pPr>
      <w:r w:rsidRPr="007E62D5">
        <w:t xml:space="preserve">A key objective of the 2009 Productivity Commission Review was streamlining regulatory processes for the industry. Pursuit of this objective remains relevant </w:t>
      </w:r>
      <w:r w:rsidRPr="007E62D5" w:rsidDel="002C472B">
        <w:t xml:space="preserve">and </w:t>
      </w:r>
      <w:r w:rsidRPr="007E62D5">
        <w:t xml:space="preserve">is a focus for NOPSEMA. Ultimately, a reduction in burden on the industry will help ensure NOPSEMA and </w:t>
      </w:r>
      <w:r>
        <w:t>title</w:t>
      </w:r>
      <w:r w:rsidRPr="007E62D5">
        <w:t xml:space="preserve">holders can apply the right degree and focus of resources on managing OHS, well integrity, and environment risks and help ensure Australia remains an attractive investment location. </w:t>
      </w:r>
    </w:p>
    <w:p w14:paraId="41986EE6" w14:textId="1D99F521" w:rsidR="008468CE" w:rsidRPr="007E62D5" w:rsidRDefault="008468CE" w:rsidP="007E62D5">
      <w:pPr>
        <w:pStyle w:val="BodyCopyNEW"/>
      </w:pPr>
      <w:r w:rsidRPr="007E62D5">
        <w:t xml:space="preserve">In this </w:t>
      </w:r>
      <w:r w:rsidR="00BC1D31">
        <w:t>sub</w:t>
      </w:r>
      <w:r w:rsidRPr="007E62D5">
        <w:t xml:space="preserve">section we </w:t>
      </w:r>
      <w:r w:rsidR="007534D0">
        <w:t>examine</w:t>
      </w:r>
      <w:r w:rsidR="007534D0" w:rsidRPr="007E62D5">
        <w:t xml:space="preserve"> </w:t>
      </w:r>
      <w:r w:rsidRPr="007E62D5">
        <w:t>two main levers for reducing regulatory burden:</w:t>
      </w:r>
    </w:p>
    <w:p w14:paraId="0FE357A8" w14:textId="77777777" w:rsidR="008468CE" w:rsidRPr="007F78A0" w:rsidRDefault="008468CE" w:rsidP="000C1F53">
      <w:pPr>
        <w:pStyle w:val="BodycopyNEW0"/>
        <w:numPr>
          <w:ilvl w:val="0"/>
          <w:numId w:val="23"/>
        </w:numPr>
        <w:ind w:left="378"/>
      </w:pPr>
      <w:r w:rsidRPr="007F78A0">
        <w:t>Improving the efficiency of NO</w:t>
      </w:r>
      <w:r>
        <w:t>PSEM</w:t>
      </w:r>
      <w:r w:rsidRPr="007F78A0">
        <w:t>A’s regulatory processes</w:t>
      </w:r>
      <w:r>
        <w:t xml:space="preserve"> across the inspectorate and assessment functions </w:t>
      </w:r>
    </w:p>
    <w:p w14:paraId="41663C9E" w14:textId="7DAF6B31" w:rsidR="008468CE" w:rsidRPr="007F78A0" w:rsidRDefault="008468CE" w:rsidP="000C1F53">
      <w:pPr>
        <w:pStyle w:val="BodycopyNEW0"/>
        <w:numPr>
          <w:ilvl w:val="0"/>
          <w:numId w:val="23"/>
        </w:numPr>
        <w:ind w:left="378"/>
      </w:pPr>
      <w:r>
        <w:t xml:space="preserve">Improving </w:t>
      </w:r>
      <w:r w:rsidRPr="007F78A0">
        <w:t>NOP</w:t>
      </w:r>
      <w:r>
        <w:t>SEM</w:t>
      </w:r>
      <w:r w:rsidRPr="007F78A0">
        <w:t>A’s operational efficiency across its staffing, ICT, and process models.</w:t>
      </w:r>
    </w:p>
    <w:p w14:paraId="243775E3" w14:textId="07B873F3" w:rsidR="008468CE" w:rsidRDefault="008468CE" w:rsidP="007E62D5">
      <w:pPr>
        <w:pStyle w:val="BodyCopyNEW"/>
      </w:pPr>
      <w:r>
        <w:t xml:space="preserve">While both levers are important, it is pertinent to highlight that the ‘size of the prize’ for reduction in regulatory burden is much higher for improving the efficiency of regulatory processes than for operational efficiency of NOPSEMA staffing, ICT, and process models. For example, delayed decision-making, a consequence of an inefficient regulatory process, can have significant financial and operational implications for a </w:t>
      </w:r>
      <w:r w:rsidR="00EA06AF">
        <w:t>title</w:t>
      </w:r>
      <w:r w:rsidR="001003B9">
        <w:t>holder</w:t>
      </w:r>
      <w:r>
        <w:t xml:space="preserve">. </w:t>
      </w:r>
    </w:p>
    <w:p w14:paraId="7DE37B62" w14:textId="77777777" w:rsidR="008468CE" w:rsidRDefault="008468CE" w:rsidP="00784E0E">
      <w:pPr>
        <w:pStyle w:val="Heading3"/>
      </w:pPr>
      <w:r>
        <w:t>Analysis of the efficiency of regulatory processes</w:t>
      </w:r>
    </w:p>
    <w:p w14:paraId="3908D342" w14:textId="3581D180" w:rsidR="008468CE" w:rsidRPr="006B4649" w:rsidRDefault="008468CE" w:rsidP="007E62D5">
      <w:pPr>
        <w:pStyle w:val="Heading3NoNumber"/>
      </w:pPr>
      <w:r>
        <w:t>NOPSEMA has a number of mechanisms for identifying regulatory process improvement opportunities</w:t>
      </w:r>
    </w:p>
    <w:p w14:paraId="66ACA766" w14:textId="79878C0E" w:rsidR="008468CE" w:rsidRDefault="008468CE" w:rsidP="00901C7B">
      <w:pPr>
        <w:pStyle w:val="BodyBullet1"/>
        <w:numPr>
          <w:ilvl w:val="0"/>
          <w:numId w:val="0"/>
        </w:numPr>
      </w:pPr>
      <w:r>
        <w:t>NOPSEMA utilises two main systems to manage regulatory processes – RMS and the Quality Management System (</w:t>
      </w:r>
      <w:r w:rsidRPr="004C497D">
        <w:rPr>
          <w:b/>
          <w:bCs/>
        </w:rPr>
        <w:t>QMS</w:t>
      </w:r>
      <w:r>
        <w:t xml:space="preserve">). RMS is discussed further </w:t>
      </w:r>
      <w:r w:rsidRPr="00E94BB2">
        <w:t xml:space="preserve">in </w:t>
      </w:r>
      <w:r w:rsidRPr="00E94BB2">
        <w:rPr>
          <w:b/>
        </w:rPr>
        <w:t xml:space="preserve">Section </w:t>
      </w:r>
      <w:r w:rsidR="009C701A" w:rsidRPr="00E94BB2">
        <w:rPr>
          <w:b/>
        </w:rPr>
        <w:fldChar w:fldCharType="begin"/>
      </w:r>
      <w:r w:rsidR="009C701A" w:rsidRPr="009048C7">
        <w:rPr>
          <w:b/>
          <w:bCs/>
        </w:rPr>
        <w:instrText xml:space="preserve"> REF _Ref56064416 \r \h </w:instrText>
      </w:r>
      <w:r w:rsidR="009C701A">
        <w:rPr>
          <w:b/>
          <w:bCs/>
        </w:rPr>
        <w:instrText xml:space="preserve"> \* MERGEFORMAT</w:instrText>
      </w:r>
      <w:r w:rsidR="009C701A" w:rsidRPr="009C701A">
        <w:rPr>
          <w:b/>
        </w:rPr>
        <w:instrText xml:space="preserve"> </w:instrText>
      </w:r>
      <w:r w:rsidR="009C701A" w:rsidRPr="00E94BB2">
        <w:rPr>
          <w:b/>
        </w:rPr>
      </w:r>
      <w:r w:rsidR="009C701A" w:rsidRPr="00E94BB2">
        <w:rPr>
          <w:b/>
        </w:rPr>
        <w:fldChar w:fldCharType="separate"/>
      </w:r>
      <w:r w:rsidR="00E816B8" w:rsidRPr="00E816B8">
        <w:rPr>
          <w:b/>
        </w:rPr>
        <w:t>6</w:t>
      </w:r>
      <w:r w:rsidR="009C701A" w:rsidRPr="00E94BB2">
        <w:rPr>
          <w:b/>
        </w:rPr>
        <w:fldChar w:fldCharType="end"/>
      </w:r>
      <w:r w:rsidRPr="009C701A">
        <w:t>.</w:t>
      </w:r>
      <w:r w:rsidR="00C63B2F" w:rsidRPr="00C63B2F">
        <w:t xml:space="preserve"> </w:t>
      </w:r>
      <w:r w:rsidR="00C63B2F">
        <w:t xml:space="preserve">We also discuss the need for improved regulatory process efficiency in relation to permissioning documents in </w:t>
      </w:r>
      <w:r w:rsidR="00C63B2F" w:rsidRPr="00E94BB2">
        <w:rPr>
          <w:b/>
        </w:rPr>
        <w:t xml:space="preserve">Section </w:t>
      </w:r>
      <w:r w:rsidR="00C63B2F" w:rsidRPr="00E94BB2">
        <w:rPr>
          <w:b/>
        </w:rPr>
        <w:fldChar w:fldCharType="begin"/>
      </w:r>
      <w:r w:rsidR="00C63B2F" w:rsidRPr="009048C7">
        <w:rPr>
          <w:b/>
          <w:bCs/>
        </w:rPr>
        <w:instrText xml:space="preserve"> REF _Ref56064416 \r \h </w:instrText>
      </w:r>
      <w:r w:rsidR="00C63B2F">
        <w:rPr>
          <w:b/>
          <w:bCs/>
        </w:rPr>
        <w:instrText xml:space="preserve"> \* MERGEFORMAT</w:instrText>
      </w:r>
      <w:r w:rsidR="00C63B2F" w:rsidRPr="009C701A">
        <w:rPr>
          <w:b/>
        </w:rPr>
        <w:instrText xml:space="preserve"> </w:instrText>
      </w:r>
      <w:r w:rsidR="00C63B2F" w:rsidRPr="00E94BB2">
        <w:rPr>
          <w:b/>
        </w:rPr>
      </w:r>
      <w:r w:rsidR="00C63B2F" w:rsidRPr="00E94BB2">
        <w:rPr>
          <w:b/>
        </w:rPr>
        <w:fldChar w:fldCharType="separate"/>
      </w:r>
      <w:r w:rsidR="00E816B8" w:rsidRPr="00E816B8">
        <w:rPr>
          <w:b/>
        </w:rPr>
        <w:t>6</w:t>
      </w:r>
      <w:r w:rsidR="00C63B2F" w:rsidRPr="00E94BB2">
        <w:rPr>
          <w:b/>
        </w:rPr>
        <w:fldChar w:fldCharType="end"/>
      </w:r>
      <w:r w:rsidR="00C63B2F" w:rsidRPr="009C701A">
        <w:t>.</w:t>
      </w:r>
      <w:r w:rsidR="00C63B2F">
        <w:t xml:space="preserve"> We do not duplicate these discussions here but do highlight such improvements would improve regulatory process efficiency.</w:t>
      </w:r>
    </w:p>
    <w:p w14:paraId="1CA0B51F" w14:textId="1988A194" w:rsidR="008468CE" w:rsidRDefault="008468CE" w:rsidP="007E62D5">
      <w:pPr>
        <w:pStyle w:val="BodyCopyNEW"/>
      </w:pPr>
      <w:r>
        <w:t xml:space="preserve">QMS is used to document and manage the development of </w:t>
      </w:r>
      <w:r w:rsidR="00127526">
        <w:t xml:space="preserve">NOPSEMA </w:t>
      </w:r>
      <w:r>
        <w:t xml:space="preserve">policies, processes, and procedures. Within QMS there is a corresponding area for each of the regulatory functions NOPSEMA undertakes (e.g. </w:t>
      </w:r>
      <w:r w:rsidR="00127526">
        <w:t>EP</w:t>
      </w:r>
      <w:r>
        <w:t xml:space="preserve"> assessments). Within these areas of QMS, the processes have associated process owners who are responsible for managing and reviewing processes. Processes are reviewed on a biannual basis, with the opportunity for NOPSEMA </w:t>
      </w:r>
      <w:r w:rsidR="00741028">
        <w:t>personnel</w:t>
      </w:r>
      <w:r>
        <w:t xml:space="preserve"> to request revisions ahead of formal reviews, as required (e.g. where feedback from a stakeholder or inspection triggers a need for review).</w:t>
      </w:r>
    </w:p>
    <w:p w14:paraId="198ED0C2" w14:textId="138CCCB2" w:rsidR="008468CE" w:rsidRDefault="008468CE" w:rsidP="007E62D5">
      <w:pPr>
        <w:pStyle w:val="BodyCopyNEW"/>
      </w:pPr>
      <w:r>
        <w:t xml:space="preserve">NOPSEMA also maintain a register of potential legislative or regulatory enhancements, informed through discharging its regulatory duties or feedback from stakeholders. NOPSEMA raise improvement opportunities with </w:t>
      </w:r>
      <w:r w:rsidR="004765A4">
        <w:t>DISER</w:t>
      </w:r>
      <w:r>
        <w:t xml:space="preserve"> </w:t>
      </w:r>
      <w:r w:rsidR="00C63B2F">
        <w:t xml:space="preserve">Offshore Resources Branch </w:t>
      </w:r>
      <w:r>
        <w:t xml:space="preserve">through </w:t>
      </w:r>
      <w:r w:rsidR="00C63B2F">
        <w:t xml:space="preserve">their </w:t>
      </w:r>
      <w:r>
        <w:t>regular interactions. An additional channel for regulatory improvement is through the sunsetting provisions contained within the regulations themselves, which stipulates a minimum period for formal review of their fitness-for-purpose.</w:t>
      </w:r>
    </w:p>
    <w:p w14:paraId="07697612" w14:textId="365DB72D" w:rsidR="008468CE" w:rsidRDefault="006D3960" w:rsidP="007E62D5">
      <w:pPr>
        <w:pStyle w:val="BodyCopyNEW"/>
      </w:pPr>
      <w:r>
        <w:t>Based on our examination,</w:t>
      </w:r>
      <w:r w:rsidR="008468CE">
        <w:t xml:space="preserve"> the following key regulatory improvements made during the period of the review:</w:t>
      </w:r>
    </w:p>
    <w:p w14:paraId="54A5FE54" w14:textId="34F89456" w:rsidR="008468CE" w:rsidRDefault="008468CE" w:rsidP="000C1F53">
      <w:pPr>
        <w:pStyle w:val="BodycopyNEW0"/>
        <w:numPr>
          <w:ilvl w:val="0"/>
          <w:numId w:val="23"/>
        </w:numPr>
        <w:ind w:left="378"/>
      </w:pPr>
      <w:r>
        <w:t xml:space="preserve">Transparency improvements made in 2018 to the </w:t>
      </w:r>
      <w:r w:rsidR="005B38AB">
        <w:t>EP</w:t>
      </w:r>
      <w:r>
        <w:t xml:space="preserve"> assessment process. NOPSEMA claims that the improvements reduce regulatory burden by:</w:t>
      </w:r>
    </w:p>
    <w:p w14:paraId="4EA02B71" w14:textId="41C829EF" w:rsidR="008468CE" w:rsidRDefault="008468CE" w:rsidP="007E62D5">
      <w:pPr>
        <w:pStyle w:val="Bodybullet2"/>
      </w:pPr>
      <w:r>
        <w:t xml:space="preserve">Reducing the number of </w:t>
      </w:r>
      <w:r w:rsidR="00CA0A1A">
        <w:t>EP</w:t>
      </w:r>
      <w:r>
        <w:t>s rejected for insufficient consultation and through setting deadlines for public consultation</w:t>
      </w:r>
    </w:p>
    <w:p w14:paraId="7D9CBFC6" w14:textId="3A4B9291" w:rsidR="008468CE" w:rsidRDefault="008468CE" w:rsidP="007E62D5">
      <w:pPr>
        <w:pStyle w:val="Bodybullet2"/>
      </w:pPr>
      <w:r>
        <w:t xml:space="preserve">Greater ability for industry to see and share learnings through published </w:t>
      </w:r>
      <w:r w:rsidR="00CA0A1A">
        <w:t>EP</w:t>
      </w:r>
      <w:r>
        <w:t>s</w:t>
      </w:r>
    </w:p>
    <w:p w14:paraId="7568FB42" w14:textId="12A1E382" w:rsidR="008468CE" w:rsidRDefault="008468CE" w:rsidP="007E62D5">
      <w:pPr>
        <w:pStyle w:val="Bodybullet2"/>
      </w:pPr>
      <w:r>
        <w:t xml:space="preserve">Increased uniformity over structure (as opposed to content) of </w:t>
      </w:r>
      <w:r w:rsidR="00CA0A1A">
        <w:t>EPs</w:t>
      </w:r>
      <w:r>
        <w:t>, improving assessment efficiency</w:t>
      </w:r>
    </w:p>
    <w:p w14:paraId="3DC4758A" w14:textId="216FD2D9" w:rsidR="008468CE" w:rsidRDefault="008468CE" w:rsidP="000C1F53">
      <w:pPr>
        <w:pStyle w:val="BodycopyNEW0"/>
        <w:numPr>
          <w:ilvl w:val="0"/>
          <w:numId w:val="23"/>
        </w:numPr>
        <w:ind w:left="378"/>
      </w:pPr>
      <w:r>
        <w:t>Review of the Well Integrity portion of the regulations. An example improvement cited by NOPSEMA resulting from this review is that multiple wells can now be captured by a single WOMP</w:t>
      </w:r>
      <w:r w:rsidR="00BD2A80">
        <w:t xml:space="preserve"> if each well is subject to similar risks</w:t>
      </w:r>
      <w:r>
        <w:t>.</w:t>
      </w:r>
    </w:p>
    <w:p w14:paraId="71A790E0" w14:textId="15AF9B2A" w:rsidR="008468CE" w:rsidRDefault="008468CE" w:rsidP="00784E0E">
      <w:pPr>
        <w:pStyle w:val="Heading3"/>
      </w:pPr>
      <w:bookmarkStart w:id="139" w:name="_Ref55978456"/>
      <w:r>
        <w:t>Analysis of NOPSEMA’s operational efficiency</w:t>
      </w:r>
      <w:bookmarkEnd w:id="139"/>
    </w:p>
    <w:p w14:paraId="5542C779" w14:textId="4B8B6C94" w:rsidR="008468CE" w:rsidRDefault="008468CE" w:rsidP="00BA4D90">
      <w:pPr>
        <w:pStyle w:val="Heading4"/>
      </w:pPr>
      <w:bookmarkStart w:id="140" w:name="_Ref55983290"/>
      <w:r>
        <w:t>NOPSEMA’s historic expenditure versus activity levels</w:t>
      </w:r>
      <w:bookmarkEnd w:id="140"/>
    </w:p>
    <w:p w14:paraId="6AC3F5FD" w14:textId="08DD6007" w:rsidR="008468CE" w:rsidRPr="00801297" w:rsidRDefault="008468CE" w:rsidP="000D4CE1">
      <w:pPr>
        <w:pStyle w:val="Heading3NoNumber"/>
      </w:pPr>
      <w:r w:rsidRPr="00801297">
        <w:t xml:space="preserve">NOPSEMA </w:t>
      </w:r>
      <w:r>
        <w:t xml:space="preserve">appears to be operating in an efficient manner </w:t>
      </w:r>
      <w:r w:rsidR="00DE05EA">
        <w:t>within its current remit</w:t>
      </w:r>
    </w:p>
    <w:p w14:paraId="7AC0C858" w14:textId="1634185D" w:rsidR="008468CE" w:rsidRPr="00001830" w:rsidRDefault="00510FB7" w:rsidP="000D4CE1">
      <w:pPr>
        <w:pStyle w:val="BodyCopyNEW"/>
      </w:pPr>
      <w:r w:rsidRPr="00510FB7">
        <w:rPr>
          <w:b/>
          <w:bCs/>
          <w:highlight w:val="yellow"/>
        </w:rPr>
        <w:fldChar w:fldCharType="begin"/>
      </w:r>
      <w:r w:rsidRPr="00510FB7">
        <w:rPr>
          <w:b/>
          <w:bCs/>
        </w:rPr>
        <w:instrText xml:space="preserve"> REF _Ref58450609 \h </w:instrText>
      </w:r>
      <w:r w:rsidRPr="00510FB7">
        <w:rPr>
          <w:b/>
          <w:bCs/>
          <w:highlight w:val="yellow"/>
        </w:rPr>
        <w:instrText xml:space="preserve"> \* MERGEFORMAT </w:instrText>
      </w:r>
      <w:r w:rsidRPr="00510FB7">
        <w:rPr>
          <w:b/>
          <w:bCs/>
          <w:highlight w:val="yellow"/>
        </w:rPr>
      </w:r>
      <w:r w:rsidRPr="00510FB7">
        <w:rPr>
          <w:b/>
          <w:bCs/>
          <w:highlight w:val="yellow"/>
        </w:rPr>
        <w:fldChar w:fldCharType="separate"/>
      </w:r>
      <w:r w:rsidR="00E816B8" w:rsidRPr="00E816B8">
        <w:rPr>
          <w:b/>
          <w:bCs/>
        </w:rPr>
        <w:t xml:space="preserve">Figure </w:t>
      </w:r>
      <w:r w:rsidR="00E816B8" w:rsidRPr="00E816B8">
        <w:rPr>
          <w:b/>
          <w:bCs/>
          <w:noProof/>
        </w:rPr>
        <w:t>10.1</w:t>
      </w:r>
      <w:r w:rsidRPr="00510FB7">
        <w:rPr>
          <w:b/>
          <w:bCs/>
          <w:highlight w:val="yellow"/>
        </w:rPr>
        <w:fldChar w:fldCharType="end"/>
      </w:r>
      <w:r>
        <w:rPr>
          <w:b/>
          <w:bCs/>
        </w:rPr>
        <w:t xml:space="preserve"> </w:t>
      </w:r>
      <w:r w:rsidR="008468CE">
        <w:t>highlights</w:t>
      </w:r>
      <w:r w:rsidR="008468CE" w:rsidRPr="00001830">
        <w:t xml:space="preserve"> </w:t>
      </w:r>
      <w:r w:rsidR="008468CE">
        <w:t>a</w:t>
      </w:r>
      <w:r w:rsidR="008468CE" w:rsidRPr="00001830">
        <w:t xml:space="preserve"> marginal increase in total expenditure over the past five years and, referring to</w:t>
      </w:r>
      <w:r>
        <w:t xml:space="preserve"> </w:t>
      </w:r>
      <w:r w:rsidRPr="00510FB7">
        <w:rPr>
          <w:b/>
          <w:bCs/>
        </w:rPr>
        <w:fldChar w:fldCharType="begin"/>
      </w:r>
      <w:r w:rsidRPr="00510FB7">
        <w:rPr>
          <w:b/>
          <w:bCs/>
        </w:rPr>
        <w:instrText xml:space="preserve"> REF _Ref58450664 \h </w:instrText>
      </w:r>
      <w:r>
        <w:rPr>
          <w:b/>
          <w:bCs/>
        </w:rPr>
        <w:instrText xml:space="preserve"> \* MERGEFORMAT </w:instrText>
      </w:r>
      <w:r w:rsidRPr="00510FB7">
        <w:rPr>
          <w:b/>
          <w:bCs/>
        </w:rPr>
      </w:r>
      <w:r w:rsidRPr="00510FB7">
        <w:rPr>
          <w:b/>
          <w:bCs/>
        </w:rPr>
        <w:fldChar w:fldCharType="separate"/>
      </w:r>
      <w:r w:rsidR="00E816B8" w:rsidRPr="00E816B8">
        <w:rPr>
          <w:b/>
          <w:bCs/>
        </w:rPr>
        <w:t xml:space="preserve">Figure </w:t>
      </w:r>
      <w:r w:rsidR="00E816B8" w:rsidRPr="00E816B8">
        <w:rPr>
          <w:b/>
          <w:bCs/>
          <w:noProof/>
        </w:rPr>
        <w:t>10.2</w:t>
      </w:r>
      <w:r w:rsidRPr="00510FB7">
        <w:rPr>
          <w:b/>
          <w:bCs/>
        </w:rPr>
        <w:fldChar w:fldCharType="end"/>
      </w:r>
      <w:r w:rsidR="008468CE" w:rsidRPr="00001830">
        <w:t xml:space="preserve">, NOPSEMA’s activity levels have remained relatively stable. The increasing expenditure can mostly be attributed to the increase in employee expenses. </w:t>
      </w:r>
      <w:r w:rsidR="008468CE" w:rsidRPr="00F307E4">
        <w:t xml:space="preserve">NOPSEMA has advised that </w:t>
      </w:r>
      <w:r w:rsidR="008468CE">
        <w:t>increases in costs are partly</w:t>
      </w:r>
      <w:r w:rsidR="008468CE" w:rsidRPr="00F307E4">
        <w:t xml:space="preserve"> due to </w:t>
      </w:r>
      <w:r w:rsidR="008468CE">
        <w:t>increased levels of</w:t>
      </w:r>
      <w:r w:rsidR="008468CE" w:rsidRPr="00F307E4">
        <w:t xml:space="preserve"> stakeholder and community engagement, which are not captured in regulated activities shown in</w:t>
      </w:r>
      <w:r>
        <w:t xml:space="preserve"> </w:t>
      </w:r>
      <w:r w:rsidRPr="00510FB7">
        <w:rPr>
          <w:b/>
          <w:bCs/>
        </w:rPr>
        <w:fldChar w:fldCharType="begin"/>
      </w:r>
      <w:r w:rsidRPr="00510FB7">
        <w:rPr>
          <w:b/>
          <w:bCs/>
        </w:rPr>
        <w:instrText xml:space="preserve"> REF _Ref58450664 \h </w:instrText>
      </w:r>
      <w:r>
        <w:rPr>
          <w:b/>
          <w:bCs/>
        </w:rPr>
        <w:instrText xml:space="preserve"> \* MERGEFORMAT </w:instrText>
      </w:r>
      <w:r w:rsidRPr="00510FB7">
        <w:rPr>
          <w:b/>
          <w:bCs/>
        </w:rPr>
      </w:r>
      <w:r w:rsidRPr="00510FB7">
        <w:rPr>
          <w:b/>
          <w:bCs/>
        </w:rPr>
        <w:fldChar w:fldCharType="separate"/>
      </w:r>
      <w:r w:rsidR="00E816B8" w:rsidRPr="00E816B8">
        <w:rPr>
          <w:b/>
          <w:bCs/>
        </w:rPr>
        <w:t xml:space="preserve">Figure </w:t>
      </w:r>
      <w:r w:rsidR="00E816B8" w:rsidRPr="00E816B8">
        <w:rPr>
          <w:b/>
          <w:bCs/>
          <w:noProof/>
        </w:rPr>
        <w:t>10.2</w:t>
      </w:r>
      <w:r w:rsidRPr="00510FB7">
        <w:rPr>
          <w:b/>
          <w:bCs/>
        </w:rPr>
        <w:fldChar w:fldCharType="end"/>
      </w:r>
      <w:r w:rsidR="008468CE" w:rsidRPr="00F307E4">
        <w:t>.</w:t>
      </w:r>
      <w:r w:rsidR="008468CE">
        <w:t xml:space="preserve"> </w:t>
      </w:r>
      <w:r w:rsidR="006F0830">
        <w:t>R</w:t>
      </w:r>
      <w:r w:rsidR="008468CE">
        <w:t xml:space="preserve">egulatory </w:t>
      </w:r>
      <w:r w:rsidR="008468CE" w:rsidRPr="00001830">
        <w:t xml:space="preserve">employee expenses per assessment and inspection undertaken </w:t>
      </w:r>
      <w:r w:rsidR="008468CE" w:rsidRPr="00001830">
        <w:lastRenderedPageBreak/>
        <w:t>remained relatively static across the period, with a</w:t>
      </w:r>
      <w:r w:rsidR="005B1648">
        <w:t xml:space="preserve"> slight increase observed in regulatory employee expenses per assessment and a</w:t>
      </w:r>
      <w:r w:rsidR="008468CE" w:rsidRPr="00001830">
        <w:t xml:space="preserve"> </w:t>
      </w:r>
      <w:r w:rsidR="008468CE">
        <w:t>slight</w:t>
      </w:r>
      <w:r w:rsidR="008468CE" w:rsidRPr="00001830">
        <w:t xml:space="preserve"> decrease </w:t>
      </w:r>
      <w:r w:rsidR="008468CE">
        <w:t xml:space="preserve">observed </w:t>
      </w:r>
      <w:r w:rsidR="008468CE" w:rsidRPr="00001830">
        <w:t xml:space="preserve">in </w:t>
      </w:r>
      <w:r w:rsidR="008468CE">
        <w:t xml:space="preserve">regulatory </w:t>
      </w:r>
      <w:r w:rsidR="008468CE" w:rsidRPr="00001830">
        <w:t xml:space="preserve">employee </w:t>
      </w:r>
      <w:r w:rsidR="008468CE">
        <w:t>expenses</w:t>
      </w:r>
      <w:r w:rsidR="008468CE" w:rsidRPr="00001830">
        <w:t xml:space="preserve"> per </w:t>
      </w:r>
      <w:r w:rsidR="00E124AB">
        <w:t>inspection</w:t>
      </w:r>
      <w:r w:rsidR="008468CE">
        <w:t xml:space="preserve"> </w:t>
      </w:r>
      <w:r w:rsidR="008468CE" w:rsidRPr="00001830">
        <w:t>(see</w:t>
      </w:r>
      <w:r w:rsidR="00B25C50">
        <w:t xml:space="preserve"> </w:t>
      </w:r>
      <w:r w:rsidR="00B25C50" w:rsidRPr="00B25C50">
        <w:rPr>
          <w:b/>
          <w:bCs/>
        </w:rPr>
        <w:fldChar w:fldCharType="begin"/>
      </w:r>
      <w:r w:rsidR="00B25C50" w:rsidRPr="00B25C50">
        <w:rPr>
          <w:b/>
          <w:bCs/>
        </w:rPr>
        <w:instrText xml:space="preserve"> REF _Ref63972481 \h </w:instrText>
      </w:r>
      <w:r w:rsidR="00B25C50">
        <w:rPr>
          <w:b/>
          <w:bCs/>
        </w:rPr>
        <w:instrText xml:space="preserve"> \* MERGEFORMAT </w:instrText>
      </w:r>
      <w:r w:rsidR="00B25C50" w:rsidRPr="00B25C50">
        <w:rPr>
          <w:b/>
          <w:bCs/>
        </w:rPr>
      </w:r>
      <w:r w:rsidR="00B25C50" w:rsidRPr="00B25C50">
        <w:rPr>
          <w:b/>
          <w:bCs/>
        </w:rPr>
        <w:fldChar w:fldCharType="separate"/>
      </w:r>
      <w:r w:rsidR="00E816B8" w:rsidRPr="00E816B8">
        <w:rPr>
          <w:b/>
          <w:bCs/>
        </w:rPr>
        <w:t xml:space="preserve">Figure </w:t>
      </w:r>
      <w:r w:rsidR="00E816B8" w:rsidRPr="00E816B8">
        <w:rPr>
          <w:b/>
          <w:bCs/>
          <w:noProof/>
        </w:rPr>
        <w:t>10.3</w:t>
      </w:r>
      <w:r w:rsidR="00B25C50" w:rsidRPr="00B25C50">
        <w:rPr>
          <w:b/>
          <w:bCs/>
        </w:rPr>
        <w:fldChar w:fldCharType="end"/>
      </w:r>
      <w:r w:rsidR="00B25C50">
        <w:t>)</w:t>
      </w:r>
      <w:r w:rsidR="008468CE" w:rsidRPr="00001830">
        <w:t>.</w:t>
      </w:r>
      <w:r w:rsidR="008468CE">
        <w:t xml:space="preserve"> While there are limitations in using this metric, it provides a useful proxy for examining NOPSEMA’s operational efficiency </w:t>
      </w:r>
      <w:r w:rsidR="00FC4761">
        <w:t xml:space="preserve">in undertaking its </w:t>
      </w:r>
      <w:r w:rsidR="008468CE">
        <w:t>regulatory activities.</w:t>
      </w:r>
    </w:p>
    <w:p w14:paraId="50D2C537" w14:textId="6ABF1EA4" w:rsidR="008468CE" w:rsidRDefault="008468CE" w:rsidP="000D4CE1">
      <w:pPr>
        <w:pStyle w:val="BodyCopyNEW"/>
      </w:pPr>
      <w:r>
        <w:t>Over the</w:t>
      </w:r>
      <w:r w:rsidDel="00476FC1">
        <w:t xml:space="preserve"> </w:t>
      </w:r>
      <w:r w:rsidR="00476FC1">
        <w:t>review</w:t>
      </w:r>
      <w:r>
        <w:t xml:space="preserve"> period</w:t>
      </w:r>
      <w:r w:rsidRPr="00C47377">
        <w:t xml:space="preserve"> approximately 75</w:t>
      </w:r>
      <w:r>
        <w:t xml:space="preserve">% </w:t>
      </w:r>
      <w:r w:rsidRPr="00C47377">
        <w:t>of NOPSEMA’s total expenses relate to employees</w:t>
      </w:r>
      <w:r>
        <w:t>,</w:t>
      </w:r>
      <w:r w:rsidRPr="00C47377">
        <w:t xml:space="preserve"> including the associated recruitment and training.</w:t>
      </w:r>
      <w:r>
        <w:t xml:space="preserve"> Depreciation and amortisation costs account for approximately 3% of total expenses and mostly relate to NOPSEMA’s RMS software. The remaining minor cost categories relate to information technology and communications costs, professional services, recruitment and training costs, travel costs and, administration and office costs. </w:t>
      </w:r>
    </w:p>
    <w:p w14:paraId="41077B81" w14:textId="6513916C" w:rsidR="00510FB7" w:rsidRDefault="00510FB7" w:rsidP="008D69C2">
      <w:pPr>
        <w:pStyle w:val="Caption"/>
        <w:keepNext/>
      </w:pPr>
      <w:bookmarkStart w:id="141" w:name="_Ref58450609"/>
      <w:r>
        <w:t xml:space="preserve">Figure </w:t>
      </w:r>
      <w:r w:rsidR="00AD41F8">
        <w:fldChar w:fldCharType="begin"/>
      </w:r>
      <w:r w:rsidR="00AD41F8">
        <w:instrText xml:space="preserve"> STYLEREF 1 \s </w:instrText>
      </w:r>
      <w:r w:rsidR="00AD41F8">
        <w:fldChar w:fldCharType="separate"/>
      </w:r>
      <w:r w:rsidR="00E816B8">
        <w:rPr>
          <w:noProof/>
        </w:rPr>
        <w:t>10</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1</w:t>
      </w:r>
      <w:r w:rsidR="00AD41F8">
        <w:fldChar w:fldCharType="end"/>
      </w:r>
      <w:bookmarkEnd w:id="141"/>
      <w:r>
        <w:t>: NOPSEMA costs by category from 2014-15 to 2019-20</w:t>
      </w:r>
    </w:p>
    <w:p w14:paraId="729D39FF" w14:textId="7C877767" w:rsidR="00F6087A" w:rsidRDefault="00F6087A" w:rsidP="008468CE">
      <w:r>
        <w:rPr>
          <w:noProof/>
          <w:lang w:eastAsia="en-AU"/>
        </w:rPr>
        <w:drawing>
          <wp:inline distT="0" distB="0" distL="0" distR="0" wp14:anchorId="73FC9DBB" wp14:editId="0E529032">
            <wp:extent cx="6263640" cy="2808000"/>
            <wp:effectExtent l="0" t="0" r="3810" b="11430"/>
            <wp:docPr id="7" name="Chart 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377625C-0FCC-4C9A-930C-B51A378A9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99364F0" w14:textId="7C89D780" w:rsidR="008468CE" w:rsidRPr="00267D9A" w:rsidRDefault="008468CE" w:rsidP="00574777">
      <w:pPr>
        <w:tabs>
          <w:tab w:val="left" w:pos="2410"/>
        </w:tabs>
        <w:spacing w:after="120"/>
        <w:rPr>
          <w:rFonts w:ascii="Calibri Light" w:hAnsi="Calibri Light" w:cs="Calibri Light"/>
          <w:sz w:val="14"/>
          <w:szCs w:val="14"/>
        </w:rPr>
      </w:pPr>
      <w:r w:rsidRPr="00267D9A">
        <w:rPr>
          <w:rFonts w:ascii="Calibri Light" w:hAnsi="Calibri Light" w:cs="Calibri Light"/>
          <w:sz w:val="14"/>
          <w:szCs w:val="14"/>
        </w:rPr>
        <w:t>Nominal values</w:t>
      </w:r>
      <w:r w:rsidR="00FC5558">
        <w:rPr>
          <w:rFonts w:ascii="Calibri Light" w:hAnsi="Calibri Light" w:cs="Calibri Light"/>
          <w:sz w:val="14"/>
          <w:szCs w:val="14"/>
        </w:rPr>
        <w:t xml:space="preserve">. Note – the above graph </w:t>
      </w:r>
      <w:r w:rsidR="005F3AFD">
        <w:rPr>
          <w:rFonts w:ascii="Calibri Light" w:hAnsi="Calibri Light" w:cs="Calibri Light"/>
          <w:sz w:val="14"/>
          <w:szCs w:val="14"/>
        </w:rPr>
        <w:t>is</w:t>
      </w:r>
      <w:r w:rsidR="00FC5558">
        <w:rPr>
          <w:rFonts w:ascii="Calibri Light" w:hAnsi="Calibri Light" w:cs="Calibri Light"/>
          <w:sz w:val="14"/>
          <w:szCs w:val="14"/>
        </w:rPr>
        <w:t xml:space="preserve"> in financial year.</w:t>
      </w:r>
    </w:p>
    <w:p w14:paraId="342A3B5B" w14:textId="544735FC" w:rsidR="00510FB7" w:rsidRDefault="008468CE" w:rsidP="00901C7B">
      <w:pPr>
        <w:pStyle w:val="Caption"/>
      </w:pPr>
      <w:r w:rsidRPr="00901C7B">
        <w:rPr>
          <w:b w:val="0"/>
          <w:bCs/>
          <w:i/>
          <w:iCs w:val="0"/>
          <w:color w:val="75787B" w:themeColor="accent6"/>
        </w:rPr>
        <w:t>Source: NOPSEMA Annual Report</w:t>
      </w:r>
    </w:p>
    <w:p w14:paraId="2B280FD1" w14:textId="27BEC3AC" w:rsidR="00510FB7" w:rsidRPr="00510FB7" w:rsidRDefault="00510FB7" w:rsidP="008D69C2">
      <w:pPr>
        <w:pStyle w:val="Caption"/>
        <w:keepNext/>
      </w:pPr>
      <w:bookmarkStart w:id="142" w:name="_Ref58450664"/>
      <w:r>
        <w:t xml:space="preserve">Figure </w:t>
      </w:r>
      <w:r w:rsidR="00AD41F8">
        <w:fldChar w:fldCharType="begin"/>
      </w:r>
      <w:r w:rsidR="00AD41F8">
        <w:instrText xml:space="preserve"> STYLEREF 1 \s </w:instrText>
      </w:r>
      <w:r w:rsidR="00AD41F8">
        <w:fldChar w:fldCharType="separate"/>
      </w:r>
      <w:r w:rsidR="00E816B8">
        <w:rPr>
          <w:noProof/>
        </w:rPr>
        <w:t>10</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2</w:t>
      </w:r>
      <w:r w:rsidR="00AD41F8">
        <w:fldChar w:fldCharType="end"/>
      </w:r>
      <w:bookmarkEnd w:id="142"/>
      <w:r>
        <w:t>: NOPSEMA key regulatory activities by category from 2014-15 to 2019-20</w:t>
      </w:r>
    </w:p>
    <w:p w14:paraId="2CD59515" w14:textId="7DC5C061" w:rsidR="00DB4DB6" w:rsidRDefault="00DB4DB6" w:rsidP="008468CE">
      <w:r>
        <w:rPr>
          <w:noProof/>
          <w:lang w:eastAsia="en-AU"/>
        </w:rPr>
        <w:drawing>
          <wp:inline distT="0" distB="0" distL="0" distR="0" wp14:anchorId="26725714" wp14:editId="146FC90F">
            <wp:extent cx="6263640" cy="2808000"/>
            <wp:effectExtent l="0" t="0" r="3810" b="11430"/>
            <wp:docPr id="12" name="Chart 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B820194-5C2E-457B-896E-C7CAF9FECC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59D17C7" w14:textId="51959BBD" w:rsidR="008468CE" w:rsidRPr="00267D9A" w:rsidRDefault="008468CE" w:rsidP="00D169ED">
      <w:pPr>
        <w:spacing w:after="120"/>
        <w:rPr>
          <w:rFonts w:ascii="Calibri Light" w:hAnsi="Calibri Light" w:cs="Calibri Light"/>
          <w:sz w:val="14"/>
          <w:szCs w:val="14"/>
        </w:rPr>
      </w:pPr>
      <w:r w:rsidRPr="00267D9A">
        <w:rPr>
          <w:rFonts w:ascii="Calibri Light" w:hAnsi="Calibri Light" w:cs="Calibri Light"/>
          <w:sz w:val="14"/>
          <w:szCs w:val="14"/>
        </w:rPr>
        <w:t>Regulatory activities include all enforcements, assessments and inspection across Environmental, Safety and Well Integrity functions</w:t>
      </w:r>
      <w:r w:rsidR="00DB289C">
        <w:rPr>
          <w:rFonts w:ascii="Calibri Light" w:hAnsi="Calibri Light" w:cs="Calibri Light"/>
          <w:sz w:val="14"/>
          <w:szCs w:val="14"/>
        </w:rPr>
        <w:t>. Note – the above graph</w:t>
      </w:r>
      <w:r w:rsidR="00FC5558">
        <w:rPr>
          <w:rFonts w:ascii="Calibri Light" w:hAnsi="Calibri Light" w:cs="Calibri Light"/>
          <w:sz w:val="14"/>
          <w:szCs w:val="14"/>
        </w:rPr>
        <w:t xml:space="preserve"> </w:t>
      </w:r>
      <w:r w:rsidR="005F3AFD">
        <w:rPr>
          <w:rFonts w:ascii="Calibri Light" w:hAnsi="Calibri Light" w:cs="Calibri Light"/>
          <w:sz w:val="14"/>
          <w:szCs w:val="14"/>
        </w:rPr>
        <w:t>is</w:t>
      </w:r>
      <w:r w:rsidR="00FC5558">
        <w:rPr>
          <w:rFonts w:ascii="Calibri Light" w:hAnsi="Calibri Light" w:cs="Calibri Light"/>
          <w:sz w:val="14"/>
          <w:szCs w:val="14"/>
        </w:rPr>
        <w:t xml:space="preserve"> in financial year.</w:t>
      </w:r>
    </w:p>
    <w:p w14:paraId="0F955DE9" w14:textId="10F840C2" w:rsidR="00267D9A" w:rsidRPr="008D69C2" w:rsidRDefault="008468CE" w:rsidP="008D69C2">
      <w:pPr>
        <w:pStyle w:val="Caption"/>
        <w:rPr>
          <w:b w:val="0"/>
          <w:bCs/>
          <w:i/>
          <w:iCs w:val="0"/>
          <w:color w:val="75787B" w:themeColor="accent6"/>
        </w:rPr>
      </w:pPr>
      <w:r w:rsidRPr="00901C7B">
        <w:rPr>
          <w:b w:val="0"/>
          <w:bCs/>
          <w:i/>
          <w:iCs w:val="0"/>
          <w:color w:val="75787B" w:themeColor="accent6"/>
        </w:rPr>
        <w:t xml:space="preserve">Source: </w:t>
      </w:r>
      <w:r w:rsidR="00C534DC" w:rsidRPr="00300717">
        <w:rPr>
          <w:b w:val="0"/>
          <w:bCs/>
          <w:i/>
          <w:iCs w:val="0"/>
          <w:color w:val="75787B" w:themeColor="accent6"/>
        </w:rPr>
        <w:t>Deloitte analysis adapted from NOPSEMA data</w:t>
      </w:r>
      <w:bookmarkStart w:id="143" w:name="_Ref58450767"/>
    </w:p>
    <w:p w14:paraId="35526A94" w14:textId="6994B42B" w:rsidR="00510FB7" w:rsidRPr="00510FB7" w:rsidRDefault="00510FB7" w:rsidP="008D69C2">
      <w:pPr>
        <w:pStyle w:val="Caption"/>
        <w:keepNext/>
      </w:pPr>
      <w:bookmarkStart w:id="144" w:name="_Ref63972481"/>
      <w:r>
        <w:lastRenderedPageBreak/>
        <w:t xml:space="preserve">Figure </w:t>
      </w:r>
      <w:r w:rsidR="00AD41F8">
        <w:fldChar w:fldCharType="begin"/>
      </w:r>
      <w:r w:rsidR="00AD41F8">
        <w:instrText xml:space="preserve"> STYLEREF 1 \s </w:instrText>
      </w:r>
      <w:r w:rsidR="00AD41F8">
        <w:fldChar w:fldCharType="separate"/>
      </w:r>
      <w:r w:rsidR="00E816B8">
        <w:rPr>
          <w:noProof/>
        </w:rPr>
        <w:t>10</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3</w:t>
      </w:r>
      <w:r w:rsidR="00AD41F8">
        <w:fldChar w:fldCharType="end"/>
      </w:r>
      <w:bookmarkEnd w:id="143"/>
      <w:bookmarkEnd w:id="144"/>
      <w:r>
        <w:t xml:space="preserve">: </w:t>
      </w:r>
      <w:r w:rsidRPr="00E06BC4">
        <w:t>NOPSEMA regulatory employee expenses per assessment and inspection from 2014</w:t>
      </w:r>
      <w:r>
        <w:t>-15 to 2019-20</w:t>
      </w:r>
    </w:p>
    <w:p w14:paraId="4B7A7122" w14:textId="3352FC6B" w:rsidR="00E06BC4" w:rsidRPr="00E06BC4" w:rsidRDefault="00E06BC4" w:rsidP="00407F7B">
      <w:pPr>
        <w:spacing w:after="120"/>
      </w:pPr>
      <w:r>
        <w:rPr>
          <w:noProof/>
          <w:lang w:eastAsia="en-AU"/>
        </w:rPr>
        <w:drawing>
          <wp:inline distT="0" distB="0" distL="0" distR="0" wp14:anchorId="11AA7143" wp14:editId="16A57351">
            <wp:extent cx="6239865" cy="2592000"/>
            <wp:effectExtent l="0" t="0" r="8890" b="18415"/>
            <wp:docPr id="57" name="Chart 5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5F4E943F-DA31-4A24-B78B-778D8C5DD6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482AA75" w14:textId="1397EF5B" w:rsidR="008468CE" w:rsidRPr="00267D9A" w:rsidRDefault="008468CE" w:rsidP="00ED521F">
      <w:pPr>
        <w:spacing w:after="120"/>
        <w:rPr>
          <w:rFonts w:ascii="Calibri Light" w:hAnsi="Calibri Light" w:cs="Calibri Light"/>
          <w:sz w:val="14"/>
          <w:szCs w:val="14"/>
        </w:rPr>
      </w:pPr>
      <w:r w:rsidRPr="00267D9A">
        <w:rPr>
          <w:rFonts w:ascii="Calibri Light" w:hAnsi="Calibri Light" w:cs="Calibri Light"/>
          <w:sz w:val="14"/>
          <w:szCs w:val="14"/>
        </w:rPr>
        <w:t>Regulatory employee expenses are those for Environmental Division and Safety and Integrity Division; regulatory activities include all assessments and inspection (across Environmental, Safety and Well Integrity functions); nominal values</w:t>
      </w:r>
      <w:r w:rsidR="00FC5558">
        <w:rPr>
          <w:rFonts w:ascii="Calibri Light" w:hAnsi="Calibri Light" w:cs="Calibri Light"/>
          <w:sz w:val="14"/>
          <w:szCs w:val="14"/>
        </w:rPr>
        <w:t xml:space="preserve">. Note – the above graph </w:t>
      </w:r>
      <w:r w:rsidR="005F3AFD">
        <w:rPr>
          <w:rFonts w:ascii="Calibri Light" w:hAnsi="Calibri Light" w:cs="Calibri Light"/>
          <w:sz w:val="14"/>
          <w:szCs w:val="14"/>
        </w:rPr>
        <w:t>is</w:t>
      </w:r>
      <w:r w:rsidR="00FC5558">
        <w:rPr>
          <w:rFonts w:ascii="Calibri Light" w:hAnsi="Calibri Light" w:cs="Calibri Light"/>
          <w:sz w:val="14"/>
          <w:szCs w:val="14"/>
        </w:rPr>
        <w:t xml:space="preserve"> in financial year.</w:t>
      </w:r>
    </w:p>
    <w:p w14:paraId="6370796F" w14:textId="0AC1BDD6" w:rsidR="008468CE" w:rsidRPr="00901C7B" w:rsidRDefault="008468CE" w:rsidP="00A067D9">
      <w:pPr>
        <w:pStyle w:val="Caption"/>
        <w:rPr>
          <w:b w:val="0"/>
          <w:bCs/>
          <w:i/>
          <w:iCs w:val="0"/>
          <w:color w:val="75787B" w:themeColor="accent6"/>
        </w:rPr>
      </w:pPr>
      <w:r w:rsidRPr="00901C7B">
        <w:rPr>
          <w:b w:val="0"/>
          <w:bCs/>
          <w:i/>
          <w:iCs w:val="0"/>
          <w:color w:val="75787B" w:themeColor="accent6"/>
        </w:rPr>
        <w:t xml:space="preserve">Source: NOPSEMA Annual Report, </w:t>
      </w:r>
      <w:r w:rsidR="00C534DC" w:rsidRPr="00300717">
        <w:rPr>
          <w:b w:val="0"/>
          <w:bCs/>
          <w:i/>
          <w:iCs w:val="0"/>
          <w:color w:val="75787B" w:themeColor="accent6"/>
        </w:rPr>
        <w:t>Deloitte analysis adapted from NOPSEMA data</w:t>
      </w:r>
    </w:p>
    <w:p w14:paraId="6CAB7078" w14:textId="56278A80" w:rsidR="008468CE" w:rsidRDefault="008468CE" w:rsidP="000D4CE1">
      <w:pPr>
        <w:pStyle w:val="BodyCopyNEW"/>
      </w:pPr>
      <w:r>
        <w:t xml:space="preserve">NOPSEMA seek to manage procurement in accordance with the </w:t>
      </w:r>
      <w:r>
        <w:rPr>
          <w:i/>
          <w:iCs/>
        </w:rPr>
        <w:t xml:space="preserve">Commonwealth Procurement </w:t>
      </w:r>
      <w:r w:rsidRPr="009F790E">
        <w:t>Rules</w:t>
      </w:r>
      <w:r>
        <w:t xml:space="preserve"> under section 105B(1) of the </w:t>
      </w:r>
      <w:r w:rsidRPr="00FB48C7">
        <w:t>PGPA Act</w:t>
      </w:r>
      <w:r>
        <w:t xml:space="preserve">. NOPSEMA’s main supplier costs relate to ICT services, consultants, and temporary </w:t>
      </w:r>
      <w:r w:rsidR="00741028">
        <w:t>personnel</w:t>
      </w:r>
      <w:r w:rsidRPr="00AB09A9">
        <w:t xml:space="preserve">. </w:t>
      </w:r>
      <w:r>
        <w:t xml:space="preserve">Overall, NOPSEMA’s supplier costs have tended to decrease across the </w:t>
      </w:r>
      <w:r w:rsidR="00476FC1">
        <w:t xml:space="preserve">review </w:t>
      </w:r>
      <w:r>
        <w:t>period (</w:t>
      </w:r>
      <w:r w:rsidR="00510FB7" w:rsidRPr="00510FB7">
        <w:rPr>
          <w:b/>
          <w:bCs/>
          <w:highlight w:val="yellow"/>
        </w:rPr>
        <w:fldChar w:fldCharType="begin"/>
      </w:r>
      <w:r w:rsidR="00510FB7" w:rsidRPr="00510FB7">
        <w:rPr>
          <w:b/>
          <w:bCs/>
        </w:rPr>
        <w:instrText xml:space="preserve"> REF _Ref58450609 \h </w:instrText>
      </w:r>
      <w:r w:rsidR="00510FB7" w:rsidRPr="00510FB7">
        <w:rPr>
          <w:b/>
          <w:bCs/>
          <w:highlight w:val="yellow"/>
        </w:rPr>
        <w:instrText xml:space="preserve"> \* MERGEFORMAT </w:instrText>
      </w:r>
      <w:r w:rsidR="00510FB7" w:rsidRPr="00510FB7">
        <w:rPr>
          <w:b/>
          <w:bCs/>
          <w:highlight w:val="yellow"/>
        </w:rPr>
      </w:r>
      <w:r w:rsidR="00510FB7" w:rsidRPr="00510FB7">
        <w:rPr>
          <w:b/>
          <w:bCs/>
          <w:highlight w:val="yellow"/>
        </w:rPr>
        <w:fldChar w:fldCharType="separate"/>
      </w:r>
      <w:r w:rsidR="00E816B8" w:rsidRPr="00E816B8">
        <w:rPr>
          <w:b/>
          <w:bCs/>
        </w:rPr>
        <w:t xml:space="preserve">Figure </w:t>
      </w:r>
      <w:r w:rsidR="00E816B8" w:rsidRPr="00E816B8">
        <w:rPr>
          <w:b/>
          <w:bCs/>
          <w:noProof/>
        </w:rPr>
        <w:t>10.1</w:t>
      </w:r>
      <w:r w:rsidR="00510FB7" w:rsidRPr="00510FB7">
        <w:rPr>
          <w:b/>
          <w:bCs/>
          <w:highlight w:val="yellow"/>
        </w:rPr>
        <w:fldChar w:fldCharType="end"/>
      </w:r>
      <w:r w:rsidRPr="00FB3B11">
        <w:t>)</w:t>
      </w:r>
      <w:r>
        <w:t>.</w:t>
      </w:r>
    </w:p>
    <w:p w14:paraId="5E0EB3A8" w14:textId="1F06A416" w:rsidR="003F7E89" w:rsidRDefault="008468CE" w:rsidP="000D4CE1">
      <w:pPr>
        <w:pStyle w:val="BodyCopyNEW"/>
      </w:pPr>
      <w:r>
        <w:t xml:space="preserve">Referring to </w:t>
      </w:r>
      <w:r w:rsidR="00510FB7" w:rsidRPr="00510FB7">
        <w:rPr>
          <w:b/>
          <w:bCs/>
        </w:rPr>
        <w:fldChar w:fldCharType="begin"/>
      </w:r>
      <w:r w:rsidR="00510FB7" w:rsidRPr="00510FB7">
        <w:rPr>
          <w:b/>
          <w:bCs/>
        </w:rPr>
        <w:instrText xml:space="preserve"> REF _Ref58450840 \h  \* MERGEFORMAT </w:instrText>
      </w:r>
      <w:r w:rsidR="00510FB7" w:rsidRPr="00510FB7">
        <w:rPr>
          <w:b/>
          <w:bCs/>
        </w:rPr>
      </w:r>
      <w:r w:rsidR="00510FB7" w:rsidRPr="00510FB7">
        <w:rPr>
          <w:b/>
          <w:bCs/>
        </w:rPr>
        <w:fldChar w:fldCharType="separate"/>
      </w:r>
      <w:r w:rsidR="00E816B8" w:rsidRPr="00E816B8">
        <w:rPr>
          <w:b/>
          <w:bCs/>
        </w:rPr>
        <w:t xml:space="preserve">Figure </w:t>
      </w:r>
      <w:r w:rsidR="00E816B8" w:rsidRPr="00E816B8">
        <w:rPr>
          <w:b/>
          <w:bCs/>
          <w:noProof/>
        </w:rPr>
        <w:t>10.4</w:t>
      </w:r>
      <w:r w:rsidR="00510FB7" w:rsidRPr="00510FB7">
        <w:rPr>
          <w:b/>
          <w:bCs/>
        </w:rPr>
        <w:fldChar w:fldCharType="end"/>
      </w:r>
      <w:r w:rsidR="00510FB7">
        <w:rPr>
          <w:b/>
          <w:bCs/>
        </w:rPr>
        <w:t xml:space="preserve"> </w:t>
      </w:r>
      <w:r w:rsidRPr="007D0E0C">
        <w:t>and</w:t>
      </w:r>
      <w:r w:rsidR="00294439">
        <w:rPr>
          <w:b/>
          <w:bCs/>
        </w:rPr>
        <w:t xml:space="preserve"> </w:t>
      </w:r>
      <w:r w:rsidR="00294439" w:rsidRPr="00294439">
        <w:rPr>
          <w:b/>
          <w:bCs/>
        </w:rPr>
        <w:fldChar w:fldCharType="begin"/>
      </w:r>
      <w:r w:rsidR="00294439" w:rsidRPr="00294439">
        <w:rPr>
          <w:b/>
          <w:bCs/>
        </w:rPr>
        <w:instrText xml:space="preserve"> REF _Ref63972544 \h  \* MERGEFORMAT </w:instrText>
      </w:r>
      <w:r w:rsidR="00294439" w:rsidRPr="00294439">
        <w:rPr>
          <w:b/>
          <w:bCs/>
        </w:rPr>
      </w:r>
      <w:r w:rsidR="00294439" w:rsidRPr="00294439">
        <w:rPr>
          <w:b/>
          <w:bCs/>
        </w:rPr>
        <w:fldChar w:fldCharType="separate"/>
      </w:r>
      <w:r w:rsidR="00E816B8" w:rsidRPr="00E816B8">
        <w:rPr>
          <w:b/>
          <w:bCs/>
        </w:rPr>
        <w:t xml:space="preserve">Figure </w:t>
      </w:r>
      <w:r w:rsidR="00E816B8" w:rsidRPr="00E816B8">
        <w:rPr>
          <w:b/>
          <w:bCs/>
          <w:noProof/>
        </w:rPr>
        <w:t>10.5</w:t>
      </w:r>
      <w:r w:rsidR="00294439" w:rsidRPr="00294439">
        <w:rPr>
          <w:b/>
          <w:bCs/>
        </w:rPr>
        <w:fldChar w:fldCharType="end"/>
      </w:r>
      <w:r w:rsidRPr="007D0E0C">
        <w:t>,</w:t>
      </w:r>
      <w:r>
        <w:t xml:space="preserve"> we have analysed NOPSEMA’s employee costs per FTE and NOPSEMA’s corporate support functions (ICT, Finance, and Human Resources) as a proportion of NOPSEMA’s total FTEs and total employee </w:t>
      </w:r>
      <w:r w:rsidRPr="00105B6A">
        <w:t>expenses</w:t>
      </w:r>
      <w:r w:rsidR="00A760A0" w:rsidRPr="00105B6A">
        <w:t xml:space="preserve"> (see </w:t>
      </w:r>
      <w:r w:rsidR="00105B6A" w:rsidRPr="00105B6A">
        <w:rPr>
          <w:b/>
          <w:bCs/>
        </w:rPr>
        <w:fldChar w:fldCharType="begin"/>
      </w:r>
      <w:r w:rsidR="00105B6A" w:rsidRPr="00105B6A">
        <w:rPr>
          <w:b/>
          <w:bCs/>
        </w:rPr>
        <w:instrText xml:space="preserve"> REF _Ref58704567 \h  \* MERGEFORMAT </w:instrText>
      </w:r>
      <w:r w:rsidR="00105B6A" w:rsidRPr="00105B6A">
        <w:rPr>
          <w:b/>
          <w:bCs/>
        </w:rPr>
      </w:r>
      <w:r w:rsidR="00105B6A" w:rsidRPr="00105B6A">
        <w:rPr>
          <w:b/>
          <w:bCs/>
        </w:rPr>
        <w:fldChar w:fldCharType="separate"/>
      </w:r>
      <w:r w:rsidR="00E816B8" w:rsidRPr="00E816B8">
        <w:rPr>
          <w:b/>
          <w:bCs/>
        </w:rPr>
        <w:t xml:space="preserve">Figure </w:t>
      </w:r>
      <w:r w:rsidR="00E816B8" w:rsidRPr="00E816B8">
        <w:rPr>
          <w:b/>
          <w:bCs/>
          <w:noProof/>
        </w:rPr>
        <w:t>10.6</w:t>
      </w:r>
      <w:r w:rsidR="00105B6A" w:rsidRPr="00105B6A">
        <w:rPr>
          <w:b/>
          <w:bCs/>
        </w:rPr>
        <w:fldChar w:fldCharType="end"/>
      </w:r>
      <w:r w:rsidR="00A760A0" w:rsidRPr="00105B6A">
        <w:t>)</w:t>
      </w:r>
      <w:r w:rsidRPr="00105B6A">
        <w:t>.</w:t>
      </w:r>
      <w:r>
        <w:t xml:space="preserve"> NOPSEMA’s employee expenses per FTE have remained relatively static across the review period. Regulatory functions have higher average salaries due to the need to provide competitive remuneration vis-à-vis industry to attract and retain talent. Similarly, NOPSEMA’s corporate support function has remained between 9% to 11% of overall employee expenses across the review period and is in-line with what we would expect from a corporate support function for an organisation of this size. </w:t>
      </w:r>
    </w:p>
    <w:p w14:paraId="214DFEBE" w14:textId="06E87609" w:rsidR="00510FB7" w:rsidRDefault="00510FB7" w:rsidP="008D69C2">
      <w:pPr>
        <w:pStyle w:val="Caption"/>
        <w:keepNext/>
      </w:pPr>
      <w:bookmarkStart w:id="145" w:name="_Ref58450840"/>
      <w:r>
        <w:t xml:space="preserve">Figure </w:t>
      </w:r>
      <w:r w:rsidR="00AD41F8">
        <w:fldChar w:fldCharType="begin"/>
      </w:r>
      <w:r w:rsidR="00AD41F8">
        <w:instrText xml:space="preserve"> STYLEREF 1 \s </w:instrText>
      </w:r>
      <w:r w:rsidR="00AD41F8">
        <w:fldChar w:fldCharType="separate"/>
      </w:r>
      <w:r w:rsidR="00E816B8">
        <w:rPr>
          <w:noProof/>
        </w:rPr>
        <w:t>10</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4</w:t>
      </w:r>
      <w:r w:rsidR="00AD41F8">
        <w:fldChar w:fldCharType="end"/>
      </w:r>
      <w:bookmarkEnd w:id="145"/>
      <w:r>
        <w:t xml:space="preserve">: </w:t>
      </w:r>
      <w:r w:rsidRPr="004C497D">
        <w:t>NOPSEMA’s employee expenses per FTE from 2014-15 to 2019</w:t>
      </w:r>
      <w:r>
        <w:t>-20</w:t>
      </w:r>
    </w:p>
    <w:p w14:paraId="3C97DBC7" w14:textId="77777777" w:rsidR="00CB7652" w:rsidRDefault="00CB7652" w:rsidP="00407F7B">
      <w:pPr>
        <w:spacing w:after="120"/>
      </w:pPr>
      <w:r>
        <w:rPr>
          <w:noProof/>
          <w:lang w:eastAsia="en-AU"/>
        </w:rPr>
        <w:drawing>
          <wp:inline distT="0" distB="0" distL="0" distR="0" wp14:anchorId="4B934BFF" wp14:editId="47509027">
            <wp:extent cx="6254115" cy="2592000"/>
            <wp:effectExtent l="0" t="0" r="13335" b="18415"/>
            <wp:docPr id="37" name="Chart 37">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DAE29B5-01F9-475D-813C-5472B96C7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8D725A1" w14:textId="77777777" w:rsidR="00CB7652" w:rsidRPr="00267D9A" w:rsidRDefault="00CB7652" w:rsidP="00ED521F">
      <w:pPr>
        <w:spacing w:after="120"/>
        <w:rPr>
          <w:rFonts w:ascii="Calibri Light" w:hAnsi="Calibri Light" w:cs="Calibri Light"/>
          <w:sz w:val="14"/>
          <w:szCs w:val="14"/>
        </w:rPr>
      </w:pPr>
      <w:r w:rsidRPr="00267D9A">
        <w:rPr>
          <w:rFonts w:ascii="Calibri Light" w:hAnsi="Calibri Light" w:cs="Calibri Light"/>
          <w:sz w:val="14"/>
          <w:szCs w:val="14"/>
        </w:rPr>
        <w:t>Total employee expenses divided by the number of FTEs; nominal values</w:t>
      </w:r>
    </w:p>
    <w:p w14:paraId="2C70D489" w14:textId="3D7435EC" w:rsidR="00BC60E9" w:rsidRPr="008D69C2" w:rsidRDefault="00CB7652" w:rsidP="008D69C2">
      <w:pPr>
        <w:pStyle w:val="Caption"/>
      </w:pPr>
      <w:r w:rsidRPr="00901C7B">
        <w:rPr>
          <w:b w:val="0"/>
          <w:i/>
          <w:iCs w:val="0"/>
          <w:color w:val="75787B" w:themeColor="accent6"/>
        </w:rPr>
        <w:t xml:space="preserve">Source: </w:t>
      </w:r>
      <w:r w:rsidR="00C534DC" w:rsidRPr="00300717">
        <w:rPr>
          <w:b w:val="0"/>
          <w:bCs/>
          <w:i/>
          <w:iCs w:val="0"/>
          <w:color w:val="75787B" w:themeColor="accent6"/>
        </w:rPr>
        <w:t>Deloitte analysis adapted from NOPSEMA data</w:t>
      </w:r>
      <w:bookmarkStart w:id="146" w:name="_Ref58450879"/>
    </w:p>
    <w:p w14:paraId="1303A841" w14:textId="6685E69E" w:rsidR="00510FB7" w:rsidRPr="00510FB7" w:rsidRDefault="00510FB7" w:rsidP="008D69C2">
      <w:pPr>
        <w:pStyle w:val="Caption"/>
        <w:keepNext/>
      </w:pPr>
      <w:bookmarkStart w:id="147" w:name="_Ref63972544"/>
      <w:r>
        <w:lastRenderedPageBreak/>
        <w:t xml:space="preserve">Figure </w:t>
      </w:r>
      <w:r w:rsidR="00AD41F8">
        <w:fldChar w:fldCharType="begin"/>
      </w:r>
      <w:r w:rsidR="00AD41F8">
        <w:instrText xml:space="preserve"> STYLEREF 1 \s </w:instrText>
      </w:r>
      <w:r w:rsidR="00AD41F8">
        <w:fldChar w:fldCharType="separate"/>
      </w:r>
      <w:r w:rsidR="00E816B8">
        <w:rPr>
          <w:noProof/>
        </w:rPr>
        <w:t>10</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5</w:t>
      </w:r>
      <w:r w:rsidR="00AD41F8">
        <w:fldChar w:fldCharType="end"/>
      </w:r>
      <w:bookmarkEnd w:id="146"/>
      <w:bookmarkEnd w:id="147"/>
      <w:r>
        <w:t xml:space="preserve">: </w:t>
      </w:r>
      <w:r w:rsidRPr="00401328">
        <w:t>NOPSEMA’s corporate support function analysis from 2014-15 to 2019</w:t>
      </w:r>
      <w:r>
        <w:t>-20</w:t>
      </w:r>
    </w:p>
    <w:p w14:paraId="6B0C0911" w14:textId="77777777" w:rsidR="00CB7652" w:rsidRDefault="00CB7652" w:rsidP="00407F7B">
      <w:pPr>
        <w:spacing w:after="120"/>
      </w:pPr>
      <w:r>
        <w:rPr>
          <w:noProof/>
          <w:lang w:eastAsia="en-AU"/>
        </w:rPr>
        <w:drawing>
          <wp:inline distT="0" distB="0" distL="0" distR="0" wp14:anchorId="1DE52C68" wp14:editId="759A08CA">
            <wp:extent cx="6247130" cy="2592000"/>
            <wp:effectExtent l="0" t="0" r="1270" b="18415"/>
            <wp:docPr id="38" name="Chart 3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E66A640-6C0C-4DB5-8333-A4CD5C8A9B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47C4D0A1" w14:textId="77777777" w:rsidR="00CB7652" w:rsidRPr="007425F5" w:rsidRDefault="00CB7652" w:rsidP="00ED521F">
      <w:pPr>
        <w:spacing w:after="120"/>
        <w:rPr>
          <w:rFonts w:ascii="Calibri Light" w:hAnsi="Calibri Light" w:cs="Calibri Light"/>
          <w:sz w:val="14"/>
          <w:szCs w:val="14"/>
        </w:rPr>
      </w:pPr>
      <w:r w:rsidRPr="007425F5">
        <w:rPr>
          <w:rFonts w:ascii="Calibri Light" w:hAnsi="Calibri Light" w:cs="Calibri Light"/>
          <w:sz w:val="14"/>
          <w:szCs w:val="14"/>
        </w:rPr>
        <w:t>Corporate support FTEs as a proportion of total NOPSEMA FTEs; corporate support employee expenses as a proportion of total employee expenses; nominal values</w:t>
      </w:r>
    </w:p>
    <w:p w14:paraId="64848947" w14:textId="737D9356" w:rsidR="00CB7652" w:rsidRPr="00901C7B" w:rsidRDefault="00CB7652" w:rsidP="00A067D9">
      <w:pPr>
        <w:pStyle w:val="Caption"/>
        <w:rPr>
          <w:b w:val="0"/>
          <w:bCs/>
          <w:i/>
          <w:iCs w:val="0"/>
          <w:color w:val="75787B" w:themeColor="accent6"/>
        </w:rPr>
      </w:pPr>
      <w:r w:rsidRPr="00901C7B">
        <w:rPr>
          <w:b w:val="0"/>
          <w:bCs/>
          <w:i/>
          <w:iCs w:val="0"/>
          <w:color w:val="75787B" w:themeColor="accent6"/>
        </w:rPr>
        <w:t xml:space="preserve">Source: </w:t>
      </w:r>
      <w:r w:rsidR="00C534DC" w:rsidRPr="00300717">
        <w:rPr>
          <w:b w:val="0"/>
          <w:bCs/>
          <w:i/>
          <w:iCs w:val="0"/>
          <w:color w:val="75787B" w:themeColor="accent6"/>
        </w:rPr>
        <w:t>Deloitte analysis adapted from NOPSEMA data</w:t>
      </w:r>
    </w:p>
    <w:p w14:paraId="1B43D71A" w14:textId="5E4347B8" w:rsidR="00A760A0" w:rsidRPr="00461A9E" w:rsidRDefault="00A760A0" w:rsidP="008D69C2">
      <w:pPr>
        <w:pStyle w:val="Caption"/>
        <w:keepNext/>
      </w:pPr>
      <w:bookmarkStart w:id="148" w:name="_Ref58704567"/>
      <w:r>
        <w:t xml:space="preserve">Figure </w:t>
      </w:r>
      <w:r w:rsidR="00AD41F8">
        <w:fldChar w:fldCharType="begin"/>
      </w:r>
      <w:r w:rsidR="00AD41F8">
        <w:instrText xml:space="preserve"> STYLEREF 1 \s </w:instrText>
      </w:r>
      <w:r w:rsidR="00AD41F8">
        <w:fldChar w:fldCharType="separate"/>
      </w:r>
      <w:r w:rsidR="00E816B8">
        <w:rPr>
          <w:noProof/>
        </w:rPr>
        <w:t>10</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6</w:t>
      </w:r>
      <w:r w:rsidR="00AD41F8">
        <w:fldChar w:fldCharType="end"/>
      </w:r>
      <w:bookmarkEnd w:id="148"/>
      <w:r>
        <w:t>: NOPSEMA employee expenses by division from 2014-15 to 2019-20</w:t>
      </w:r>
    </w:p>
    <w:p w14:paraId="149FBBCB" w14:textId="77777777" w:rsidR="00A760A0" w:rsidRPr="00461A9E" w:rsidRDefault="00A760A0" w:rsidP="00A760A0">
      <w:pPr>
        <w:rPr>
          <w:rFonts w:cs="OpenSansRegular"/>
        </w:rPr>
      </w:pPr>
      <w:r w:rsidRPr="00461A9E">
        <w:rPr>
          <w:noProof/>
          <w:lang w:eastAsia="en-AU"/>
        </w:rPr>
        <w:drawing>
          <wp:inline distT="0" distB="0" distL="0" distR="0" wp14:anchorId="03037BB2" wp14:editId="3AE1046C">
            <wp:extent cx="6236970" cy="2952000"/>
            <wp:effectExtent l="0" t="0" r="11430" b="1270"/>
            <wp:docPr id="1179951873" name="Chart 117995187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95E6F152-4C8A-49CE-87D3-789EF91CD4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EF408D4" w14:textId="5A7F32C9" w:rsidR="00A760A0" w:rsidRPr="002027C8" w:rsidRDefault="00A760A0" w:rsidP="00A760A0">
      <w:pPr>
        <w:pStyle w:val="Caption"/>
        <w:rPr>
          <w:b w:val="0"/>
          <w:bCs/>
          <w:i/>
          <w:iCs w:val="0"/>
          <w:color w:val="75787B" w:themeColor="accent6"/>
        </w:rPr>
      </w:pPr>
      <w:r w:rsidRPr="002027C8">
        <w:rPr>
          <w:b w:val="0"/>
          <w:bCs/>
          <w:i/>
          <w:iCs w:val="0"/>
          <w:color w:val="75787B" w:themeColor="accent6"/>
        </w:rPr>
        <w:t xml:space="preserve">Source: </w:t>
      </w:r>
      <w:r w:rsidR="00C534DC" w:rsidRPr="00300717">
        <w:rPr>
          <w:b w:val="0"/>
          <w:bCs/>
          <w:i/>
          <w:iCs w:val="0"/>
          <w:color w:val="75787B" w:themeColor="accent6"/>
        </w:rPr>
        <w:t>Deloitte analysis adapted from NOPSEMA data</w:t>
      </w:r>
    </w:p>
    <w:p w14:paraId="7B09A55A" w14:textId="63253005" w:rsidR="008468CE" w:rsidRDefault="008468CE" w:rsidP="000D4CE1">
      <w:pPr>
        <w:pStyle w:val="BodyCopyNEW"/>
      </w:pPr>
      <w:r>
        <w:t xml:space="preserve">Based on the </w:t>
      </w:r>
      <w:r w:rsidR="006500D6">
        <w:t xml:space="preserve">information </w:t>
      </w:r>
      <w:r>
        <w:t>we have examined, NOPSEMA appear to be operating in a</w:t>
      </w:r>
      <w:r w:rsidR="007F02DF">
        <w:t xml:space="preserve"> reasonably</w:t>
      </w:r>
      <w:r>
        <w:t xml:space="preserve"> efficient manner.</w:t>
      </w:r>
      <w:r w:rsidR="003D6940">
        <w:t xml:space="preserve"> Improvements to operational efficiency would be expected should regulatory process efficiency be improved</w:t>
      </w:r>
      <w:r w:rsidR="007F02DF">
        <w:t xml:space="preserve">, NOPSEMA more to a ‘One NOPSEMA’ operating model, and </w:t>
      </w:r>
      <w:r w:rsidR="00273213">
        <w:t>through the adoption of data-enabled risk-based approaches</w:t>
      </w:r>
      <w:r w:rsidR="003D6940">
        <w:t>.</w:t>
      </w:r>
      <w:r w:rsidR="003F7E89">
        <w:t xml:space="preserve"> </w:t>
      </w:r>
      <w:r w:rsidR="003D6940">
        <w:t xml:space="preserve">For </w:t>
      </w:r>
      <w:r w:rsidR="0021393F">
        <w:t xml:space="preserve">example, </w:t>
      </w:r>
      <w:r w:rsidR="00643140">
        <w:t xml:space="preserve">should </w:t>
      </w:r>
      <w:r w:rsidR="003F7E89">
        <w:t xml:space="preserve">the permissioning document assessment process be </w:t>
      </w:r>
      <w:r w:rsidR="008C59AE">
        <w:t>streamlined further</w:t>
      </w:r>
      <w:r w:rsidR="0039009C">
        <w:t xml:space="preserve"> through digitation, document simplification, or other means</w:t>
      </w:r>
      <w:r w:rsidR="008C59AE">
        <w:t xml:space="preserve"> – as is </w:t>
      </w:r>
      <w:r w:rsidR="00643140">
        <w:t>recommended</w:t>
      </w:r>
      <w:r w:rsidR="008C59AE">
        <w:t xml:space="preserve"> – there should be a corresponding </w:t>
      </w:r>
      <w:r w:rsidR="00DE05EA">
        <w:t>reduction in processing costs for NOPSEMA.</w:t>
      </w:r>
    </w:p>
    <w:p w14:paraId="3DEA9295" w14:textId="5C8D1804" w:rsidR="008468CE" w:rsidRPr="004C497D" w:rsidRDefault="008468CE" w:rsidP="00784E0E">
      <w:pPr>
        <w:pStyle w:val="Heading3"/>
      </w:pPr>
      <w:r w:rsidRPr="004C497D">
        <w:t>NOPSEMA’s cost profile moving forward</w:t>
      </w:r>
    </w:p>
    <w:p w14:paraId="54E33838" w14:textId="77777777" w:rsidR="008468CE" w:rsidRDefault="008468CE" w:rsidP="000D4CE1">
      <w:pPr>
        <w:pStyle w:val="Heading3NoNumber"/>
      </w:pPr>
      <w:r>
        <w:t>NOPSEMA faces an uncertain operating environment over the next 12 to 18 months</w:t>
      </w:r>
    </w:p>
    <w:p w14:paraId="2BF0919D" w14:textId="6D6B0194" w:rsidR="008468CE" w:rsidRDefault="008468CE" w:rsidP="000D4CE1">
      <w:pPr>
        <w:pStyle w:val="BodyCopyNEW"/>
      </w:pPr>
      <w:r>
        <w:t>NOPSEMA’s operating environment continues to evolve. We have outlined three areas of uncertainty and their potential cost implications (see</w:t>
      </w:r>
      <w:r w:rsidR="009B67E3">
        <w:rPr>
          <w:b/>
          <w:bCs/>
        </w:rPr>
        <w:t xml:space="preserve"> </w:t>
      </w:r>
      <w:r w:rsidR="009B67E3" w:rsidRPr="009B67E3">
        <w:rPr>
          <w:b/>
          <w:bCs/>
          <w:highlight w:val="yellow"/>
        </w:rPr>
        <w:fldChar w:fldCharType="begin"/>
      </w:r>
      <w:r w:rsidR="009B67E3" w:rsidRPr="009B67E3">
        <w:rPr>
          <w:b/>
          <w:bCs/>
        </w:rPr>
        <w:instrText xml:space="preserve"> REF _Ref58450932 \h </w:instrText>
      </w:r>
      <w:r w:rsidR="009B67E3" w:rsidRPr="009B67E3">
        <w:rPr>
          <w:b/>
          <w:bCs/>
          <w:highlight w:val="yellow"/>
        </w:rPr>
        <w:instrText xml:space="preserve"> \* MERGEFORMAT </w:instrText>
      </w:r>
      <w:r w:rsidR="009B67E3" w:rsidRPr="009B67E3">
        <w:rPr>
          <w:b/>
          <w:bCs/>
          <w:highlight w:val="yellow"/>
        </w:rPr>
      </w:r>
      <w:r w:rsidR="009B67E3" w:rsidRPr="009B67E3">
        <w:rPr>
          <w:b/>
          <w:bCs/>
          <w:highlight w:val="yellow"/>
        </w:rPr>
        <w:fldChar w:fldCharType="separate"/>
      </w:r>
      <w:r w:rsidR="00E816B8" w:rsidRPr="00E816B8">
        <w:rPr>
          <w:b/>
          <w:bCs/>
        </w:rPr>
        <w:t xml:space="preserve">Table </w:t>
      </w:r>
      <w:r w:rsidR="00E816B8" w:rsidRPr="00E816B8">
        <w:rPr>
          <w:b/>
          <w:bCs/>
          <w:noProof/>
        </w:rPr>
        <w:t>10.1</w:t>
      </w:r>
      <w:r w:rsidR="009B67E3" w:rsidRPr="009B67E3">
        <w:rPr>
          <w:b/>
          <w:bCs/>
          <w:highlight w:val="yellow"/>
        </w:rPr>
        <w:fldChar w:fldCharType="end"/>
      </w:r>
      <w:r>
        <w:t>). These will require careful management by NOPSEMA to ensure it maintains efficiency while potentially building new capabilities and inheriting an expanded remit.</w:t>
      </w:r>
    </w:p>
    <w:p w14:paraId="470F02A3" w14:textId="672B5EDB" w:rsidR="008468CE" w:rsidRPr="009B67E3" w:rsidRDefault="009B67E3" w:rsidP="008D69C2">
      <w:pPr>
        <w:pStyle w:val="Caption"/>
        <w:keepNext/>
      </w:pPr>
      <w:bookmarkStart w:id="149" w:name="_Ref58450932"/>
      <w:r>
        <w:lastRenderedPageBreak/>
        <w:t xml:space="preserve">Table </w:t>
      </w:r>
      <w:r w:rsidR="00F8476B">
        <w:fldChar w:fldCharType="begin"/>
      </w:r>
      <w:r w:rsidR="00F8476B">
        <w:instrText xml:space="preserve"> STYLEREF 1 \s </w:instrText>
      </w:r>
      <w:r w:rsidR="00F8476B">
        <w:fldChar w:fldCharType="separate"/>
      </w:r>
      <w:r w:rsidR="00E816B8">
        <w:rPr>
          <w:noProof/>
        </w:rPr>
        <w:t>10</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1</w:t>
      </w:r>
      <w:r w:rsidR="00F8476B">
        <w:fldChar w:fldCharType="end"/>
      </w:r>
      <w:bookmarkEnd w:id="149"/>
      <w:r>
        <w:t xml:space="preserve">: Potential cost implications of key uncertainties in </w:t>
      </w:r>
      <w:r w:rsidR="00906611">
        <w:t xml:space="preserve">NOPSEMA’s </w:t>
      </w:r>
      <w:r>
        <w:t>environment</w:t>
      </w:r>
    </w:p>
    <w:tbl>
      <w:tblPr>
        <w:tblStyle w:val="ListTable3-Accent3"/>
        <w:tblW w:w="9918"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3114"/>
        <w:gridCol w:w="6804"/>
      </w:tblGrid>
      <w:tr w:rsidR="008468CE" w14:paraId="7D38828F" w14:textId="77777777" w:rsidTr="000D4C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114" w:type="dxa"/>
            <w:tcBorders>
              <w:top w:val="single" w:sz="8" w:space="0" w:color="007680"/>
              <w:bottom w:val="single" w:sz="8" w:space="0" w:color="007680"/>
            </w:tcBorders>
            <w:shd w:val="clear" w:color="auto" w:fill="auto"/>
          </w:tcPr>
          <w:p w14:paraId="25E4EF73" w14:textId="77777777" w:rsidR="008468CE" w:rsidRPr="000D4CE1" w:rsidRDefault="008468CE" w:rsidP="000D4CE1">
            <w:pPr>
              <w:pStyle w:val="Tableheader"/>
              <w:rPr>
                <w:b/>
                <w:bCs/>
              </w:rPr>
            </w:pPr>
            <w:r w:rsidRPr="000D4CE1">
              <w:rPr>
                <w:b/>
                <w:bCs/>
              </w:rPr>
              <w:t>Uncertainty</w:t>
            </w:r>
          </w:p>
        </w:tc>
        <w:tc>
          <w:tcPr>
            <w:tcW w:w="6804" w:type="dxa"/>
            <w:tcBorders>
              <w:top w:val="single" w:sz="8" w:space="0" w:color="007680"/>
              <w:bottom w:val="single" w:sz="8" w:space="0" w:color="007680"/>
            </w:tcBorders>
            <w:shd w:val="clear" w:color="auto" w:fill="auto"/>
          </w:tcPr>
          <w:p w14:paraId="5AC2C626" w14:textId="77777777" w:rsidR="008468CE" w:rsidRPr="000D4CE1" w:rsidRDefault="008468CE" w:rsidP="000D4CE1">
            <w:pPr>
              <w:pStyle w:val="Tableheader"/>
              <w:cnfStyle w:val="100000000000" w:firstRow="1" w:lastRow="0" w:firstColumn="0" w:lastColumn="0" w:oddVBand="0" w:evenVBand="0" w:oddHBand="0" w:evenHBand="0" w:firstRowFirstColumn="0" w:firstRowLastColumn="0" w:lastRowFirstColumn="0" w:lastRowLastColumn="0"/>
              <w:rPr>
                <w:b/>
                <w:bCs/>
              </w:rPr>
            </w:pPr>
            <w:r w:rsidRPr="000D4CE1">
              <w:rPr>
                <w:b/>
                <w:bCs/>
              </w:rPr>
              <w:t>Potential cost implication</w:t>
            </w:r>
          </w:p>
        </w:tc>
      </w:tr>
      <w:tr w:rsidR="008468CE" w14:paraId="703B92B7" w14:textId="77777777" w:rsidTr="000D4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8" w:space="0" w:color="007680"/>
              <w:bottom w:val="single" w:sz="4" w:space="0" w:color="BFBFBF" w:themeColor="background1" w:themeShade="BF"/>
            </w:tcBorders>
            <w:shd w:val="clear" w:color="auto" w:fill="auto"/>
          </w:tcPr>
          <w:p w14:paraId="7BF59138" w14:textId="4764B589" w:rsidR="008468CE" w:rsidRPr="00BE3422" w:rsidRDefault="008468CE" w:rsidP="000D4CE1">
            <w:pPr>
              <w:pStyle w:val="BodyCopyNEW"/>
            </w:pPr>
            <w:r w:rsidRPr="00BE3422">
              <w:t>Changes to NO</w:t>
            </w:r>
            <w:r>
              <w:t>PSEM</w:t>
            </w:r>
            <w:r w:rsidRPr="00BE3422">
              <w:t>A’s mandate to include Offshore Renewables (e.g. NOP</w:t>
            </w:r>
            <w:r>
              <w:t>SEM</w:t>
            </w:r>
            <w:r w:rsidRPr="00BE3422">
              <w:t xml:space="preserve">A becoming the Offshore Renewables </w:t>
            </w:r>
            <w:r>
              <w:t xml:space="preserve">Safety and </w:t>
            </w:r>
            <w:r w:rsidR="001723A8">
              <w:t>Environmental management</w:t>
            </w:r>
            <w:r>
              <w:t xml:space="preserve"> regulator</w:t>
            </w:r>
            <w:r w:rsidRPr="00BE3422">
              <w:t>)</w:t>
            </w:r>
          </w:p>
        </w:tc>
        <w:tc>
          <w:tcPr>
            <w:tcW w:w="6804" w:type="dxa"/>
            <w:tcBorders>
              <w:top w:val="single" w:sz="8" w:space="0" w:color="007680"/>
              <w:bottom w:val="single" w:sz="4" w:space="0" w:color="BFBFBF" w:themeColor="background1" w:themeShade="BF"/>
            </w:tcBorders>
            <w:shd w:val="clear" w:color="auto" w:fill="auto"/>
          </w:tcPr>
          <w:p w14:paraId="16D1197E" w14:textId="080BB21A" w:rsidR="008468CE" w:rsidRDefault="008468CE"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t xml:space="preserve">The quantum of costs incurred will depend on NOPSEMA’s exact remit in the Offshore Renewables </w:t>
            </w:r>
            <w:r w:rsidR="00AE256A">
              <w:t>framework</w:t>
            </w:r>
          </w:p>
          <w:p w14:paraId="6ECBABE5" w14:textId="77777777" w:rsidR="008468CE" w:rsidRDefault="008468CE"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t>There may be an increase to NOPSEMA’s cost base from investing in people, processes, and systems capabilities to undertake an expanded remit</w:t>
            </w:r>
          </w:p>
          <w:p w14:paraId="168E6814" w14:textId="77777777" w:rsidR="008468CE" w:rsidRPr="004173F5" w:rsidRDefault="008468CE"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t>Likely to be an upfront investment required to build capability. The longer-term cost profile will be predominantly dictated by timing and degree of industry uptake of offshore renewables solutions.</w:t>
            </w:r>
          </w:p>
        </w:tc>
      </w:tr>
      <w:tr w:rsidR="008468CE" w14:paraId="2426211D" w14:textId="77777777" w:rsidTr="000D4CE1">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themeColor="background1" w:themeShade="BF"/>
              <w:bottom w:val="single" w:sz="4" w:space="0" w:color="BFBFBF" w:themeColor="background1" w:themeShade="BF"/>
            </w:tcBorders>
            <w:shd w:val="clear" w:color="auto" w:fill="auto"/>
          </w:tcPr>
          <w:p w14:paraId="38787350" w14:textId="77777777" w:rsidR="008468CE" w:rsidRPr="00BE3422" w:rsidRDefault="008468CE" w:rsidP="000D4CE1">
            <w:pPr>
              <w:pStyle w:val="BodyCopyNEW"/>
            </w:pPr>
            <w:r w:rsidRPr="00BE3422">
              <w:t>Decommissioning policy and associated legislative changes</w:t>
            </w:r>
          </w:p>
        </w:tc>
        <w:tc>
          <w:tcPr>
            <w:tcW w:w="6804" w:type="dxa"/>
            <w:tcBorders>
              <w:top w:val="single" w:sz="4" w:space="0" w:color="BFBFBF" w:themeColor="background1" w:themeShade="BF"/>
              <w:bottom w:val="single" w:sz="4" w:space="0" w:color="BFBFBF" w:themeColor="background1" w:themeShade="BF"/>
            </w:tcBorders>
            <w:shd w:val="clear" w:color="auto" w:fill="auto"/>
          </w:tcPr>
          <w:p w14:paraId="7FEC8F36" w14:textId="752E4CA7" w:rsidR="008468CE" w:rsidRDefault="008468CE" w:rsidP="000C1F53">
            <w:pPr>
              <w:pStyle w:val="BodycopyNEW0"/>
              <w:numPr>
                <w:ilvl w:val="0"/>
                <w:numId w:val="23"/>
              </w:numPr>
              <w:ind w:left="378"/>
              <w:cnfStyle w:val="000000000000" w:firstRow="0" w:lastRow="0" w:firstColumn="0" w:lastColumn="0" w:oddVBand="0" w:evenVBand="0" w:oddHBand="0" w:evenHBand="0" w:firstRowFirstColumn="0" w:firstRowLastColumn="0" w:lastRowFirstColumn="0" w:lastRowLastColumn="0"/>
            </w:pPr>
            <w:r>
              <w:t xml:space="preserve">The impact is unknown at this stage. Changes imposed may see an expansion of NOPSEMA’s capabilities with regards to financial assurance over </w:t>
            </w:r>
            <w:r w:rsidR="00EA06AF">
              <w:t>title</w:t>
            </w:r>
            <w:r w:rsidR="001003B9">
              <w:t>holder</w:t>
            </w:r>
            <w:r>
              <w:t xml:space="preserve"> abilities to fund whole of life costs for an asset</w:t>
            </w:r>
          </w:p>
          <w:p w14:paraId="313F11F0" w14:textId="3B40FE46" w:rsidR="008468CE" w:rsidRDefault="008468CE" w:rsidP="000C1F53">
            <w:pPr>
              <w:pStyle w:val="BodycopyNEW0"/>
              <w:numPr>
                <w:ilvl w:val="0"/>
                <w:numId w:val="23"/>
              </w:numPr>
              <w:ind w:left="378"/>
              <w:cnfStyle w:val="000000000000" w:firstRow="0" w:lastRow="0" w:firstColumn="0" w:lastColumn="0" w:oddVBand="0" w:evenVBand="0" w:oddHBand="0" w:evenHBand="0" w:firstRowFirstColumn="0" w:firstRowLastColumn="0" w:lastRowFirstColumn="0" w:lastRowLastColumn="0"/>
            </w:pPr>
            <w:r>
              <w:t>NOPSEMA could explore a supplier panel arrangement in the short-medium term as a means of sourcing capabilities and to manage fluctuations in resource requirements. As the industry trends towards a greater number of transactions, NOPSEMA could explore increasing its inhouse capabilities in this area</w:t>
            </w:r>
          </w:p>
          <w:p w14:paraId="5B9FFFD3" w14:textId="77777777" w:rsidR="008468CE" w:rsidRPr="00EC6975" w:rsidRDefault="008468CE" w:rsidP="000C1F53">
            <w:pPr>
              <w:pStyle w:val="BodycopyNEW0"/>
              <w:numPr>
                <w:ilvl w:val="0"/>
                <w:numId w:val="23"/>
              </w:numPr>
              <w:ind w:left="378"/>
              <w:cnfStyle w:val="000000000000" w:firstRow="0" w:lastRow="0" w:firstColumn="0" w:lastColumn="0" w:oddVBand="0" w:evenVBand="0" w:oddHBand="0" w:evenHBand="0" w:firstRowFirstColumn="0" w:firstRowLastColumn="0" w:lastRowFirstColumn="0" w:lastRowLastColumn="0"/>
            </w:pPr>
            <w:r w:rsidRPr="00BA3859">
              <w:t>A review of cost recovery arrangements to enable NOPSEMA to recover these costs would be required if any change to NOPSEMA’s role eventuates.</w:t>
            </w:r>
          </w:p>
        </w:tc>
      </w:tr>
      <w:tr w:rsidR="008468CE" w14:paraId="685F8B3D" w14:textId="77777777" w:rsidTr="000D4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themeColor="background1" w:themeShade="BF"/>
              <w:bottom w:val="single" w:sz="4" w:space="0" w:color="BFBFBF" w:themeColor="background1" w:themeShade="BF"/>
            </w:tcBorders>
            <w:shd w:val="clear" w:color="auto" w:fill="auto"/>
          </w:tcPr>
          <w:p w14:paraId="65D118BE" w14:textId="77777777" w:rsidR="008468CE" w:rsidRPr="00BE3422" w:rsidRDefault="008468CE" w:rsidP="000D4CE1">
            <w:pPr>
              <w:pStyle w:val="BodyCopyNEW"/>
            </w:pPr>
            <w:r w:rsidRPr="00BE3422">
              <w:t xml:space="preserve">Increasing industry </w:t>
            </w:r>
            <w:r>
              <w:t>transactions</w:t>
            </w:r>
          </w:p>
        </w:tc>
        <w:tc>
          <w:tcPr>
            <w:tcW w:w="6804" w:type="dxa"/>
            <w:tcBorders>
              <w:top w:val="single" w:sz="4" w:space="0" w:color="BFBFBF" w:themeColor="background1" w:themeShade="BF"/>
              <w:bottom w:val="single" w:sz="4" w:space="0" w:color="BFBFBF" w:themeColor="background1" w:themeShade="BF"/>
            </w:tcBorders>
            <w:shd w:val="clear" w:color="auto" w:fill="auto"/>
          </w:tcPr>
          <w:p w14:paraId="21AF2E9B" w14:textId="0C3F8A13" w:rsidR="008468CE" w:rsidRDefault="008468CE"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t>This is part of the longer-term trend of industry maturing, which will likely see an increase in asset sales (i.e. transactions) as larger operators look to exit the market</w:t>
            </w:r>
          </w:p>
          <w:p w14:paraId="589BB444" w14:textId="77777777" w:rsidR="008468CE" w:rsidRPr="00C12393" w:rsidRDefault="008468CE" w:rsidP="000C1F53">
            <w:pPr>
              <w:pStyle w:val="BodycopyNEW0"/>
              <w:numPr>
                <w:ilvl w:val="0"/>
                <w:numId w:val="23"/>
              </w:numPr>
              <w:ind w:left="378"/>
              <w:cnfStyle w:val="000000100000" w:firstRow="0" w:lastRow="0" w:firstColumn="0" w:lastColumn="0" w:oddVBand="0" w:evenVBand="0" w:oddHBand="1" w:evenHBand="0" w:firstRowFirstColumn="0" w:firstRowLastColumn="0" w:lastRowFirstColumn="0" w:lastRowLastColumn="0"/>
            </w:pPr>
            <w:r>
              <w:t>Transactions will require close scrutiny by NOPTA and NOPSEMA, which may have implications for staffing levels.</w:t>
            </w:r>
          </w:p>
        </w:tc>
      </w:tr>
    </w:tbl>
    <w:p w14:paraId="73EF4A39" w14:textId="18B2A285" w:rsidR="00361EF2" w:rsidRPr="00361EF2" w:rsidRDefault="00361EF2" w:rsidP="00361EF2">
      <w:pPr>
        <w:pStyle w:val="Caption"/>
        <w:rPr>
          <w:b w:val="0"/>
          <w:bCs/>
          <w:i/>
          <w:iCs w:val="0"/>
          <w:color w:val="75787B" w:themeColor="accent6"/>
        </w:rPr>
      </w:pPr>
      <w:bookmarkStart w:id="150" w:name="_Ref58594581"/>
      <w:r w:rsidRPr="00361EF2">
        <w:rPr>
          <w:b w:val="0"/>
          <w:bCs/>
          <w:i/>
          <w:iCs w:val="0"/>
          <w:color w:val="75787B" w:themeColor="accent6"/>
        </w:rPr>
        <w:t xml:space="preserve">Source: </w:t>
      </w:r>
      <w:r w:rsidR="00C534DC" w:rsidRPr="00300717">
        <w:rPr>
          <w:b w:val="0"/>
          <w:bCs/>
          <w:i/>
          <w:iCs w:val="0"/>
          <w:color w:val="75787B" w:themeColor="accent6"/>
        </w:rPr>
        <w:t>Deloitte analysis adapted from NOPSEMA data</w:t>
      </w:r>
    </w:p>
    <w:p w14:paraId="346D8AA3" w14:textId="61E39C47" w:rsidR="008468CE" w:rsidRDefault="008468CE" w:rsidP="00901C7B">
      <w:pPr>
        <w:pStyle w:val="Heading2"/>
        <w:spacing w:before="120"/>
      </w:pPr>
      <w:bookmarkStart w:id="151" w:name="_Ref63976608"/>
      <w:r>
        <w:t>Cost recovery</w:t>
      </w:r>
      <w:bookmarkEnd w:id="150"/>
      <w:bookmarkEnd w:id="151"/>
    </w:p>
    <w:p w14:paraId="696C6322" w14:textId="39602728" w:rsidR="008468CE" w:rsidRDefault="00D0158E" w:rsidP="00784E0E">
      <w:pPr>
        <w:pStyle w:val="Heading3"/>
      </w:pPr>
      <w:r>
        <w:t xml:space="preserve">Australian Government </w:t>
      </w:r>
      <w:r w:rsidR="00DD4750">
        <w:t xml:space="preserve">and NOPSEMA </w:t>
      </w:r>
      <w:r>
        <w:t>cost recovery framework</w:t>
      </w:r>
    </w:p>
    <w:p w14:paraId="7E23F9F9" w14:textId="1B58B821" w:rsidR="008468CE" w:rsidRPr="002B3EC4" w:rsidRDefault="008468CE" w:rsidP="000D4CE1">
      <w:pPr>
        <w:pStyle w:val="BodyCopyNEW"/>
        <w:rPr>
          <w:szCs w:val="18"/>
        </w:rPr>
      </w:pPr>
      <w:r w:rsidRPr="002B3EC4">
        <w:rPr>
          <w:szCs w:val="18"/>
        </w:rPr>
        <w:t>The Australian Cost Recovery Guidelines (</w:t>
      </w:r>
      <w:r w:rsidRPr="002B3EC4">
        <w:rPr>
          <w:b/>
          <w:szCs w:val="18"/>
        </w:rPr>
        <w:t>CRGs</w:t>
      </w:r>
      <w:r w:rsidRPr="002B3EC4">
        <w:rPr>
          <w:szCs w:val="18"/>
        </w:rPr>
        <w:t>) set out the overarching framework for government entities to design, implement and review cost recovered activities provided on behalf of the Australian Government</w:t>
      </w:r>
      <w:r w:rsidR="0073194D" w:rsidRPr="002B3EC4">
        <w:rPr>
          <w:rStyle w:val="FootnoteReference"/>
          <w:sz w:val="18"/>
          <w:szCs w:val="18"/>
        </w:rPr>
        <w:footnoteReference w:id="49"/>
      </w:r>
      <w:r w:rsidRPr="002B3EC4">
        <w:rPr>
          <w:szCs w:val="18"/>
        </w:rPr>
        <w:t>. These guidelines apply to NOP</w:t>
      </w:r>
      <w:r w:rsidR="00E201FC" w:rsidRPr="002B3EC4">
        <w:rPr>
          <w:szCs w:val="18"/>
        </w:rPr>
        <w:t>SEM</w:t>
      </w:r>
      <w:r w:rsidRPr="002B3EC4">
        <w:rPr>
          <w:szCs w:val="18"/>
        </w:rPr>
        <w:t xml:space="preserve">A’s approach to cost recovery. The cost recovery framework is underpinned by three principles that must be applied across all stages of the cost recovery process: efficiency and effectiveness, transparency and accountability, and stakeholder engagement. </w:t>
      </w:r>
    </w:p>
    <w:p w14:paraId="7E2D7769" w14:textId="027478D1" w:rsidR="008468CE" w:rsidRPr="002B3EC4" w:rsidRDefault="008468CE" w:rsidP="000D4CE1">
      <w:pPr>
        <w:pStyle w:val="BodyCopyNEW"/>
        <w:rPr>
          <w:szCs w:val="18"/>
        </w:rPr>
      </w:pPr>
      <w:r w:rsidRPr="002B3EC4">
        <w:rPr>
          <w:szCs w:val="18"/>
        </w:rPr>
        <w:t>For each cost recovered activity, the responsible government entity must:</w:t>
      </w:r>
    </w:p>
    <w:p w14:paraId="314AF600" w14:textId="6762FDB0" w:rsidR="008468CE" w:rsidRPr="002B3EC4" w:rsidRDefault="008468CE" w:rsidP="000C1F53">
      <w:pPr>
        <w:pStyle w:val="BodycopyNEW0"/>
        <w:numPr>
          <w:ilvl w:val="0"/>
          <w:numId w:val="23"/>
        </w:numPr>
        <w:ind w:left="378"/>
        <w:rPr>
          <w:szCs w:val="18"/>
        </w:rPr>
      </w:pPr>
      <w:r w:rsidRPr="002B3EC4">
        <w:rPr>
          <w:szCs w:val="18"/>
        </w:rPr>
        <w:t>Obtain policy approval from the Australian government to cost recover</w:t>
      </w:r>
    </w:p>
    <w:p w14:paraId="23CC2569" w14:textId="616DDECA" w:rsidR="008468CE" w:rsidRPr="002B3EC4" w:rsidRDefault="008468CE" w:rsidP="000C1F53">
      <w:pPr>
        <w:pStyle w:val="BodycopyNEW0"/>
        <w:numPr>
          <w:ilvl w:val="0"/>
          <w:numId w:val="23"/>
        </w:numPr>
        <w:ind w:left="378"/>
        <w:rPr>
          <w:szCs w:val="18"/>
        </w:rPr>
      </w:pPr>
      <w:r w:rsidRPr="002B3EC4">
        <w:rPr>
          <w:szCs w:val="18"/>
        </w:rPr>
        <w:t>Hold the statutory authority to charge</w:t>
      </w:r>
    </w:p>
    <w:p w14:paraId="69C3E497" w14:textId="572AA04D" w:rsidR="008468CE" w:rsidRPr="002B3EC4" w:rsidRDefault="008468CE" w:rsidP="000C1F53">
      <w:pPr>
        <w:pStyle w:val="BodycopyNEW0"/>
        <w:numPr>
          <w:ilvl w:val="0"/>
          <w:numId w:val="23"/>
        </w:numPr>
        <w:ind w:left="378"/>
        <w:rPr>
          <w:szCs w:val="18"/>
        </w:rPr>
      </w:pPr>
      <w:r w:rsidRPr="002B3EC4">
        <w:rPr>
          <w:szCs w:val="18"/>
        </w:rPr>
        <w:t>Ensure alignment between expenses and revenue</w:t>
      </w:r>
    </w:p>
    <w:p w14:paraId="1B255E95" w14:textId="41AEE9B6" w:rsidR="008468CE" w:rsidRPr="002B3EC4" w:rsidRDefault="008468CE" w:rsidP="000C1F53">
      <w:pPr>
        <w:pStyle w:val="BodycopyNEW0"/>
        <w:numPr>
          <w:ilvl w:val="0"/>
          <w:numId w:val="23"/>
        </w:numPr>
        <w:ind w:left="378"/>
        <w:rPr>
          <w:szCs w:val="18"/>
        </w:rPr>
      </w:pPr>
      <w:r w:rsidRPr="002B3EC4">
        <w:rPr>
          <w:szCs w:val="18"/>
        </w:rPr>
        <w:t>Maintain up-to-date, publicly available documentation and reporting.</w:t>
      </w:r>
    </w:p>
    <w:p w14:paraId="1CAB6F5F" w14:textId="3E3B2639" w:rsidR="008468CE" w:rsidRPr="002B3EC4" w:rsidRDefault="008468CE" w:rsidP="000D4CE1">
      <w:pPr>
        <w:pStyle w:val="BodyCopyNEW"/>
        <w:rPr>
          <w:szCs w:val="18"/>
        </w:rPr>
      </w:pPr>
      <w:r w:rsidRPr="002B3EC4">
        <w:rPr>
          <w:szCs w:val="18"/>
        </w:rPr>
        <w:t xml:space="preserve">Additionally, each Department of State (in this case, </w:t>
      </w:r>
      <w:r w:rsidR="00077941" w:rsidRPr="002B3EC4">
        <w:rPr>
          <w:szCs w:val="18"/>
        </w:rPr>
        <w:t>Department</w:t>
      </w:r>
      <w:r w:rsidRPr="002B3EC4">
        <w:rPr>
          <w:szCs w:val="18"/>
        </w:rPr>
        <w:t xml:space="preserve"> of Finance) must conduct a portfolio review at least every 5 years. </w:t>
      </w:r>
    </w:p>
    <w:p w14:paraId="57DD5743" w14:textId="77777777" w:rsidR="008468CE" w:rsidRPr="002B3EC4" w:rsidRDefault="008468CE" w:rsidP="000D4CE1">
      <w:pPr>
        <w:pStyle w:val="BodyCopyNEW"/>
        <w:rPr>
          <w:szCs w:val="18"/>
        </w:rPr>
      </w:pPr>
      <w:r w:rsidRPr="002B3EC4">
        <w:rPr>
          <w:szCs w:val="18"/>
        </w:rPr>
        <w:t>NOPSEMA was established to operate on a full cost recovery basis, to be funded by industry fees. NOPSEMA has the statutory authority to charge levies and fees under the OPGGS Act, and:</w:t>
      </w:r>
    </w:p>
    <w:p w14:paraId="61698E03" w14:textId="77777777" w:rsidR="008468CE" w:rsidRPr="002B3EC4" w:rsidRDefault="008468CE" w:rsidP="000C1F53">
      <w:pPr>
        <w:pStyle w:val="BodycopyNEW0"/>
        <w:numPr>
          <w:ilvl w:val="0"/>
          <w:numId w:val="23"/>
        </w:numPr>
        <w:ind w:left="378"/>
        <w:rPr>
          <w:i/>
          <w:szCs w:val="18"/>
        </w:rPr>
      </w:pPr>
      <w:r w:rsidRPr="002B3EC4">
        <w:rPr>
          <w:i/>
          <w:szCs w:val="18"/>
        </w:rPr>
        <w:t>Offshore Petroleum and Greenhouse Gas Storage (Regulatory Levies) Act 2003</w:t>
      </w:r>
    </w:p>
    <w:p w14:paraId="2979FFC7" w14:textId="5EF9F926" w:rsidR="008468CE" w:rsidRPr="00A149B6" w:rsidRDefault="008468CE" w:rsidP="000C1F53">
      <w:pPr>
        <w:pStyle w:val="BodycopyNEW0"/>
        <w:numPr>
          <w:ilvl w:val="0"/>
          <w:numId w:val="23"/>
        </w:numPr>
        <w:ind w:left="378"/>
      </w:pPr>
      <w:r w:rsidRPr="000D4CE1">
        <w:rPr>
          <w:i/>
          <w:iCs/>
        </w:rPr>
        <w:t xml:space="preserve">Offshore Petroleum and Greenhouse Gas Storage (Regulatory Levies) Regulations </w:t>
      </w:r>
      <w:r>
        <w:t>(</w:t>
      </w:r>
      <w:r w:rsidR="00C32F3E">
        <w:t xml:space="preserve">the </w:t>
      </w:r>
      <w:r w:rsidRPr="004C497D">
        <w:rPr>
          <w:b/>
          <w:bCs/>
        </w:rPr>
        <w:t>Regulatory Levies</w:t>
      </w:r>
      <w:r>
        <w:t>)</w:t>
      </w:r>
    </w:p>
    <w:p w14:paraId="57DB9DBF" w14:textId="3E174AD3" w:rsidR="008468CE" w:rsidRPr="000D4CE1" w:rsidRDefault="008468CE" w:rsidP="000C1F53">
      <w:pPr>
        <w:pStyle w:val="BodycopyNEW0"/>
        <w:numPr>
          <w:ilvl w:val="0"/>
          <w:numId w:val="23"/>
        </w:numPr>
        <w:ind w:left="378"/>
        <w:rPr>
          <w:i/>
          <w:iCs/>
        </w:rPr>
      </w:pPr>
      <w:r w:rsidRPr="000D4CE1">
        <w:rPr>
          <w:i/>
          <w:iCs/>
        </w:rPr>
        <w:lastRenderedPageBreak/>
        <w:t>Offshore Petroleum and Greenhouse Gas Storage (Environment) Regulations 2009.</w:t>
      </w:r>
    </w:p>
    <w:p w14:paraId="23C83A11" w14:textId="184570AD" w:rsidR="008468CE" w:rsidRDefault="008468CE" w:rsidP="000D4CE1">
      <w:pPr>
        <w:pStyle w:val="BodyCopyNEW"/>
      </w:pPr>
      <w:r>
        <w:t>Under the CRGs, it is a requirement that e</w:t>
      </w:r>
      <w:r w:rsidRPr="00EE723B">
        <w:t xml:space="preserve">ach cost recovered activity </w:t>
      </w:r>
      <w:r w:rsidR="00C60EA5" w:rsidRPr="00EE723B">
        <w:t>must be</w:t>
      </w:r>
      <w:r w:rsidRPr="00EE723B">
        <w:t xml:space="preserve"> documented in a </w:t>
      </w:r>
      <w:r w:rsidR="00894826">
        <w:t>CRIS</w:t>
      </w:r>
      <w:r>
        <w:t xml:space="preserve"> prior to charges commencing. A CRIS is an explanatory document that provides key information on how cost recovery for a specific government activity is implemented.</w:t>
      </w:r>
      <w:r w:rsidR="00065F92">
        <w:t xml:space="preserve"> </w:t>
      </w:r>
      <w:r>
        <w:t xml:space="preserve">NOPSEMA’s CRIS is set on a three-year cycle </w:t>
      </w:r>
      <w:r w:rsidRPr="00B138C1">
        <w:t xml:space="preserve">in order to provide a stable fiscal regime to </w:t>
      </w:r>
      <w:r w:rsidR="00EA06AF">
        <w:t>title</w:t>
      </w:r>
      <w:r w:rsidR="006D2C53" w:rsidRPr="00B138C1">
        <w:t>holders</w:t>
      </w:r>
      <w:r w:rsidRPr="00B138C1">
        <w:t>.</w:t>
      </w:r>
      <w:r>
        <w:t xml:space="preserve"> NOPSEMA conducts regular reviews of its CRIS to ensure that cost recovery arrangements are adequate and that it can continue to effectively discharge its regulatory functions.</w:t>
      </w:r>
      <w:r w:rsidRPr="002B5030">
        <w:t xml:space="preserve"> </w:t>
      </w:r>
    </w:p>
    <w:p w14:paraId="2BA7F5EC" w14:textId="3732B265" w:rsidR="008468CE" w:rsidRPr="00865FA8" w:rsidRDefault="008468CE" w:rsidP="000D4CE1">
      <w:pPr>
        <w:pStyle w:val="BodyCopyNEW"/>
      </w:pPr>
      <w:r w:rsidRPr="00BF298B">
        <w:t xml:space="preserve">Each financial year, NOPSEMA prepares a report that assesses the cost effectiveness of </w:t>
      </w:r>
      <w:r w:rsidR="00E71EA1">
        <w:t>its</w:t>
      </w:r>
      <w:r w:rsidRPr="00423E7C">
        <w:t xml:space="preserve"> operations</w:t>
      </w:r>
      <w:r w:rsidRPr="00423E7C" w:rsidDel="00930983">
        <w:t xml:space="preserve"> </w:t>
      </w:r>
      <w:r w:rsidR="00930983">
        <w:t xml:space="preserve">(the </w:t>
      </w:r>
      <w:r w:rsidR="00930983" w:rsidRPr="00E94BB2">
        <w:rPr>
          <w:b/>
        </w:rPr>
        <w:t>cost effectiveness report</w:t>
      </w:r>
      <w:r w:rsidR="00930983">
        <w:t>)</w:t>
      </w:r>
      <w:r w:rsidRPr="00423E7C">
        <w:t xml:space="preserve">. The cost effectiveness report </w:t>
      </w:r>
      <w:r>
        <w:t>outlines</w:t>
      </w:r>
      <w:r w:rsidRPr="00423E7C">
        <w:t xml:space="preserve"> NOPSEMA’s</w:t>
      </w:r>
      <w:r w:rsidRPr="00865FA8">
        <w:t>:</w:t>
      </w:r>
    </w:p>
    <w:p w14:paraId="1651DF90" w14:textId="7E6F5E1B" w:rsidR="008468CE" w:rsidRPr="009928EC" w:rsidRDefault="008468CE" w:rsidP="000C1F53">
      <w:pPr>
        <w:pStyle w:val="BodycopyNEW0"/>
        <w:numPr>
          <w:ilvl w:val="0"/>
          <w:numId w:val="23"/>
        </w:numPr>
        <w:ind w:left="378"/>
      </w:pPr>
      <w:r w:rsidRPr="00455212">
        <w:t>F</w:t>
      </w:r>
      <w:r w:rsidRPr="00F74850">
        <w:t>inancials for the year under review</w:t>
      </w:r>
    </w:p>
    <w:p w14:paraId="5DFA4E9C" w14:textId="3259C526" w:rsidR="008468CE" w:rsidRPr="005601A5" w:rsidRDefault="008468CE" w:rsidP="000C1F53">
      <w:pPr>
        <w:pStyle w:val="BodycopyNEW0"/>
        <w:numPr>
          <w:ilvl w:val="0"/>
          <w:numId w:val="23"/>
        </w:numPr>
        <w:ind w:left="378"/>
      </w:pPr>
      <w:r w:rsidRPr="005601A5">
        <w:t xml:space="preserve">Achievement of budget targets and explanations for variations </w:t>
      </w:r>
    </w:p>
    <w:p w14:paraId="66A69275" w14:textId="70D53F67" w:rsidR="008468CE" w:rsidRPr="00ED3A79" w:rsidRDefault="008468CE" w:rsidP="000C1F53">
      <w:pPr>
        <w:pStyle w:val="BodycopyNEW0"/>
        <w:numPr>
          <w:ilvl w:val="0"/>
          <w:numId w:val="23"/>
        </w:numPr>
        <w:ind w:left="378"/>
      </w:pPr>
      <w:r w:rsidRPr="00DF0AA1">
        <w:t>C</w:t>
      </w:r>
      <w:r w:rsidRPr="00ED3A79">
        <w:t xml:space="preserve">urrent cost recovery arrangements </w:t>
      </w:r>
    </w:p>
    <w:p w14:paraId="1F4D7FE7" w14:textId="097B66D0" w:rsidR="008468CE" w:rsidRPr="00ED3A79" w:rsidRDefault="008468CE" w:rsidP="000C1F53">
      <w:pPr>
        <w:pStyle w:val="BodycopyNEW0"/>
        <w:numPr>
          <w:ilvl w:val="0"/>
          <w:numId w:val="23"/>
        </w:numPr>
        <w:ind w:left="378"/>
      </w:pPr>
      <w:r w:rsidRPr="00ED3A79">
        <w:t xml:space="preserve">Key performance data related to its legislated functions </w:t>
      </w:r>
    </w:p>
    <w:p w14:paraId="7B307BE2" w14:textId="32EBC8C1" w:rsidR="008468CE" w:rsidRPr="00BD6384" w:rsidRDefault="008468CE" w:rsidP="000C1F53">
      <w:pPr>
        <w:pStyle w:val="BodycopyNEW0"/>
        <w:numPr>
          <w:ilvl w:val="0"/>
          <w:numId w:val="23"/>
        </w:numPr>
        <w:ind w:left="378"/>
      </w:pPr>
      <w:r w:rsidRPr="00BD6384">
        <w:t xml:space="preserve">Organisational effectiveness </w:t>
      </w:r>
    </w:p>
    <w:p w14:paraId="0E0D8B6F" w14:textId="2B95A9B0" w:rsidR="008468CE" w:rsidRPr="00BD6384" w:rsidRDefault="008468CE" w:rsidP="000C1F53">
      <w:pPr>
        <w:pStyle w:val="BodycopyNEW0"/>
        <w:numPr>
          <w:ilvl w:val="0"/>
          <w:numId w:val="23"/>
        </w:numPr>
        <w:ind w:left="378"/>
      </w:pPr>
      <w:r w:rsidRPr="00BD6384">
        <w:t>Financial outlook.</w:t>
      </w:r>
    </w:p>
    <w:p w14:paraId="2FDE10AC" w14:textId="62CD2915" w:rsidR="00E71EA1" w:rsidRDefault="008468CE" w:rsidP="00E71EA1">
      <w:pPr>
        <w:pStyle w:val="BodyCopyNEW"/>
      </w:pPr>
      <w:r w:rsidRPr="00BD6384">
        <w:t xml:space="preserve">The most recent cost effectiveness report undertaken was for the 2018-19 financial year. </w:t>
      </w:r>
      <w:r w:rsidR="00E71EA1" w:rsidRPr="00645BE5">
        <w:t xml:space="preserve">NOPSEMA outlined in </w:t>
      </w:r>
      <w:r w:rsidR="00E71EA1">
        <w:t>its</w:t>
      </w:r>
      <w:r w:rsidR="00E71EA1" w:rsidRPr="00645BE5">
        <w:t xml:space="preserve"> 2018-19 cost effectiveness report</w:t>
      </w:r>
      <w:r w:rsidR="00E71EA1">
        <w:t xml:space="preserve"> </w:t>
      </w:r>
      <w:r w:rsidR="00E71EA1" w:rsidRPr="00645BE5">
        <w:t xml:space="preserve">that </w:t>
      </w:r>
      <w:r w:rsidR="00E71EA1">
        <w:t>it</w:t>
      </w:r>
      <w:r w:rsidR="00E71EA1" w:rsidRPr="00645BE5">
        <w:t xml:space="preserve"> would</w:t>
      </w:r>
      <w:r w:rsidR="00E71EA1">
        <w:t>:</w:t>
      </w:r>
    </w:p>
    <w:p w14:paraId="75325B1E" w14:textId="77777777" w:rsidR="00E71EA1" w:rsidRDefault="00E71EA1" w:rsidP="000C1F53">
      <w:pPr>
        <w:pStyle w:val="BodycopyNEW0"/>
        <w:numPr>
          <w:ilvl w:val="0"/>
          <w:numId w:val="23"/>
        </w:numPr>
        <w:ind w:left="378"/>
      </w:pPr>
      <w:r>
        <w:t>U</w:t>
      </w:r>
      <w:r w:rsidRPr="00645BE5">
        <w:t xml:space="preserve">ndertake a CRIS review in 2020 to identify whether levies need to increase to meet ongoing regulatory demands. </w:t>
      </w:r>
    </w:p>
    <w:p w14:paraId="27DE766D" w14:textId="2F79952E" w:rsidR="00E71EA1" w:rsidRPr="00A325CF" w:rsidRDefault="00E71EA1" w:rsidP="000C1F53">
      <w:pPr>
        <w:pStyle w:val="BodycopyNEW0"/>
        <w:numPr>
          <w:ilvl w:val="0"/>
          <w:numId w:val="23"/>
        </w:numPr>
        <w:ind w:left="378"/>
      </w:pPr>
      <w:r w:rsidRPr="004C497D">
        <w:t>Consider the timing of levy increases to ensure any increase is not imposed at a time that would create unnecessary burden on industry. However, NOPSEMA advised us that it will seek to minimise changes to levies and fees for industry due to the current economic climate as a result of the COVID-19 pandemic.</w:t>
      </w:r>
      <w:r w:rsidR="00C74C78">
        <w:t xml:space="preserve"> </w:t>
      </w:r>
      <w:r w:rsidR="0052134D">
        <w:t xml:space="preserve">In the 2020 CRIS review, NOPSEMA did not increase levies. </w:t>
      </w:r>
    </w:p>
    <w:p w14:paraId="0E227D98" w14:textId="77777777" w:rsidR="008468CE" w:rsidRPr="00660246" w:rsidRDefault="008468CE" w:rsidP="00784E0E">
      <w:pPr>
        <w:pStyle w:val="Heading3"/>
      </w:pPr>
      <w:bookmarkStart w:id="152" w:name="_Toc54193630"/>
      <w:r w:rsidRPr="00660246">
        <w:t>Current levy and fee structure</w:t>
      </w:r>
      <w:bookmarkEnd w:id="152"/>
    </w:p>
    <w:p w14:paraId="4A1D7831" w14:textId="59E7DE56" w:rsidR="008468CE" w:rsidRPr="002B3EC4" w:rsidRDefault="008468CE" w:rsidP="000D4CE1">
      <w:pPr>
        <w:pStyle w:val="BodyCopyNEW"/>
        <w:rPr>
          <w:szCs w:val="18"/>
          <w:highlight w:val="yellow"/>
        </w:rPr>
      </w:pPr>
      <w:r w:rsidRPr="002B3EC4">
        <w:rPr>
          <w:szCs w:val="18"/>
        </w:rPr>
        <w:t>When NOPSEMA was established in 2012, the cost recovery levies were maintained in a similar form to the arrangements that were in place under NOPSA in order to minimise change for industry and facilitate a smooth hand over in the transition period.</w:t>
      </w:r>
    </w:p>
    <w:p w14:paraId="6BF286E0" w14:textId="1ECDDDB2" w:rsidR="00105B6A" w:rsidRPr="008D69C2" w:rsidRDefault="008468CE" w:rsidP="008D69C2">
      <w:pPr>
        <w:pStyle w:val="BodyCopyNEW"/>
        <w:rPr>
          <w:szCs w:val="18"/>
        </w:rPr>
      </w:pPr>
      <w:r w:rsidRPr="002B3EC4">
        <w:rPr>
          <w:szCs w:val="18"/>
        </w:rPr>
        <w:t xml:space="preserve">NOPSEMA’s revenue is sourced from levies and fees collected from </w:t>
      </w:r>
      <w:r w:rsidR="004927FC" w:rsidRPr="002B3EC4">
        <w:rPr>
          <w:szCs w:val="18"/>
        </w:rPr>
        <w:t>title</w:t>
      </w:r>
      <w:r w:rsidRPr="002B3EC4">
        <w:rPr>
          <w:szCs w:val="18"/>
        </w:rPr>
        <w:t>holders that are planning or undertaking petroleum activities in Commonwealth waters</w:t>
      </w:r>
      <w:r w:rsidR="00C32F3E" w:rsidRPr="002B3EC4">
        <w:rPr>
          <w:szCs w:val="18"/>
        </w:rPr>
        <w:t xml:space="preserve"> and where state/territory powers have been conferred</w:t>
      </w:r>
      <w:r w:rsidRPr="002B3EC4">
        <w:rPr>
          <w:szCs w:val="18"/>
        </w:rPr>
        <w:t>. NOPSEMA’s cost recovery arrangements consist of a range of levies which vary depending on the type and scope of regulatory submissions and fees for specific activities. More specifically, levy revenue is mostly derived from safety levies and environmental levies (refer</w:t>
      </w:r>
      <w:r w:rsidR="002F4B26">
        <w:rPr>
          <w:szCs w:val="18"/>
        </w:rPr>
        <w:t xml:space="preserve"> to</w:t>
      </w:r>
      <w:r w:rsidR="00512F6D">
        <w:rPr>
          <w:szCs w:val="18"/>
        </w:rPr>
        <w:t xml:space="preserve"> </w:t>
      </w:r>
      <w:r w:rsidR="00512F6D" w:rsidRPr="00512F6D">
        <w:rPr>
          <w:b/>
          <w:bCs/>
          <w:szCs w:val="18"/>
        </w:rPr>
        <w:fldChar w:fldCharType="begin"/>
      </w:r>
      <w:r w:rsidR="00512F6D" w:rsidRPr="00512F6D">
        <w:rPr>
          <w:b/>
          <w:bCs/>
          <w:szCs w:val="18"/>
        </w:rPr>
        <w:instrText xml:space="preserve"> REF _Ref63972620 \h </w:instrText>
      </w:r>
      <w:r w:rsidR="00512F6D">
        <w:rPr>
          <w:b/>
          <w:bCs/>
          <w:szCs w:val="18"/>
        </w:rPr>
        <w:instrText xml:space="preserve"> \* MERGEFORMAT </w:instrText>
      </w:r>
      <w:r w:rsidR="00512F6D" w:rsidRPr="00512F6D">
        <w:rPr>
          <w:b/>
          <w:bCs/>
          <w:szCs w:val="18"/>
        </w:rPr>
      </w:r>
      <w:r w:rsidR="00512F6D" w:rsidRPr="00512F6D">
        <w:rPr>
          <w:b/>
          <w:bCs/>
          <w:szCs w:val="18"/>
        </w:rPr>
        <w:fldChar w:fldCharType="separate"/>
      </w:r>
      <w:r w:rsidR="00E816B8" w:rsidRPr="00E816B8">
        <w:rPr>
          <w:b/>
          <w:bCs/>
        </w:rPr>
        <w:t xml:space="preserve">Figure </w:t>
      </w:r>
      <w:r w:rsidR="00E816B8" w:rsidRPr="00E816B8">
        <w:rPr>
          <w:b/>
          <w:bCs/>
          <w:noProof/>
        </w:rPr>
        <w:t>10.7</w:t>
      </w:r>
      <w:r w:rsidR="00512F6D" w:rsidRPr="00512F6D">
        <w:rPr>
          <w:b/>
          <w:bCs/>
          <w:szCs w:val="18"/>
        </w:rPr>
        <w:fldChar w:fldCharType="end"/>
      </w:r>
      <w:r w:rsidR="00512F6D">
        <w:rPr>
          <w:szCs w:val="18"/>
        </w:rPr>
        <w:t>)</w:t>
      </w:r>
      <w:r w:rsidRPr="002B3EC4">
        <w:rPr>
          <w:szCs w:val="18"/>
        </w:rPr>
        <w:t>. Levy revenue has contributed to more than 99</w:t>
      </w:r>
      <w:r w:rsidR="00A63F4B" w:rsidRPr="002B3EC4">
        <w:rPr>
          <w:szCs w:val="18"/>
        </w:rPr>
        <w:t>%</w:t>
      </w:r>
      <w:r w:rsidRPr="002B3EC4">
        <w:rPr>
          <w:szCs w:val="18"/>
        </w:rPr>
        <w:t xml:space="preserve"> of revenue</w:t>
      </w:r>
      <w:r w:rsidR="00CD63E4" w:rsidRPr="002B3EC4">
        <w:rPr>
          <w:rStyle w:val="FootnoteReference"/>
          <w:sz w:val="18"/>
          <w:szCs w:val="18"/>
        </w:rPr>
        <w:footnoteReference w:id="50"/>
      </w:r>
      <w:r w:rsidRPr="002B3EC4">
        <w:rPr>
          <w:szCs w:val="18"/>
        </w:rPr>
        <w:t xml:space="preserve"> since NOPSEMA’s inception in 2012.</w:t>
      </w:r>
      <w:bookmarkStart w:id="153" w:name="_Ref58451002"/>
    </w:p>
    <w:p w14:paraId="7F608830" w14:textId="2D327D87" w:rsidR="009B67E3" w:rsidRPr="00622509" w:rsidRDefault="009B67E3" w:rsidP="008D69C2">
      <w:pPr>
        <w:pStyle w:val="Caption"/>
        <w:keepNext/>
      </w:pPr>
      <w:bookmarkStart w:id="154" w:name="_Ref63972620"/>
      <w:r>
        <w:lastRenderedPageBreak/>
        <w:t xml:space="preserve">Figure </w:t>
      </w:r>
      <w:r w:rsidR="00AD41F8">
        <w:fldChar w:fldCharType="begin"/>
      </w:r>
      <w:r w:rsidR="00AD41F8">
        <w:instrText xml:space="preserve"> STYLEREF 1 \s </w:instrText>
      </w:r>
      <w:r w:rsidR="00AD41F8">
        <w:fldChar w:fldCharType="separate"/>
      </w:r>
      <w:r w:rsidR="00E816B8">
        <w:rPr>
          <w:noProof/>
        </w:rPr>
        <w:t>10</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7</w:t>
      </w:r>
      <w:r w:rsidR="00AD41F8">
        <w:fldChar w:fldCharType="end"/>
      </w:r>
      <w:bookmarkEnd w:id="153"/>
      <w:bookmarkEnd w:id="154"/>
      <w:r>
        <w:t>: NOPSEMA levy revenue, by type, 2014-15 to 2018-19</w:t>
      </w:r>
    </w:p>
    <w:p w14:paraId="11A722E2" w14:textId="77777777" w:rsidR="008468CE" w:rsidRDefault="008468CE" w:rsidP="008468CE">
      <w:pPr>
        <w:spacing w:after="0"/>
      </w:pPr>
      <w:r>
        <w:rPr>
          <w:noProof/>
          <w:lang w:eastAsia="en-AU"/>
        </w:rPr>
        <w:drawing>
          <wp:inline distT="0" distB="0" distL="0" distR="0" wp14:anchorId="4E6E2E6D" wp14:editId="7F552B19">
            <wp:extent cx="6217920" cy="2916000"/>
            <wp:effectExtent l="0" t="0" r="11430" b="17780"/>
            <wp:docPr id="58" name="Chart 5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F5C0CA4-5B92-436B-8817-49775B3C4C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3F20414" w14:textId="5F21BE68" w:rsidR="008468CE" w:rsidRPr="00901C7B" w:rsidRDefault="008468CE" w:rsidP="00A067D9">
      <w:pPr>
        <w:pStyle w:val="Caption"/>
        <w:rPr>
          <w:b w:val="0"/>
          <w:bCs/>
          <w:i/>
          <w:iCs w:val="0"/>
          <w:color w:val="75787B" w:themeColor="accent6"/>
        </w:rPr>
      </w:pPr>
      <w:r w:rsidRPr="00901C7B">
        <w:rPr>
          <w:b w:val="0"/>
          <w:bCs/>
          <w:i/>
          <w:iCs w:val="0"/>
          <w:color w:val="75787B" w:themeColor="accent6"/>
        </w:rPr>
        <w:t xml:space="preserve">Source: </w:t>
      </w:r>
      <w:r w:rsidR="00C534DC" w:rsidRPr="00300717">
        <w:rPr>
          <w:b w:val="0"/>
          <w:bCs/>
          <w:i/>
          <w:iCs w:val="0"/>
          <w:color w:val="75787B" w:themeColor="accent6"/>
        </w:rPr>
        <w:t>Deloitte analysis adapted from NOPSEMA data</w:t>
      </w:r>
      <w:r w:rsidR="00C534DC" w:rsidRPr="00C534DC">
        <w:rPr>
          <w:b w:val="0"/>
          <w:bCs/>
          <w:i/>
          <w:iCs w:val="0"/>
          <w:color w:val="75787B" w:themeColor="accent6"/>
        </w:rPr>
        <w:t xml:space="preserve"> </w:t>
      </w:r>
      <w:r w:rsidR="00C534DC">
        <w:rPr>
          <w:b w:val="0"/>
          <w:bCs/>
          <w:i/>
          <w:iCs w:val="0"/>
          <w:color w:val="75787B" w:themeColor="accent6"/>
        </w:rPr>
        <w:t>(</w:t>
      </w:r>
      <w:r w:rsidR="00C534DC" w:rsidRPr="00901C7B">
        <w:rPr>
          <w:b w:val="0"/>
          <w:bCs/>
          <w:i/>
          <w:iCs w:val="0"/>
          <w:color w:val="75787B" w:themeColor="accent6"/>
        </w:rPr>
        <w:t>NOPSEMA Annual Report 2018-19</w:t>
      </w:r>
      <w:r w:rsidR="00C534DC">
        <w:rPr>
          <w:b w:val="0"/>
          <w:bCs/>
          <w:i/>
          <w:iCs w:val="0"/>
          <w:color w:val="75787B" w:themeColor="accent6"/>
        </w:rPr>
        <w:t>)</w:t>
      </w:r>
    </w:p>
    <w:p w14:paraId="5D100A53" w14:textId="12D7BDF8" w:rsidR="008468CE" w:rsidRPr="00FF6496" w:rsidRDefault="008468CE" w:rsidP="00BA4D90">
      <w:pPr>
        <w:pStyle w:val="Heading4"/>
      </w:pPr>
      <w:r>
        <w:t>Safety case levies</w:t>
      </w:r>
      <w:r w:rsidR="00E71B26">
        <w:rPr>
          <w:rStyle w:val="FootnoteReference"/>
        </w:rPr>
        <w:footnoteReference w:id="51"/>
      </w:r>
    </w:p>
    <w:p w14:paraId="4B68E7CC" w14:textId="77777777" w:rsidR="008468CE" w:rsidRDefault="008468CE" w:rsidP="000D4CE1">
      <w:pPr>
        <w:pStyle w:val="BodyCopyNEW"/>
      </w:pPr>
      <w:r>
        <w:t xml:space="preserve">Safety case levies are imposed on the operators of facilities and are payable when a safety case for a facility is accepted by NOPSEMA. The safety case levy is an annual levy, imposed for a calendar year or part (depending when it comes into force). A safety case levy is comprised of two components, the </w:t>
      </w:r>
    </w:p>
    <w:p w14:paraId="12914831" w14:textId="77777777" w:rsidR="008468CE" w:rsidRDefault="008468CE" w:rsidP="000C1F53">
      <w:pPr>
        <w:pStyle w:val="BodycopyNEW0"/>
        <w:numPr>
          <w:ilvl w:val="0"/>
          <w:numId w:val="23"/>
        </w:numPr>
        <w:ind w:left="378"/>
      </w:pPr>
      <w:r>
        <w:t xml:space="preserve">Safety management system </w:t>
      </w:r>
    </w:p>
    <w:p w14:paraId="6A8B336D" w14:textId="77777777" w:rsidR="008468CE" w:rsidRDefault="008468CE" w:rsidP="000C1F53">
      <w:pPr>
        <w:pStyle w:val="BodycopyNEW0"/>
        <w:numPr>
          <w:ilvl w:val="0"/>
          <w:numId w:val="23"/>
        </w:numPr>
        <w:ind w:left="378"/>
      </w:pPr>
      <w:r>
        <w:t>Facility amount/the pipeline amount.</w:t>
      </w:r>
    </w:p>
    <w:p w14:paraId="518F5FCC" w14:textId="77777777" w:rsidR="008468CE" w:rsidRDefault="008468CE" w:rsidP="000D4CE1">
      <w:pPr>
        <w:pStyle w:val="BodyCopyNEW"/>
      </w:pPr>
      <w:r>
        <w:t>Only one safety management system amount is payable by an operator of a facility regardless of the number of facilities operated.</w:t>
      </w:r>
    </w:p>
    <w:p w14:paraId="43810E67" w14:textId="5554BAE6" w:rsidR="008468CE" w:rsidRPr="008213F0" w:rsidRDefault="008468CE" w:rsidP="000D4CE1">
      <w:pPr>
        <w:pStyle w:val="BodyCopyNEW"/>
      </w:pPr>
      <w:r>
        <w:t xml:space="preserve">The facility amount is derived from the facility rating (a rating of 1 to 25 is assigned, as per the Regulatory </w:t>
      </w:r>
      <w:r w:rsidR="005D2B1F">
        <w:t>Levies</w:t>
      </w:r>
      <w:r>
        <w:t>, reflecting the increasing complexity of facilities) and the unit value (for mobile and other than mobile facilities).</w:t>
      </w:r>
    </w:p>
    <w:p w14:paraId="2ED5BA3A" w14:textId="2E92F0CF" w:rsidR="008468CE" w:rsidRDefault="008468CE" w:rsidP="000D4CE1">
      <w:pPr>
        <w:pStyle w:val="BodyCopyNEW"/>
      </w:pPr>
      <w:r>
        <w:t>NOPSEMA also has the authority to recover actual costs above a $30,000 threshold for safety investigations via an investigation levy, however these are not common.</w:t>
      </w:r>
      <w:r w:rsidRPr="0077757B">
        <w:t xml:space="preserve"> </w:t>
      </w:r>
      <w:r>
        <w:t>The investigation levy covers additional regulatory costs incurred by NOPSEMA in investigating major safety related incidents. Routine investigations generally require low inputs from NOPSEMA and form part of the activities that are cost recovered through the annual levy. If costs exceed $30,000, they would be recovered by the investigation levy from the individual operator. This levy is set to match the additional costs incurred by NOPSEMA (including independent expert witnesses, travel, accommodation and legal fees).</w:t>
      </w:r>
    </w:p>
    <w:p w14:paraId="3EB580C1" w14:textId="11832141" w:rsidR="008468CE" w:rsidRPr="00FF6496" w:rsidRDefault="00D049C9" w:rsidP="00BA4D90">
      <w:pPr>
        <w:pStyle w:val="Heading4"/>
      </w:pPr>
      <w:bookmarkStart w:id="155" w:name="_Toc54193632"/>
      <w:r>
        <w:t>Well</w:t>
      </w:r>
      <w:r w:rsidR="008468CE">
        <w:t xml:space="preserve"> levies</w:t>
      </w:r>
    </w:p>
    <w:bookmarkEnd w:id="155"/>
    <w:p w14:paraId="79D6B15E" w14:textId="6B52DB4E" w:rsidR="008468CE" w:rsidRPr="00393198" w:rsidRDefault="008468CE" w:rsidP="000D4CE1">
      <w:pPr>
        <w:pStyle w:val="BodyCopyNEW"/>
      </w:pPr>
      <w:r>
        <w:t xml:space="preserve">Well levies are imposed on </w:t>
      </w:r>
      <w:r w:rsidR="00EA06AF">
        <w:t>title</w:t>
      </w:r>
      <w:r w:rsidR="00327ACB">
        <w:t>holder</w:t>
      </w:r>
      <w:r>
        <w:t xml:space="preserve">s who hold the relevant permit or licence to conduct well activities. The well levies consist of an annual levy, an activity levy (in relation to a well operations management plan), and an investigation levy. </w:t>
      </w:r>
    </w:p>
    <w:p w14:paraId="3C5F5078" w14:textId="1A027701" w:rsidR="008468CE" w:rsidRDefault="008468CE" w:rsidP="000D4CE1">
      <w:pPr>
        <w:pStyle w:val="BodyCopyNEW"/>
      </w:pPr>
      <w:r>
        <w:t xml:space="preserve">The annual levy applies to all eligible wells, which includes wells that have been drilled within title areas but not abandoned and that require ongoing regulation. The annual levy funds the general compliance monitoring and maintenance of the ongoing regulatory infrastructure (allocated to structural integrity activities). </w:t>
      </w:r>
    </w:p>
    <w:p w14:paraId="2F9EE609" w14:textId="4A2F1E55" w:rsidR="008468CE" w:rsidRDefault="008468CE" w:rsidP="000D4CE1">
      <w:pPr>
        <w:pStyle w:val="BodyCopyNEW"/>
      </w:pPr>
      <w:r>
        <w:t xml:space="preserve">NOPSEMA is required to </w:t>
      </w:r>
      <w:r w:rsidR="00E64676">
        <w:t xml:space="preserve">make decisions regarding WOMPs (e.g. </w:t>
      </w:r>
      <w:r w:rsidR="00EF6751">
        <w:t>approval, rejection)</w:t>
      </w:r>
      <w:r>
        <w:t xml:space="preserve"> </w:t>
      </w:r>
      <w:r w:rsidR="00E64676">
        <w:t>WOMP</w:t>
      </w:r>
      <w:r>
        <w:t>. The activity levy is payable at the time that a registered holder of an eligible title applies for acceptance of a plan. The activity levy is only intended to be imposed in relation to the initial submission and for each five-year revision.</w:t>
      </w:r>
    </w:p>
    <w:p w14:paraId="7DEBA3F5" w14:textId="20673B37" w:rsidR="008468CE" w:rsidRPr="00350E8F" w:rsidRDefault="008468CE" w:rsidP="000D4CE1">
      <w:pPr>
        <w:pStyle w:val="BodyCopyNEW"/>
      </w:pPr>
      <w:r>
        <w:lastRenderedPageBreak/>
        <w:t xml:space="preserve">As above, an investigation levy will apply if costs exceed $30,000 and covers the additional regulatory costs incurred by NOPSEMA in investigating major well related incidents. </w:t>
      </w:r>
    </w:p>
    <w:p w14:paraId="12C2E1DF" w14:textId="430B8668" w:rsidR="008468CE" w:rsidRPr="00FF6496" w:rsidRDefault="008468CE" w:rsidP="00BA4D90">
      <w:pPr>
        <w:pStyle w:val="Heading4"/>
      </w:pPr>
      <w:bookmarkStart w:id="156" w:name="_Toc54193633"/>
      <w:r>
        <w:t>Environment plan levies</w:t>
      </w:r>
    </w:p>
    <w:bookmarkEnd w:id="156"/>
    <w:p w14:paraId="337F4EC8" w14:textId="64B41CC5" w:rsidR="008468CE" w:rsidRDefault="008468CE" w:rsidP="000D4CE1">
      <w:pPr>
        <w:pStyle w:val="BodyCopyNEW"/>
      </w:pPr>
      <w:r>
        <w:t xml:space="preserve">An </w:t>
      </w:r>
      <w:r w:rsidR="00CA0A1A">
        <w:t>EP</w:t>
      </w:r>
      <w:r>
        <w:t xml:space="preserve"> levy is imposed on </w:t>
      </w:r>
      <w:r w:rsidR="00EA06AF">
        <w:t>title</w:t>
      </w:r>
      <w:r w:rsidR="00327ACB">
        <w:t>holder</w:t>
      </w:r>
      <w:r>
        <w:t xml:space="preserve">s who hold the relevant permit or licence to conduct activities. The levy is made up of two components, which are calculated separately and subsequently multiplied by the number of activities within the </w:t>
      </w:r>
      <w:r w:rsidR="00CA0A1A">
        <w:t>EP</w:t>
      </w:r>
      <w:r>
        <w:t xml:space="preserve">. </w:t>
      </w:r>
    </w:p>
    <w:p w14:paraId="5065F077" w14:textId="7BEB7E52" w:rsidR="008468CE" w:rsidRDefault="008468CE" w:rsidP="000D4CE1">
      <w:pPr>
        <w:pStyle w:val="BodyCopyNEW"/>
      </w:pPr>
      <w:r>
        <w:t xml:space="preserve">The </w:t>
      </w:r>
      <w:r w:rsidR="00CA0A1A">
        <w:t>EP</w:t>
      </w:r>
      <w:r>
        <w:t xml:space="preserve"> levy is calculated as:</w:t>
      </w:r>
    </w:p>
    <w:p w14:paraId="6F5EF199" w14:textId="5CE447F7" w:rsidR="008468CE" w:rsidRPr="00AD6A22" w:rsidRDefault="008468CE" w:rsidP="000D4CE1">
      <w:pPr>
        <w:pStyle w:val="BodyCopyNEW"/>
      </w:pPr>
      <w:r w:rsidRPr="000D4CE1">
        <w:rPr>
          <w:i/>
          <w:iCs/>
        </w:rPr>
        <w:t>Number of activities x [(unit value x activity rating) + (unit value x compliance rating x N)]</w:t>
      </w:r>
      <w:r w:rsidR="00AD6A22">
        <w:t xml:space="preserve"> </w:t>
      </w:r>
      <w:r>
        <w:t>where:</w:t>
      </w:r>
    </w:p>
    <w:p w14:paraId="28675F36" w14:textId="3C2D4237" w:rsidR="008468CE" w:rsidRDefault="008468CE" w:rsidP="000C1F53">
      <w:pPr>
        <w:pStyle w:val="BodycopyNEW0"/>
        <w:numPr>
          <w:ilvl w:val="0"/>
          <w:numId w:val="23"/>
        </w:numPr>
        <w:ind w:left="378"/>
      </w:pPr>
      <w:r>
        <w:t>The activity rating is the average regulatory effort required by NOPSEMA in assessing those activities</w:t>
      </w:r>
    </w:p>
    <w:p w14:paraId="20BC725C" w14:textId="259A0001" w:rsidR="008468CE" w:rsidRDefault="008468CE" w:rsidP="000C1F53">
      <w:pPr>
        <w:pStyle w:val="BodycopyNEW0"/>
        <w:numPr>
          <w:ilvl w:val="0"/>
          <w:numId w:val="23"/>
        </w:numPr>
        <w:ind w:left="378"/>
      </w:pPr>
      <w:r>
        <w:t xml:space="preserve">The compliance rating is the average ongoing compliance regulatory effort required by NOPSEMA </w:t>
      </w:r>
    </w:p>
    <w:p w14:paraId="485DC8CC" w14:textId="79C04E7D" w:rsidR="008468CE" w:rsidRDefault="008468CE" w:rsidP="000C1F53">
      <w:pPr>
        <w:pStyle w:val="BodycopyNEW0"/>
        <w:numPr>
          <w:ilvl w:val="0"/>
          <w:numId w:val="23"/>
        </w:numPr>
        <w:ind w:left="378"/>
      </w:pPr>
      <w:r>
        <w:t xml:space="preserve">‘N’ is the number of whole calendar years that the </w:t>
      </w:r>
      <w:r w:rsidR="00CA0A1A">
        <w:t>EP</w:t>
      </w:r>
      <w:r>
        <w:t xml:space="preserve"> is valid.</w:t>
      </w:r>
    </w:p>
    <w:p w14:paraId="50ED2448" w14:textId="77777777" w:rsidR="008468CE" w:rsidRPr="00FF6496" w:rsidRDefault="008468CE" w:rsidP="00BA4D90">
      <w:pPr>
        <w:pStyle w:val="Heading4"/>
      </w:pPr>
      <w:bookmarkStart w:id="157" w:name="_Toc54193634"/>
      <w:r w:rsidRPr="00FF6496">
        <w:t>Fees for expenses</w:t>
      </w:r>
      <w:bookmarkEnd w:id="157"/>
    </w:p>
    <w:p w14:paraId="3495C6C2" w14:textId="7ACF2FC7" w:rsidR="008468CE" w:rsidRDefault="008468CE" w:rsidP="000D4CE1">
      <w:pPr>
        <w:pStyle w:val="BodyCopyNEW"/>
      </w:pPr>
      <w:r>
        <w:t xml:space="preserve">For specific activities, NOPSEMA may charge fees reflecting the expenses occurred in carrying out the activity. </w:t>
      </w:r>
    </w:p>
    <w:p w14:paraId="70F6C9D4" w14:textId="165E8D6F" w:rsidR="008468CE" w:rsidRDefault="008468CE" w:rsidP="000D4CE1">
      <w:pPr>
        <w:pStyle w:val="BodyCopyNEW"/>
      </w:pPr>
      <w:r>
        <w:t xml:space="preserve">NOPSEMA has the authority to charge such a fee to recover all expenses incurred for the purposes of assessing a safety case in relation to a proposed facility. The amount or rate of the fee is an amount determined by the NOPSEMA CEO and must not exceed the total of the expenses incurred by NOPSEMA for the purposes of assessing the safety case. </w:t>
      </w:r>
    </w:p>
    <w:p w14:paraId="46A9C38D" w14:textId="77777777" w:rsidR="008468CE" w:rsidRDefault="008468CE" w:rsidP="000D4CE1">
      <w:pPr>
        <w:pStyle w:val="BodyCopyNEW"/>
      </w:pPr>
      <w:r>
        <w:t xml:space="preserve">Similarly, NOPSEMA also uses the same mechanism to charge fees for assessing offshore project proposals and financial assurance arrangements (in the situation where the APPEA method is not used or if the arrangements are complex). </w:t>
      </w:r>
    </w:p>
    <w:p w14:paraId="6401C52A" w14:textId="3F6C1A88" w:rsidR="008468CE" w:rsidRDefault="008468CE" w:rsidP="000D4CE1">
      <w:pPr>
        <w:pStyle w:val="BodyCopyNEW"/>
      </w:pPr>
      <w:r>
        <w:t>The activities for which these fees are charged are only undertaken occasionally.</w:t>
      </w:r>
    </w:p>
    <w:p w14:paraId="21E53D93" w14:textId="166355F7" w:rsidR="008468CE" w:rsidRPr="00FF6496" w:rsidRDefault="008468CE" w:rsidP="00901C7B">
      <w:pPr>
        <w:pStyle w:val="Heading4"/>
      </w:pPr>
      <w:bookmarkStart w:id="158" w:name="_Ref52893950"/>
      <w:r>
        <w:t>2018-19 CRIS levy increases</w:t>
      </w:r>
    </w:p>
    <w:p w14:paraId="4CC29A51" w14:textId="60C4C90F" w:rsidR="008468CE" w:rsidRDefault="008468CE" w:rsidP="000D4CE1">
      <w:pPr>
        <w:pStyle w:val="BodyCopyNEW"/>
      </w:pPr>
      <w:r>
        <w:t>Analysis undertaken by</w:t>
      </w:r>
      <w:r w:rsidRPr="002730D9">
        <w:t xml:space="preserve"> </w:t>
      </w:r>
      <w:r>
        <w:t>NOPSEMA for</w:t>
      </w:r>
      <w:r w:rsidRPr="002730D9">
        <w:t xml:space="preserve"> </w:t>
      </w:r>
      <w:r>
        <w:t xml:space="preserve">its 2018-19 </w:t>
      </w:r>
      <w:r w:rsidRPr="002B02FA">
        <w:t>CRIS</w:t>
      </w:r>
      <w:r>
        <w:t xml:space="preserve"> forecast </w:t>
      </w:r>
      <w:r w:rsidRPr="005D6BA7">
        <w:t xml:space="preserve">an increase in expenditure for additional </w:t>
      </w:r>
      <w:r w:rsidR="00741028">
        <w:t>personnel</w:t>
      </w:r>
      <w:r w:rsidRPr="005D6BA7">
        <w:t xml:space="preserve"> required to return to ‘steady state’</w:t>
      </w:r>
      <w:r>
        <w:t xml:space="preserve"> FTE establishment</w:t>
      </w:r>
      <w:r w:rsidRPr="005D6BA7">
        <w:t xml:space="preserve"> levels</w:t>
      </w:r>
      <w:r>
        <w:t xml:space="preserve"> and </w:t>
      </w:r>
      <w:r w:rsidRPr="005D6BA7">
        <w:t>to fund</w:t>
      </w:r>
      <w:r>
        <w:t xml:space="preserve"> </w:t>
      </w:r>
      <w:r w:rsidRPr="005D6BA7">
        <w:t xml:space="preserve">‘additional functions’ </w:t>
      </w:r>
      <w:r>
        <w:t>such as</w:t>
      </w:r>
      <w:r w:rsidRPr="005D6BA7">
        <w:t xml:space="preserve"> stakeholder and community engagement to build community confidence in the regulatory </w:t>
      </w:r>
      <w:r w:rsidR="00AE256A">
        <w:t>framework</w:t>
      </w:r>
      <w:r w:rsidRPr="005D6BA7">
        <w:t xml:space="preserve">. </w:t>
      </w:r>
      <w:r>
        <w:t>The analysis showed NOPSEMA would be</w:t>
      </w:r>
      <w:r w:rsidRPr="002B02FA">
        <w:t xml:space="preserve"> unable to ‘break even’ in future years unless levies were </w:t>
      </w:r>
      <w:r w:rsidRPr="00C90770">
        <w:t>increased.</w:t>
      </w:r>
      <w:r>
        <w:t xml:space="preserve"> After consultation with industry stakeholders, unit values were increased by </w:t>
      </w:r>
      <w:r w:rsidDel="00A63F4B">
        <w:t>10</w:t>
      </w:r>
      <w:r w:rsidR="00A63F4B">
        <w:t>%</w:t>
      </w:r>
      <w:r>
        <w:t>, effective 1 January 2019.</w:t>
      </w:r>
      <w:r w:rsidR="00E84E68">
        <w:t xml:space="preserve"> </w:t>
      </w:r>
      <w:r w:rsidR="00E84E68" w:rsidRPr="00E84E68">
        <w:rPr>
          <w:b/>
          <w:bCs/>
        </w:rPr>
        <w:fldChar w:fldCharType="begin"/>
      </w:r>
      <w:r w:rsidR="00E84E68" w:rsidRPr="00E84E68">
        <w:rPr>
          <w:b/>
          <w:bCs/>
        </w:rPr>
        <w:instrText xml:space="preserve"> REF _Ref58451076 \h </w:instrText>
      </w:r>
      <w:r w:rsidR="00E84E68">
        <w:rPr>
          <w:b/>
          <w:bCs/>
        </w:rPr>
        <w:instrText xml:space="preserve"> \* MERGEFORMAT </w:instrText>
      </w:r>
      <w:r w:rsidR="00E84E68" w:rsidRPr="00E84E68">
        <w:rPr>
          <w:b/>
          <w:bCs/>
        </w:rPr>
      </w:r>
      <w:r w:rsidR="00E84E68" w:rsidRPr="00E84E68">
        <w:rPr>
          <w:b/>
          <w:bCs/>
        </w:rPr>
        <w:fldChar w:fldCharType="separate"/>
      </w:r>
      <w:r w:rsidR="00E816B8" w:rsidRPr="00E816B8">
        <w:rPr>
          <w:b/>
          <w:bCs/>
        </w:rPr>
        <w:t xml:space="preserve">Table </w:t>
      </w:r>
      <w:r w:rsidR="00E816B8" w:rsidRPr="00E816B8">
        <w:rPr>
          <w:b/>
          <w:bCs/>
          <w:noProof/>
        </w:rPr>
        <w:t>10.2</w:t>
      </w:r>
      <w:r w:rsidR="00E84E68" w:rsidRPr="00E84E68">
        <w:rPr>
          <w:b/>
          <w:bCs/>
        </w:rPr>
        <w:fldChar w:fldCharType="end"/>
      </w:r>
      <w:r w:rsidR="00E84E68">
        <w:t xml:space="preserve"> </w:t>
      </w:r>
      <w:r>
        <w:t xml:space="preserve">outlines </w:t>
      </w:r>
      <w:r w:rsidRPr="00E61206">
        <w:t xml:space="preserve">the </w:t>
      </w:r>
      <w:r>
        <w:t xml:space="preserve">levy </w:t>
      </w:r>
      <w:r w:rsidRPr="00E61206">
        <w:t>changes</w:t>
      </w:r>
      <w:r>
        <w:t>.</w:t>
      </w:r>
    </w:p>
    <w:p w14:paraId="40F1C3A6" w14:textId="194A9AA2" w:rsidR="008468CE" w:rsidRPr="00622509" w:rsidRDefault="00E84E68" w:rsidP="008D69C2">
      <w:pPr>
        <w:pStyle w:val="Caption"/>
        <w:keepNext/>
      </w:pPr>
      <w:bookmarkStart w:id="159" w:name="_Ref58451076"/>
      <w:r>
        <w:t xml:space="preserve">Table </w:t>
      </w:r>
      <w:r w:rsidR="00F8476B">
        <w:fldChar w:fldCharType="begin"/>
      </w:r>
      <w:r w:rsidR="00F8476B">
        <w:instrText xml:space="preserve"> STYLEREF 1 \s </w:instrText>
      </w:r>
      <w:r w:rsidR="00F8476B">
        <w:fldChar w:fldCharType="separate"/>
      </w:r>
      <w:r w:rsidR="00E816B8">
        <w:rPr>
          <w:noProof/>
        </w:rPr>
        <w:t>10</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2</w:t>
      </w:r>
      <w:r w:rsidR="00F8476B">
        <w:fldChar w:fldCharType="end"/>
      </w:r>
      <w:bookmarkEnd w:id="159"/>
      <w:r>
        <w:t>: NOPSEMA changes to levy rates</w:t>
      </w:r>
    </w:p>
    <w:tbl>
      <w:tblPr>
        <w:tblStyle w:val="ListTable3-Accent3"/>
        <w:tblW w:w="5000" w:type="pct"/>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4619"/>
        <w:gridCol w:w="2667"/>
        <w:gridCol w:w="2578"/>
      </w:tblGrid>
      <w:tr w:rsidR="008468CE" w14:paraId="0A3FFCC4" w14:textId="77777777" w:rsidTr="000D4CE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41" w:type="pct"/>
            <w:tcBorders>
              <w:top w:val="single" w:sz="8" w:space="0" w:color="007680"/>
              <w:bottom w:val="single" w:sz="8" w:space="0" w:color="007680"/>
            </w:tcBorders>
            <w:shd w:val="clear" w:color="auto" w:fill="auto"/>
          </w:tcPr>
          <w:p w14:paraId="7D026EB8" w14:textId="77777777" w:rsidR="008468CE" w:rsidRPr="000D4CE1" w:rsidRDefault="008468CE" w:rsidP="000D4CE1">
            <w:pPr>
              <w:pStyle w:val="Tableheader"/>
              <w:rPr>
                <w:b/>
                <w:bCs/>
              </w:rPr>
            </w:pPr>
            <w:r w:rsidRPr="000D4CE1">
              <w:rPr>
                <w:b/>
                <w:bCs/>
              </w:rPr>
              <w:t>Levy</w:t>
            </w:r>
          </w:p>
        </w:tc>
        <w:tc>
          <w:tcPr>
            <w:tcW w:w="1351" w:type="pct"/>
            <w:tcBorders>
              <w:top w:val="single" w:sz="8" w:space="0" w:color="007680"/>
              <w:bottom w:val="single" w:sz="8" w:space="0" w:color="007680"/>
            </w:tcBorders>
            <w:shd w:val="clear" w:color="auto" w:fill="auto"/>
            <w:vAlign w:val="center"/>
          </w:tcPr>
          <w:p w14:paraId="615E8AB1" w14:textId="77777777" w:rsidR="008468CE" w:rsidRPr="000D4CE1" w:rsidRDefault="008468CE" w:rsidP="000D4CE1">
            <w:pPr>
              <w:pStyle w:val="Tableheader"/>
              <w:cnfStyle w:val="100000000000" w:firstRow="1" w:lastRow="0" w:firstColumn="0" w:lastColumn="0" w:oddVBand="0" w:evenVBand="0" w:oddHBand="0" w:evenHBand="0" w:firstRowFirstColumn="0" w:firstRowLastColumn="0" w:lastRowFirstColumn="0" w:lastRowLastColumn="0"/>
              <w:rPr>
                <w:b/>
                <w:bCs/>
              </w:rPr>
            </w:pPr>
            <w:r w:rsidRPr="000D4CE1">
              <w:rPr>
                <w:b/>
                <w:bCs/>
              </w:rPr>
              <w:t>Levy rates to 31 Dec 2018</w:t>
            </w:r>
          </w:p>
        </w:tc>
        <w:tc>
          <w:tcPr>
            <w:tcW w:w="1307" w:type="pct"/>
            <w:tcBorders>
              <w:top w:val="single" w:sz="8" w:space="0" w:color="007680"/>
              <w:bottom w:val="single" w:sz="8" w:space="0" w:color="007680"/>
            </w:tcBorders>
            <w:shd w:val="clear" w:color="auto" w:fill="auto"/>
          </w:tcPr>
          <w:p w14:paraId="02FBA044" w14:textId="77777777" w:rsidR="008468CE" w:rsidRPr="000D4CE1" w:rsidRDefault="008468CE" w:rsidP="000D4CE1">
            <w:pPr>
              <w:pStyle w:val="Tableheader"/>
              <w:cnfStyle w:val="100000000000" w:firstRow="1" w:lastRow="0" w:firstColumn="0" w:lastColumn="0" w:oddVBand="0" w:evenVBand="0" w:oddHBand="0" w:evenHBand="0" w:firstRowFirstColumn="0" w:firstRowLastColumn="0" w:lastRowFirstColumn="0" w:lastRowLastColumn="0"/>
              <w:rPr>
                <w:b/>
                <w:bCs/>
              </w:rPr>
            </w:pPr>
            <w:r w:rsidRPr="000D4CE1">
              <w:rPr>
                <w:b/>
                <w:bCs/>
              </w:rPr>
              <w:t>Levy rates from 1 Jan 2019</w:t>
            </w:r>
          </w:p>
        </w:tc>
      </w:tr>
      <w:tr w:rsidR="008468CE" w14:paraId="638A58B5" w14:textId="77777777" w:rsidTr="000D4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3" w:type="pct"/>
            <w:gridSpan w:val="2"/>
            <w:tcBorders>
              <w:top w:val="single" w:sz="8" w:space="0" w:color="007680"/>
              <w:bottom w:val="single" w:sz="4" w:space="0" w:color="BFBFBF" w:themeColor="background1" w:themeShade="BF"/>
            </w:tcBorders>
            <w:shd w:val="clear" w:color="auto" w:fill="auto"/>
          </w:tcPr>
          <w:p w14:paraId="53D09730" w14:textId="77777777" w:rsidR="008468CE" w:rsidRPr="000C2F9C" w:rsidRDefault="008468CE" w:rsidP="000D4CE1">
            <w:pPr>
              <w:pStyle w:val="Tablebody"/>
            </w:pPr>
            <w:r w:rsidRPr="000C2F9C">
              <w:t>Safety case levies</w:t>
            </w:r>
          </w:p>
        </w:tc>
        <w:tc>
          <w:tcPr>
            <w:tcW w:w="1307" w:type="pct"/>
            <w:tcBorders>
              <w:top w:val="single" w:sz="8" w:space="0" w:color="007680"/>
              <w:bottom w:val="single" w:sz="4" w:space="0" w:color="BFBFBF" w:themeColor="background1" w:themeShade="BF"/>
            </w:tcBorders>
            <w:shd w:val="clear" w:color="auto" w:fill="auto"/>
          </w:tcPr>
          <w:p w14:paraId="0444EED0" w14:textId="77777777" w:rsidR="008468CE" w:rsidRPr="000C2F9C" w:rsidRDefault="008468CE" w:rsidP="000D4CE1">
            <w:pPr>
              <w:pStyle w:val="Tablebody"/>
              <w:cnfStyle w:val="000000100000" w:firstRow="0" w:lastRow="0" w:firstColumn="0" w:lastColumn="0" w:oddVBand="0" w:evenVBand="0" w:oddHBand="1" w:evenHBand="0" w:firstRowFirstColumn="0" w:firstRowLastColumn="0" w:lastRowFirstColumn="0" w:lastRowLastColumn="0"/>
            </w:pPr>
          </w:p>
        </w:tc>
      </w:tr>
      <w:tr w:rsidR="008468CE" w14:paraId="6783FAF1" w14:textId="77777777" w:rsidTr="000D4CE1">
        <w:tc>
          <w:tcPr>
            <w:cnfStyle w:val="001000000000" w:firstRow="0" w:lastRow="0" w:firstColumn="1" w:lastColumn="0" w:oddVBand="0" w:evenVBand="0" w:oddHBand="0" w:evenHBand="0" w:firstRowFirstColumn="0" w:firstRowLastColumn="0" w:lastRowFirstColumn="0" w:lastRowLastColumn="0"/>
            <w:tcW w:w="2341" w:type="pct"/>
            <w:tcBorders>
              <w:top w:val="single" w:sz="4" w:space="0" w:color="BFBFBF" w:themeColor="background1" w:themeShade="BF"/>
              <w:bottom w:val="single" w:sz="4" w:space="0" w:color="BFBFBF" w:themeColor="background1" w:themeShade="BF"/>
            </w:tcBorders>
            <w:shd w:val="clear" w:color="auto" w:fill="auto"/>
          </w:tcPr>
          <w:p w14:paraId="4D7A0BF8" w14:textId="77777777" w:rsidR="008468CE" w:rsidRPr="000D4CE1" w:rsidRDefault="008468CE" w:rsidP="000D4CE1">
            <w:pPr>
              <w:pStyle w:val="Tablebody"/>
              <w:rPr>
                <w:b w:val="0"/>
                <w:bCs w:val="0"/>
              </w:rPr>
            </w:pPr>
            <w:r w:rsidRPr="000D4CE1">
              <w:rPr>
                <w:b w:val="0"/>
                <w:bCs w:val="0"/>
              </w:rPr>
              <w:t>Facility Amount – unit value</w:t>
            </w:r>
          </w:p>
        </w:tc>
        <w:tc>
          <w:tcPr>
            <w:tcW w:w="1351" w:type="pct"/>
            <w:tcBorders>
              <w:top w:val="single" w:sz="4" w:space="0" w:color="BFBFBF" w:themeColor="background1" w:themeShade="BF"/>
              <w:bottom w:val="single" w:sz="4" w:space="0" w:color="BFBFBF" w:themeColor="background1" w:themeShade="BF"/>
            </w:tcBorders>
            <w:shd w:val="clear" w:color="auto" w:fill="auto"/>
            <w:vAlign w:val="center"/>
          </w:tcPr>
          <w:p w14:paraId="5E29F85E" w14:textId="77777777" w:rsidR="008468CE" w:rsidRPr="00A0033F" w:rsidRDefault="008468CE" w:rsidP="000D4CE1">
            <w:pPr>
              <w:pStyle w:val="Tablebody"/>
              <w:cnfStyle w:val="000000000000" w:firstRow="0" w:lastRow="0" w:firstColumn="0" w:lastColumn="0" w:oddVBand="0" w:evenVBand="0" w:oddHBand="0" w:evenHBand="0" w:firstRowFirstColumn="0" w:firstRowLastColumn="0" w:lastRowFirstColumn="0" w:lastRowLastColumn="0"/>
            </w:pPr>
            <w:r>
              <w:t>$35,000 per year</w:t>
            </w:r>
          </w:p>
        </w:tc>
        <w:tc>
          <w:tcPr>
            <w:tcW w:w="1307" w:type="pct"/>
            <w:tcBorders>
              <w:top w:val="single" w:sz="4" w:space="0" w:color="BFBFBF" w:themeColor="background1" w:themeShade="BF"/>
              <w:bottom w:val="single" w:sz="4" w:space="0" w:color="BFBFBF" w:themeColor="background1" w:themeShade="BF"/>
            </w:tcBorders>
            <w:shd w:val="clear" w:color="auto" w:fill="auto"/>
            <w:vAlign w:val="center"/>
          </w:tcPr>
          <w:p w14:paraId="0B2A0EBC" w14:textId="77777777" w:rsidR="008468CE" w:rsidRPr="00A0033F" w:rsidRDefault="008468CE" w:rsidP="000D4CE1">
            <w:pPr>
              <w:pStyle w:val="Tablebody"/>
              <w:cnfStyle w:val="000000000000" w:firstRow="0" w:lastRow="0" w:firstColumn="0" w:lastColumn="0" w:oddVBand="0" w:evenVBand="0" w:oddHBand="0" w:evenHBand="0" w:firstRowFirstColumn="0" w:firstRowLastColumn="0" w:lastRowFirstColumn="0" w:lastRowLastColumn="0"/>
            </w:pPr>
            <w:r w:rsidRPr="00A0033F">
              <w:t>$38,500</w:t>
            </w:r>
            <w:r>
              <w:t xml:space="preserve"> per year</w:t>
            </w:r>
          </w:p>
        </w:tc>
      </w:tr>
      <w:tr w:rsidR="008468CE" w14:paraId="300CABE2" w14:textId="77777777" w:rsidTr="000D4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pct"/>
            <w:tcBorders>
              <w:top w:val="single" w:sz="4" w:space="0" w:color="BFBFBF" w:themeColor="background1" w:themeShade="BF"/>
              <w:bottom w:val="single" w:sz="4" w:space="0" w:color="BFBFBF" w:themeColor="background1" w:themeShade="BF"/>
            </w:tcBorders>
            <w:shd w:val="clear" w:color="auto" w:fill="auto"/>
          </w:tcPr>
          <w:p w14:paraId="4D3ED5AD" w14:textId="77777777" w:rsidR="008468CE" w:rsidRPr="00A0033F" w:rsidRDefault="008468CE" w:rsidP="000D4CE1">
            <w:pPr>
              <w:pStyle w:val="Tablebody"/>
              <w:rPr>
                <w:b w:val="0"/>
                <w:bCs w:val="0"/>
              </w:rPr>
            </w:pPr>
            <w:r w:rsidRPr="00A0033F">
              <w:rPr>
                <w:b w:val="0"/>
                <w:bCs w:val="0"/>
              </w:rPr>
              <w:t>S</w:t>
            </w:r>
            <w:r>
              <w:rPr>
                <w:b w:val="0"/>
                <w:bCs w:val="0"/>
              </w:rPr>
              <w:t xml:space="preserve">afety </w:t>
            </w:r>
            <w:r w:rsidRPr="00A0033F">
              <w:rPr>
                <w:b w:val="0"/>
                <w:bCs w:val="0"/>
              </w:rPr>
              <w:t>M</w:t>
            </w:r>
            <w:r>
              <w:rPr>
                <w:b w:val="0"/>
                <w:bCs w:val="0"/>
              </w:rPr>
              <w:t xml:space="preserve">anagement </w:t>
            </w:r>
            <w:r w:rsidRPr="00A0033F">
              <w:rPr>
                <w:b w:val="0"/>
                <w:bCs w:val="0"/>
              </w:rPr>
              <w:t>S</w:t>
            </w:r>
            <w:r>
              <w:rPr>
                <w:b w:val="0"/>
                <w:bCs w:val="0"/>
              </w:rPr>
              <w:t>ystem</w:t>
            </w:r>
            <w:r w:rsidRPr="00A0033F">
              <w:rPr>
                <w:b w:val="0"/>
                <w:bCs w:val="0"/>
              </w:rPr>
              <w:t xml:space="preserve"> Amount – mobile facility</w:t>
            </w:r>
          </w:p>
        </w:tc>
        <w:tc>
          <w:tcPr>
            <w:tcW w:w="1351" w:type="pct"/>
            <w:tcBorders>
              <w:top w:val="single" w:sz="4" w:space="0" w:color="BFBFBF" w:themeColor="background1" w:themeShade="BF"/>
              <w:bottom w:val="single" w:sz="4" w:space="0" w:color="BFBFBF" w:themeColor="background1" w:themeShade="BF"/>
            </w:tcBorders>
            <w:shd w:val="clear" w:color="auto" w:fill="auto"/>
            <w:vAlign w:val="center"/>
          </w:tcPr>
          <w:p w14:paraId="7E983DC9" w14:textId="77777777" w:rsidR="008468CE" w:rsidRPr="00A0033F" w:rsidRDefault="008468CE" w:rsidP="000D4CE1">
            <w:pPr>
              <w:pStyle w:val="Tablebody"/>
              <w:cnfStyle w:val="000000100000" w:firstRow="0" w:lastRow="0" w:firstColumn="0" w:lastColumn="0" w:oddVBand="0" w:evenVBand="0" w:oddHBand="1" w:evenHBand="0" w:firstRowFirstColumn="0" w:firstRowLastColumn="0" w:lastRowFirstColumn="0" w:lastRowLastColumn="0"/>
            </w:pPr>
            <w:r>
              <w:t>$113,000 per year</w:t>
            </w:r>
          </w:p>
        </w:tc>
        <w:tc>
          <w:tcPr>
            <w:tcW w:w="1307" w:type="pct"/>
            <w:tcBorders>
              <w:top w:val="single" w:sz="4" w:space="0" w:color="BFBFBF" w:themeColor="background1" w:themeShade="BF"/>
              <w:bottom w:val="single" w:sz="4" w:space="0" w:color="BFBFBF" w:themeColor="background1" w:themeShade="BF"/>
            </w:tcBorders>
            <w:shd w:val="clear" w:color="auto" w:fill="auto"/>
            <w:vAlign w:val="center"/>
          </w:tcPr>
          <w:p w14:paraId="31875676" w14:textId="77777777" w:rsidR="008468CE" w:rsidRDefault="008468CE" w:rsidP="000D4CE1">
            <w:pPr>
              <w:pStyle w:val="Tablebody"/>
              <w:cnfStyle w:val="000000100000" w:firstRow="0" w:lastRow="0" w:firstColumn="0" w:lastColumn="0" w:oddVBand="0" w:evenVBand="0" w:oddHBand="1" w:evenHBand="0" w:firstRowFirstColumn="0" w:firstRowLastColumn="0" w:lastRowFirstColumn="0" w:lastRowLastColumn="0"/>
            </w:pPr>
            <w:r>
              <w:t>$124,300 per year</w:t>
            </w:r>
          </w:p>
        </w:tc>
      </w:tr>
      <w:tr w:rsidR="008468CE" w14:paraId="62EB0D3C" w14:textId="77777777" w:rsidTr="000D4CE1">
        <w:tc>
          <w:tcPr>
            <w:cnfStyle w:val="001000000000" w:firstRow="0" w:lastRow="0" w:firstColumn="1" w:lastColumn="0" w:oddVBand="0" w:evenVBand="0" w:oddHBand="0" w:evenHBand="0" w:firstRowFirstColumn="0" w:firstRowLastColumn="0" w:lastRowFirstColumn="0" w:lastRowLastColumn="0"/>
            <w:tcW w:w="2341" w:type="pct"/>
            <w:tcBorders>
              <w:top w:val="single" w:sz="4" w:space="0" w:color="BFBFBF" w:themeColor="background1" w:themeShade="BF"/>
              <w:bottom w:val="single" w:sz="4" w:space="0" w:color="BFBFBF" w:themeColor="background1" w:themeShade="BF"/>
            </w:tcBorders>
            <w:shd w:val="clear" w:color="auto" w:fill="auto"/>
          </w:tcPr>
          <w:p w14:paraId="712ACDB9" w14:textId="77777777" w:rsidR="008468CE" w:rsidRPr="00A0033F" w:rsidRDefault="008468CE" w:rsidP="000D4CE1">
            <w:pPr>
              <w:pStyle w:val="Tablebody"/>
              <w:rPr>
                <w:b w:val="0"/>
                <w:bCs w:val="0"/>
              </w:rPr>
            </w:pPr>
            <w:r w:rsidRPr="00A0033F">
              <w:rPr>
                <w:b w:val="0"/>
                <w:bCs w:val="0"/>
              </w:rPr>
              <w:t>S</w:t>
            </w:r>
            <w:r>
              <w:rPr>
                <w:b w:val="0"/>
                <w:bCs w:val="0"/>
              </w:rPr>
              <w:t xml:space="preserve">afety </w:t>
            </w:r>
            <w:r w:rsidRPr="00A0033F">
              <w:rPr>
                <w:b w:val="0"/>
                <w:bCs w:val="0"/>
              </w:rPr>
              <w:t>M</w:t>
            </w:r>
            <w:r>
              <w:rPr>
                <w:b w:val="0"/>
                <w:bCs w:val="0"/>
              </w:rPr>
              <w:t xml:space="preserve">anagement </w:t>
            </w:r>
            <w:r w:rsidRPr="00A0033F">
              <w:rPr>
                <w:b w:val="0"/>
                <w:bCs w:val="0"/>
              </w:rPr>
              <w:t>S</w:t>
            </w:r>
            <w:r>
              <w:rPr>
                <w:b w:val="0"/>
                <w:bCs w:val="0"/>
              </w:rPr>
              <w:t>ystem</w:t>
            </w:r>
            <w:r w:rsidRPr="00A0033F">
              <w:rPr>
                <w:b w:val="0"/>
                <w:bCs w:val="0"/>
              </w:rPr>
              <w:t xml:space="preserve"> </w:t>
            </w:r>
            <w:r>
              <w:rPr>
                <w:b w:val="0"/>
                <w:bCs w:val="0"/>
              </w:rPr>
              <w:t>– not a mobile facility</w:t>
            </w:r>
          </w:p>
        </w:tc>
        <w:tc>
          <w:tcPr>
            <w:tcW w:w="1351" w:type="pct"/>
            <w:tcBorders>
              <w:top w:val="single" w:sz="4" w:space="0" w:color="BFBFBF" w:themeColor="background1" w:themeShade="BF"/>
              <w:bottom w:val="single" w:sz="4" w:space="0" w:color="BFBFBF" w:themeColor="background1" w:themeShade="BF"/>
            </w:tcBorders>
            <w:shd w:val="clear" w:color="auto" w:fill="auto"/>
            <w:vAlign w:val="center"/>
          </w:tcPr>
          <w:p w14:paraId="12231D22" w14:textId="77777777" w:rsidR="008468CE" w:rsidRPr="00A0033F" w:rsidRDefault="008468CE" w:rsidP="000D4CE1">
            <w:pPr>
              <w:pStyle w:val="Tablebody"/>
              <w:cnfStyle w:val="000000000000" w:firstRow="0" w:lastRow="0" w:firstColumn="0" w:lastColumn="0" w:oddVBand="0" w:evenVBand="0" w:oddHBand="0" w:evenHBand="0" w:firstRowFirstColumn="0" w:firstRowLastColumn="0" w:lastRowFirstColumn="0" w:lastRowLastColumn="0"/>
            </w:pPr>
            <w:r>
              <w:t>$170,000 per year</w:t>
            </w:r>
          </w:p>
        </w:tc>
        <w:tc>
          <w:tcPr>
            <w:tcW w:w="1307" w:type="pct"/>
            <w:tcBorders>
              <w:top w:val="single" w:sz="4" w:space="0" w:color="BFBFBF" w:themeColor="background1" w:themeShade="BF"/>
              <w:bottom w:val="single" w:sz="4" w:space="0" w:color="BFBFBF" w:themeColor="background1" w:themeShade="BF"/>
            </w:tcBorders>
            <w:shd w:val="clear" w:color="auto" w:fill="auto"/>
            <w:vAlign w:val="center"/>
          </w:tcPr>
          <w:p w14:paraId="68215C9E" w14:textId="77777777" w:rsidR="008468CE" w:rsidRDefault="008468CE" w:rsidP="000D4CE1">
            <w:pPr>
              <w:pStyle w:val="Tablebody"/>
              <w:cnfStyle w:val="000000000000" w:firstRow="0" w:lastRow="0" w:firstColumn="0" w:lastColumn="0" w:oddVBand="0" w:evenVBand="0" w:oddHBand="0" w:evenHBand="0" w:firstRowFirstColumn="0" w:firstRowLastColumn="0" w:lastRowFirstColumn="0" w:lastRowLastColumn="0"/>
            </w:pPr>
            <w:r>
              <w:t>$187,000 per year</w:t>
            </w:r>
          </w:p>
        </w:tc>
      </w:tr>
      <w:tr w:rsidR="008468CE" w14:paraId="24265B8B" w14:textId="77777777" w:rsidTr="000D4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pct"/>
            <w:tcBorders>
              <w:top w:val="single" w:sz="4" w:space="0" w:color="BFBFBF" w:themeColor="background1" w:themeShade="BF"/>
              <w:bottom w:val="single" w:sz="4" w:space="0" w:color="BFBFBF" w:themeColor="background1" w:themeShade="BF"/>
            </w:tcBorders>
            <w:shd w:val="clear" w:color="auto" w:fill="auto"/>
          </w:tcPr>
          <w:p w14:paraId="6E67AFF4" w14:textId="77777777" w:rsidR="008468CE" w:rsidRPr="00A0033F" w:rsidRDefault="008468CE" w:rsidP="000D4CE1">
            <w:pPr>
              <w:pStyle w:val="Tablebody"/>
              <w:rPr>
                <w:b w:val="0"/>
                <w:bCs w:val="0"/>
              </w:rPr>
            </w:pPr>
            <w:r>
              <w:rPr>
                <w:b w:val="0"/>
                <w:bCs w:val="0"/>
              </w:rPr>
              <w:t>Pipeline facility – unit value</w:t>
            </w:r>
          </w:p>
        </w:tc>
        <w:tc>
          <w:tcPr>
            <w:tcW w:w="1351" w:type="pct"/>
            <w:tcBorders>
              <w:top w:val="single" w:sz="4" w:space="0" w:color="BFBFBF" w:themeColor="background1" w:themeShade="BF"/>
              <w:bottom w:val="single" w:sz="4" w:space="0" w:color="BFBFBF" w:themeColor="background1" w:themeShade="BF"/>
            </w:tcBorders>
            <w:shd w:val="clear" w:color="auto" w:fill="auto"/>
            <w:vAlign w:val="center"/>
          </w:tcPr>
          <w:p w14:paraId="1AD618D5" w14:textId="77777777" w:rsidR="008468CE" w:rsidRPr="00A0033F" w:rsidRDefault="008468CE" w:rsidP="000D4CE1">
            <w:pPr>
              <w:pStyle w:val="Tablebody"/>
              <w:cnfStyle w:val="000000100000" w:firstRow="0" w:lastRow="0" w:firstColumn="0" w:lastColumn="0" w:oddVBand="0" w:evenVBand="0" w:oddHBand="1" w:evenHBand="0" w:firstRowFirstColumn="0" w:firstRowLastColumn="0" w:lastRowFirstColumn="0" w:lastRowLastColumn="0"/>
            </w:pPr>
            <w:r>
              <w:t>$14,000 one-off</w:t>
            </w:r>
          </w:p>
        </w:tc>
        <w:tc>
          <w:tcPr>
            <w:tcW w:w="1307" w:type="pct"/>
            <w:tcBorders>
              <w:top w:val="single" w:sz="4" w:space="0" w:color="BFBFBF" w:themeColor="background1" w:themeShade="BF"/>
              <w:bottom w:val="single" w:sz="4" w:space="0" w:color="BFBFBF" w:themeColor="background1" w:themeShade="BF"/>
            </w:tcBorders>
            <w:shd w:val="clear" w:color="auto" w:fill="auto"/>
            <w:vAlign w:val="center"/>
          </w:tcPr>
          <w:p w14:paraId="22835A27" w14:textId="77777777" w:rsidR="008468CE" w:rsidRDefault="008468CE" w:rsidP="000D4CE1">
            <w:pPr>
              <w:pStyle w:val="Tablebody"/>
              <w:cnfStyle w:val="000000100000" w:firstRow="0" w:lastRow="0" w:firstColumn="0" w:lastColumn="0" w:oddVBand="0" w:evenVBand="0" w:oddHBand="1" w:evenHBand="0" w:firstRowFirstColumn="0" w:firstRowLastColumn="0" w:lastRowFirstColumn="0" w:lastRowLastColumn="0"/>
            </w:pPr>
            <w:r>
              <w:t>$15,400 one-off</w:t>
            </w:r>
          </w:p>
        </w:tc>
      </w:tr>
      <w:tr w:rsidR="008468CE" w14:paraId="5A29B1A2" w14:textId="77777777" w:rsidTr="000D4CE1">
        <w:tc>
          <w:tcPr>
            <w:cnfStyle w:val="001000000000" w:firstRow="0" w:lastRow="0" w:firstColumn="1" w:lastColumn="0" w:oddVBand="0" w:evenVBand="0" w:oddHBand="0" w:evenHBand="0" w:firstRowFirstColumn="0" w:firstRowLastColumn="0" w:lastRowFirstColumn="0" w:lastRowLastColumn="0"/>
            <w:tcW w:w="2341" w:type="pct"/>
            <w:tcBorders>
              <w:top w:val="single" w:sz="4" w:space="0" w:color="BFBFBF" w:themeColor="background1" w:themeShade="BF"/>
              <w:bottom w:val="single" w:sz="4" w:space="0" w:color="BFBFBF" w:themeColor="background1" w:themeShade="BF"/>
            </w:tcBorders>
            <w:shd w:val="clear" w:color="auto" w:fill="auto"/>
          </w:tcPr>
          <w:p w14:paraId="6E92A102" w14:textId="77777777" w:rsidR="008468CE" w:rsidRPr="00A0033F" w:rsidRDefault="008468CE" w:rsidP="000D4CE1">
            <w:pPr>
              <w:pStyle w:val="Tablebody"/>
              <w:rPr>
                <w:b w:val="0"/>
                <w:bCs w:val="0"/>
              </w:rPr>
            </w:pPr>
            <w:r w:rsidRPr="00A0033F">
              <w:rPr>
                <w:b w:val="0"/>
                <w:bCs w:val="0"/>
              </w:rPr>
              <w:t>S</w:t>
            </w:r>
            <w:r>
              <w:rPr>
                <w:b w:val="0"/>
                <w:bCs w:val="0"/>
              </w:rPr>
              <w:t xml:space="preserve">afety </w:t>
            </w:r>
            <w:r w:rsidRPr="00A0033F">
              <w:rPr>
                <w:b w:val="0"/>
                <w:bCs w:val="0"/>
              </w:rPr>
              <w:t>M</w:t>
            </w:r>
            <w:r>
              <w:rPr>
                <w:b w:val="0"/>
                <w:bCs w:val="0"/>
              </w:rPr>
              <w:t xml:space="preserve">anagement </w:t>
            </w:r>
            <w:r w:rsidRPr="00A0033F">
              <w:rPr>
                <w:b w:val="0"/>
                <w:bCs w:val="0"/>
              </w:rPr>
              <w:t>S</w:t>
            </w:r>
            <w:r>
              <w:rPr>
                <w:b w:val="0"/>
                <w:bCs w:val="0"/>
              </w:rPr>
              <w:t>ystem - pipeline facility</w:t>
            </w:r>
          </w:p>
        </w:tc>
        <w:tc>
          <w:tcPr>
            <w:tcW w:w="1351" w:type="pct"/>
            <w:tcBorders>
              <w:top w:val="single" w:sz="4" w:space="0" w:color="BFBFBF" w:themeColor="background1" w:themeShade="BF"/>
              <w:bottom w:val="single" w:sz="4" w:space="0" w:color="BFBFBF" w:themeColor="background1" w:themeShade="BF"/>
            </w:tcBorders>
            <w:shd w:val="clear" w:color="auto" w:fill="auto"/>
            <w:vAlign w:val="center"/>
          </w:tcPr>
          <w:p w14:paraId="0A37CECE" w14:textId="77777777" w:rsidR="008468CE" w:rsidRPr="00A0033F" w:rsidRDefault="008468CE" w:rsidP="000D4CE1">
            <w:pPr>
              <w:pStyle w:val="Tablebody"/>
              <w:cnfStyle w:val="000000000000" w:firstRow="0" w:lastRow="0" w:firstColumn="0" w:lastColumn="0" w:oddVBand="0" w:evenVBand="0" w:oddHBand="0" w:evenHBand="0" w:firstRowFirstColumn="0" w:firstRowLastColumn="0" w:lastRowFirstColumn="0" w:lastRowLastColumn="0"/>
            </w:pPr>
            <w:r>
              <w:t>$56,000 one-off</w:t>
            </w:r>
          </w:p>
        </w:tc>
        <w:tc>
          <w:tcPr>
            <w:tcW w:w="1307" w:type="pct"/>
            <w:tcBorders>
              <w:top w:val="single" w:sz="4" w:space="0" w:color="BFBFBF" w:themeColor="background1" w:themeShade="BF"/>
              <w:bottom w:val="single" w:sz="4" w:space="0" w:color="BFBFBF" w:themeColor="background1" w:themeShade="BF"/>
            </w:tcBorders>
            <w:shd w:val="clear" w:color="auto" w:fill="auto"/>
            <w:vAlign w:val="center"/>
          </w:tcPr>
          <w:p w14:paraId="1A0558BB" w14:textId="77777777" w:rsidR="008468CE" w:rsidRDefault="008468CE" w:rsidP="000D4CE1">
            <w:pPr>
              <w:pStyle w:val="Tablebody"/>
              <w:cnfStyle w:val="000000000000" w:firstRow="0" w:lastRow="0" w:firstColumn="0" w:lastColumn="0" w:oddVBand="0" w:evenVBand="0" w:oddHBand="0" w:evenHBand="0" w:firstRowFirstColumn="0" w:firstRowLastColumn="0" w:lastRowFirstColumn="0" w:lastRowLastColumn="0"/>
            </w:pPr>
            <w:r>
              <w:t>$61,600 one-off</w:t>
            </w:r>
          </w:p>
        </w:tc>
      </w:tr>
      <w:tr w:rsidR="008468CE" w:rsidRPr="00A0033F" w14:paraId="5B07AB42" w14:textId="77777777" w:rsidTr="000D4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3" w:type="pct"/>
            <w:gridSpan w:val="2"/>
            <w:tcBorders>
              <w:top w:val="single" w:sz="4" w:space="0" w:color="BFBFBF" w:themeColor="background1" w:themeShade="BF"/>
              <w:bottom w:val="single" w:sz="4" w:space="0" w:color="BFBFBF" w:themeColor="background1" w:themeShade="BF"/>
            </w:tcBorders>
            <w:shd w:val="clear" w:color="auto" w:fill="auto"/>
          </w:tcPr>
          <w:p w14:paraId="0C907A6F" w14:textId="77777777" w:rsidR="008468CE" w:rsidRPr="00A0033F" w:rsidRDefault="008468CE" w:rsidP="000D4CE1">
            <w:pPr>
              <w:pStyle w:val="Tablebody"/>
            </w:pPr>
            <w:r>
              <w:t>Structural integrity (well) levies</w:t>
            </w:r>
          </w:p>
        </w:tc>
        <w:tc>
          <w:tcPr>
            <w:tcW w:w="1307" w:type="pct"/>
            <w:tcBorders>
              <w:top w:val="single" w:sz="4" w:space="0" w:color="BFBFBF" w:themeColor="background1" w:themeShade="BF"/>
              <w:bottom w:val="single" w:sz="4" w:space="0" w:color="BFBFBF" w:themeColor="background1" w:themeShade="BF"/>
            </w:tcBorders>
            <w:shd w:val="clear" w:color="auto" w:fill="auto"/>
          </w:tcPr>
          <w:p w14:paraId="1DB59AFD" w14:textId="77777777" w:rsidR="008468CE" w:rsidRDefault="008468CE" w:rsidP="000D4CE1">
            <w:pPr>
              <w:pStyle w:val="Tablebody"/>
              <w:cnfStyle w:val="000000100000" w:firstRow="0" w:lastRow="0" w:firstColumn="0" w:lastColumn="0" w:oddVBand="0" w:evenVBand="0" w:oddHBand="1" w:evenHBand="0" w:firstRowFirstColumn="0" w:firstRowLastColumn="0" w:lastRowFirstColumn="0" w:lastRowLastColumn="0"/>
            </w:pPr>
          </w:p>
        </w:tc>
      </w:tr>
      <w:tr w:rsidR="008468CE" w:rsidRPr="00A0033F" w14:paraId="03CA28CB" w14:textId="77777777" w:rsidTr="000D4CE1">
        <w:tc>
          <w:tcPr>
            <w:cnfStyle w:val="001000000000" w:firstRow="0" w:lastRow="0" w:firstColumn="1" w:lastColumn="0" w:oddVBand="0" w:evenVBand="0" w:oddHBand="0" w:evenHBand="0" w:firstRowFirstColumn="0" w:firstRowLastColumn="0" w:lastRowFirstColumn="0" w:lastRowLastColumn="0"/>
            <w:tcW w:w="2341" w:type="pct"/>
            <w:tcBorders>
              <w:top w:val="single" w:sz="4" w:space="0" w:color="BFBFBF" w:themeColor="background1" w:themeShade="BF"/>
              <w:bottom w:val="single" w:sz="4" w:space="0" w:color="BFBFBF" w:themeColor="background1" w:themeShade="BF"/>
            </w:tcBorders>
            <w:shd w:val="clear" w:color="auto" w:fill="auto"/>
          </w:tcPr>
          <w:p w14:paraId="5041EA87" w14:textId="77777777" w:rsidR="008468CE" w:rsidRPr="00641234" w:rsidRDefault="008468CE" w:rsidP="000D4CE1">
            <w:pPr>
              <w:pStyle w:val="Tablebody"/>
              <w:rPr>
                <w:b w:val="0"/>
                <w:bCs w:val="0"/>
              </w:rPr>
            </w:pPr>
            <w:r w:rsidRPr="00641234">
              <w:rPr>
                <w:b w:val="0"/>
                <w:bCs w:val="0"/>
              </w:rPr>
              <w:t>Annual well levy</w:t>
            </w:r>
          </w:p>
        </w:tc>
        <w:tc>
          <w:tcPr>
            <w:tcW w:w="1351" w:type="pct"/>
            <w:tcBorders>
              <w:top w:val="single" w:sz="4" w:space="0" w:color="BFBFBF" w:themeColor="background1" w:themeShade="BF"/>
              <w:bottom w:val="single" w:sz="4" w:space="0" w:color="BFBFBF" w:themeColor="background1" w:themeShade="BF"/>
            </w:tcBorders>
            <w:shd w:val="clear" w:color="auto" w:fill="auto"/>
            <w:vAlign w:val="center"/>
          </w:tcPr>
          <w:p w14:paraId="0BCF17EF" w14:textId="77777777" w:rsidR="008468CE" w:rsidRPr="00A0033F" w:rsidRDefault="008468CE" w:rsidP="000D4CE1">
            <w:pPr>
              <w:pStyle w:val="Tablebody"/>
              <w:cnfStyle w:val="000000000000" w:firstRow="0" w:lastRow="0" w:firstColumn="0" w:lastColumn="0" w:oddVBand="0" w:evenVBand="0" w:oddHBand="0" w:evenHBand="0" w:firstRowFirstColumn="0" w:firstRowLastColumn="0" w:lastRowFirstColumn="0" w:lastRowLastColumn="0"/>
            </w:pPr>
            <w:r>
              <w:t>$4,125 per year</w:t>
            </w:r>
          </w:p>
        </w:tc>
        <w:tc>
          <w:tcPr>
            <w:tcW w:w="1307" w:type="pct"/>
            <w:tcBorders>
              <w:top w:val="single" w:sz="4" w:space="0" w:color="BFBFBF" w:themeColor="background1" w:themeShade="BF"/>
              <w:bottom w:val="single" w:sz="4" w:space="0" w:color="BFBFBF" w:themeColor="background1" w:themeShade="BF"/>
            </w:tcBorders>
            <w:shd w:val="clear" w:color="auto" w:fill="auto"/>
            <w:vAlign w:val="center"/>
          </w:tcPr>
          <w:p w14:paraId="22D5EBF7" w14:textId="77777777" w:rsidR="008468CE" w:rsidRDefault="008468CE" w:rsidP="000D4CE1">
            <w:pPr>
              <w:pStyle w:val="Tablebody"/>
              <w:cnfStyle w:val="000000000000" w:firstRow="0" w:lastRow="0" w:firstColumn="0" w:lastColumn="0" w:oddVBand="0" w:evenVBand="0" w:oddHBand="0" w:evenHBand="0" w:firstRowFirstColumn="0" w:firstRowLastColumn="0" w:lastRowFirstColumn="0" w:lastRowLastColumn="0"/>
            </w:pPr>
            <w:r>
              <w:t>$4,540 per year</w:t>
            </w:r>
          </w:p>
        </w:tc>
      </w:tr>
      <w:tr w:rsidR="008468CE" w:rsidRPr="00A0033F" w14:paraId="4C33466C" w14:textId="77777777" w:rsidTr="000D4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1" w:type="pct"/>
            <w:tcBorders>
              <w:top w:val="single" w:sz="4" w:space="0" w:color="BFBFBF" w:themeColor="background1" w:themeShade="BF"/>
              <w:bottom w:val="single" w:sz="4" w:space="0" w:color="BFBFBF" w:themeColor="background1" w:themeShade="BF"/>
            </w:tcBorders>
            <w:shd w:val="clear" w:color="auto" w:fill="auto"/>
          </w:tcPr>
          <w:p w14:paraId="7D8BA0D9" w14:textId="77777777" w:rsidR="008468CE" w:rsidRPr="00641234" w:rsidRDefault="008468CE" w:rsidP="000D4CE1">
            <w:pPr>
              <w:pStyle w:val="Tablebody"/>
              <w:rPr>
                <w:b w:val="0"/>
                <w:bCs w:val="0"/>
              </w:rPr>
            </w:pPr>
            <w:r w:rsidRPr="00641234">
              <w:rPr>
                <w:b w:val="0"/>
                <w:bCs w:val="0"/>
              </w:rPr>
              <w:t>Well operations management plan</w:t>
            </w:r>
          </w:p>
        </w:tc>
        <w:tc>
          <w:tcPr>
            <w:tcW w:w="1351" w:type="pct"/>
            <w:tcBorders>
              <w:top w:val="single" w:sz="4" w:space="0" w:color="BFBFBF" w:themeColor="background1" w:themeShade="BF"/>
              <w:bottom w:val="single" w:sz="4" w:space="0" w:color="BFBFBF" w:themeColor="background1" w:themeShade="BF"/>
            </w:tcBorders>
            <w:shd w:val="clear" w:color="auto" w:fill="auto"/>
            <w:vAlign w:val="center"/>
          </w:tcPr>
          <w:p w14:paraId="70A6B25E" w14:textId="77777777" w:rsidR="008468CE" w:rsidRPr="00A0033F" w:rsidRDefault="008468CE" w:rsidP="000D4CE1">
            <w:pPr>
              <w:pStyle w:val="Tablebody"/>
              <w:cnfStyle w:val="000000100000" w:firstRow="0" w:lastRow="0" w:firstColumn="0" w:lastColumn="0" w:oddVBand="0" w:evenVBand="0" w:oddHBand="1" w:evenHBand="0" w:firstRowFirstColumn="0" w:firstRowLastColumn="0" w:lastRowFirstColumn="0" w:lastRowLastColumn="0"/>
            </w:pPr>
            <w:r>
              <w:t>$35,000 unit value</w:t>
            </w:r>
          </w:p>
        </w:tc>
        <w:tc>
          <w:tcPr>
            <w:tcW w:w="1307" w:type="pct"/>
            <w:tcBorders>
              <w:top w:val="single" w:sz="4" w:space="0" w:color="BFBFBF" w:themeColor="background1" w:themeShade="BF"/>
              <w:bottom w:val="single" w:sz="4" w:space="0" w:color="BFBFBF" w:themeColor="background1" w:themeShade="BF"/>
            </w:tcBorders>
            <w:shd w:val="clear" w:color="auto" w:fill="auto"/>
            <w:vAlign w:val="center"/>
          </w:tcPr>
          <w:p w14:paraId="4615C4FF" w14:textId="77777777" w:rsidR="008468CE" w:rsidRDefault="008468CE" w:rsidP="000D4CE1">
            <w:pPr>
              <w:pStyle w:val="Tablebody"/>
              <w:cnfStyle w:val="000000100000" w:firstRow="0" w:lastRow="0" w:firstColumn="0" w:lastColumn="0" w:oddVBand="0" w:evenVBand="0" w:oddHBand="1" w:evenHBand="0" w:firstRowFirstColumn="0" w:firstRowLastColumn="0" w:lastRowFirstColumn="0" w:lastRowLastColumn="0"/>
            </w:pPr>
            <w:r>
              <w:t>$38,500 unit value</w:t>
            </w:r>
          </w:p>
        </w:tc>
      </w:tr>
      <w:tr w:rsidR="008468CE" w14:paraId="5EFB0741" w14:textId="77777777" w:rsidTr="000D4CE1">
        <w:tc>
          <w:tcPr>
            <w:cnfStyle w:val="001000000000" w:firstRow="0" w:lastRow="0" w:firstColumn="1" w:lastColumn="0" w:oddVBand="0" w:evenVBand="0" w:oddHBand="0" w:evenHBand="0" w:firstRowFirstColumn="0" w:firstRowLastColumn="0" w:lastRowFirstColumn="0" w:lastRowLastColumn="0"/>
            <w:tcW w:w="3693" w:type="pct"/>
            <w:gridSpan w:val="2"/>
            <w:tcBorders>
              <w:top w:val="single" w:sz="4" w:space="0" w:color="BFBFBF" w:themeColor="background1" w:themeShade="BF"/>
              <w:bottom w:val="single" w:sz="4" w:space="0" w:color="BFBFBF" w:themeColor="background1" w:themeShade="BF"/>
            </w:tcBorders>
            <w:shd w:val="clear" w:color="auto" w:fill="auto"/>
          </w:tcPr>
          <w:p w14:paraId="66218AA1" w14:textId="77777777" w:rsidR="008468CE" w:rsidRPr="006B7F12" w:rsidRDefault="008468CE" w:rsidP="000D4CE1">
            <w:pPr>
              <w:pStyle w:val="Tablebody"/>
            </w:pPr>
            <w:r>
              <w:t>Environment plan levies</w:t>
            </w:r>
          </w:p>
        </w:tc>
        <w:tc>
          <w:tcPr>
            <w:tcW w:w="1307" w:type="pct"/>
            <w:tcBorders>
              <w:top w:val="single" w:sz="4" w:space="0" w:color="BFBFBF" w:themeColor="background1" w:themeShade="BF"/>
              <w:bottom w:val="single" w:sz="4" w:space="0" w:color="BFBFBF" w:themeColor="background1" w:themeShade="BF"/>
            </w:tcBorders>
            <w:shd w:val="clear" w:color="auto" w:fill="auto"/>
          </w:tcPr>
          <w:p w14:paraId="2FD023D2" w14:textId="77777777" w:rsidR="008468CE" w:rsidRDefault="008468CE" w:rsidP="000D4CE1">
            <w:pPr>
              <w:pStyle w:val="Tablebody"/>
              <w:cnfStyle w:val="000000000000" w:firstRow="0" w:lastRow="0" w:firstColumn="0" w:lastColumn="0" w:oddVBand="0" w:evenVBand="0" w:oddHBand="0" w:evenHBand="0" w:firstRowFirstColumn="0" w:firstRowLastColumn="0" w:lastRowFirstColumn="0" w:lastRowLastColumn="0"/>
            </w:pPr>
          </w:p>
        </w:tc>
      </w:tr>
      <w:tr w:rsidR="008468CE" w14:paraId="52DE017D" w14:textId="77777777" w:rsidTr="00105B6A">
        <w:trPr>
          <w:cnfStyle w:val="000000100000" w:firstRow="0" w:lastRow="0" w:firstColumn="0" w:lastColumn="0" w:oddVBand="0" w:evenVBand="0" w:oddHBand="1" w:evenHBand="0" w:firstRowFirstColumn="0" w:firstRowLastColumn="0" w:lastRowFirstColumn="0" w:lastRowLastColumn="0"/>
          <w:trHeight w:val="13"/>
        </w:trPr>
        <w:tc>
          <w:tcPr>
            <w:cnfStyle w:val="001000000000" w:firstRow="0" w:lastRow="0" w:firstColumn="1" w:lastColumn="0" w:oddVBand="0" w:evenVBand="0" w:oddHBand="0" w:evenHBand="0" w:firstRowFirstColumn="0" w:firstRowLastColumn="0" w:lastRowFirstColumn="0" w:lastRowLastColumn="0"/>
            <w:tcW w:w="2341" w:type="pct"/>
            <w:tcBorders>
              <w:top w:val="single" w:sz="4" w:space="0" w:color="BFBFBF" w:themeColor="background1" w:themeShade="BF"/>
              <w:bottom w:val="single" w:sz="4" w:space="0" w:color="BFBFBF" w:themeColor="background1" w:themeShade="BF"/>
            </w:tcBorders>
            <w:shd w:val="clear" w:color="auto" w:fill="auto"/>
          </w:tcPr>
          <w:p w14:paraId="5F522BE4" w14:textId="77777777" w:rsidR="008468CE" w:rsidRPr="00641234" w:rsidRDefault="008468CE" w:rsidP="000D4CE1">
            <w:pPr>
              <w:pStyle w:val="Tablebody"/>
              <w:rPr>
                <w:b w:val="0"/>
                <w:bCs w:val="0"/>
              </w:rPr>
            </w:pPr>
            <w:r w:rsidRPr="00641234">
              <w:rPr>
                <w:b w:val="0"/>
                <w:bCs w:val="0"/>
              </w:rPr>
              <w:t xml:space="preserve">Activity </w:t>
            </w:r>
            <w:r>
              <w:rPr>
                <w:b w:val="0"/>
                <w:bCs w:val="0"/>
              </w:rPr>
              <w:t>amount (imposed on submission of an environment plan for acceptance by NOPSEA)</w:t>
            </w:r>
          </w:p>
        </w:tc>
        <w:tc>
          <w:tcPr>
            <w:tcW w:w="1351" w:type="pct"/>
            <w:tcBorders>
              <w:top w:val="single" w:sz="4" w:space="0" w:color="BFBFBF" w:themeColor="background1" w:themeShade="BF"/>
              <w:bottom w:val="single" w:sz="4" w:space="0" w:color="BFBFBF" w:themeColor="background1" w:themeShade="BF"/>
            </w:tcBorders>
            <w:shd w:val="clear" w:color="auto" w:fill="auto"/>
            <w:vAlign w:val="center"/>
          </w:tcPr>
          <w:p w14:paraId="6E6ABD84" w14:textId="77777777" w:rsidR="008468CE" w:rsidRPr="00A0033F" w:rsidRDefault="008468CE" w:rsidP="000D4CE1">
            <w:pPr>
              <w:pStyle w:val="Tablebody"/>
              <w:cnfStyle w:val="000000100000" w:firstRow="0" w:lastRow="0" w:firstColumn="0" w:lastColumn="0" w:oddVBand="0" w:evenVBand="0" w:oddHBand="1" w:evenHBand="0" w:firstRowFirstColumn="0" w:firstRowLastColumn="0" w:lastRowFirstColumn="0" w:lastRowLastColumn="0"/>
            </w:pPr>
            <w:r>
              <w:t>$3,600 unit value</w:t>
            </w:r>
          </w:p>
        </w:tc>
        <w:tc>
          <w:tcPr>
            <w:tcW w:w="1307" w:type="pct"/>
            <w:tcBorders>
              <w:top w:val="single" w:sz="4" w:space="0" w:color="BFBFBF" w:themeColor="background1" w:themeShade="BF"/>
              <w:bottom w:val="single" w:sz="4" w:space="0" w:color="BFBFBF" w:themeColor="background1" w:themeShade="BF"/>
            </w:tcBorders>
            <w:shd w:val="clear" w:color="auto" w:fill="auto"/>
            <w:vAlign w:val="center"/>
          </w:tcPr>
          <w:p w14:paraId="0FF55C2E" w14:textId="77777777" w:rsidR="008468CE" w:rsidRDefault="008468CE" w:rsidP="000D4CE1">
            <w:pPr>
              <w:pStyle w:val="Tablebody"/>
              <w:cnfStyle w:val="000000100000" w:firstRow="0" w:lastRow="0" w:firstColumn="0" w:lastColumn="0" w:oddVBand="0" w:evenVBand="0" w:oddHBand="1" w:evenHBand="0" w:firstRowFirstColumn="0" w:firstRowLastColumn="0" w:lastRowFirstColumn="0" w:lastRowLastColumn="0"/>
            </w:pPr>
            <w:r>
              <w:t>$3,960 unit value</w:t>
            </w:r>
          </w:p>
        </w:tc>
      </w:tr>
      <w:tr w:rsidR="008468CE" w14:paraId="4AA6C09A" w14:textId="77777777" w:rsidTr="000D4CE1">
        <w:tc>
          <w:tcPr>
            <w:cnfStyle w:val="001000000000" w:firstRow="0" w:lastRow="0" w:firstColumn="1" w:lastColumn="0" w:oddVBand="0" w:evenVBand="0" w:oddHBand="0" w:evenHBand="0" w:firstRowFirstColumn="0" w:firstRowLastColumn="0" w:lastRowFirstColumn="0" w:lastRowLastColumn="0"/>
            <w:tcW w:w="2341" w:type="pct"/>
            <w:tcBorders>
              <w:top w:val="single" w:sz="4" w:space="0" w:color="BFBFBF" w:themeColor="background1" w:themeShade="BF"/>
              <w:bottom w:val="single" w:sz="4" w:space="0" w:color="BFBFBF" w:themeColor="background1" w:themeShade="BF"/>
            </w:tcBorders>
            <w:shd w:val="clear" w:color="auto" w:fill="auto"/>
          </w:tcPr>
          <w:p w14:paraId="29EBFBC4" w14:textId="77777777" w:rsidR="008468CE" w:rsidRPr="00641234" w:rsidRDefault="008468CE" w:rsidP="000D4CE1">
            <w:pPr>
              <w:pStyle w:val="Tablebody"/>
              <w:rPr>
                <w:b w:val="0"/>
                <w:bCs w:val="0"/>
              </w:rPr>
            </w:pPr>
            <w:r w:rsidRPr="00641234">
              <w:rPr>
                <w:b w:val="0"/>
                <w:bCs w:val="0"/>
              </w:rPr>
              <w:t xml:space="preserve">Compliance </w:t>
            </w:r>
            <w:r>
              <w:rPr>
                <w:b w:val="0"/>
                <w:bCs w:val="0"/>
              </w:rPr>
              <w:t>amount (Divided into equal instalments payable annually 1 January)</w:t>
            </w:r>
          </w:p>
        </w:tc>
        <w:tc>
          <w:tcPr>
            <w:tcW w:w="1351" w:type="pct"/>
            <w:tcBorders>
              <w:top w:val="single" w:sz="4" w:space="0" w:color="BFBFBF" w:themeColor="background1" w:themeShade="BF"/>
              <w:bottom w:val="single" w:sz="4" w:space="0" w:color="BFBFBF" w:themeColor="background1" w:themeShade="BF"/>
            </w:tcBorders>
            <w:shd w:val="clear" w:color="auto" w:fill="auto"/>
            <w:vAlign w:val="center"/>
          </w:tcPr>
          <w:p w14:paraId="5D26627F" w14:textId="77777777" w:rsidR="008468CE" w:rsidRPr="00A0033F" w:rsidRDefault="008468CE" w:rsidP="000D4CE1">
            <w:pPr>
              <w:pStyle w:val="Tablebody"/>
              <w:cnfStyle w:val="000000000000" w:firstRow="0" w:lastRow="0" w:firstColumn="0" w:lastColumn="0" w:oddVBand="0" w:evenVBand="0" w:oddHBand="0" w:evenHBand="0" w:firstRowFirstColumn="0" w:firstRowLastColumn="0" w:lastRowFirstColumn="0" w:lastRowLastColumn="0"/>
            </w:pPr>
            <w:r>
              <w:t>$3,600 unit value</w:t>
            </w:r>
          </w:p>
        </w:tc>
        <w:tc>
          <w:tcPr>
            <w:tcW w:w="1307" w:type="pct"/>
            <w:tcBorders>
              <w:top w:val="single" w:sz="4" w:space="0" w:color="BFBFBF" w:themeColor="background1" w:themeShade="BF"/>
              <w:bottom w:val="single" w:sz="4" w:space="0" w:color="BFBFBF" w:themeColor="background1" w:themeShade="BF"/>
            </w:tcBorders>
            <w:shd w:val="clear" w:color="auto" w:fill="auto"/>
            <w:vAlign w:val="center"/>
          </w:tcPr>
          <w:p w14:paraId="249D893D" w14:textId="77777777" w:rsidR="008468CE" w:rsidRDefault="008468CE" w:rsidP="000D4CE1">
            <w:pPr>
              <w:pStyle w:val="Tablebody"/>
              <w:cnfStyle w:val="000000000000" w:firstRow="0" w:lastRow="0" w:firstColumn="0" w:lastColumn="0" w:oddVBand="0" w:evenVBand="0" w:oddHBand="0" w:evenHBand="0" w:firstRowFirstColumn="0" w:firstRowLastColumn="0" w:lastRowFirstColumn="0" w:lastRowLastColumn="0"/>
            </w:pPr>
            <w:r>
              <w:t>$3,960 unit value</w:t>
            </w:r>
          </w:p>
        </w:tc>
      </w:tr>
    </w:tbl>
    <w:p w14:paraId="4482B8AA" w14:textId="50AD946B" w:rsidR="008468CE" w:rsidRPr="00901C7B" w:rsidRDefault="008468CE" w:rsidP="00A067D9">
      <w:pPr>
        <w:pStyle w:val="Caption"/>
        <w:rPr>
          <w:b w:val="0"/>
          <w:bCs/>
          <w:i/>
          <w:iCs w:val="0"/>
          <w:color w:val="75787B" w:themeColor="accent6"/>
        </w:rPr>
      </w:pPr>
      <w:r w:rsidRPr="00901C7B">
        <w:rPr>
          <w:b w:val="0"/>
          <w:bCs/>
          <w:i/>
          <w:iCs w:val="0"/>
          <w:color w:val="75787B" w:themeColor="accent6"/>
        </w:rPr>
        <w:t xml:space="preserve">Source: </w:t>
      </w:r>
      <w:r w:rsidR="00C534DC" w:rsidRPr="00300717">
        <w:rPr>
          <w:b w:val="0"/>
          <w:bCs/>
          <w:i/>
          <w:iCs w:val="0"/>
          <w:color w:val="75787B" w:themeColor="accent6"/>
        </w:rPr>
        <w:t>Deloitte analysis adapted from NOPSEMA data</w:t>
      </w:r>
    </w:p>
    <w:p w14:paraId="65F334D0" w14:textId="79542E34" w:rsidR="008468CE" w:rsidRPr="00171E09" w:rsidRDefault="008468CE" w:rsidP="000D4CE1">
      <w:pPr>
        <w:pStyle w:val="BodyCopyNEW"/>
      </w:pPr>
      <w:r w:rsidRPr="00171E09">
        <w:lastRenderedPageBreak/>
        <w:t>Additionally, in the 2018-19 CRIS it was agreed with stakeholders that NOPSEMA should retain a reserve of approximately 10</w:t>
      </w:r>
      <w:r w:rsidR="00A63F4B">
        <w:t>%</w:t>
      </w:r>
      <w:r w:rsidRPr="00171E09">
        <w:t xml:space="preserve"> of next year’s budget to ensure it continued to adequately recover costs. This was intended to assist </w:t>
      </w:r>
      <w:r>
        <w:t xml:space="preserve">NOPSEMA manage its cashflow and mitigate exposure to potential industry fluctuations. </w:t>
      </w:r>
    </w:p>
    <w:p w14:paraId="36D675C3" w14:textId="77777777" w:rsidR="008468CE" w:rsidRPr="002E618D" w:rsidRDefault="008468CE" w:rsidP="00784E0E">
      <w:pPr>
        <w:pStyle w:val="Heading3"/>
      </w:pPr>
      <w:bookmarkStart w:id="160" w:name="_Toc54193636"/>
      <w:bookmarkEnd w:id="158"/>
      <w:r w:rsidRPr="002E618D">
        <w:t>Levy calculation process and methodology</w:t>
      </w:r>
      <w:bookmarkEnd w:id="160"/>
    </w:p>
    <w:p w14:paraId="5C7088E3" w14:textId="77777777" w:rsidR="008468CE" w:rsidRPr="00D7664C" w:rsidRDefault="008468CE" w:rsidP="00BA4D90">
      <w:pPr>
        <w:pStyle w:val="Heading4"/>
      </w:pPr>
      <w:bookmarkStart w:id="161" w:name="_Toc54193637"/>
      <w:bookmarkStart w:id="162" w:name="_Ref54213965"/>
      <w:r w:rsidRPr="00D7664C">
        <w:t>Methodology</w:t>
      </w:r>
      <w:bookmarkEnd w:id="161"/>
      <w:bookmarkEnd w:id="162"/>
    </w:p>
    <w:p w14:paraId="5088BDFF" w14:textId="0E76688E" w:rsidR="008468CE" w:rsidRPr="002B3EC4" w:rsidRDefault="008468CE" w:rsidP="000D4CE1">
      <w:pPr>
        <w:pStyle w:val="BodyCopyNEW"/>
        <w:rPr>
          <w:szCs w:val="18"/>
        </w:rPr>
      </w:pPr>
      <w:r w:rsidRPr="002B3EC4">
        <w:rPr>
          <w:szCs w:val="18"/>
        </w:rPr>
        <w:t xml:space="preserve">NOPSEMA operates on a full cost recovery basis, with levies broadly designed to align with the estimated costs of undertaking the OHS, well integrity, and </w:t>
      </w:r>
      <w:r w:rsidR="001723A8" w:rsidRPr="002B3EC4">
        <w:rPr>
          <w:szCs w:val="18"/>
        </w:rPr>
        <w:t>environmental management</w:t>
      </w:r>
      <w:r w:rsidRPr="002B3EC4">
        <w:rPr>
          <w:szCs w:val="18"/>
        </w:rPr>
        <w:t xml:space="preserve"> regulatory activities.</w:t>
      </w:r>
      <w:r w:rsidR="0042601C" w:rsidRPr="002B3EC4">
        <w:rPr>
          <w:szCs w:val="18"/>
        </w:rPr>
        <w:t xml:space="preserve"> </w:t>
      </w:r>
      <w:r w:rsidRPr="002B3EC4">
        <w:rPr>
          <w:szCs w:val="18"/>
        </w:rPr>
        <w:t>These activities are separately identifiable tasks that can be allocated to an appropriate levy or charge. NOPSEMA has two other activity output areas that do not have a separate cost recovery charge: regulatory support</w:t>
      </w:r>
      <w:r w:rsidRPr="002B3EC4">
        <w:rPr>
          <w:rStyle w:val="FootnoteReference"/>
          <w:sz w:val="18"/>
          <w:szCs w:val="18"/>
        </w:rPr>
        <w:footnoteReference w:id="52"/>
      </w:r>
      <w:r w:rsidRPr="002B3EC4">
        <w:rPr>
          <w:szCs w:val="18"/>
        </w:rPr>
        <w:t xml:space="preserve"> and corporate support services. </w:t>
      </w:r>
    </w:p>
    <w:p w14:paraId="42B211D6" w14:textId="77777777" w:rsidR="008468CE" w:rsidRPr="002B3EC4" w:rsidRDefault="008468CE" w:rsidP="000D4CE1">
      <w:pPr>
        <w:pStyle w:val="BodyCopyNEW"/>
        <w:rPr>
          <w:szCs w:val="18"/>
        </w:rPr>
      </w:pPr>
      <w:r w:rsidRPr="002B3EC4">
        <w:rPr>
          <w:szCs w:val="18"/>
        </w:rPr>
        <w:t>The following summarises the steps involved in estimating levies and fees:</w:t>
      </w:r>
    </w:p>
    <w:p w14:paraId="44632611" w14:textId="179AFC45" w:rsidR="008468CE" w:rsidRPr="002B3EC4" w:rsidRDefault="008468CE" w:rsidP="000C1F53">
      <w:pPr>
        <w:pStyle w:val="BodycopyNEW0"/>
        <w:numPr>
          <w:ilvl w:val="0"/>
          <w:numId w:val="23"/>
        </w:numPr>
        <w:ind w:left="378"/>
        <w:rPr>
          <w:szCs w:val="18"/>
        </w:rPr>
      </w:pPr>
      <w:r w:rsidRPr="002B3EC4">
        <w:rPr>
          <w:szCs w:val="18"/>
        </w:rPr>
        <w:t xml:space="preserve">Estimate the total percentage of time that </w:t>
      </w:r>
      <w:r w:rsidR="00741028" w:rsidRPr="002B3EC4">
        <w:rPr>
          <w:szCs w:val="18"/>
        </w:rPr>
        <w:t>personnel</w:t>
      </w:r>
      <w:r w:rsidRPr="002B3EC4">
        <w:rPr>
          <w:szCs w:val="18"/>
        </w:rPr>
        <w:t xml:space="preserve"> spend on key activity outputs (for each of the technical teams)</w:t>
      </w:r>
    </w:p>
    <w:p w14:paraId="2AB84686" w14:textId="77777777" w:rsidR="008468CE" w:rsidRPr="002B3EC4" w:rsidRDefault="008468CE" w:rsidP="000C1F53">
      <w:pPr>
        <w:pStyle w:val="BodycopyNEW0"/>
        <w:numPr>
          <w:ilvl w:val="0"/>
          <w:numId w:val="23"/>
        </w:numPr>
        <w:ind w:left="378"/>
        <w:rPr>
          <w:szCs w:val="18"/>
        </w:rPr>
      </w:pPr>
      <w:r w:rsidRPr="002B3EC4">
        <w:rPr>
          <w:szCs w:val="18"/>
        </w:rPr>
        <w:t>Allocate indirect costs to technical teams</w:t>
      </w:r>
    </w:p>
    <w:p w14:paraId="7A764F2E" w14:textId="77777777" w:rsidR="008468CE" w:rsidRPr="002B3EC4" w:rsidRDefault="008468CE" w:rsidP="000C1F53">
      <w:pPr>
        <w:pStyle w:val="BodycopyNEW0"/>
        <w:numPr>
          <w:ilvl w:val="0"/>
          <w:numId w:val="23"/>
        </w:numPr>
        <w:ind w:left="378"/>
        <w:rPr>
          <w:szCs w:val="18"/>
        </w:rPr>
      </w:pPr>
      <w:r w:rsidRPr="002B3EC4">
        <w:rPr>
          <w:szCs w:val="18"/>
        </w:rPr>
        <w:t>Allocate costs (direct and indirect) into key activity output categories</w:t>
      </w:r>
    </w:p>
    <w:p w14:paraId="27C88303" w14:textId="5049871C" w:rsidR="008468CE" w:rsidRPr="002B3EC4" w:rsidRDefault="008468CE" w:rsidP="000C1F53">
      <w:pPr>
        <w:pStyle w:val="BodycopyNEW0"/>
        <w:numPr>
          <w:ilvl w:val="0"/>
          <w:numId w:val="23"/>
        </w:numPr>
        <w:ind w:left="378"/>
        <w:rPr>
          <w:szCs w:val="18"/>
        </w:rPr>
      </w:pPr>
      <w:r w:rsidRPr="002B3EC4">
        <w:rPr>
          <w:szCs w:val="18"/>
        </w:rPr>
        <w:t xml:space="preserve">Determine levies and fees based on estimated cost and forecast industry activity and </w:t>
      </w:r>
      <w:r w:rsidR="00CC7E75" w:rsidRPr="002B3EC4">
        <w:rPr>
          <w:szCs w:val="18"/>
        </w:rPr>
        <w:t>appl</w:t>
      </w:r>
      <w:r w:rsidR="00EE59B3" w:rsidRPr="002B3EC4">
        <w:rPr>
          <w:szCs w:val="18"/>
        </w:rPr>
        <w:t>ying</w:t>
      </w:r>
      <w:r w:rsidRPr="002B3EC4">
        <w:rPr>
          <w:szCs w:val="18"/>
        </w:rPr>
        <w:t xml:space="preserve"> judgement </w:t>
      </w:r>
      <w:r w:rsidR="00EE59B3" w:rsidRPr="002B3EC4">
        <w:rPr>
          <w:szCs w:val="18"/>
        </w:rPr>
        <w:t xml:space="preserve">regarding </w:t>
      </w:r>
      <w:r w:rsidRPr="002B3EC4">
        <w:rPr>
          <w:szCs w:val="18"/>
        </w:rPr>
        <w:t>other factors such as the</w:t>
      </w:r>
      <w:r w:rsidR="00A27038" w:rsidRPr="002B3EC4">
        <w:rPr>
          <w:szCs w:val="18"/>
        </w:rPr>
        <w:t xml:space="preserve"> </w:t>
      </w:r>
      <w:r w:rsidRPr="002B3EC4">
        <w:rPr>
          <w:szCs w:val="18"/>
        </w:rPr>
        <w:t>size</w:t>
      </w:r>
      <w:r w:rsidR="00A27038" w:rsidRPr="002B3EC4">
        <w:rPr>
          <w:szCs w:val="18"/>
        </w:rPr>
        <w:t xml:space="preserve"> of a titleholder’s organisation</w:t>
      </w:r>
      <w:r w:rsidRPr="002B3EC4">
        <w:rPr>
          <w:szCs w:val="18"/>
        </w:rPr>
        <w:t xml:space="preserve"> and the complexity of their activities.</w:t>
      </w:r>
    </w:p>
    <w:p w14:paraId="5256C1C3" w14:textId="69AC819D" w:rsidR="008468CE" w:rsidRPr="002B3EC4" w:rsidRDefault="008468CE" w:rsidP="000D4CE1">
      <w:pPr>
        <w:pStyle w:val="BodyCopyNEW"/>
        <w:rPr>
          <w:szCs w:val="18"/>
        </w:rPr>
      </w:pPr>
      <w:r w:rsidRPr="002B3EC4">
        <w:rPr>
          <w:szCs w:val="18"/>
        </w:rPr>
        <w:t>Direct costs consist of:</w:t>
      </w:r>
    </w:p>
    <w:p w14:paraId="65542E1A" w14:textId="490A5317" w:rsidR="008468CE" w:rsidRPr="002B3EC4" w:rsidRDefault="008468CE" w:rsidP="000C1F53">
      <w:pPr>
        <w:pStyle w:val="BodycopyNEW0"/>
        <w:numPr>
          <w:ilvl w:val="0"/>
          <w:numId w:val="23"/>
        </w:numPr>
        <w:ind w:left="378"/>
        <w:rPr>
          <w:szCs w:val="18"/>
        </w:rPr>
      </w:pPr>
      <w:r w:rsidRPr="002B3EC4">
        <w:rPr>
          <w:szCs w:val="18"/>
        </w:rPr>
        <w:t xml:space="preserve">Employee expenses (including superannuation, allowances, memberships and leave entitlements) of the occupational health and safety, structural integrity and </w:t>
      </w:r>
      <w:r w:rsidR="001723A8" w:rsidRPr="002B3EC4">
        <w:rPr>
          <w:szCs w:val="18"/>
        </w:rPr>
        <w:t>environmental management</w:t>
      </w:r>
      <w:r w:rsidRPr="002B3EC4">
        <w:rPr>
          <w:szCs w:val="18"/>
        </w:rPr>
        <w:t xml:space="preserve"> specialists</w:t>
      </w:r>
    </w:p>
    <w:p w14:paraId="69799A99" w14:textId="78FC7201" w:rsidR="008468CE" w:rsidRPr="002B3EC4" w:rsidRDefault="008468CE" w:rsidP="000C1F53">
      <w:pPr>
        <w:pStyle w:val="BodycopyNEW0"/>
        <w:numPr>
          <w:ilvl w:val="0"/>
          <w:numId w:val="23"/>
        </w:numPr>
        <w:ind w:left="378"/>
        <w:rPr>
          <w:szCs w:val="18"/>
        </w:rPr>
      </w:pPr>
      <w:r w:rsidRPr="002B3EC4">
        <w:rPr>
          <w:szCs w:val="18"/>
        </w:rPr>
        <w:t>Recruitment, training, equipment and travel costs of regulatory employees</w:t>
      </w:r>
    </w:p>
    <w:p w14:paraId="792CC2C9" w14:textId="066CB77F" w:rsidR="008468CE" w:rsidRPr="002B3EC4" w:rsidRDefault="008468CE" w:rsidP="000C1F53">
      <w:pPr>
        <w:pStyle w:val="BodycopyNEW0"/>
        <w:numPr>
          <w:ilvl w:val="0"/>
          <w:numId w:val="23"/>
        </w:numPr>
        <w:ind w:left="378"/>
        <w:rPr>
          <w:szCs w:val="18"/>
        </w:rPr>
      </w:pPr>
      <w:r w:rsidRPr="002B3EC4">
        <w:rPr>
          <w:szCs w:val="18"/>
        </w:rPr>
        <w:t>External consultants and experts engaged for regulatory purposes</w:t>
      </w:r>
    </w:p>
    <w:p w14:paraId="453985BE" w14:textId="1BE16DD0" w:rsidR="008468CE" w:rsidRPr="002B3EC4" w:rsidRDefault="008468CE" w:rsidP="000C1F53">
      <w:pPr>
        <w:pStyle w:val="BodycopyNEW0"/>
        <w:numPr>
          <w:ilvl w:val="0"/>
          <w:numId w:val="23"/>
        </w:numPr>
        <w:ind w:left="378"/>
        <w:rPr>
          <w:szCs w:val="18"/>
        </w:rPr>
      </w:pPr>
      <w:r w:rsidRPr="002B3EC4">
        <w:rPr>
          <w:szCs w:val="18"/>
        </w:rPr>
        <w:t>Workshop expenses incurred for regulatory purposes.</w:t>
      </w:r>
    </w:p>
    <w:p w14:paraId="4ACC9314" w14:textId="78E963A2" w:rsidR="008468CE" w:rsidRPr="002B3EC4" w:rsidRDefault="008468CE" w:rsidP="000D4CE1">
      <w:pPr>
        <w:pStyle w:val="BodyCopyNEW"/>
        <w:rPr>
          <w:szCs w:val="18"/>
        </w:rPr>
      </w:pPr>
      <w:r w:rsidRPr="002B3EC4">
        <w:rPr>
          <w:szCs w:val="18"/>
        </w:rPr>
        <w:t>An examination</w:t>
      </w:r>
      <w:r w:rsidRPr="002B3EC4" w:rsidDel="008E6B0A">
        <w:rPr>
          <w:szCs w:val="18"/>
        </w:rPr>
        <w:t xml:space="preserve"> </w:t>
      </w:r>
      <w:r w:rsidRPr="002B3EC4">
        <w:rPr>
          <w:szCs w:val="18"/>
        </w:rPr>
        <w:t xml:space="preserve">of the level of effort required for each output was undertaken in 2014-15, with this work reviewed and revalidated by NOPSEMA over time. The process involved each team time-sheeting and allocating their time and effort to each of the key activity outputs. NOPSEMA has advised that it is currently in the process of undertaking a second detailed review, where time spent on </w:t>
      </w:r>
      <w:r w:rsidR="00BD5A65" w:rsidRPr="002B3EC4">
        <w:rPr>
          <w:szCs w:val="18"/>
        </w:rPr>
        <w:t xml:space="preserve">any additional functions </w:t>
      </w:r>
      <w:r w:rsidRPr="002B3EC4">
        <w:rPr>
          <w:szCs w:val="18"/>
        </w:rPr>
        <w:t>NOPSEMA</w:t>
      </w:r>
      <w:r w:rsidR="00BD5A65" w:rsidRPr="002B3EC4">
        <w:rPr>
          <w:szCs w:val="18"/>
        </w:rPr>
        <w:t xml:space="preserve"> is undertaking </w:t>
      </w:r>
      <w:r w:rsidRPr="002B3EC4">
        <w:rPr>
          <w:szCs w:val="18"/>
        </w:rPr>
        <w:t xml:space="preserve">will also need to be reviewed. The work will support the development of the next CRIS. </w:t>
      </w:r>
    </w:p>
    <w:p w14:paraId="253343EE" w14:textId="77777777" w:rsidR="008468CE" w:rsidRPr="002B3EC4" w:rsidRDefault="008468CE" w:rsidP="000D4CE1">
      <w:pPr>
        <w:pStyle w:val="BodyCopyNEW"/>
        <w:rPr>
          <w:szCs w:val="18"/>
        </w:rPr>
      </w:pPr>
      <w:r w:rsidRPr="002B3EC4">
        <w:rPr>
          <w:szCs w:val="18"/>
        </w:rPr>
        <w:t>NOPSEMA allocates all indirect expenses on a full-time equivalent basis across the three outputs. Indirect costs consist of:</w:t>
      </w:r>
    </w:p>
    <w:p w14:paraId="3AC1B6E3" w14:textId="66940A0F" w:rsidR="008468CE" w:rsidRPr="002B3EC4" w:rsidRDefault="008468CE" w:rsidP="000C1F53">
      <w:pPr>
        <w:pStyle w:val="BodycopyNEW0"/>
        <w:numPr>
          <w:ilvl w:val="0"/>
          <w:numId w:val="23"/>
        </w:numPr>
        <w:ind w:left="378"/>
        <w:rPr>
          <w:szCs w:val="18"/>
        </w:rPr>
      </w:pPr>
      <w:r w:rsidRPr="002B3EC4">
        <w:rPr>
          <w:szCs w:val="18"/>
        </w:rPr>
        <w:t>Employee expenses of the human resources, information technology and communications, finance and, administration functions</w:t>
      </w:r>
    </w:p>
    <w:p w14:paraId="3491E97F" w14:textId="4F74DF54" w:rsidR="008468CE" w:rsidRPr="002B3EC4" w:rsidRDefault="008468CE" w:rsidP="000C1F53">
      <w:pPr>
        <w:pStyle w:val="BodycopyNEW0"/>
        <w:numPr>
          <w:ilvl w:val="0"/>
          <w:numId w:val="23"/>
        </w:numPr>
        <w:ind w:left="378"/>
        <w:rPr>
          <w:szCs w:val="18"/>
        </w:rPr>
      </w:pPr>
      <w:r w:rsidRPr="002B3EC4">
        <w:rPr>
          <w:szCs w:val="18"/>
        </w:rPr>
        <w:t>Recruitment, training and travel costs of these functions</w:t>
      </w:r>
    </w:p>
    <w:p w14:paraId="5CB78E78" w14:textId="2C481740" w:rsidR="008468CE" w:rsidRPr="002B3EC4" w:rsidRDefault="008468CE" w:rsidP="000C1F53">
      <w:pPr>
        <w:pStyle w:val="BodycopyNEW0"/>
        <w:numPr>
          <w:ilvl w:val="0"/>
          <w:numId w:val="23"/>
        </w:numPr>
        <w:ind w:left="378"/>
        <w:rPr>
          <w:szCs w:val="18"/>
        </w:rPr>
      </w:pPr>
      <w:r w:rsidRPr="002B3EC4">
        <w:rPr>
          <w:szCs w:val="18"/>
        </w:rPr>
        <w:t>All expenses relating to the Perth and Melbourne offices.</w:t>
      </w:r>
    </w:p>
    <w:p w14:paraId="08E16990" w14:textId="322010A6" w:rsidR="008468CE" w:rsidRPr="002B3EC4" w:rsidRDefault="008468CE" w:rsidP="000D4CE1">
      <w:pPr>
        <w:pStyle w:val="BodyCopyNEW"/>
        <w:rPr>
          <w:szCs w:val="18"/>
        </w:rPr>
      </w:pPr>
      <w:r w:rsidRPr="002B3EC4">
        <w:rPr>
          <w:szCs w:val="18"/>
        </w:rPr>
        <w:t xml:space="preserve">The allocation of indirect costs for 2018-19 are as illustrated in </w:t>
      </w:r>
      <w:r w:rsidR="00680800" w:rsidRPr="002B3EC4">
        <w:rPr>
          <w:b/>
          <w:szCs w:val="18"/>
        </w:rPr>
        <w:fldChar w:fldCharType="begin"/>
      </w:r>
      <w:r w:rsidR="00680800" w:rsidRPr="002B3EC4">
        <w:rPr>
          <w:b/>
          <w:szCs w:val="18"/>
        </w:rPr>
        <w:instrText xml:space="preserve"> REF _Ref58451127 \h  \* MERGEFORMAT </w:instrText>
      </w:r>
      <w:r w:rsidR="00680800" w:rsidRPr="002B3EC4">
        <w:rPr>
          <w:b/>
          <w:szCs w:val="18"/>
        </w:rPr>
      </w:r>
      <w:r w:rsidR="00680800" w:rsidRPr="002B3EC4">
        <w:rPr>
          <w:b/>
          <w:szCs w:val="18"/>
        </w:rPr>
        <w:fldChar w:fldCharType="separate"/>
      </w:r>
      <w:r w:rsidR="00E816B8" w:rsidRPr="00E816B8">
        <w:rPr>
          <w:b/>
          <w:szCs w:val="18"/>
        </w:rPr>
        <w:t>Table 10.3</w:t>
      </w:r>
      <w:r w:rsidR="00680800" w:rsidRPr="002B3EC4">
        <w:rPr>
          <w:b/>
          <w:szCs w:val="18"/>
        </w:rPr>
        <w:fldChar w:fldCharType="end"/>
      </w:r>
      <w:r w:rsidR="00680800" w:rsidRPr="002B3EC4">
        <w:rPr>
          <w:b/>
          <w:szCs w:val="18"/>
        </w:rPr>
        <w:t xml:space="preserve"> </w:t>
      </w:r>
      <w:r w:rsidRPr="002B3EC4">
        <w:rPr>
          <w:szCs w:val="18"/>
        </w:rPr>
        <w:t xml:space="preserve">below. </w:t>
      </w:r>
      <w:r w:rsidR="005562A2" w:rsidRPr="002B3EC4">
        <w:rPr>
          <w:szCs w:val="18"/>
        </w:rPr>
        <w:t xml:space="preserve">The appropriateness of </w:t>
      </w:r>
      <w:r w:rsidRPr="002B3EC4">
        <w:rPr>
          <w:szCs w:val="18"/>
        </w:rPr>
        <w:t>NOPSEMA’s method for allocating indirect costs was confirmed in a review by external audit consultants commissioned by NOPSEMA</w:t>
      </w:r>
      <w:r w:rsidR="00FD1402" w:rsidRPr="002B3EC4">
        <w:rPr>
          <w:szCs w:val="18"/>
        </w:rPr>
        <w:t xml:space="preserve"> and we have not sought to re-examine this</w:t>
      </w:r>
      <w:r w:rsidRPr="002B3EC4">
        <w:rPr>
          <w:szCs w:val="18"/>
        </w:rPr>
        <w:t>.</w:t>
      </w:r>
    </w:p>
    <w:p w14:paraId="19A2E340" w14:textId="36843CF6" w:rsidR="008468CE" w:rsidRDefault="00680800" w:rsidP="008D69C2">
      <w:pPr>
        <w:pStyle w:val="Caption"/>
        <w:keepNext/>
      </w:pPr>
      <w:bookmarkStart w:id="163" w:name="_Ref58451127"/>
      <w:r>
        <w:t xml:space="preserve">Table </w:t>
      </w:r>
      <w:r w:rsidR="00F8476B">
        <w:fldChar w:fldCharType="begin"/>
      </w:r>
      <w:r w:rsidR="00F8476B">
        <w:instrText xml:space="preserve"> STYLEREF 1 \s </w:instrText>
      </w:r>
      <w:r w:rsidR="00F8476B">
        <w:fldChar w:fldCharType="separate"/>
      </w:r>
      <w:r w:rsidR="00E816B8">
        <w:rPr>
          <w:noProof/>
        </w:rPr>
        <w:t>10</w:t>
      </w:r>
      <w:r w:rsidR="00F8476B">
        <w:fldChar w:fldCharType="end"/>
      </w:r>
      <w:r w:rsidR="00F8476B">
        <w:t>.</w:t>
      </w:r>
      <w:r w:rsidR="00F8476B">
        <w:fldChar w:fldCharType="begin"/>
      </w:r>
      <w:r w:rsidR="00F8476B">
        <w:instrText xml:space="preserve"> SEQ Table \* ARABIC \s 1 </w:instrText>
      </w:r>
      <w:r w:rsidR="00F8476B">
        <w:fldChar w:fldCharType="separate"/>
      </w:r>
      <w:r w:rsidR="00E816B8">
        <w:rPr>
          <w:noProof/>
        </w:rPr>
        <w:t>3</w:t>
      </w:r>
      <w:r w:rsidR="00F8476B">
        <w:fldChar w:fldCharType="end"/>
      </w:r>
      <w:bookmarkEnd w:id="163"/>
      <w:r>
        <w:t>: NOPSEMA Allocation to outputs, by FTE, 2018-19</w:t>
      </w:r>
    </w:p>
    <w:tbl>
      <w:tblPr>
        <w:tblStyle w:val="ListTable3-Accent3"/>
        <w:tblW w:w="5000" w:type="pct"/>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4182"/>
        <w:gridCol w:w="1894"/>
        <w:gridCol w:w="1894"/>
        <w:gridCol w:w="1894"/>
      </w:tblGrid>
      <w:tr w:rsidR="008468CE" w14:paraId="70C4F24C" w14:textId="77777777" w:rsidTr="000D4CE1">
        <w:trPr>
          <w:cnfStyle w:val="100000000000" w:firstRow="1" w:lastRow="0" w:firstColumn="0" w:lastColumn="0" w:oddVBand="0" w:evenVBand="0" w:oddHBand="0" w:evenHBand="0" w:firstRowFirstColumn="0" w:firstRowLastColumn="0" w:lastRowFirstColumn="0" w:lastRowLastColumn="0"/>
          <w:trHeight w:val="184"/>
        </w:trPr>
        <w:tc>
          <w:tcPr>
            <w:cnfStyle w:val="001000000100" w:firstRow="0" w:lastRow="0" w:firstColumn="1" w:lastColumn="0" w:oddVBand="0" w:evenVBand="0" w:oddHBand="0" w:evenHBand="0" w:firstRowFirstColumn="1" w:firstRowLastColumn="0" w:lastRowFirstColumn="0" w:lastRowLastColumn="0"/>
            <w:tcW w:w="2120" w:type="pct"/>
            <w:tcBorders>
              <w:top w:val="single" w:sz="8" w:space="0" w:color="007680"/>
              <w:bottom w:val="single" w:sz="8" w:space="0" w:color="007680"/>
            </w:tcBorders>
            <w:shd w:val="clear" w:color="auto" w:fill="auto"/>
            <w:vAlign w:val="center"/>
          </w:tcPr>
          <w:p w14:paraId="491382C2" w14:textId="77777777" w:rsidR="008468CE" w:rsidRPr="000D4CE1" w:rsidRDefault="008468CE" w:rsidP="000D4CE1">
            <w:pPr>
              <w:pStyle w:val="Tableheader"/>
              <w:rPr>
                <w:b/>
                <w:bCs/>
              </w:rPr>
            </w:pPr>
            <w:r w:rsidRPr="000D4CE1">
              <w:rPr>
                <w:b/>
                <w:bCs/>
              </w:rPr>
              <w:t>Output</w:t>
            </w:r>
          </w:p>
        </w:tc>
        <w:tc>
          <w:tcPr>
            <w:tcW w:w="960" w:type="pct"/>
            <w:tcBorders>
              <w:top w:val="single" w:sz="8" w:space="0" w:color="007680"/>
              <w:bottom w:val="single" w:sz="8" w:space="0" w:color="007680"/>
            </w:tcBorders>
            <w:shd w:val="clear" w:color="auto" w:fill="auto"/>
            <w:vAlign w:val="center"/>
          </w:tcPr>
          <w:p w14:paraId="0C8C37B4" w14:textId="6A5AEC92" w:rsidR="008468CE" w:rsidRPr="000D4CE1" w:rsidRDefault="008468CE" w:rsidP="000D4CE1">
            <w:pPr>
              <w:pStyle w:val="Tableheader"/>
              <w:cnfStyle w:val="100000000000" w:firstRow="1" w:lastRow="0" w:firstColumn="0" w:lastColumn="0" w:oddVBand="0" w:evenVBand="0" w:oddHBand="0" w:evenHBand="0" w:firstRowFirstColumn="0" w:firstRowLastColumn="0" w:lastRowFirstColumn="0" w:lastRowLastColumn="0"/>
              <w:rPr>
                <w:b/>
                <w:bCs/>
              </w:rPr>
            </w:pPr>
            <w:r w:rsidRPr="000D4CE1">
              <w:rPr>
                <w:b/>
                <w:bCs/>
              </w:rPr>
              <w:t>OHS</w:t>
            </w:r>
          </w:p>
        </w:tc>
        <w:tc>
          <w:tcPr>
            <w:tcW w:w="960" w:type="pct"/>
            <w:tcBorders>
              <w:top w:val="single" w:sz="8" w:space="0" w:color="007680"/>
              <w:bottom w:val="single" w:sz="8" w:space="0" w:color="007680"/>
            </w:tcBorders>
            <w:shd w:val="clear" w:color="auto" w:fill="auto"/>
            <w:vAlign w:val="center"/>
          </w:tcPr>
          <w:p w14:paraId="7A41A517" w14:textId="06ACAB22" w:rsidR="008468CE" w:rsidRPr="000D4CE1" w:rsidRDefault="008468CE" w:rsidP="000D4CE1">
            <w:pPr>
              <w:pStyle w:val="Tableheader"/>
              <w:cnfStyle w:val="100000000000" w:firstRow="1" w:lastRow="0" w:firstColumn="0" w:lastColumn="0" w:oddVBand="0" w:evenVBand="0" w:oddHBand="0" w:evenHBand="0" w:firstRowFirstColumn="0" w:firstRowLastColumn="0" w:lastRowFirstColumn="0" w:lastRowLastColumn="0"/>
              <w:rPr>
                <w:b/>
                <w:bCs/>
              </w:rPr>
            </w:pPr>
            <w:r w:rsidRPr="000D4CE1">
              <w:rPr>
                <w:b/>
                <w:bCs/>
              </w:rPr>
              <w:t>Well integrity</w:t>
            </w:r>
          </w:p>
        </w:tc>
        <w:tc>
          <w:tcPr>
            <w:tcW w:w="960" w:type="pct"/>
            <w:tcBorders>
              <w:top w:val="single" w:sz="8" w:space="0" w:color="007680"/>
              <w:bottom w:val="single" w:sz="8" w:space="0" w:color="007680"/>
            </w:tcBorders>
            <w:shd w:val="clear" w:color="auto" w:fill="auto"/>
            <w:vAlign w:val="center"/>
          </w:tcPr>
          <w:p w14:paraId="4367661B" w14:textId="38D2849E" w:rsidR="008468CE" w:rsidRPr="000D4CE1" w:rsidRDefault="008468CE" w:rsidP="000D4CE1">
            <w:pPr>
              <w:pStyle w:val="Tableheader"/>
              <w:cnfStyle w:val="100000000000" w:firstRow="1" w:lastRow="0" w:firstColumn="0" w:lastColumn="0" w:oddVBand="0" w:evenVBand="0" w:oddHBand="0" w:evenHBand="0" w:firstRowFirstColumn="0" w:firstRowLastColumn="0" w:lastRowFirstColumn="0" w:lastRowLastColumn="0"/>
              <w:rPr>
                <w:b/>
                <w:bCs/>
              </w:rPr>
            </w:pPr>
            <w:r w:rsidRPr="000D4CE1">
              <w:rPr>
                <w:b/>
                <w:bCs/>
              </w:rPr>
              <w:t>Environment</w:t>
            </w:r>
          </w:p>
        </w:tc>
      </w:tr>
      <w:tr w:rsidR="008468CE" w14:paraId="1042B95F" w14:textId="77777777" w:rsidTr="000D4C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0" w:type="pct"/>
            <w:tcBorders>
              <w:top w:val="single" w:sz="8" w:space="0" w:color="007680"/>
              <w:bottom w:val="single" w:sz="4" w:space="0" w:color="BFBFBF" w:themeColor="background1" w:themeShade="BF"/>
            </w:tcBorders>
            <w:shd w:val="clear" w:color="auto" w:fill="auto"/>
          </w:tcPr>
          <w:p w14:paraId="4E903B4E" w14:textId="77777777" w:rsidR="008468CE" w:rsidRPr="000D4CE1" w:rsidRDefault="008468CE" w:rsidP="000D4CE1">
            <w:pPr>
              <w:pStyle w:val="Tablebody"/>
              <w:rPr>
                <w:b w:val="0"/>
                <w:bCs w:val="0"/>
              </w:rPr>
            </w:pPr>
            <w:r w:rsidRPr="000D4CE1">
              <w:rPr>
                <w:b w:val="0"/>
                <w:bCs w:val="0"/>
              </w:rPr>
              <w:t>Allocation of regulatory support by FTE</w:t>
            </w:r>
          </w:p>
        </w:tc>
        <w:tc>
          <w:tcPr>
            <w:tcW w:w="960" w:type="pct"/>
            <w:tcBorders>
              <w:top w:val="single" w:sz="8" w:space="0" w:color="007680"/>
              <w:bottom w:val="single" w:sz="4" w:space="0" w:color="BFBFBF" w:themeColor="background1" w:themeShade="BF"/>
            </w:tcBorders>
            <w:shd w:val="clear" w:color="auto" w:fill="auto"/>
            <w:vAlign w:val="center"/>
          </w:tcPr>
          <w:p w14:paraId="0E3FF62E" w14:textId="77777777" w:rsidR="008468CE" w:rsidRPr="000D4CE1" w:rsidRDefault="008468CE" w:rsidP="000D4CE1">
            <w:pPr>
              <w:pStyle w:val="Tablebody"/>
              <w:cnfStyle w:val="000000100000" w:firstRow="0" w:lastRow="0" w:firstColumn="0" w:lastColumn="0" w:oddVBand="0" w:evenVBand="0" w:oddHBand="1" w:evenHBand="0" w:firstRowFirstColumn="0" w:firstRowLastColumn="0" w:lastRowFirstColumn="0" w:lastRowLastColumn="0"/>
            </w:pPr>
            <w:r w:rsidRPr="000D4CE1">
              <w:t>13.8</w:t>
            </w:r>
          </w:p>
        </w:tc>
        <w:tc>
          <w:tcPr>
            <w:tcW w:w="960" w:type="pct"/>
            <w:tcBorders>
              <w:top w:val="single" w:sz="8" w:space="0" w:color="007680"/>
              <w:bottom w:val="single" w:sz="4" w:space="0" w:color="BFBFBF" w:themeColor="background1" w:themeShade="BF"/>
            </w:tcBorders>
            <w:shd w:val="clear" w:color="auto" w:fill="auto"/>
            <w:vAlign w:val="center"/>
          </w:tcPr>
          <w:p w14:paraId="46D40A31" w14:textId="77777777" w:rsidR="008468CE" w:rsidRPr="000D4CE1" w:rsidRDefault="008468CE" w:rsidP="000D4CE1">
            <w:pPr>
              <w:pStyle w:val="Tablebody"/>
              <w:cnfStyle w:val="000000100000" w:firstRow="0" w:lastRow="0" w:firstColumn="0" w:lastColumn="0" w:oddVBand="0" w:evenVBand="0" w:oddHBand="1" w:evenHBand="0" w:firstRowFirstColumn="0" w:firstRowLastColumn="0" w:lastRowFirstColumn="0" w:lastRowLastColumn="0"/>
            </w:pPr>
            <w:r w:rsidRPr="000D4CE1">
              <w:t>3.4</w:t>
            </w:r>
          </w:p>
        </w:tc>
        <w:tc>
          <w:tcPr>
            <w:tcW w:w="960" w:type="pct"/>
            <w:tcBorders>
              <w:top w:val="single" w:sz="8" w:space="0" w:color="007680"/>
              <w:bottom w:val="single" w:sz="4" w:space="0" w:color="BFBFBF" w:themeColor="background1" w:themeShade="BF"/>
            </w:tcBorders>
            <w:shd w:val="clear" w:color="auto" w:fill="auto"/>
            <w:vAlign w:val="center"/>
          </w:tcPr>
          <w:p w14:paraId="4F97DE94" w14:textId="77777777" w:rsidR="008468CE" w:rsidRPr="000D4CE1" w:rsidRDefault="008468CE" w:rsidP="000D4CE1">
            <w:pPr>
              <w:pStyle w:val="Tablebody"/>
              <w:cnfStyle w:val="000000100000" w:firstRow="0" w:lastRow="0" w:firstColumn="0" w:lastColumn="0" w:oddVBand="0" w:evenVBand="0" w:oddHBand="1" w:evenHBand="0" w:firstRowFirstColumn="0" w:firstRowLastColumn="0" w:lastRowFirstColumn="0" w:lastRowLastColumn="0"/>
            </w:pPr>
            <w:r w:rsidRPr="000D4CE1">
              <w:t>10.2</w:t>
            </w:r>
          </w:p>
        </w:tc>
      </w:tr>
      <w:tr w:rsidR="008468CE" w14:paraId="0032749A" w14:textId="77777777" w:rsidTr="000D4CE1">
        <w:tc>
          <w:tcPr>
            <w:cnfStyle w:val="001000000000" w:firstRow="0" w:lastRow="0" w:firstColumn="1" w:lastColumn="0" w:oddVBand="0" w:evenVBand="0" w:oddHBand="0" w:evenHBand="0" w:firstRowFirstColumn="0" w:firstRowLastColumn="0" w:lastRowFirstColumn="0" w:lastRowLastColumn="0"/>
            <w:tcW w:w="2120" w:type="pct"/>
            <w:tcBorders>
              <w:top w:val="single" w:sz="4" w:space="0" w:color="BFBFBF" w:themeColor="background1" w:themeShade="BF"/>
              <w:bottom w:val="single" w:sz="4" w:space="0" w:color="BFBFBF" w:themeColor="background1" w:themeShade="BF"/>
            </w:tcBorders>
            <w:shd w:val="clear" w:color="auto" w:fill="auto"/>
          </w:tcPr>
          <w:p w14:paraId="6ACE30AD" w14:textId="77777777" w:rsidR="008468CE" w:rsidRPr="000D4CE1" w:rsidRDefault="008468CE" w:rsidP="000D4CE1">
            <w:pPr>
              <w:pStyle w:val="Tablebody"/>
              <w:rPr>
                <w:b w:val="0"/>
                <w:bCs w:val="0"/>
              </w:rPr>
            </w:pPr>
            <w:r w:rsidRPr="000D4CE1">
              <w:rPr>
                <w:b w:val="0"/>
                <w:bCs w:val="0"/>
              </w:rPr>
              <w:t>Allocation of corporate support by FTE</w:t>
            </w:r>
          </w:p>
        </w:tc>
        <w:tc>
          <w:tcPr>
            <w:tcW w:w="960" w:type="pct"/>
            <w:tcBorders>
              <w:top w:val="single" w:sz="4" w:space="0" w:color="BFBFBF" w:themeColor="background1" w:themeShade="BF"/>
              <w:bottom w:val="single" w:sz="4" w:space="0" w:color="BFBFBF" w:themeColor="background1" w:themeShade="BF"/>
            </w:tcBorders>
            <w:shd w:val="clear" w:color="auto" w:fill="auto"/>
            <w:vAlign w:val="center"/>
          </w:tcPr>
          <w:p w14:paraId="032E3B69" w14:textId="77777777" w:rsidR="008468CE" w:rsidRPr="000D4CE1" w:rsidRDefault="008468CE" w:rsidP="000D4CE1">
            <w:pPr>
              <w:pStyle w:val="Tablebody"/>
              <w:cnfStyle w:val="000000000000" w:firstRow="0" w:lastRow="0" w:firstColumn="0" w:lastColumn="0" w:oddVBand="0" w:evenVBand="0" w:oddHBand="0" w:evenHBand="0" w:firstRowFirstColumn="0" w:firstRowLastColumn="0" w:lastRowFirstColumn="0" w:lastRowLastColumn="0"/>
            </w:pPr>
            <w:r w:rsidRPr="000D4CE1">
              <w:t>10.9</w:t>
            </w:r>
          </w:p>
        </w:tc>
        <w:tc>
          <w:tcPr>
            <w:tcW w:w="960" w:type="pct"/>
            <w:tcBorders>
              <w:top w:val="single" w:sz="4" w:space="0" w:color="BFBFBF" w:themeColor="background1" w:themeShade="BF"/>
              <w:bottom w:val="single" w:sz="4" w:space="0" w:color="BFBFBF" w:themeColor="background1" w:themeShade="BF"/>
            </w:tcBorders>
            <w:shd w:val="clear" w:color="auto" w:fill="auto"/>
            <w:vAlign w:val="center"/>
          </w:tcPr>
          <w:p w14:paraId="1FA9E79D" w14:textId="77777777" w:rsidR="008468CE" w:rsidRPr="000D4CE1" w:rsidRDefault="008468CE" w:rsidP="000D4CE1">
            <w:pPr>
              <w:pStyle w:val="Tablebody"/>
              <w:cnfStyle w:val="000000000000" w:firstRow="0" w:lastRow="0" w:firstColumn="0" w:lastColumn="0" w:oddVBand="0" w:evenVBand="0" w:oddHBand="0" w:evenHBand="0" w:firstRowFirstColumn="0" w:firstRowLastColumn="0" w:lastRowFirstColumn="0" w:lastRowLastColumn="0"/>
            </w:pPr>
            <w:r w:rsidRPr="000D4CE1">
              <w:t>2.7</w:t>
            </w:r>
          </w:p>
        </w:tc>
        <w:tc>
          <w:tcPr>
            <w:tcW w:w="960" w:type="pct"/>
            <w:tcBorders>
              <w:top w:val="single" w:sz="4" w:space="0" w:color="BFBFBF" w:themeColor="background1" w:themeShade="BF"/>
              <w:bottom w:val="single" w:sz="4" w:space="0" w:color="BFBFBF" w:themeColor="background1" w:themeShade="BF"/>
            </w:tcBorders>
            <w:shd w:val="clear" w:color="auto" w:fill="auto"/>
            <w:vAlign w:val="center"/>
          </w:tcPr>
          <w:p w14:paraId="54273BEA" w14:textId="77777777" w:rsidR="008468CE" w:rsidRPr="000D4CE1" w:rsidRDefault="008468CE" w:rsidP="000D4CE1">
            <w:pPr>
              <w:pStyle w:val="Tablebody"/>
              <w:cnfStyle w:val="000000000000" w:firstRow="0" w:lastRow="0" w:firstColumn="0" w:lastColumn="0" w:oddVBand="0" w:evenVBand="0" w:oddHBand="0" w:evenHBand="0" w:firstRowFirstColumn="0" w:firstRowLastColumn="0" w:lastRowFirstColumn="0" w:lastRowLastColumn="0"/>
            </w:pPr>
            <w:r w:rsidRPr="000D4CE1">
              <w:t>8.1</w:t>
            </w:r>
          </w:p>
        </w:tc>
      </w:tr>
      <w:tr w:rsidR="008468CE" w14:paraId="5BDD3781" w14:textId="77777777" w:rsidTr="000D4CE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20" w:type="pct"/>
            <w:tcBorders>
              <w:top w:val="single" w:sz="4" w:space="0" w:color="BFBFBF" w:themeColor="background1" w:themeShade="BF"/>
              <w:bottom w:val="single" w:sz="4" w:space="0" w:color="BFBFBF" w:themeColor="background1" w:themeShade="BF"/>
            </w:tcBorders>
            <w:shd w:val="clear" w:color="auto" w:fill="auto"/>
          </w:tcPr>
          <w:p w14:paraId="2AAFDD56" w14:textId="51547263" w:rsidR="008468CE" w:rsidRPr="000D4CE1" w:rsidRDefault="008468CE" w:rsidP="000D4CE1">
            <w:pPr>
              <w:pStyle w:val="Tablebody"/>
              <w:rPr>
                <w:b w:val="0"/>
                <w:bCs w:val="0"/>
              </w:rPr>
            </w:pPr>
            <w:r w:rsidRPr="000D4CE1">
              <w:rPr>
                <w:b w:val="0"/>
                <w:bCs w:val="0"/>
              </w:rPr>
              <w:t xml:space="preserve">Allocation </w:t>
            </w:r>
            <w:r w:rsidR="000E5B6E">
              <w:rPr>
                <w:b w:val="0"/>
                <w:bCs w:val="0"/>
              </w:rPr>
              <w:t>proportion</w:t>
            </w:r>
          </w:p>
        </w:tc>
        <w:tc>
          <w:tcPr>
            <w:tcW w:w="960" w:type="pct"/>
            <w:tcBorders>
              <w:top w:val="single" w:sz="4" w:space="0" w:color="BFBFBF" w:themeColor="background1" w:themeShade="BF"/>
              <w:bottom w:val="single" w:sz="4" w:space="0" w:color="BFBFBF" w:themeColor="background1" w:themeShade="BF"/>
            </w:tcBorders>
            <w:shd w:val="clear" w:color="auto" w:fill="auto"/>
            <w:vAlign w:val="center"/>
          </w:tcPr>
          <w:p w14:paraId="37CAF839" w14:textId="77777777" w:rsidR="008468CE" w:rsidRPr="000D4CE1" w:rsidRDefault="008468CE" w:rsidP="000D4CE1">
            <w:pPr>
              <w:pStyle w:val="Tablebody"/>
              <w:cnfStyle w:val="000000100000" w:firstRow="0" w:lastRow="0" w:firstColumn="0" w:lastColumn="0" w:oddVBand="0" w:evenVBand="0" w:oddHBand="1" w:evenHBand="0" w:firstRowFirstColumn="0" w:firstRowLastColumn="0" w:lastRowFirstColumn="0" w:lastRowLastColumn="0"/>
            </w:pPr>
            <w:r w:rsidRPr="000D4CE1">
              <w:t>50%</w:t>
            </w:r>
          </w:p>
        </w:tc>
        <w:tc>
          <w:tcPr>
            <w:tcW w:w="960" w:type="pct"/>
            <w:tcBorders>
              <w:top w:val="single" w:sz="4" w:space="0" w:color="BFBFBF" w:themeColor="background1" w:themeShade="BF"/>
              <w:bottom w:val="single" w:sz="4" w:space="0" w:color="BFBFBF" w:themeColor="background1" w:themeShade="BF"/>
            </w:tcBorders>
            <w:shd w:val="clear" w:color="auto" w:fill="auto"/>
            <w:vAlign w:val="center"/>
          </w:tcPr>
          <w:p w14:paraId="00A16B9E" w14:textId="2FB531B6" w:rsidR="008468CE" w:rsidRPr="000D4CE1" w:rsidRDefault="00FD1402" w:rsidP="000D4CE1">
            <w:pPr>
              <w:pStyle w:val="Tablebody"/>
              <w:cnfStyle w:val="000000100000" w:firstRow="0" w:lastRow="0" w:firstColumn="0" w:lastColumn="0" w:oddVBand="0" w:evenVBand="0" w:oddHBand="1" w:evenHBand="0" w:firstRowFirstColumn="0" w:firstRowLastColumn="0" w:lastRowFirstColumn="0" w:lastRowLastColumn="0"/>
            </w:pPr>
            <w:r w:rsidRPr="000D4CE1">
              <w:t>1</w:t>
            </w:r>
            <w:r>
              <w:t>3</w:t>
            </w:r>
            <w:r w:rsidR="008468CE" w:rsidRPr="000D4CE1">
              <w:t>%</w:t>
            </w:r>
          </w:p>
        </w:tc>
        <w:tc>
          <w:tcPr>
            <w:tcW w:w="960" w:type="pct"/>
            <w:tcBorders>
              <w:top w:val="single" w:sz="4" w:space="0" w:color="BFBFBF" w:themeColor="background1" w:themeShade="BF"/>
              <w:bottom w:val="single" w:sz="4" w:space="0" w:color="BFBFBF" w:themeColor="background1" w:themeShade="BF"/>
            </w:tcBorders>
            <w:shd w:val="clear" w:color="auto" w:fill="auto"/>
            <w:vAlign w:val="center"/>
          </w:tcPr>
          <w:p w14:paraId="4BAA35C2" w14:textId="77777777" w:rsidR="008468CE" w:rsidRPr="000D4CE1" w:rsidRDefault="008468CE" w:rsidP="000D4CE1">
            <w:pPr>
              <w:pStyle w:val="Tablebody"/>
              <w:cnfStyle w:val="000000100000" w:firstRow="0" w:lastRow="0" w:firstColumn="0" w:lastColumn="0" w:oddVBand="0" w:evenVBand="0" w:oddHBand="1" w:evenHBand="0" w:firstRowFirstColumn="0" w:firstRowLastColumn="0" w:lastRowFirstColumn="0" w:lastRowLastColumn="0"/>
            </w:pPr>
            <w:r w:rsidRPr="000D4CE1">
              <w:t>27%</w:t>
            </w:r>
          </w:p>
        </w:tc>
      </w:tr>
    </w:tbl>
    <w:p w14:paraId="2AB22F69" w14:textId="12CCCBF8" w:rsidR="008468CE" w:rsidRPr="00901C7B" w:rsidRDefault="008468CE" w:rsidP="00A067D9">
      <w:pPr>
        <w:pStyle w:val="Caption"/>
        <w:rPr>
          <w:b w:val="0"/>
          <w:bCs/>
          <w:i/>
          <w:iCs w:val="0"/>
          <w:color w:val="75787B" w:themeColor="accent6"/>
        </w:rPr>
      </w:pPr>
      <w:r w:rsidRPr="00901C7B">
        <w:rPr>
          <w:b w:val="0"/>
          <w:bCs/>
          <w:i/>
          <w:iCs w:val="0"/>
          <w:color w:val="75787B" w:themeColor="accent6"/>
        </w:rPr>
        <w:t xml:space="preserve">Source: </w:t>
      </w:r>
      <w:r w:rsidR="00C534DC" w:rsidRPr="00300717">
        <w:rPr>
          <w:b w:val="0"/>
          <w:bCs/>
          <w:i/>
          <w:iCs w:val="0"/>
          <w:color w:val="75787B" w:themeColor="accent6"/>
        </w:rPr>
        <w:t>Deloitte analysis adapted from NOPSEMA data</w:t>
      </w:r>
      <w:r w:rsidR="00C534DC" w:rsidRPr="00901C7B">
        <w:rPr>
          <w:b w:val="0"/>
          <w:bCs/>
          <w:i/>
          <w:iCs w:val="0"/>
          <w:color w:val="75787B" w:themeColor="accent6"/>
        </w:rPr>
        <w:t xml:space="preserve"> </w:t>
      </w:r>
      <w:r w:rsidR="00C534DC">
        <w:rPr>
          <w:b w:val="0"/>
          <w:bCs/>
          <w:i/>
          <w:iCs w:val="0"/>
          <w:color w:val="75787B" w:themeColor="accent6"/>
        </w:rPr>
        <w:t>(C</w:t>
      </w:r>
      <w:r w:rsidRPr="00901C7B">
        <w:rPr>
          <w:b w:val="0"/>
          <w:bCs/>
          <w:i/>
          <w:iCs w:val="0"/>
          <w:color w:val="75787B" w:themeColor="accent6"/>
        </w:rPr>
        <w:t>ost Recovery Implementation Statement 2017-18</w:t>
      </w:r>
      <w:r w:rsidR="00C534DC">
        <w:rPr>
          <w:b w:val="0"/>
          <w:bCs/>
          <w:i/>
          <w:iCs w:val="0"/>
          <w:color w:val="75787B" w:themeColor="accent6"/>
        </w:rPr>
        <w:t>)</w:t>
      </w:r>
    </w:p>
    <w:p w14:paraId="3C80FBD1" w14:textId="77777777" w:rsidR="008468CE" w:rsidRPr="00D50FE0" w:rsidRDefault="008468CE" w:rsidP="00BA4D90">
      <w:pPr>
        <w:pStyle w:val="Heading4"/>
      </w:pPr>
      <w:bookmarkStart w:id="164" w:name="_Toc54193638"/>
      <w:bookmarkStart w:id="165" w:name="_Ref54261193"/>
      <w:r w:rsidRPr="00D50FE0">
        <w:lastRenderedPageBreak/>
        <w:t>NOPSEMA’s model for calculating levies</w:t>
      </w:r>
      <w:bookmarkEnd w:id="164"/>
      <w:bookmarkEnd w:id="165"/>
    </w:p>
    <w:p w14:paraId="3B494B08" w14:textId="7EC82E36" w:rsidR="008468CE" w:rsidRDefault="008468CE" w:rsidP="000D4CE1">
      <w:pPr>
        <w:pStyle w:val="BodyCopyNEW"/>
      </w:pPr>
      <w:r>
        <w:t>As part of</w:t>
      </w:r>
      <w:r w:rsidDel="00331967">
        <w:t xml:space="preserve"> </w:t>
      </w:r>
      <w:r w:rsidR="00331967">
        <w:t xml:space="preserve">our </w:t>
      </w:r>
      <w:r>
        <w:t xml:space="preserve">analysis, some parts of NOPSEMA’s cost recovery spreadsheet modelling for its 2018-19 CRIS process </w:t>
      </w:r>
      <w:r w:rsidR="000E5B6E">
        <w:t xml:space="preserve">were </w:t>
      </w:r>
      <w:r>
        <w:t xml:space="preserve">examined. NOPSEMA utilises a number of separate spreadsheet models for different activities and that not all of these models </w:t>
      </w:r>
      <w:r w:rsidR="00331967">
        <w:t>were</w:t>
      </w:r>
      <w:r>
        <w:t xml:space="preserve"> examined by </w:t>
      </w:r>
      <w:r w:rsidR="00331967">
        <w:t>the review team</w:t>
      </w:r>
      <w:r>
        <w:t>. However, we understand the separate spreadsheet models apply the same approach and principles.</w:t>
      </w:r>
    </w:p>
    <w:p w14:paraId="2AF15138" w14:textId="3E8BF7B0" w:rsidR="008468CE" w:rsidRDefault="008468CE" w:rsidP="000D4CE1">
      <w:pPr>
        <w:pStyle w:val="BodyCopyNEW"/>
      </w:pPr>
      <w:r>
        <w:t xml:space="preserve">NOPSEMA’s modelling of costs </w:t>
      </w:r>
      <w:r w:rsidR="00331967">
        <w:t xml:space="preserve">appear to </w:t>
      </w:r>
      <w:r>
        <w:t xml:space="preserve">reflect the process </w:t>
      </w:r>
      <w:r w:rsidR="00334360">
        <w:t>described</w:t>
      </w:r>
      <w:r w:rsidR="00334360" w:rsidRPr="00331967">
        <w:t xml:space="preserve"> </w:t>
      </w:r>
      <w:r w:rsidR="000E0864">
        <w:t>above</w:t>
      </w:r>
      <w:r w:rsidRPr="006B7A05">
        <w:t>.</w:t>
      </w:r>
      <w:bookmarkStart w:id="166" w:name="_Hlk54289772"/>
    </w:p>
    <w:p w14:paraId="42C61C3B" w14:textId="5E0EBDC2" w:rsidR="008468CE" w:rsidRPr="00E5367D" w:rsidRDefault="008468CE" w:rsidP="00784E0E">
      <w:pPr>
        <w:pStyle w:val="Heading3"/>
      </w:pPr>
      <w:bookmarkStart w:id="167" w:name="_Toc54193639"/>
      <w:bookmarkEnd w:id="166"/>
      <w:r w:rsidRPr="00E5367D">
        <w:t xml:space="preserve">Historical expenditure and cost recovery </w:t>
      </w:r>
      <w:bookmarkEnd w:id="167"/>
    </w:p>
    <w:p w14:paraId="786F8CF1" w14:textId="467C494B" w:rsidR="008468CE" w:rsidRDefault="003B47FC">
      <w:pPr>
        <w:pStyle w:val="BodyCopyNEW"/>
      </w:pPr>
      <w:r w:rsidRPr="003B47FC">
        <w:rPr>
          <w:b/>
          <w:bCs/>
          <w:highlight w:val="yellow"/>
        </w:rPr>
        <w:fldChar w:fldCharType="begin"/>
      </w:r>
      <w:r w:rsidRPr="003B47FC">
        <w:rPr>
          <w:b/>
          <w:bCs/>
        </w:rPr>
        <w:instrText xml:space="preserve"> REF _Ref58451188 \h </w:instrText>
      </w:r>
      <w:r w:rsidRPr="003B47FC">
        <w:rPr>
          <w:b/>
          <w:bCs/>
          <w:highlight w:val="yellow"/>
        </w:rPr>
        <w:instrText xml:space="preserve"> \* MERGEFORMAT </w:instrText>
      </w:r>
      <w:r w:rsidRPr="003B47FC">
        <w:rPr>
          <w:b/>
          <w:bCs/>
          <w:highlight w:val="yellow"/>
        </w:rPr>
      </w:r>
      <w:r w:rsidRPr="003B47FC">
        <w:rPr>
          <w:b/>
          <w:bCs/>
          <w:highlight w:val="yellow"/>
        </w:rPr>
        <w:fldChar w:fldCharType="separate"/>
      </w:r>
      <w:r w:rsidR="00E816B8" w:rsidRPr="00E816B8">
        <w:rPr>
          <w:b/>
          <w:bCs/>
        </w:rPr>
        <w:t xml:space="preserve">Figure </w:t>
      </w:r>
      <w:r w:rsidR="00E816B8" w:rsidRPr="00E816B8">
        <w:rPr>
          <w:b/>
          <w:bCs/>
          <w:noProof/>
        </w:rPr>
        <w:t>10.8</w:t>
      </w:r>
      <w:r w:rsidRPr="003B47FC">
        <w:rPr>
          <w:b/>
          <w:bCs/>
          <w:highlight w:val="yellow"/>
        </w:rPr>
        <w:fldChar w:fldCharType="end"/>
      </w:r>
      <w:r>
        <w:rPr>
          <w:b/>
          <w:bCs/>
        </w:rPr>
        <w:t xml:space="preserve"> </w:t>
      </w:r>
      <w:r w:rsidR="008468CE" w:rsidRPr="00423E7C">
        <w:t xml:space="preserve">below illustrates NOPSEMA’s historical financial performance over the past five years. It </w:t>
      </w:r>
      <w:r w:rsidR="00A90CE5">
        <w:t>illustrates</w:t>
      </w:r>
      <w:r w:rsidR="00A90CE5" w:rsidRPr="00423E7C">
        <w:t xml:space="preserve"> </w:t>
      </w:r>
      <w:r w:rsidR="00A90CE5">
        <w:t>an</w:t>
      </w:r>
      <w:r w:rsidR="00A90CE5" w:rsidRPr="00423E7C">
        <w:t xml:space="preserve"> </w:t>
      </w:r>
      <w:r w:rsidR="008468CE" w:rsidRPr="00423E7C">
        <w:t>overall decrease in NOPSEMA’s revenue whilst expenditure has remained relativel</w:t>
      </w:r>
      <w:r w:rsidR="008468CE" w:rsidRPr="00865FA8">
        <w:t xml:space="preserve">y </w:t>
      </w:r>
      <w:r w:rsidR="00A90CE5">
        <w:t>stable</w:t>
      </w:r>
      <w:r w:rsidR="008468CE" w:rsidRPr="00865FA8">
        <w:t xml:space="preserve">. In 2014-15 and 2016-17, revenue was markedly higher than expenditure. In 2014-15, this was attributed to significant submissions of 5-year </w:t>
      </w:r>
      <w:r w:rsidR="00907437">
        <w:t>EPs</w:t>
      </w:r>
      <w:r w:rsidR="008468CE" w:rsidRPr="00865FA8">
        <w:t>. In 2016-17, this was attributed to additional non-recurring safety case revenue equal to approximately $7 million.</w:t>
      </w:r>
      <w:r w:rsidR="008468CE" w:rsidRPr="004C497D">
        <w:t xml:space="preserve"> </w:t>
      </w:r>
      <w:r w:rsidR="008468CE" w:rsidRPr="00455212">
        <w:t xml:space="preserve">In 2018-19, an operating deficit of $1.4 million was recorded. This was compared to a $0.2 million surplus recorded in 2017-18. The operating loss was </w:t>
      </w:r>
      <w:r w:rsidR="008468CE">
        <w:t xml:space="preserve">attributed by NOPSEMA </w:t>
      </w:r>
      <w:r w:rsidR="008468CE" w:rsidRPr="00455212">
        <w:t>to lower</w:t>
      </w:r>
      <w:r w:rsidR="008468CE">
        <w:t xml:space="preserve"> than anticipated</w:t>
      </w:r>
      <w:r w:rsidR="008468CE" w:rsidRPr="00455212">
        <w:t xml:space="preserve"> levels of </w:t>
      </w:r>
      <w:r w:rsidR="008468CE">
        <w:t xml:space="preserve">industry </w:t>
      </w:r>
      <w:r w:rsidR="008468CE" w:rsidRPr="00455212">
        <w:t xml:space="preserve">activity </w:t>
      </w:r>
      <w:r w:rsidR="008468CE">
        <w:t>(i.e. less revenue received)</w:t>
      </w:r>
      <w:r w:rsidR="008468CE" w:rsidRPr="00F74850">
        <w:t xml:space="preserve">. </w:t>
      </w:r>
    </w:p>
    <w:p w14:paraId="54A20541" w14:textId="583710AC" w:rsidR="003B47FC" w:rsidRPr="009928EC" w:rsidRDefault="003B47FC" w:rsidP="008D69C2">
      <w:pPr>
        <w:pStyle w:val="Caption"/>
        <w:keepNext/>
      </w:pPr>
      <w:bookmarkStart w:id="168" w:name="_Ref58451188"/>
      <w:r>
        <w:t xml:space="preserve">Figure </w:t>
      </w:r>
      <w:r w:rsidR="00AD41F8">
        <w:fldChar w:fldCharType="begin"/>
      </w:r>
      <w:r w:rsidR="00AD41F8">
        <w:instrText xml:space="preserve"> STYLEREF 1 \s </w:instrText>
      </w:r>
      <w:r w:rsidR="00AD41F8">
        <w:fldChar w:fldCharType="separate"/>
      </w:r>
      <w:r w:rsidR="00E816B8">
        <w:rPr>
          <w:noProof/>
        </w:rPr>
        <w:t>10</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8</w:t>
      </w:r>
      <w:r w:rsidR="00AD41F8">
        <w:fldChar w:fldCharType="end"/>
      </w:r>
      <w:bookmarkEnd w:id="168"/>
      <w:r>
        <w:t>: NOPSEMA’s financial performance, 2014-15 to 2018-19</w:t>
      </w:r>
    </w:p>
    <w:p w14:paraId="2274478E" w14:textId="77777777" w:rsidR="008468CE" w:rsidRDefault="008468CE" w:rsidP="008468CE">
      <w:r>
        <w:rPr>
          <w:noProof/>
          <w:lang w:eastAsia="en-AU"/>
        </w:rPr>
        <w:drawing>
          <wp:inline distT="0" distB="0" distL="0" distR="0" wp14:anchorId="07917238" wp14:editId="1615B197">
            <wp:extent cx="6228000" cy="3079699"/>
            <wp:effectExtent l="0" t="0" r="1905" b="6985"/>
            <wp:docPr id="60" name="Chart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7EA8757-780D-4A5A-8136-A03F48F42C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1E9D3C6" w14:textId="674B76DB" w:rsidR="008468CE" w:rsidRPr="00901C7B" w:rsidRDefault="008468CE" w:rsidP="00A067D9">
      <w:pPr>
        <w:pStyle w:val="Caption"/>
        <w:rPr>
          <w:b w:val="0"/>
          <w:bCs/>
          <w:i/>
          <w:iCs w:val="0"/>
          <w:color w:val="75787B" w:themeColor="accent6"/>
        </w:rPr>
      </w:pPr>
      <w:r w:rsidRPr="00901C7B">
        <w:rPr>
          <w:b w:val="0"/>
          <w:bCs/>
          <w:i/>
          <w:iCs w:val="0"/>
          <w:color w:val="75787B" w:themeColor="accent6"/>
        </w:rPr>
        <w:t xml:space="preserve">Source: </w:t>
      </w:r>
      <w:r w:rsidR="00C37867" w:rsidRPr="00300717">
        <w:rPr>
          <w:b w:val="0"/>
          <w:bCs/>
          <w:i/>
          <w:iCs w:val="0"/>
          <w:color w:val="75787B" w:themeColor="accent6"/>
        </w:rPr>
        <w:t>Deloitte analysis adapted from NOPSEMA data</w:t>
      </w:r>
      <w:r w:rsidR="00C37867" w:rsidRPr="00901C7B">
        <w:rPr>
          <w:b w:val="0"/>
          <w:bCs/>
          <w:i/>
          <w:iCs w:val="0"/>
          <w:color w:val="75787B" w:themeColor="accent6"/>
        </w:rPr>
        <w:t xml:space="preserve"> </w:t>
      </w:r>
      <w:r w:rsidR="00C37867">
        <w:rPr>
          <w:b w:val="0"/>
          <w:bCs/>
          <w:i/>
          <w:iCs w:val="0"/>
          <w:color w:val="75787B" w:themeColor="accent6"/>
        </w:rPr>
        <w:t>(</w:t>
      </w:r>
      <w:r w:rsidRPr="00901C7B">
        <w:rPr>
          <w:b w:val="0"/>
          <w:bCs/>
          <w:i/>
          <w:iCs w:val="0"/>
          <w:color w:val="75787B" w:themeColor="accent6"/>
        </w:rPr>
        <w:t>Cost Recovery Implementation Statement 2017-18; Annual report on the cost effectiveness of the operations of NOPSEMA 2018-19</w:t>
      </w:r>
      <w:r w:rsidR="00C37867">
        <w:rPr>
          <w:b w:val="0"/>
          <w:bCs/>
          <w:i/>
          <w:iCs w:val="0"/>
          <w:color w:val="75787B" w:themeColor="accent6"/>
        </w:rPr>
        <w:t>)</w:t>
      </w:r>
    </w:p>
    <w:p w14:paraId="3C557F2B" w14:textId="77777777" w:rsidR="008468CE" w:rsidRPr="00911D09" w:rsidRDefault="008468CE" w:rsidP="00784E0E">
      <w:pPr>
        <w:pStyle w:val="Heading3"/>
      </w:pPr>
      <w:bookmarkStart w:id="169" w:name="_Toc54193641"/>
      <w:r w:rsidRPr="00911D09">
        <w:t>Analysis</w:t>
      </w:r>
      <w:bookmarkEnd w:id="169"/>
    </w:p>
    <w:p w14:paraId="36FC676B" w14:textId="77777777" w:rsidR="008468CE" w:rsidRPr="00A5228F" w:rsidRDefault="008468CE" w:rsidP="00BA4D90">
      <w:pPr>
        <w:pStyle w:val="Heading4"/>
      </w:pPr>
      <w:bookmarkStart w:id="170" w:name="_Ref54190051"/>
      <w:bookmarkStart w:id="171" w:name="_Toc54193642"/>
      <w:r w:rsidRPr="00A5228F">
        <w:t>Consistency with Australian Government Cost Recovery Guidelines</w:t>
      </w:r>
      <w:bookmarkEnd w:id="170"/>
      <w:bookmarkEnd w:id="171"/>
    </w:p>
    <w:p w14:paraId="3D37EF05" w14:textId="77777777" w:rsidR="008468CE" w:rsidRPr="001C74D8" w:rsidRDefault="008468CE" w:rsidP="000D4CE1">
      <w:pPr>
        <w:pStyle w:val="Heading3NoNumber"/>
      </w:pPr>
      <w:r>
        <w:t>NOPSEMA’s fees and levies have generally been developed in line with the Australian Government Cost Recovery Guidelines</w:t>
      </w:r>
    </w:p>
    <w:p w14:paraId="7726197D" w14:textId="005052E2" w:rsidR="008468CE" w:rsidRDefault="004B347A" w:rsidP="000D4CE1">
      <w:pPr>
        <w:pStyle w:val="BodyCopyNEW"/>
      </w:pPr>
      <w:r>
        <w:t>On the basis of the information we examined,</w:t>
      </w:r>
      <w:r w:rsidR="008468CE">
        <w:t xml:space="preserve"> </w:t>
      </w:r>
      <w:r w:rsidR="008468CE" w:rsidRPr="000052F2">
        <w:t xml:space="preserve">the levies charged by </w:t>
      </w:r>
      <w:r w:rsidR="00327ACB">
        <w:t xml:space="preserve">NOPSEMA </w:t>
      </w:r>
      <w:r w:rsidR="00255E02">
        <w:t>has</w:t>
      </w:r>
      <w:r w:rsidR="008468CE" w:rsidRPr="000052F2">
        <w:t xml:space="preserve"> </w:t>
      </w:r>
      <w:r>
        <w:t xml:space="preserve">generally </w:t>
      </w:r>
      <w:r w:rsidR="008468CE" w:rsidRPr="000052F2">
        <w:t xml:space="preserve">been developed in line with the </w:t>
      </w:r>
      <w:r w:rsidR="00D23439">
        <w:t xml:space="preserve">Australian Government </w:t>
      </w:r>
      <w:r w:rsidR="008468CE">
        <w:t>CRGs</w:t>
      </w:r>
      <w:r w:rsidR="008468CE" w:rsidRPr="000052F2">
        <w:t xml:space="preserve"> </w:t>
      </w:r>
      <w:r w:rsidR="00D23439">
        <w:t>and align to</w:t>
      </w:r>
      <w:r w:rsidR="00492085">
        <w:t xml:space="preserve"> </w:t>
      </w:r>
      <w:r w:rsidR="000F5D0F">
        <w:t>the three principles of the</w:t>
      </w:r>
      <w:r w:rsidR="00D23439">
        <w:t>se guidelines, which are each examined in turn below.</w:t>
      </w:r>
    </w:p>
    <w:p w14:paraId="5DEC031F" w14:textId="77777777" w:rsidR="008468CE" w:rsidRPr="00386648" w:rsidRDefault="008468CE" w:rsidP="00BA4D90">
      <w:pPr>
        <w:pStyle w:val="Heading4"/>
      </w:pPr>
      <w:bookmarkStart w:id="172" w:name="_Ref52974648"/>
      <w:r w:rsidRPr="007F6712">
        <w:t>Efficiency and effectiveness</w:t>
      </w:r>
      <w:bookmarkEnd w:id="172"/>
    </w:p>
    <w:p w14:paraId="7FD84D95" w14:textId="77777777" w:rsidR="00B51E71" w:rsidRPr="005E273A" w:rsidRDefault="00B51E71" w:rsidP="00B51E71">
      <w:pPr>
        <w:pStyle w:val="Heading3NoNumber"/>
      </w:pPr>
      <w:bookmarkStart w:id="173" w:name="_Hlk55302601"/>
      <w:r>
        <w:t>NOPSEMA’s cost recovery arrangements are considered to be efficient and effective but could be indexed to an appropriate inflationary measure</w:t>
      </w:r>
    </w:p>
    <w:p w14:paraId="7BBB5798" w14:textId="77777777" w:rsidR="008468CE" w:rsidRPr="002B3EC4" w:rsidRDefault="008468CE" w:rsidP="000D4CE1">
      <w:pPr>
        <w:pStyle w:val="BodyCopyNEW"/>
        <w:rPr>
          <w:szCs w:val="18"/>
        </w:rPr>
      </w:pPr>
      <w:r>
        <w:t xml:space="preserve">Within the context of cost recovery, efficiency and effectiveness involves </w:t>
      </w:r>
      <w:r w:rsidRPr="005A6161">
        <w:t>making proper use of available resources (</w:t>
      </w:r>
      <w:r>
        <w:t xml:space="preserve">people, money and other supplies) to achieve government policy outcomes. Government activities should meet quantity, quality and </w:t>
      </w:r>
      <w:r w:rsidRPr="00F4176E">
        <w:t xml:space="preserve">other targets, be undertaken at minimum cost, and be conducted in accordance with applicable policy and legislative requirements. </w:t>
      </w:r>
      <w:r>
        <w:t>Under the CRGs, e</w:t>
      </w:r>
      <w:r w:rsidRPr="00F4176E">
        <w:t xml:space="preserve">fficiency also relates to whether it is </w:t>
      </w:r>
      <w:r>
        <w:t>efficient</w:t>
      </w:r>
      <w:r w:rsidRPr="00F4176E">
        <w:t xml:space="preserve"> to provide the activity on a cost recovery basis</w:t>
      </w:r>
      <w:r>
        <w:t xml:space="preserve"> and considers the</w:t>
      </w:r>
      <w:r w:rsidRPr="00F4176E">
        <w:t xml:space="preserve"> balance between </w:t>
      </w:r>
      <w:r w:rsidRPr="002B3EC4">
        <w:rPr>
          <w:szCs w:val="18"/>
        </w:rPr>
        <w:lastRenderedPageBreak/>
        <w:t xml:space="preserve">developing a more precise, but more complex and hence more expensive costing model, and developing a simpler and less expensive, but less precise, costing model. </w:t>
      </w:r>
    </w:p>
    <w:p w14:paraId="5D1C6498" w14:textId="77777777" w:rsidR="008468CE" w:rsidRPr="002B3EC4" w:rsidRDefault="008468CE" w:rsidP="000D4CE1">
      <w:pPr>
        <w:pStyle w:val="BodyCopyNEW"/>
        <w:rPr>
          <w:szCs w:val="18"/>
        </w:rPr>
      </w:pPr>
      <w:r w:rsidRPr="002B3EC4">
        <w:rPr>
          <w:szCs w:val="18"/>
        </w:rPr>
        <w:t>The effectiveness of cost recovery involves the reliability and accuracy of the cost recovery model and related processes in measuring costs and reflecting those costs in the related charges. Effective cost recovery includes appropriate revenue management.</w:t>
      </w:r>
    </w:p>
    <w:bookmarkEnd w:id="173"/>
    <w:p w14:paraId="6E558E7F" w14:textId="22AEB55D" w:rsidR="008468CE" w:rsidRPr="002B3EC4" w:rsidRDefault="008468CE" w:rsidP="000D4CE1">
      <w:pPr>
        <w:pStyle w:val="BodyCopyNEW"/>
        <w:rPr>
          <w:szCs w:val="18"/>
        </w:rPr>
      </w:pPr>
      <w:r w:rsidRPr="002B3EC4">
        <w:rPr>
          <w:szCs w:val="18"/>
        </w:rPr>
        <w:t>Since its inception in 2012, NOPSEMA has</w:t>
      </w:r>
      <w:r w:rsidR="000035EE" w:rsidRPr="002B3EC4">
        <w:rPr>
          <w:szCs w:val="18"/>
        </w:rPr>
        <w:t xml:space="preserve"> sought to</w:t>
      </w:r>
      <w:r w:rsidRPr="002B3EC4">
        <w:rPr>
          <w:szCs w:val="18"/>
        </w:rPr>
        <w:t xml:space="preserve"> minimise the need to adjust levies in order to provide long term certainty to industry. NOPSEMA has managed costs internally</w:t>
      </w:r>
      <w:r w:rsidR="001606DB" w:rsidRPr="002B3EC4">
        <w:rPr>
          <w:szCs w:val="18"/>
        </w:rPr>
        <w:t>, where it can,</w:t>
      </w:r>
      <w:r w:rsidRPr="002B3EC4">
        <w:rPr>
          <w:szCs w:val="18"/>
        </w:rPr>
        <w:t xml:space="preserve"> to avoid increases in levies.</w:t>
      </w:r>
    </w:p>
    <w:p w14:paraId="66A3781C" w14:textId="77777777" w:rsidR="008468CE" w:rsidRPr="002B3EC4" w:rsidRDefault="008468CE" w:rsidP="000D4CE1">
      <w:pPr>
        <w:pStyle w:val="BodyCopyNEW"/>
        <w:rPr>
          <w:szCs w:val="18"/>
        </w:rPr>
      </w:pPr>
      <w:r w:rsidRPr="002B3EC4">
        <w:rPr>
          <w:szCs w:val="18"/>
        </w:rPr>
        <w:t>This review has also considered NOPSEMA’s cost recovery arrangements in relation to the balance it strikes between developing a more precise, but more complex and hence more expensive costing model, and developing a simpler and less expensive, but less precise, costing model. Under the CRGs, cost recovery charges should be:</w:t>
      </w:r>
    </w:p>
    <w:p w14:paraId="73D282A5" w14:textId="77777777" w:rsidR="008468CE" w:rsidRPr="002B3EC4" w:rsidRDefault="008468CE" w:rsidP="000C1F53">
      <w:pPr>
        <w:pStyle w:val="BodycopyNEW0"/>
        <w:numPr>
          <w:ilvl w:val="0"/>
          <w:numId w:val="23"/>
        </w:numPr>
        <w:ind w:left="378"/>
        <w:rPr>
          <w:szCs w:val="18"/>
        </w:rPr>
      </w:pPr>
      <w:r w:rsidRPr="002B3EC4">
        <w:rPr>
          <w:szCs w:val="18"/>
        </w:rPr>
        <w:t>Clear and easy to understand</w:t>
      </w:r>
    </w:p>
    <w:p w14:paraId="6DEAD725" w14:textId="77777777" w:rsidR="008468CE" w:rsidRPr="002B3EC4" w:rsidRDefault="008468CE" w:rsidP="000C1F53">
      <w:pPr>
        <w:pStyle w:val="BodycopyNEW0"/>
        <w:numPr>
          <w:ilvl w:val="0"/>
          <w:numId w:val="23"/>
        </w:numPr>
        <w:ind w:left="378"/>
        <w:rPr>
          <w:szCs w:val="18"/>
        </w:rPr>
      </w:pPr>
      <w:r w:rsidRPr="002B3EC4">
        <w:rPr>
          <w:szCs w:val="18"/>
        </w:rPr>
        <w:t>Closely linked to the specific activity</w:t>
      </w:r>
    </w:p>
    <w:p w14:paraId="654C9329" w14:textId="7C27FABC" w:rsidR="008468CE" w:rsidRPr="002B3EC4" w:rsidRDefault="008468CE" w:rsidP="000C1F53">
      <w:pPr>
        <w:pStyle w:val="BodycopyNEW0"/>
        <w:numPr>
          <w:ilvl w:val="0"/>
          <w:numId w:val="23"/>
        </w:numPr>
        <w:ind w:left="378"/>
        <w:rPr>
          <w:szCs w:val="18"/>
        </w:rPr>
      </w:pPr>
      <w:r w:rsidRPr="002B3EC4">
        <w:rPr>
          <w:szCs w:val="18"/>
        </w:rPr>
        <w:t>Set to recover the full efficient costs of the specific activity</w:t>
      </w:r>
      <w:r w:rsidRPr="002B3EC4">
        <w:rPr>
          <w:szCs w:val="18"/>
          <w:vertAlign w:val="superscript"/>
        </w:rPr>
        <w:footnoteReference w:id="53"/>
      </w:r>
      <w:r w:rsidRPr="002B3EC4">
        <w:rPr>
          <w:szCs w:val="18"/>
          <w:vertAlign w:val="superscript"/>
        </w:rPr>
        <w:t xml:space="preserve"> </w:t>
      </w:r>
    </w:p>
    <w:p w14:paraId="45B67B50" w14:textId="77777777" w:rsidR="008468CE" w:rsidRPr="002B3EC4" w:rsidRDefault="008468CE" w:rsidP="000C1F53">
      <w:pPr>
        <w:pStyle w:val="BodycopyNEW0"/>
        <w:numPr>
          <w:ilvl w:val="0"/>
          <w:numId w:val="23"/>
        </w:numPr>
        <w:ind w:left="378"/>
        <w:rPr>
          <w:szCs w:val="18"/>
        </w:rPr>
      </w:pPr>
      <w:r w:rsidRPr="002B3EC4">
        <w:rPr>
          <w:szCs w:val="18"/>
        </w:rPr>
        <w:t>Efficient to determine, collect and enforce</w:t>
      </w:r>
    </w:p>
    <w:p w14:paraId="04A589BA" w14:textId="77777777" w:rsidR="008468CE" w:rsidRPr="002B3EC4" w:rsidRDefault="008468CE" w:rsidP="000C1F53">
      <w:pPr>
        <w:pStyle w:val="BodycopyNEW0"/>
        <w:numPr>
          <w:ilvl w:val="0"/>
          <w:numId w:val="23"/>
        </w:numPr>
        <w:ind w:left="378"/>
        <w:rPr>
          <w:szCs w:val="18"/>
        </w:rPr>
      </w:pPr>
      <w:r w:rsidRPr="002B3EC4">
        <w:rPr>
          <w:szCs w:val="18"/>
        </w:rPr>
        <w:t>Set to avoid volatility, while still being flexible enough to allow for changes based on fluctuations in demand or costs.</w:t>
      </w:r>
    </w:p>
    <w:p w14:paraId="3675E56F" w14:textId="5F4844D7" w:rsidR="008468CE" w:rsidRPr="002B3EC4" w:rsidRDefault="008468CE" w:rsidP="00901C7B">
      <w:pPr>
        <w:pStyle w:val="BodyCopyNEW"/>
        <w:spacing w:before="120"/>
        <w:rPr>
          <w:szCs w:val="18"/>
        </w:rPr>
      </w:pPr>
      <w:r w:rsidRPr="002B3EC4">
        <w:rPr>
          <w:szCs w:val="18"/>
        </w:rPr>
        <w:t xml:space="preserve">As part of NOPSEMA’s levy setting process, NOPSEMA estimates costs based on an allocation of </w:t>
      </w:r>
      <w:r w:rsidR="00741028" w:rsidRPr="002B3EC4">
        <w:rPr>
          <w:szCs w:val="18"/>
        </w:rPr>
        <w:t>personnel</w:t>
      </w:r>
      <w:r w:rsidRPr="002B3EC4">
        <w:rPr>
          <w:szCs w:val="18"/>
        </w:rPr>
        <w:t xml:space="preserve"> time to activities plus an allocation of indirect costs. However, NOPSEMA applies judgement to set levies; while the primary driver is the cost of activities, NOPSEMA also </w:t>
      </w:r>
      <w:r w:rsidR="008F1E62" w:rsidRPr="002B3EC4">
        <w:rPr>
          <w:szCs w:val="18"/>
        </w:rPr>
        <w:t>considers</w:t>
      </w:r>
      <w:r w:rsidRPr="002B3EC4">
        <w:rPr>
          <w:szCs w:val="18"/>
        </w:rPr>
        <w:t xml:space="preserve"> other factors such as the </w:t>
      </w:r>
      <w:r w:rsidR="00B15D1D" w:rsidRPr="002B3EC4">
        <w:rPr>
          <w:szCs w:val="18"/>
        </w:rPr>
        <w:t>title</w:t>
      </w:r>
      <w:r w:rsidR="001003B9" w:rsidRPr="002B3EC4">
        <w:rPr>
          <w:szCs w:val="18"/>
        </w:rPr>
        <w:t>holder</w:t>
      </w:r>
      <w:r w:rsidRPr="002B3EC4">
        <w:rPr>
          <w:szCs w:val="18"/>
        </w:rPr>
        <w:t xml:space="preserve">’s ability to pay, </w:t>
      </w:r>
      <w:r w:rsidR="008F1E62" w:rsidRPr="002B3EC4">
        <w:rPr>
          <w:szCs w:val="18"/>
        </w:rPr>
        <w:t xml:space="preserve">the </w:t>
      </w:r>
      <w:r w:rsidRPr="002B3EC4">
        <w:rPr>
          <w:szCs w:val="18"/>
        </w:rPr>
        <w:t>size</w:t>
      </w:r>
      <w:r w:rsidR="008F1E62" w:rsidRPr="002B3EC4">
        <w:rPr>
          <w:szCs w:val="18"/>
        </w:rPr>
        <w:t xml:space="preserve"> of the titleholder,</w:t>
      </w:r>
      <w:r w:rsidRPr="002B3EC4">
        <w:rPr>
          <w:szCs w:val="18"/>
        </w:rPr>
        <w:t xml:space="preserve"> and the complexity of </w:t>
      </w:r>
      <w:r w:rsidR="008F1E62" w:rsidRPr="002B3EC4">
        <w:rPr>
          <w:szCs w:val="18"/>
        </w:rPr>
        <w:t xml:space="preserve">titleholder </w:t>
      </w:r>
      <w:r w:rsidRPr="002B3EC4">
        <w:rPr>
          <w:szCs w:val="18"/>
        </w:rPr>
        <w:t xml:space="preserve">activities. For example, the compliance effort required for seismic surveys is on average higher than the revenue collected for this type of activity. </w:t>
      </w:r>
    </w:p>
    <w:p w14:paraId="63EFAA64" w14:textId="4335E45D" w:rsidR="008468CE" w:rsidRPr="002B3EC4" w:rsidRDefault="008468CE" w:rsidP="000D4CE1">
      <w:pPr>
        <w:pStyle w:val="BodyCopyNEW"/>
        <w:rPr>
          <w:szCs w:val="18"/>
        </w:rPr>
      </w:pPr>
      <w:r w:rsidRPr="002B3EC4">
        <w:rPr>
          <w:szCs w:val="18"/>
        </w:rPr>
        <w:t>NOPSEMA has advised that a key factor considered in determining levy amounts is the objective of encouraging exploration and innovation within the industry. It is noted that under the CRGs, the effect of cost recovery on competition, innovation and the financial viability of the directly affected individuals and organisations should be analysed</w:t>
      </w:r>
      <w:r w:rsidR="0073194D" w:rsidRPr="002B3EC4">
        <w:rPr>
          <w:rStyle w:val="FootnoteReference"/>
          <w:sz w:val="18"/>
          <w:szCs w:val="18"/>
        </w:rPr>
        <w:footnoteReference w:id="54"/>
      </w:r>
      <w:r w:rsidRPr="002B3EC4">
        <w:rPr>
          <w:szCs w:val="18"/>
        </w:rPr>
        <w:t xml:space="preserve">. There may, therefore, be justification for the cross-subsidy observed. Another key factor is ability to pay, with NOPSEMA considering the size of </w:t>
      </w:r>
      <w:r w:rsidR="00700109" w:rsidRPr="002B3EC4">
        <w:rPr>
          <w:szCs w:val="18"/>
        </w:rPr>
        <w:t>title</w:t>
      </w:r>
      <w:r w:rsidR="001003B9" w:rsidRPr="002B3EC4">
        <w:rPr>
          <w:szCs w:val="18"/>
        </w:rPr>
        <w:t>holder</w:t>
      </w:r>
      <w:r w:rsidRPr="002B3EC4">
        <w:rPr>
          <w:szCs w:val="18"/>
        </w:rPr>
        <w:t>s and</w:t>
      </w:r>
      <w:r w:rsidR="00700109" w:rsidRPr="002B3EC4">
        <w:rPr>
          <w:szCs w:val="18"/>
        </w:rPr>
        <w:t xml:space="preserve"> the</w:t>
      </w:r>
      <w:r w:rsidRPr="002B3EC4">
        <w:rPr>
          <w:szCs w:val="18"/>
        </w:rPr>
        <w:t xml:space="preserve"> value of projects and revenue derived from activities in determining the levy amounts.</w:t>
      </w:r>
    </w:p>
    <w:p w14:paraId="540436E5" w14:textId="26DDE707" w:rsidR="008468CE" w:rsidRPr="002B3EC4" w:rsidRDefault="008468CE" w:rsidP="000D4CE1">
      <w:pPr>
        <w:pStyle w:val="BodyCopyNEW"/>
        <w:rPr>
          <w:szCs w:val="18"/>
        </w:rPr>
      </w:pPr>
      <w:r w:rsidRPr="002B3EC4">
        <w:rPr>
          <w:szCs w:val="18"/>
        </w:rPr>
        <w:t>The levies comprise over 99% of NOPSEMA’s revenue, providing a stable revenue stream. This ensures that NOPSEMA can fund operating and capital expenditure while minimising the need to adjust levy or fee charges. Additionally, the 10% reserve of its annual budget at the end of each financial year also</w:t>
      </w:r>
      <w:r w:rsidR="00B51E71" w:rsidRPr="002B3EC4">
        <w:rPr>
          <w:szCs w:val="18"/>
        </w:rPr>
        <w:t xml:space="preserve"> helps</w:t>
      </w:r>
      <w:r w:rsidRPr="002B3EC4">
        <w:rPr>
          <w:szCs w:val="18"/>
        </w:rPr>
        <w:t xml:space="preserve"> mitigates NOPSEMA’s exposure to potential fluctuations in revenue and cash flows from industry volatility.</w:t>
      </w:r>
    </w:p>
    <w:p w14:paraId="1F416A28" w14:textId="5D3A4FE6" w:rsidR="008468CE" w:rsidRPr="002B3EC4" w:rsidRDefault="008468CE" w:rsidP="000D4CE1">
      <w:pPr>
        <w:pStyle w:val="BodyCopyNEW"/>
        <w:rPr>
          <w:szCs w:val="18"/>
        </w:rPr>
      </w:pPr>
      <w:r w:rsidRPr="002B3EC4">
        <w:rPr>
          <w:szCs w:val="18"/>
        </w:rPr>
        <w:t>The levy arrangements (and minimal fee for service arrangements) appear straightforward to administer. The costs of administering the cost recovery scheme are, in our view, proportional to the charges for</w:t>
      </w:r>
      <w:r w:rsidR="005035FE" w:rsidRPr="002B3EC4">
        <w:rPr>
          <w:szCs w:val="18"/>
        </w:rPr>
        <w:t>,</w:t>
      </w:r>
      <w:r w:rsidRPr="002B3EC4">
        <w:rPr>
          <w:szCs w:val="18"/>
        </w:rPr>
        <w:t xml:space="preserve"> and potential revenue from</w:t>
      </w:r>
      <w:r w:rsidR="005035FE" w:rsidRPr="002B3EC4">
        <w:rPr>
          <w:szCs w:val="18"/>
        </w:rPr>
        <w:t>,</w:t>
      </w:r>
      <w:r w:rsidRPr="002B3EC4">
        <w:rPr>
          <w:szCs w:val="18"/>
        </w:rPr>
        <w:t xml:space="preserve"> the activity. Additionally, NOPSEMA’s levies can be somewhat tailored to </w:t>
      </w:r>
      <w:r w:rsidR="005035FE" w:rsidRPr="002B3EC4">
        <w:rPr>
          <w:szCs w:val="18"/>
        </w:rPr>
        <w:t>title</w:t>
      </w:r>
      <w:r w:rsidRPr="002B3EC4">
        <w:rPr>
          <w:szCs w:val="18"/>
        </w:rPr>
        <w:t>holders with the assignment of ‘activity’ and ‘compliance’ ratings.</w:t>
      </w:r>
    </w:p>
    <w:p w14:paraId="07CDC5B2" w14:textId="77777777" w:rsidR="00B51E71" w:rsidRPr="002B3EC4" w:rsidRDefault="00B51E71" w:rsidP="00B51E71">
      <w:pPr>
        <w:pStyle w:val="BodyCopyNEW"/>
        <w:rPr>
          <w:szCs w:val="18"/>
        </w:rPr>
      </w:pPr>
      <w:r w:rsidRPr="002B3EC4">
        <w:rPr>
          <w:szCs w:val="18"/>
        </w:rPr>
        <w:t xml:space="preserve">NOPSEMA’s levies were increased by 10% in the 2018-19 CRIS in order to recover its cost fully. NOPSEMA noted to us that it would like its levies and fees to keep pace with CPI, but that it may be constrained from pursuing this objective due to additional factors, such as industry perception. Under the legislative framework NOPSEMA is responsible for developing and proposing changes to levy and fee amounts. </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B51E71" w:rsidRPr="00DA0585" w14:paraId="57F1149E" w14:textId="77777777" w:rsidTr="00751AB3">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FC2B4"/>
          </w:tcPr>
          <w:p w14:paraId="7C25F9E7" w14:textId="1BB4F406" w:rsidR="00B51E71" w:rsidRPr="00267D9A" w:rsidRDefault="00B51E71" w:rsidP="00751AB3">
            <w:pPr>
              <w:pStyle w:val="TableHeadingLeft"/>
            </w:pPr>
            <w:r w:rsidRPr="00267D9A">
              <w:t>Opportunity #1</w:t>
            </w:r>
            <w:r w:rsidR="00C224DC">
              <w:t>9</w:t>
            </w:r>
          </w:p>
        </w:tc>
      </w:tr>
      <w:tr w:rsidR="00DA0585" w:rsidRPr="00DA0585" w14:paraId="59DE98E5" w14:textId="77777777" w:rsidTr="00751AB3">
        <w:trPr>
          <w:trHeight w:val="510"/>
        </w:trPr>
        <w:tc>
          <w:tcPr>
            <w:tcW w:w="9864" w:type="dxa"/>
            <w:tcBorders>
              <w:bottom w:val="nil"/>
            </w:tcBorders>
            <w:shd w:val="clear" w:color="auto" w:fill="F2F2F2" w:themeFill="background1" w:themeFillShade="F2"/>
          </w:tcPr>
          <w:p w14:paraId="56B0DB6C" w14:textId="64A05494" w:rsidR="00B51E71" w:rsidRPr="00DA0585" w:rsidRDefault="0089164B" w:rsidP="00751AB3">
            <w:pPr>
              <w:pStyle w:val="BodyCopyNEW"/>
            </w:pPr>
            <w:r w:rsidRPr="00DA0585">
              <w:rPr>
                <w:szCs w:val="18"/>
              </w:rPr>
              <w:t>NOPSEMA is encouraged to consult with industry, perhaps through the next CRIS process, on indexing levies and fees to the CPI or another appropriate index to ensure cost recovery keeps pace with inflation.</w:t>
            </w:r>
          </w:p>
        </w:tc>
      </w:tr>
    </w:tbl>
    <w:p w14:paraId="4502852B" w14:textId="5248EB76" w:rsidR="008468CE" w:rsidRPr="00442955" w:rsidRDefault="008468CE" w:rsidP="00BA4D90">
      <w:pPr>
        <w:pStyle w:val="Heading4"/>
      </w:pPr>
      <w:bookmarkStart w:id="174" w:name="_Ref54190204"/>
      <w:r w:rsidRPr="00442955">
        <w:lastRenderedPageBreak/>
        <w:t>Transparen</w:t>
      </w:r>
      <w:r w:rsidR="00B51E71">
        <w:t>cy</w:t>
      </w:r>
      <w:r w:rsidRPr="00442955">
        <w:t xml:space="preserve"> and accountability</w:t>
      </w:r>
      <w:bookmarkEnd w:id="174"/>
    </w:p>
    <w:p w14:paraId="2778E876" w14:textId="77777777" w:rsidR="009332C7" w:rsidRPr="003D4EED" w:rsidRDefault="009332C7" w:rsidP="009332C7">
      <w:pPr>
        <w:pStyle w:val="Heading3NoNumber"/>
      </w:pPr>
      <w:r>
        <w:t>NOPSEMA provide transparency over cost recovery mechanisms but should provide further visibility over fee and levy calculations</w:t>
      </w:r>
    </w:p>
    <w:p w14:paraId="78C559B1" w14:textId="74C8BFBB" w:rsidR="008468CE" w:rsidRDefault="008468CE" w:rsidP="000D4CE1">
      <w:pPr>
        <w:pStyle w:val="BodyCopyNEW"/>
      </w:pPr>
      <w:r>
        <w:t xml:space="preserve">In a cost recovery context, transparency can be achieved through documenting key information about the activity, such as policy approval, statutory authority to charge and the cost recovery model, in an accessible way for those who pay charges. Transparency can also be achieved through frequent reporting on cost recovery performance. Accountability refers to entities, </w:t>
      </w:r>
      <w:r w:rsidR="00741028">
        <w:t>personnel</w:t>
      </w:r>
      <w:r>
        <w:t xml:space="preserve"> and responsible Ministers being answerable for their actions and decisions in relation to cost recovery.</w:t>
      </w:r>
    </w:p>
    <w:p w14:paraId="460EE552" w14:textId="04F433EE" w:rsidR="008468CE" w:rsidRPr="003D4EED" w:rsidDel="009332C7" w:rsidRDefault="008468CE" w:rsidP="000D4CE1">
      <w:pPr>
        <w:pStyle w:val="Heading3NoNumber"/>
      </w:pPr>
      <w:r w:rsidDel="009332C7">
        <w:t>NOPSEMA provide transparency over cost recovery mechanisms but should provide further visibility over fee and levy calculations</w:t>
      </w:r>
    </w:p>
    <w:p w14:paraId="07DA1195" w14:textId="43784B8E" w:rsidR="008468CE" w:rsidRPr="000A4CBD" w:rsidRDefault="008468CE" w:rsidP="000D4CE1">
      <w:pPr>
        <w:pStyle w:val="BodyCopyNEW"/>
      </w:pPr>
      <w:r>
        <w:t xml:space="preserve">In relation to </w:t>
      </w:r>
      <w:r w:rsidDel="00A75324">
        <w:t>transparency</w:t>
      </w:r>
      <w:r>
        <w:t>,</w:t>
      </w:r>
      <w:r w:rsidRPr="000A4CBD" w:rsidDel="0003063D">
        <w:t xml:space="preserve"> NOPSEMA </w:t>
      </w:r>
      <w:r w:rsidRPr="008330A8">
        <w:t xml:space="preserve">publishes </w:t>
      </w:r>
      <w:r>
        <w:t>its</w:t>
      </w:r>
      <w:r w:rsidRPr="008330A8">
        <w:t xml:space="preserve"> cost effectiveness report</w:t>
      </w:r>
      <w:r>
        <w:t>,</w:t>
      </w:r>
      <w:r w:rsidRPr="008330A8">
        <w:t xml:space="preserve"> annual report</w:t>
      </w:r>
      <w:r>
        <w:t xml:space="preserve"> and CRIS</w:t>
      </w:r>
      <w:r w:rsidRPr="008330A8">
        <w:t xml:space="preserve"> on </w:t>
      </w:r>
      <w:r>
        <w:t>its</w:t>
      </w:r>
      <w:r w:rsidRPr="008330A8">
        <w:t xml:space="preserve"> website. </w:t>
      </w:r>
      <w:r>
        <w:t>As part of</w:t>
      </w:r>
      <w:r w:rsidRPr="000A4CBD">
        <w:t xml:space="preserve"> NOPSEMA</w:t>
      </w:r>
      <w:r>
        <w:t>’s</w:t>
      </w:r>
      <w:r w:rsidRPr="000A4CBD">
        <w:t xml:space="preserve"> annual cost effectiveness review, audited financial statements are presented and </w:t>
      </w:r>
      <w:r w:rsidR="009332C7">
        <w:t>title</w:t>
      </w:r>
      <w:r w:rsidR="00327ACB">
        <w:t>holder</w:t>
      </w:r>
      <w:r w:rsidRPr="000A4CBD">
        <w:t>s are invited to participate in a review. This is part of NOPSEMA’s open and transparent reporting responsibility</w:t>
      </w:r>
      <w:r w:rsidR="003345C4">
        <w:t xml:space="preserve"> and</w:t>
      </w:r>
      <w:r w:rsidRPr="000A4CBD">
        <w:t xml:space="preserve"> allows </w:t>
      </w:r>
      <w:r>
        <w:t xml:space="preserve">for </w:t>
      </w:r>
      <w:r w:rsidRPr="000A4CBD">
        <w:t>comparison and analysis of NOPSEMA’s performance against its budget presented to Parliament.</w:t>
      </w:r>
    </w:p>
    <w:p w14:paraId="744321A6" w14:textId="137CC447" w:rsidR="00250006" w:rsidRPr="005A4295" w:rsidRDefault="00461FD4" w:rsidP="000D4CE1">
      <w:pPr>
        <w:pStyle w:val="BodyCopyNEW"/>
      </w:pPr>
      <w:r>
        <w:t>T</w:t>
      </w:r>
      <w:r w:rsidR="008468CE" w:rsidRPr="005A4295">
        <w:t xml:space="preserve">here is additional information </w:t>
      </w:r>
      <w:r>
        <w:t xml:space="preserve">on cross-subsidisation of activities </w:t>
      </w:r>
      <w:r w:rsidR="008468CE">
        <w:t>which is not provided publicly</w:t>
      </w:r>
      <w:r w:rsidR="00862E2D">
        <w:t>.</w:t>
      </w:r>
      <w:r w:rsidR="006F326D">
        <w:t xml:space="preserve"> This additional information</w:t>
      </w:r>
      <w:r>
        <w:t xml:space="preserve"> </w:t>
      </w:r>
      <w:r w:rsidR="008468CE">
        <w:t xml:space="preserve">may assist stakeholders understand how levies are developed and how levies align to actual costs being incurred for key activities. </w:t>
      </w:r>
      <w:r w:rsidR="008468CE" w:rsidRPr="005A4295">
        <w:t>While NOPSEMA does have this level of detailed examination readily available, it is not information which is publicly published</w:t>
      </w:r>
      <w:r w:rsidR="008468CE">
        <w:t>. Instead, the high level</w:t>
      </w:r>
      <w:r w:rsidR="008468CE" w:rsidRPr="005A4295">
        <w:t xml:space="preserve"> over</w:t>
      </w:r>
      <w:r w:rsidR="008468CE">
        <w:t>-</w:t>
      </w:r>
      <w:r w:rsidR="008468CE" w:rsidRPr="005A4295">
        <w:t>and</w:t>
      </w:r>
      <w:r w:rsidR="008468CE">
        <w:t>-</w:t>
      </w:r>
      <w:r w:rsidR="008468CE" w:rsidRPr="005A4295">
        <w:t>under recovery</w:t>
      </w:r>
      <w:r w:rsidR="008468CE">
        <w:t xml:space="preserve"> amounts</w:t>
      </w:r>
      <w:r w:rsidR="008468CE" w:rsidRPr="005A4295">
        <w:t xml:space="preserve"> are reported</w:t>
      </w:r>
      <w:r w:rsidR="008468CE">
        <w:t xml:space="preserve"> (after the process of </w:t>
      </w:r>
      <w:r>
        <w:t>‘</w:t>
      </w:r>
      <w:r w:rsidR="008468CE">
        <w:t>balancing</w:t>
      </w:r>
      <w:r>
        <w:t>’</w:t>
      </w:r>
      <w:r w:rsidR="008468CE">
        <w:t xml:space="preserve"> by NOPSEMA has been undertaken)</w:t>
      </w:r>
      <w:r w:rsidR="008468CE" w:rsidRPr="005A4295">
        <w:t xml:space="preserve">. </w:t>
      </w:r>
    </w:p>
    <w:p w14:paraId="004D3FC3" w14:textId="3560119F" w:rsidR="008468CE" w:rsidRDefault="008468CE" w:rsidP="000D4CE1">
      <w:pPr>
        <w:pStyle w:val="BodyCopyNEW"/>
      </w:pPr>
      <w:r>
        <w:t>Our view is</w:t>
      </w:r>
      <w:r w:rsidRPr="003553F2">
        <w:t xml:space="preserve"> that</w:t>
      </w:r>
      <w:r>
        <w:t>,</w:t>
      </w:r>
      <w:r w:rsidRPr="003553F2">
        <w:t xml:space="preserve"> while </w:t>
      </w:r>
      <w:r>
        <w:t>NOPSEMA</w:t>
      </w:r>
      <w:r w:rsidRPr="003553F2">
        <w:t xml:space="preserve"> is transparent with the majority of details relating to its cost recovery arrangement</w:t>
      </w:r>
      <w:r w:rsidR="008127C0">
        <w:t xml:space="preserve"> and is in accordance with the Australian Government Cost Recovery Guidelines</w:t>
      </w:r>
      <w:r w:rsidRPr="003553F2">
        <w:t xml:space="preserve">, </w:t>
      </w:r>
      <w:r>
        <w:t>it</w:t>
      </w:r>
      <w:r w:rsidRPr="003553F2">
        <w:t xml:space="preserve"> could improve the level of transparency </w:t>
      </w:r>
      <w:r>
        <w:t xml:space="preserve">in relation to the information provided to stakeholders. </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1C089B" w:rsidRPr="00DA0585" w14:paraId="1FC6FB83" w14:textId="77777777" w:rsidTr="007425F5">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FC2B4"/>
          </w:tcPr>
          <w:p w14:paraId="459FD54E" w14:textId="2CEEC298" w:rsidR="001C089B" w:rsidRPr="00267D9A" w:rsidRDefault="001C089B" w:rsidP="00053250">
            <w:pPr>
              <w:pStyle w:val="TableHeadingLeft"/>
            </w:pPr>
            <w:r w:rsidRPr="00267D9A">
              <w:t>Opportunity #</w:t>
            </w:r>
            <w:r w:rsidR="00C224DC">
              <w:t>20</w:t>
            </w:r>
          </w:p>
        </w:tc>
      </w:tr>
      <w:tr w:rsidR="00DA0585" w:rsidRPr="00DA0585" w14:paraId="642C985E" w14:textId="77777777" w:rsidTr="007425F5">
        <w:trPr>
          <w:trHeight w:val="510"/>
        </w:trPr>
        <w:tc>
          <w:tcPr>
            <w:tcW w:w="9864" w:type="dxa"/>
            <w:tcBorders>
              <w:bottom w:val="nil"/>
            </w:tcBorders>
            <w:shd w:val="clear" w:color="auto" w:fill="F2F2F2" w:themeFill="background1" w:themeFillShade="F2"/>
          </w:tcPr>
          <w:p w14:paraId="2FAB92D4" w14:textId="7AA6A469" w:rsidR="007D02B3" w:rsidRPr="00DA0585" w:rsidRDefault="007D02B3" w:rsidP="007D02B3">
            <w:pPr>
              <w:pStyle w:val="BodyCopyNEW"/>
            </w:pPr>
            <w:r w:rsidRPr="00DA0585">
              <w:rPr>
                <w:szCs w:val="18"/>
              </w:rPr>
              <w:t>NOPSEMA is encouraged to review and update its CRIS modelling to ensure it is complete and transparent, and that it is consistent with its objectives and principles for cost recovery. The rationale for the levy amounts that are set, and the factors that NOPSEMA considers when setting the levy amounts, should be clearly documented.</w:t>
            </w:r>
          </w:p>
        </w:tc>
      </w:tr>
    </w:tbl>
    <w:p w14:paraId="54571C3C" w14:textId="77777777" w:rsidR="008468CE" w:rsidRPr="00622509" w:rsidRDefault="008468CE" w:rsidP="005035FE">
      <w:pPr>
        <w:pStyle w:val="BodyCopyNEW"/>
        <w:spacing w:before="120"/>
      </w:pPr>
      <w:r>
        <w:t xml:space="preserve">In relation to accountability, we found no evidence to suggest that NOPSEMA is not accountable for its actions in relation to cost recovery. </w:t>
      </w:r>
    </w:p>
    <w:p w14:paraId="2CE2FCD2" w14:textId="77777777" w:rsidR="008468CE" w:rsidRPr="0046178D" w:rsidRDefault="008468CE" w:rsidP="00BA4D90">
      <w:pPr>
        <w:pStyle w:val="Heading4"/>
      </w:pPr>
      <w:bookmarkStart w:id="175" w:name="_Ref56069212"/>
      <w:r w:rsidRPr="0046178D">
        <w:t>Stakeholder engagement</w:t>
      </w:r>
      <w:bookmarkEnd w:id="175"/>
    </w:p>
    <w:p w14:paraId="1B09D8A9" w14:textId="4E941641" w:rsidR="008468CE" w:rsidRPr="004C497D" w:rsidRDefault="008468CE" w:rsidP="000D4CE1">
      <w:pPr>
        <w:pStyle w:val="Heading3NoNumber"/>
      </w:pPr>
      <w:r>
        <w:t>NOPSEMA engage</w:t>
      </w:r>
      <w:r w:rsidR="006A659F">
        <w:t>s</w:t>
      </w:r>
      <w:r>
        <w:t xml:space="preserve"> with stakeholders on the development of cost recovery arrangements</w:t>
      </w:r>
    </w:p>
    <w:p w14:paraId="1F660A02" w14:textId="768859E4" w:rsidR="008468CE" w:rsidRDefault="008468CE" w:rsidP="000D4CE1">
      <w:pPr>
        <w:pStyle w:val="BodyCopyNEW"/>
      </w:pPr>
      <w:r>
        <w:t xml:space="preserve">The CRGs requires agencies to actively engage with stakeholders throughout all stages of the cost recovery process, from policy development through to implementation and review. </w:t>
      </w:r>
    </w:p>
    <w:p w14:paraId="5332E9AF" w14:textId="69E29C74" w:rsidR="008468CE" w:rsidRDefault="008468CE" w:rsidP="000D4CE1">
      <w:pPr>
        <w:pStyle w:val="BodyCopyNEW"/>
      </w:pPr>
      <w:r>
        <w:t>NOPSEMA engages with stakeholders p</w:t>
      </w:r>
      <w:r w:rsidRPr="00242D8E">
        <w:t>rior to the implementation of their CRIS</w:t>
      </w:r>
      <w:r>
        <w:t xml:space="preserve"> by contacting all past and present levy payers, advising them of proposed changes, conducting stakeholder briefing sessions and seeking feedback from stakeholders. This process was undertaken in 2018 to inform NOPSEMA’s 2018-19 CRIS.</w:t>
      </w:r>
      <w:r w:rsidR="00053BE7">
        <w:t xml:space="preserve"> </w:t>
      </w:r>
      <w:r>
        <w:t xml:space="preserve">As part of NOPSEMA’s ongoing performance reporting, </w:t>
      </w:r>
      <w:r w:rsidRPr="002C5C3D">
        <w:t xml:space="preserve">NOPSEMA undertakes an annual cost effectiveness </w:t>
      </w:r>
      <w:r>
        <w:t xml:space="preserve">review and publishes </w:t>
      </w:r>
      <w:r w:rsidRPr="002C5C3D">
        <w:t xml:space="preserve">the audited report on </w:t>
      </w:r>
      <w:r>
        <w:t>its</w:t>
      </w:r>
      <w:r w:rsidRPr="002C5C3D">
        <w:t xml:space="preserve"> website. All </w:t>
      </w:r>
      <w:r w:rsidR="00685B3D">
        <w:t>title</w:t>
      </w:r>
      <w:r w:rsidR="000348BB">
        <w:t>holders</w:t>
      </w:r>
      <w:r w:rsidRPr="002C5C3D">
        <w:t xml:space="preserve"> are invited to an annual stakeholder meeting to discuss </w:t>
      </w:r>
      <w:r>
        <w:t>the</w:t>
      </w:r>
      <w:r w:rsidRPr="002C5C3D">
        <w:t xml:space="preserve"> report and any issues in general. </w:t>
      </w:r>
      <w:r w:rsidRPr="00AB5B59">
        <w:t xml:space="preserve">In </w:t>
      </w:r>
      <w:r w:rsidR="009128D3">
        <w:t>July 2020</w:t>
      </w:r>
      <w:r w:rsidRPr="0008310F">
        <w:t xml:space="preserve">, NOPSEMA’s Chief Financial Officer conducted an </w:t>
      </w:r>
      <w:r w:rsidRPr="00AB5B59">
        <w:t xml:space="preserve">industry briefing on the </w:t>
      </w:r>
      <w:r w:rsidR="009128D3">
        <w:t>C</w:t>
      </w:r>
      <w:r w:rsidRPr="00AB5B59">
        <w:t xml:space="preserve">ost </w:t>
      </w:r>
      <w:r w:rsidR="009128D3">
        <w:t>E</w:t>
      </w:r>
      <w:r w:rsidRPr="00AB5B59">
        <w:t xml:space="preserve">ffectiveness </w:t>
      </w:r>
      <w:r w:rsidR="009128D3">
        <w:t>R</w:t>
      </w:r>
      <w:r w:rsidRPr="00AB5B59">
        <w:t>eport for 201</w:t>
      </w:r>
      <w:r w:rsidR="009128D3">
        <w:t>8</w:t>
      </w:r>
      <w:r w:rsidRPr="00AB5B59">
        <w:t>-1</w:t>
      </w:r>
      <w:r w:rsidR="009128D3">
        <w:t>9</w:t>
      </w:r>
      <w:r w:rsidRPr="00AB5B59">
        <w:t xml:space="preserve">. </w:t>
      </w:r>
    </w:p>
    <w:p w14:paraId="1996FFAF" w14:textId="3D88F568" w:rsidR="008468CE" w:rsidRPr="00715FEE" w:rsidRDefault="008468CE" w:rsidP="00784E0E">
      <w:pPr>
        <w:pStyle w:val="Heading3"/>
      </w:pPr>
      <w:bookmarkStart w:id="176" w:name="_Ref52895863"/>
      <w:bookmarkStart w:id="177" w:name="_Toc54193643"/>
      <w:r w:rsidRPr="00715FEE">
        <w:t xml:space="preserve">Impact of levies and fees on </w:t>
      </w:r>
      <w:bookmarkEnd w:id="176"/>
      <w:bookmarkEnd w:id="177"/>
      <w:r w:rsidR="00685B3D">
        <w:t>titleholders</w:t>
      </w:r>
    </w:p>
    <w:p w14:paraId="5AE3C162" w14:textId="77777777" w:rsidR="008468CE" w:rsidRPr="00547DEA" w:rsidRDefault="008468CE" w:rsidP="000D4CE1">
      <w:pPr>
        <w:pStyle w:val="Heading3NoNumber"/>
      </w:pPr>
      <w:r>
        <w:t>Affordability and ability to pay were not raised as concerns by industry</w:t>
      </w:r>
    </w:p>
    <w:p w14:paraId="6E7EBE31" w14:textId="22FD33D1" w:rsidR="008468CE" w:rsidRDefault="008468CE" w:rsidP="000D4CE1">
      <w:pPr>
        <w:pStyle w:val="BodyCopyNEW"/>
      </w:pPr>
      <w:r>
        <w:t xml:space="preserve">Under NOPSEMA’s cost recovery model, relatively small </w:t>
      </w:r>
      <w:r w:rsidR="00EA06AF">
        <w:t>title</w:t>
      </w:r>
      <w:r w:rsidR="001003B9">
        <w:t>holder</w:t>
      </w:r>
      <w:r>
        <w:t xml:space="preserve">s pay the same as larger </w:t>
      </w:r>
      <w:r w:rsidR="00EA06AF">
        <w:t>title</w:t>
      </w:r>
      <w:r w:rsidR="001003B9">
        <w:t>holder</w:t>
      </w:r>
      <w:r>
        <w:t xml:space="preserve">s for a given activity (disregarding adjustments made for ‘activity’ and ‘compliance’ ratings, described above), irrespective of the size of the </w:t>
      </w:r>
      <w:r w:rsidR="00EA06AF">
        <w:t>title</w:t>
      </w:r>
      <w:r w:rsidR="001003B9">
        <w:t>holder</w:t>
      </w:r>
      <w:r>
        <w:t>. It is possible that this may cause problems with ability to pay, although this was not raised as a significant issue via NOPSEMA’s stakeholder consultation or as part of our consultation with stakeholders.</w:t>
      </w:r>
    </w:p>
    <w:p w14:paraId="0F5345BB" w14:textId="4AF7B9DF" w:rsidR="008468CE" w:rsidRPr="004C497D" w:rsidRDefault="008468CE" w:rsidP="000D4CE1">
      <w:pPr>
        <w:pStyle w:val="BodyCopyNEW"/>
        <w:rPr>
          <w:b/>
          <w:bCs/>
        </w:rPr>
      </w:pPr>
      <w:r>
        <w:t xml:space="preserve">We observe that larger </w:t>
      </w:r>
      <w:r w:rsidR="00581519">
        <w:t>title</w:t>
      </w:r>
      <w:r w:rsidR="00327ACB">
        <w:t>holder</w:t>
      </w:r>
      <w:r>
        <w:t xml:space="preserve">s are responsible for paying levies and fees that make up a large proportion of revenue collected by NOPSEMA. NOPSEMA has advised that </w:t>
      </w:r>
      <w:r w:rsidRPr="00970BBD">
        <w:t>approximately 80</w:t>
      </w:r>
      <w:r>
        <w:t xml:space="preserve">% </w:t>
      </w:r>
      <w:r w:rsidRPr="00970BBD">
        <w:t xml:space="preserve">of </w:t>
      </w:r>
      <w:r>
        <w:t>its</w:t>
      </w:r>
      <w:r w:rsidRPr="00970BBD">
        <w:t xml:space="preserve"> revenue </w:t>
      </w:r>
      <w:r w:rsidRPr="00032922">
        <w:t xml:space="preserve">comes from approximately 20% of the industry. In considering whether this is reasonable, a key factor to </w:t>
      </w:r>
      <w:r w:rsidRPr="002B4B87">
        <w:t xml:space="preserve">consider is the degree of alignment between the costs of the activity and the revenue. As noted </w:t>
      </w:r>
      <w:r w:rsidR="004A0278">
        <w:t>above</w:t>
      </w:r>
      <w:r w:rsidRPr="002B4B87">
        <w:t>, there is some cross-subsidisation between safety levies and environmental levies. If smaller</w:t>
      </w:r>
      <w:r w:rsidRPr="002B4B87" w:rsidDel="00FE6D75">
        <w:t xml:space="preserve"> </w:t>
      </w:r>
      <w:r w:rsidR="0045016B">
        <w:t>title</w:t>
      </w:r>
      <w:r w:rsidR="00FE6D75" w:rsidRPr="002B4B87">
        <w:t xml:space="preserve">holders </w:t>
      </w:r>
      <w:r w:rsidRPr="002B4B87">
        <w:t xml:space="preserve">are relatively </w:t>
      </w:r>
      <w:r w:rsidRPr="002B4B87">
        <w:lastRenderedPageBreak/>
        <w:t xml:space="preserve">more involved in exploration than production or less complex activities (resulting in lower activity rating), this could lead to larger </w:t>
      </w:r>
      <w:r w:rsidR="0045016B">
        <w:t>title</w:t>
      </w:r>
      <w:r w:rsidR="006A45F7" w:rsidRPr="002B4B87">
        <w:t xml:space="preserve">holders </w:t>
      </w:r>
      <w:r w:rsidRPr="002B4B87">
        <w:t>paying relatively more in levies than the cost they impose. However, this needs to be balanced against other factors such as the need to encourage</w:t>
      </w:r>
      <w:r w:rsidR="0045016B">
        <w:t xml:space="preserve"> industry participation,</w:t>
      </w:r>
      <w:r w:rsidRPr="002B4B87">
        <w:t xml:space="preserve"> innovation</w:t>
      </w:r>
      <w:r w:rsidR="0045016B">
        <w:t>,</w:t>
      </w:r>
      <w:r w:rsidRPr="002B4B87">
        <w:t xml:space="preserve"> and ability to pay. This is a matter that NOPSEMA should address transparently via the CRIS process and seek feedback from industry on</w:t>
      </w:r>
      <w:r w:rsidRPr="002B4B87">
        <w:rPr>
          <w:b/>
        </w:rPr>
        <w:t>.</w:t>
      </w:r>
    </w:p>
    <w:p w14:paraId="20189109" w14:textId="77777777" w:rsidR="008468CE" w:rsidRDefault="008468CE" w:rsidP="00784E0E">
      <w:pPr>
        <w:pStyle w:val="Heading3"/>
      </w:pPr>
      <w:bookmarkStart w:id="178" w:name="_Toc54193644"/>
      <w:bookmarkStart w:id="179" w:name="_Ref56069217"/>
      <w:r w:rsidRPr="00425F17">
        <w:t>Perceptions as to the fairness and equity of the current levy regime</w:t>
      </w:r>
      <w:bookmarkEnd w:id="178"/>
      <w:bookmarkEnd w:id="179"/>
    </w:p>
    <w:p w14:paraId="0153F3F5" w14:textId="77777777" w:rsidR="008468CE" w:rsidRPr="00547DEA" w:rsidRDefault="008468CE" w:rsidP="000D4CE1">
      <w:pPr>
        <w:pStyle w:val="Heading3NoNumber"/>
      </w:pPr>
      <w:r>
        <w:t>There were mixed views regarding the equity and fairness of fees and levies</w:t>
      </w:r>
    </w:p>
    <w:p w14:paraId="02100021" w14:textId="6A3738D4" w:rsidR="00F306D9" w:rsidRDefault="008468CE" w:rsidP="000D4CE1">
      <w:pPr>
        <w:pStyle w:val="BodyCopyNEW"/>
      </w:pPr>
      <w:r>
        <w:t xml:space="preserve">NOPSEMA </w:t>
      </w:r>
      <w:r w:rsidR="00833039">
        <w:t>perceives</w:t>
      </w:r>
      <w:r>
        <w:t xml:space="preserve"> that the industry seems comfortable with the current levy and fee regime. </w:t>
      </w:r>
      <w:r w:rsidR="00327ACB">
        <w:t>NOPSEMA has</w:t>
      </w:r>
      <w:r>
        <w:t xml:space="preserve"> </w:t>
      </w:r>
      <w:r w:rsidR="00F306D9">
        <w:t xml:space="preserve">maintained a consistent approach to </w:t>
      </w:r>
      <w:r>
        <w:t>cost recovery and</w:t>
      </w:r>
      <w:r w:rsidR="00F306D9">
        <w:t xml:space="preserve"> the</w:t>
      </w:r>
      <w:r>
        <w:t xml:space="preserve"> industry is </w:t>
      </w:r>
      <w:r w:rsidRPr="005E0BF9">
        <w:t xml:space="preserve">familiar with </w:t>
      </w:r>
      <w:r>
        <w:t xml:space="preserve">and accepts </w:t>
      </w:r>
      <w:r w:rsidR="00F306D9">
        <w:t>these</w:t>
      </w:r>
      <w:r>
        <w:t xml:space="preserve"> arrangements</w:t>
      </w:r>
    </w:p>
    <w:p w14:paraId="0CC2C1D1" w14:textId="65FDA7F0" w:rsidR="008468CE" w:rsidRDefault="00F306D9" w:rsidP="000D4CE1">
      <w:pPr>
        <w:pStyle w:val="BodyCopyNEW"/>
      </w:pPr>
      <w:r>
        <w:t>S</w:t>
      </w:r>
      <w:r w:rsidR="008468CE">
        <w:t xml:space="preserve">takeholders we surveyed as part of our review indicated had mixed sentiments with the statement that </w:t>
      </w:r>
      <w:r>
        <w:t xml:space="preserve">levies and </w:t>
      </w:r>
      <w:r w:rsidR="008468CE">
        <w:t xml:space="preserve">fees are </w:t>
      </w:r>
      <w:r>
        <w:t>‘</w:t>
      </w:r>
      <w:r w:rsidR="008468CE">
        <w:t>fair and equitable</w:t>
      </w:r>
      <w:r>
        <w:t>’</w:t>
      </w:r>
      <w:r w:rsidR="008468CE">
        <w:t xml:space="preserve"> across the industry</w:t>
      </w:r>
      <w:r w:rsidR="008468CE" w:rsidRPr="009053DC">
        <w:t xml:space="preserve">, with </w:t>
      </w:r>
      <w:r w:rsidR="008468CE" w:rsidRPr="004C497D">
        <w:t>only 5</w:t>
      </w:r>
      <w:r w:rsidR="008468CE" w:rsidRPr="009053DC">
        <w:t xml:space="preserve">0% of </w:t>
      </w:r>
      <w:r w:rsidR="008468CE">
        <w:t>stakeholders</w:t>
      </w:r>
      <w:r w:rsidR="008468CE" w:rsidRPr="009053DC">
        <w:t xml:space="preserve"> agreeing or strongly agreeing to this item (</w:t>
      </w:r>
      <w:r w:rsidR="008468CE" w:rsidRPr="00EC0910">
        <w:t xml:space="preserve">see </w:t>
      </w:r>
      <w:r w:rsidR="00FA5351" w:rsidRPr="00FA5351">
        <w:rPr>
          <w:b/>
          <w:bCs/>
        </w:rPr>
        <w:fldChar w:fldCharType="begin"/>
      </w:r>
      <w:r w:rsidR="00FA5351" w:rsidRPr="00FA5351">
        <w:rPr>
          <w:b/>
          <w:bCs/>
        </w:rPr>
        <w:instrText xml:space="preserve"> REF _Ref58451264 \h  \* MERGEFORMAT </w:instrText>
      </w:r>
      <w:r w:rsidR="00FA5351" w:rsidRPr="00FA5351">
        <w:rPr>
          <w:b/>
          <w:bCs/>
        </w:rPr>
      </w:r>
      <w:r w:rsidR="00FA5351" w:rsidRPr="00FA5351">
        <w:rPr>
          <w:b/>
          <w:bCs/>
        </w:rPr>
        <w:fldChar w:fldCharType="separate"/>
      </w:r>
      <w:r w:rsidR="00E816B8" w:rsidRPr="00E816B8">
        <w:rPr>
          <w:b/>
          <w:bCs/>
        </w:rPr>
        <w:t xml:space="preserve">Figure </w:t>
      </w:r>
      <w:r w:rsidR="00E816B8" w:rsidRPr="00E816B8">
        <w:rPr>
          <w:b/>
          <w:bCs/>
          <w:noProof/>
        </w:rPr>
        <w:t>10.9</w:t>
      </w:r>
      <w:r w:rsidR="00FA5351" w:rsidRPr="00FA5351">
        <w:rPr>
          <w:b/>
          <w:bCs/>
        </w:rPr>
        <w:fldChar w:fldCharType="end"/>
      </w:r>
      <w:r w:rsidR="008468CE" w:rsidRPr="00EC0910">
        <w:t xml:space="preserve">). </w:t>
      </w:r>
    </w:p>
    <w:p w14:paraId="5FB6AFFD" w14:textId="6ED6DB13" w:rsidR="00BB1F07" w:rsidRDefault="008468CE" w:rsidP="000D4CE1">
      <w:pPr>
        <w:pStyle w:val="BodyCopyNEW"/>
      </w:pPr>
      <w:r>
        <w:t>However, during the last CRIS process, NOPSEMA</w:t>
      </w:r>
      <w:r w:rsidRPr="00A95ECC">
        <w:t xml:space="preserve"> </w:t>
      </w:r>
      <w:r w:rsidR="00770426">
        <w:t xml:space="preserve">advised us that they </w:t>
      </w:r>
      <w:r w:rsidRPr="00A95ECC">
        <w:t xml:space="preserve">received limited </w:t>
      </w:r>
      <w:r w:rsidR="008A3BBD">
        <w:t>feedback</w:t>
      </w:r>
      <w:r w:rsidR="008A3BBD" w:rsidRPr="00A95ECC">
        <w:t xml:space="preserve"> </w:t>
      </w:r>
      <w:r w:rsidRPr="00A95ECC">
        <w:t xml:space="preserve">from </w:t>
      </w:r>
      <w:r w:rsidR="008A3BBD">
        <w:t xml:space="preserve">industry </w:t>
      </w:r>
      <w:r w:rsidRPr="00A95ECC">
        <w:t>stakeholders regarding fairness and equity.</w:t>
      </w:r>
      <w:r>
        <w:t xml:space="preserve"> Specifically, NOPSEMA’s impressions were that the industry was broadly comfortable with levy increases, saw them as necessary, and acknowledged that it was reasonable to expect increases in levy and fee amounts given historically stability of cost recovery amounts. </w:t>
      </w:r>
    </w:p>
    <w:p w14:paraId="2F297983" w14:textId="2E0BF5A7" w:rsidR="005A10CB" w:rsidRDefault="001E201D" w:rsidP="000D4CE1">
      <w:pPr>
        <w:pStyle w:val="BodyCopyNEW"/>
      </w:pPr>
      <w:r>
        <w:t xml:space="preserve">We discuss mechanisms to more proactively and transparently engage with stakeholders in </w:t>
      </w:r>
      <w:r w:rsidRPr="00E94BB2">
        <w:rPr>
          <w:b/>
        </w:rPr>
        <w:t xml:space="preserve">Section </w:t>
      </w:r>
      <w:r w:rsidRPr="00E94BB2">
        <w:rPr>
          <w:b/>
        </w:rPr>
        <w:fldChar w:fldCharType="begin"/>
      </w:r>
      <w:r w:rsidRPr="00E94BB2">
        <w:rPr>
          <w:b/>
        </w:rPr>
        <w:instrText xml:space="preserve"> REF _Ref56070743 \r \h </w:instrText>
      </w:r>
      <w:r>
        <w:rPr>
          <w:b/>
          <w:bCs/>
        </w:rPr>
        <w:instrText xml:space="preserve"> \* MERGEFORMAT </w:instrText>
      </w:r>
      <w:r w:rsidRPr="00E94BB2">
        <w:rPr>
          <w:b/>
        </w:rPr>
      </w:r>
      <w:r w:rsidRPr="00E94BB2">
        <w:rPr>
          <w:b/>
        </w:rPr>
        <w:fldChar w:fldCharType="separate"/>
      </w:r>
      <w:r w:rsidR="00E816B8">
        <w:rPr>
          <w:b/>
        </w:rPr>
        <w:t>9</w:t>
      </w:r>
      <w:r w:rsidRPr="00E94BB2">
        <w:rPr>
          <w:b/>
        </w:rPr>
        <w:fldChar w:fldCharType="end"/>
      </w:r>
      <w:r>
        <w:t>, particularly where stakeholders may be reluctant to provide direct feedback to the regulator</w:t>
      </w:r>
      <w:r w:rsidR="00844B2C">
        <w:t xml:space="preserve"> on contentious matters such as cost recovery</w:t>
      </w:r>
      <w:r>
        <w:t>.</w:t>
      </w:r>
      <w:r w:rsidR="00844B2C">
        <w:t xml:space="preserve"> As such we do not raise a recommendation in response to the discussion above.</w:t>
      </w:r>
    </w:p>
    <w:p w14:paraId="60F0FB53" w14:textId="4002BA74" w:rsidR="00FA5351" w:rsidRDefault="00FA5351" w:rsidP="008D69C2">
      <w:pPr>
        <w:pStyle w:val="Caption"/>
        <w:keepNext/>
      </w:pPr>
      <w:bookmarkStart w:id="180" w:name="_Ref58451264"/>
      <w:r>
        <w:t xml:space="preserve">Figure </w:t>
      </w:r>
      <w:r w:rsidR="00AD41F8">
        <w:fldChar w:fldCharType="begin"/>
      </w:r>
      <w:r w:rsidR="00AD41F8">
        <w:instrText xml:space="preserve"> STYLEREF 1 \s </w:instrText>
      </w:r>
      <w:r w:rsidR="00AD41F8">
        <w:fldChar w:fldCharType="separate"/>
      </w:r>
      <w:r w:rsidR="00E816B8">
        <w:rPr>
          <w:noProof/>
        </w:rPr>
        <w:t>10</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9</w:t>
      </w:r>
      <w:r w:rsidR="00AD41F8">
        <w:fldChar w:fldCharType="end"/>
      </w:r>
      <w:bookmarkEnd w:id="180"/>
      <w:r>
        <w:t xml:space="preserve">: </w:t>
      </w:r>
      <w:r w:rsidRPr="008A3BBD">
        <w:t xml:space="preserve">Survey responses to NOPSEMA’s </w:t>
      </w:r>
      <w:r>
        <w:t>levy and fee structure</w:t>
      </w:r>
    </w:p>
    <w:p w14:paraId="19BF95BD" w14:textId="77777777" w:rsidR="008468CE" w:rsidRPr="006F2A8D" w:rsidRDefault="008468CE" w:rsidP="008468CE">
      <w:r>
        <w:rPr>
          <w:noProof/>
          <w:lang w:eastAsia="en-AU"/>
        </w:rPr>
        <w:drawing>
          <wp:inline distT="0" distB="0" distL="0" distR="0" wp14:anchorId="71CA7BE9" wp14:editId="56C214E8">
            <wp:extent cx="6238875" cy="2808000"/>
            <wp:effectExtent l="0" t="0" r="9525" b="11430"/>
            <wp:docPr id="61" name="Chart 6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248DED2D-F123-4F80-AE86-89CD637FFD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3E447C7" w14:textId="77777777" w:rsidR="007425F5" w:rsidRPr="00901C7B" w:rsidRDefault="008468CE" w:rsidP="00A067D9">
      <w:pPr>
        <w:pStyle w:val="Caption"/>
        <w:rPr>
          <w:b w:val="0"/>
          <w:bCs/>
          <w:i/>
          <w:iCs w:val="0"/>
          <w:color w:val="75787B" w:themeColor="accent6"/>
        </w:rPr>
      </w:pPr>
      <w:r w:rsidRPr="00901C7B">
        <w:rPr>
          <w:b w:val="0"/>
          <w:bCs/>
          <w:i/>
          <w:iCs w:val="0"/>
          <w:color w:val="75787B" w:themeColor="accent6"/>
        </w:rPr>
        <w:t>Source: Deloitte Stakeholder Survey, Deloitte analysis</w:t>
      </w:r>
    </w:p>
    <w:p w14:paraId="69CE6BA4" w14:textId="5FF4D9E5" w:rsidR="00E177A8" w:rsidRDefault="00E177A8" w:rsidP="00901C7B">
      <w:pPr>
        <w:pStyle w:val="Caption"/>
        <w:rPr>
          <w:i/>
        </w:rPr>
        <w:sectPr w:rsidR="00E177A8" w:rsidSect="00EC5F12">
          <w:headerReference w:type="default" r:id="rId72"/>
          <w:type w:val="continuous"/>
          <w:pgSz w:w="11906" w:h="16838" w:code="9"/>
          <w:pgMar w:top="1985" w:right="1021" w:bottom="1134" w:left="1021" w:header="680" w:footer="425" w:gutter="0"/>
          <w:cols w:space="284"/>
          <w:docGrid w:linePitch="360"/>
        </w:sectPr>
      </w:pPr>
    </w:p>
    <w:p w14:paraId="32B813F3" w14:textId="77777777" w:rsidR="007C15D8" w:rsidRDefault="007C15D8" w:rsidP="00D56BF9">
      <w:pPr>
        <w:pStyle w:val="Heading1"/>
        <w:ind w:right="3060"/>
      </w:pPr>
      <w:bookmarkStart w:id="181" w:name="_Toc63970848"/>
      <w:bookmarkStart w:id="182" w:name="_Ref63974459"/>
      <w:bookmarkStart w:id="183" w:name="_Ref63974757"/>
      <w:bookmarkStart w:id="184" w:name="_Ref55982220"/>
      <w:r>
        <w:rPr>
          <w:noProof/>
          <w:lang w:eastAsia="en-AU"/>
        </w:rPr>
        <w:lastRenderedPageBreak/>
        <w:drawing>
          <wp:anchor distT="0" distB="0" distL="114300" distR="114300" simplePos="0" relativeHeight="251658256" behindDoc="1" locked="0" layoutInCell="1" allowOverlap="1" wp14:anchorId="039145A3" wp14:editId="7669BD04">
            <wp:simplePos x="0" y="0"/>
            <wp:positionH relativeFrom="page">
              <wp:posOffset>-1270</wp:posOffset>
            </wp:positionH>
            <wp:positionV relativeFrom="paragraph">
              <wp:posOffset>-1253713</wp:posOffset>
            </wp:positionV>
            <wp:extent cx="7553325" cy="10677525"/>
            <wp:effectExtent l="0" t="0" r="9525" b="9525"/>
            <wp:wrapNone/>
            <wp:docPr id="74" name="Picture 74"/>
            <wp:cNvGraphicFramePr/>
            <a:graphic xmlns:a="http://schemas.openxmlformats.org/drawingml/2006/main">
              <a:graphicData uri="http://schemas.openxmlformats.org/drawingml/2006/picture">
                <pic:pic xmlns:pic="http://schemas.openxmlformats.org/drawingml/2006/picture">
                  <pic:nvPicPr>
                    <pic:cNvPr id="1179951892" name="Picture 1179951892"/>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7553325" cy="10677525"/>
                    </a:xfrm>
                    <a:prstGeom prst="rect">
                      <a:avLst/>
                    </a:prstGeom>
                    <a:noFill/>
                  </pic:spPr>
                </pic:pic>
              </a:graphicData>
            </a:graphic>
            <wp14:sizeRelH relativeFrom="page">
              <wp14:pctWidth>0</wp14:pctWidth>
            </wp14:sizeRelH>
            <wp14:sizeRelV relativeFrom="page">
              <wp14:pctHeight>0</wp14:pctHeight>
            </wp14:sizeRelV>
          </wp:anchor>
        </w:drawing>
      </w:r>
      <w:r w:rsidRPr="006521FD">
        <w:t>2020 Endorsed Program Assessment</w:t>
      </w:r>
      <w:bookmarkEnd w:id="181"/>
      <w:bookmarkEnd w:id="182"/>
      <w:bookmarkEnd w:id="183"/>
      <w:r w:rsidRPr="00D86267">
        <w:rPr>
          <w:noProof/>
        </w:rPr>
        <w:t xml:space="preserve"> </w:t>
      </w:r>
    </w:p>
    <w:p w14:paraId="5D808863" w14:textId="77777777" w:rsidR="00220FFA" w:rsidRDefault="00220FFA" w:rsidP="007C15D8">
      <w:pPr>
        <w:rPr>
          <w:rFonts w:ascii="Calibri" w:hAnsi="Calibri" w:cs="Calibri"/>
          <w:b/>
          <w:bCs/>
          <w:sz w:val="24"/>
          <w:szCs w:val="24"/>
        </w:rPr>
      </w:pPr>
    </w:p>
    <w:p w14:paraId="5AD3F9FA" w14:textId="77777777" w:rsidR="00220FFA" w:rsidRDefault="00220FFA" w:rsidP="007C15D8">
      <w:pPr>
        <w:rPr>
          <w:rFonts w:ascii="Calibri" w:hAnsi="Calibri" w:cs="Calibri"/>
          <w:b/>
          <w:bCs/>
          <w:sz w:val="24"/>
          <w:szCs w:val="24"/>
        </w:rPr>
      </w:pPr>
    </w:p>
    <w:p w14:paraId="09ADA049" w14:textId="77777777" w:rsidR="00220FFA" w:rsidRDefault="00220FFA" w:rsidP="007C15D8">
      <w:pPr>
        <w:rPr>
          <w:rFonts w:ascii="Calibri" w:hAnsi="Calibri" w:cs="Calibri"/>
          <w:b/>
          <w:bCs/>
          <w:sz w:val="24"/>
          <w:szCs w:val="24"/>
        </w:rPr>
      </w:pPr>
    </w:p>
    <w:p w14:paraId="20285FE2" w14:textId="124247DA" w:rsidR="00220FFA" w:rsidRDefault="00220FFA" w:rsidP="007C15D8">
      <w:pPr>
        <w:rPr>
          <w:rFonts w:ascii="Calibri" w:hAnsi="Calibri" w:cs="Calibri"/>
          <w:b/>
          <w:bCs/>
          <w:sz w:val="24"/>
          <w:szCs w:val="24"/>
        </w:rPr>
      </w:pPr>
    </w:p>
    <w:p w14:paraId="2EC89029" w14:textId="637EBA99" w:rsidR="007C15D8" w:rsidRPr="00C22566" w:rsidRDefault="007C15D8" w:rsidP="007C15D8">
      <w:pPr>
        <w:rPr>
          <w:rFonts w:ascii="Calibri" w:hAnsi="Calibri" w:cs="Calibri"/>
          <w:b/>
          <w:bCs/>
          <w:sz w:val="24"/>
          <w:szCs w:val="24"/>
        </w:rPr>
      </w:pPr>
      <w:r w:rsidRPr="00C22566">
        <w:rPr>
          <w:rFonts w:ascii="Calibri" w:hAnsi="Calibri" w:cs="Calibri"/>
          <w:b/>
          <w:bCs/>
          <w:sz w:val="24"/>
          <w:szCs w:val="24"/>
        </w:rPr>
        <w:t>Key points</w:t>
      </w:r>
    </w:p>
    <w:tbl>
      <w:tblPr>
        <w:tblStyle w:val="TableGrid"/>
        <w:tblW w:w="10490" w:type="dxa"/>
        <w:tblCellMar>
          <w:top w:w="57" w:type="dxa"/>
          <w:left w:w="57" w:type="dxa"/>
          <w:bottom w:w="57" w:type="dxa"/>
          <w:right w:w="170" w:type="dxa"/>
        </w:tblCellMar>
        <w:tblLook w:val="04A0" w:firstRow="1" w:lastRow="0" w:firstColumn="1" w:lastColumn="0" w:noHBand="0" w:noVBand="1"/>
      </w:tblPr>
      <w:tblGrid>
        <w:gridCol w:w="4962"/>
        <w:gridCol w:w="5528"/>
      </w:tblGrid>
      <w:tr w:rsidR="007C15D8" w14:paraId="3BFD16D1" w14:textId="77777777" w:rsidTr="002805F4">
        <w:trPr>
          <w:cnfStyle w:val="100000000000" w:firstRow="1" w:lastRow="0" w:firstColumn="0" w:lastColumn="0" w:oddVBand="0" w:evenVBand="0" w:oddHBand="0" w:evenHBand="0" w:firstRowFirstColumn="0" w:firstRowLastColumn="0" w:lastRowFirstColumn="0" w:lastRowLastColumn="0"/>
        </w:trPr>
        <w:tc>
          <w:tcPr>
            <w:tcW w:w="4962" w:type="dxa"/>
            <w:hideMark/>
          </w:tcPr>
          <w:p w14:paraId="008CDC1E" w14:textId="77777777" w:rsidR="007C15D8" w:rsidRPr="007425F5" w:rsidRDefault="007C15D8" w:rsidP="00AC121F">
            <w:pPr>
              <w:spacing w:after="80"/>
              <w:rPr>
                <w:rFonts w:ascii="Calibri" w:hAnsi="Calibri"/>
                <w:b/>
                <w:bCs/>
                <w:sz w:val="20"/>
                <w:szCs w:val="20"/>
              </w:rPr>
            </w:pPr>
            <w:r w:rsidRPr="007425F5">
              <w:rPr>
                <w:rFonts w:ascii="Calibri" w:hAnsi="Calibri"/>
                <w:b/>
                <w:bCs/>
                <w:sz w:val="20"/>
                <w:szCs w:val="20"/>
              </w:rPr>
              <w:t>NOPSEMA is achieving the objectives of the Endorsed Program</w:t>
            </w:r>
          </w:p>
          <w:p w14:paraId="5B0BA0D3" w14:textId="55974BF7" w:rsidR="00B23447" w:rsidRDefault="00B23447" w:rsidP="00B23447">
            <w:pPr>
              <w:widowControl w:val="0"/>
              <w:spacing w:after="80"/>
              <w:rPr>
                <w:rFonts w:ascii="Calibri Light" w:hAnsi="Calibri Light"/>
              </w:rPr>
            </w:pPr>
            <w:r w:rsidRPr="001128E3" w:rsidDel="00730F75">
              <w:rPr>
                <w:rFonts w:ascii="Calibri Light" w:hAnsi="Calibri Light"/>
              </w:rPr>
              <w:t>We consider</w:t>
            </w:r>
            <w:r w:rsidRPr="001128E3">
              <w:rPr>
                <w:rFonts w:ascii="Calibri Light" w:hAnsi="Calibri Light"/>
              </w:rPr>
              <w:t xml:space="preserve"> NOPSEMA </w:t>
            </w:r>
            <w:r w:rsidRPr="001128E3" w:rsidDel="00730F75">
              <w:rPr>
                <w:rFonts w:ascii="Calibri Light" w:hAnsi="Calibri Light"/>
              </w:rPr>
              <w:t>to be</w:t>
            </w:r>
            <w:r w:rsidRPr="001128E3">
              <w:rPr>
                <w:rFonts w:ascii="Calibri Light" w:hAnsi="Calibri Light"/>
              </w:rPr>
              <w:t xml:space="preserve"> meeting the Objects of the OPGGS (Environment) Regulations. Specifically, NOPSEMA</w:t>
            </w:r>
            <w:r>
              <w:rPr>
                <w:rFonts w:ascii="Calibri Light" w:hAnsi="Calibri Light"/>
              </w:rPr>
              <w:t>’s</w:t>
            </w:r>
            <w:r w:rsidRPr="001128E3">
              <w:rPr>
                <w:rFonts w:ascii="Calibri Light" w:hAnsi="Calibri Light"/>
              </w:rPr>
              <w:t xml:space="preserve"> assessment processes align to the principles of ecologically sustainable development and the reduction of environmental impacts and risks of activities </w:t>
            </w:r>
            <w:r>
              <w:rPr>
                <w:rFonts w:ascii="Calibri Light" w:hAnsi="Calibri Light"/>
              </w:rPr>
              <w:t xml:space="preserve">to </w:t>
            </w:r>
            <w:r w:rsidR="00712A22">
              <w:rPr>
                <w:rFonts w:ascii="Calibri Light" w:hAnsi="Calibri Light"/>
              </w:rPr>
              <w:t>‘as low as reasonably practicable’</w:t>
            </w:r>
            <w:r w:rsidRPr="00407C78">
              <w:rPr>
                <w:rFonts w:ascii="Calibri Light" w:hAnsi="Calibri Light"/>
              </w:rPr>
              <w:t xml:space="preserve"> and </w:t>
            </w:r>
            <w:r w:rsidR="00712A22">
              <w:rPr>
                <w:rFonts w:ascii="Calibri Light" w:hAnsi="Calibri Light"/>
              </w:rPr>
              <w:t>‘</w:t>
            </w:r>
            <w:r w:rsidRPr="00407C78">
              <w:rPr>
                <w:rFonts w:ascii="Calibri Light" w:hAnsi="Calibri Light"/>
              </w:rPr>
              <w:t>acceptable</w:t>
            </w:r>
            <w:r w:rsidR="00712A22">
              <w:rPr>
                <w:rFonts w:ascii="Calibri Light" w:hAnsi="Calibri Light"/>
              </w:rPr>
              <w:t>’</w:t>
            </w:r>
            <w:r w:rsidRPr="00407C78">
              <w:rPr>
                <w:rFonts w:ascii="Calibri Light" w:hAnsi="Calibri Light"/>
              </w:rPr>
              <w:t xml:space="preserve"> levels.</w:t>
            </w:r>
            <w:r w:rsidRPr="001128E3">
              <w:rPr>
                <w:rFonts w:ascii="Calibri Light" w:hAnsi="Calibri Light"/>
              </w:rPr>
              <w:t xml:space="preserve"> </w:t>
            </w:r>
          </w:p>
          <w:p w14:paraId="46A601A3" w14:textId="7704E6E2" w:rsidR="00C03746" w:rsidRPr="001128E3" w:rsidRDefault="00C03746" w:rsidP="00B23447">
            <w:pPr>
              <w:widowControl w:val="0"/>
              <w:spacing w:after="80"/>
              <w:rPr>
                <w:rFonts w:ascii="Calibri Light" w:hAnsi="Calibri Light"/>
              </w:rPr>
            </w:pPr>
            <w:r>
              <w:rPr>
                <w:rFonts w:ascii="Calibri Light" w:hAnsi="Calibri Light"/>
              </w:rPr>
              <w:t>NOPSEMA appears to be meeting all of its commitments as outlined within the Endorsed Program</w:t>
            </w:r>
            <w:r w:rsidR="003868DC">
              <w:rPr>
                <w:rFonts w:ascii="Calibri Light" w:hAnsi="Calibri Light"/>
              </w:rPr>
              <w:t>, specifically those in relation to Part 3 protected matters and administration.</w:t>
            </w:r>
          </w:p>
          <w:p w14:paraId="36E51FF3" w14:textId="77777777" w:rsidR="007C15D8" w:rsidRPr="00407C78" w:rsidRDefault="007C15D8" w:rsidP="00AC121F">
            <w:pPr>
              <w:widowControl w:val="0"/>
              <w:spacing w:after="80"/>
              <w:rPr>
                <w:rFonts w:ascii="Calibri Light" w:hAnsi="Calibri Light"/>
              </w:rPr>
            </w:pPr>
            <w:r w:rsidRPr="00407C78">
              <w:rPr>
                <w:rFonts w:ascii="Calibri Light" w:hAnsi="Calibri Light"/>
              </w:rPr>
              <w:t xml:space="preserve">NOPSEMA has made good progress to address all improvements and observations made by the </w:t>
            </w:r>
            <w:r w:rsidRPr="00407C78">
              <w:rPr>
                <w:rFonts w:ascii="Calibri Light" w:hAnsi="Calibri Light"/>
                <w:i/>
                <w:iCs/>
              </w:rPr>
              <w:t>2015 NOPSEMA Endorsed Program Review</w:t>
            </w:r>
            <w:r w:rsidRPr="00407C78">
              <w:rPr>
                <w:rFonts w:ascii="Calibri Light" w:hAnsi="Calibri Light"/>
              </w:rPr>
              <w:t xml:space="preserve">. NOPSEMA is also working effectively with DAWE and its portfolio agencies, in line with the </w:t>
            </w:r>
            <w:r w:rsidRPr="00407C78">
              <w:rPr>
                <w:rFonts w:ascii="Calibri Light" w:hAnsi="Calibri Light"/>
                <w:i/>
                <w:iCs/>
              </w:rPr>
              <w:t>2017 Program Administrative Arrangements</w:t>
            </w:r>
            <w:r w:rsidRPr="00407C78">
              <w:rPr>
                <w:rFonts w:ascii="Calibri Light" w:hAnsi="Calibri Light"/>
              </w:rPr>
              <w:t xml:space="preserve">. </w:t>
            </w:r>
            <w:r w:rsidR="00C55FA0">
              <w:rPr>
                <w:rFonts w:ascii="Calibri Light" w:hAnsi="Calibri Light"/>
              </w:rPr>
              <w:t xml:space="preserve">We consider that NOPSEMA is achieving the objectives of the Endorsed Program and is operating in line with the Program Administrative Arrangements. </w:t>
            </w:r>
          </w:p>
          <w:p w14:paraId="2C8D016B" w14:textId="5ED34582" w:rsidR="007C15D8" w:rsidRPr="001128E3" w:rsidRDefault="007C15D8" w:rsidP="00AC121F">
            <w:pPr>
              <w:widowControl w:val="0"/>
              <w:spacing w:after="80"/>
              <w:rPr>
                <w:rFonts w:ascii="Calibri Light" w:hAnsi="Calibri Light"/>
              </w:rPr>
            </w:pPr>
            <w:r w:rsidRPr="001128E3">
              <w:rPr>
                <w:rFonts w:ascii="Calibri Light" w:hAnsi="Calibri Light"/>
              </w:rPr>
              <w:t xml:space="preserve">Based on our review of case studies and analysis of stakeholder feedback, </w:t>
            </w:r>
            <w:r w:rsidRPr="001128E3" w:rsidDel="00C15575">
              <w:rPr>
                <w:rFonts w:ascii="Calibri Light" w:hAnsi="Calibri Light"/>
              </w:rPr>
              <w:t xml:space="preserve">we consider that </w:t>
            </w:r>
            <w:r w:rsidRPr="001128E3">
              <w:rPr>
                <w:rFonts w:ascii="Calibri Light" w:hAnsi="Calibri Light"/>
              </w:rPr>
              <w:t xml:space="preserve">the next step for NOPSEMA is to review its approach to selecting protected matters, under Part 3 of the EPBC Act, to ensure that the scope of assessments are commensurate to </w:t>
            </w:r>
            <w:r w:rsidR="00735349">
              <w:rPr>
                <w:rFonts w:ascii="Calibri Light" w:hAnsi="Calibri Light"/>
              </w:rPr>
              <w:t xml:space="preserve">the </w:t>
            </w:r>
            <w:r w:rsidRPr="001128E3">
              <w:rPr>
                <w:rFonts w:ascii="Calibri Light" w:hAnsi="Calibri Light"/>
              </w:rPr>
              <w:t xml:space="preserve">level of impact and risk imposed by the proposed activities. It is important for assessments to be scaled and focused on key risks. </w:t>
            </w:r>
          </w:p>
          <w:p w14:paraId="751A82C0" w14:textId="4C0524BC" w:rsidR="007C15D8" w:rsidRDefault="007C15D8" w:rsidP="00AC121F">
            <w:pPr>
              <w:widowControl w:val="0"/>
              <w:spacing w:after="80"/>
              <w:rPr>
                <w:rFonts w:ascii="Calibri" w:hAnsi="Calibri"/>
                <w:b/>
                <w:bCs/>
                <w:sz w:val="20"/>
                <w:szCs w:val="20"/>
              </w:rPr>
            </w:pPr>
            <w:r w:rsidRPr="001128E3">
              <w:rPr>
                <w:rFonts w:ascii="Calibri Light" w:hAnsi="Calibri Light"/>
              </w:rPr>
              <w:t xml:space="preserve">NOPSEMA could also work to improve implementation of the subjective ‘acceptability’ tests. This could potentially be achieved by providing greater internal and external transparency of the assessment criteria and the limits of ‘acceptability’. NOPSEMA could also work with titleholders at an earlier </w:t>
            </w:r>
            <w:r w:rsidR="00333AF7">
              <w:rPr>
                <w:rFonts w:ascii="Calibri Light" w:hAnsi="Calibri Light"/>
              </w:rPr>
              <w:t xml:space="preserve">and </w:t>
            </w:r>
            <w:r w:rsidRPr="001128E3">
              <w:rPr>
                <w:rFonts w:ascii="Calibri Light" w:hAnsi="Calibri Light"/>
              </w:rPr>
              <w:t>more informal stage to ensure that their draft EPs address the most significant risks and issues. This would help to reduce the number of EPs that are rejected or returned for amendment, and potentially streamline the size of EP documents. These measures would help to improve stakeholder views of NOPSEMA as being consistent in its approach to assessments.</w:t>
            </w:r>
          </w:p>
        </w:tc>
        <w:tc>
          <w:tcPr>
            <w:tcW w:w="5528" w:type="dxa"/>
            <w:hideMark/>
          </w:tcPr>
          <w:p w14:paraId="078006BA" w14:textId="77777777" w:rsidR="007C15D8" w:rsidRPr="00F2700F" w:rsidRDefault="007C15D8" w:rsidP="00AC121F">
            <w:pPr>
              <w:spacing w:after="80"/>
              <w:ind w:right="255"/>
              <w:rPr>
                <w:rFonts w:ascii="Calibri" w:hAnsi="Calibri"/>
                <w:b/>
                <w:bCs/>
                <w:sz w:val="20"/>
                <w:szCs w:val="20"/>
              </w:rPr>
            </w:pPr>
            <w:r w:rsidRPr="00F2700F">
              <w:rPr>
                <w:rFonts w:ascii="Calibri" w:hAnsi="Calibri"/>
                <w:b/>
                <w:bCs/>
                <w:sz w:val="20"/>
                <w:szCs w:val="20"/>
              </w:rPr>
              <w:t xml:space="preserve">The EPBC Act and OPGGS regulation is complex and there are a number of government entities involved in policy development or relevant advice </w:t>
            </w:r>
          </w:p>
          <w:p w14:paraId="558EB5CE" w14:textId="77777777" w:rsidR="007C15D8" w:rsidRPr="001128E3" w:rsidRDefault="007C15D8" w:rsidP="00AC121F">
            <w:pPr>
              <w:widowControl w:val="0"/>
              <w:spacing w:after="80"/>
              <w:ind w:right="397"/>
              <w:rPr>
                <w:rFonts w:ascii="Calibri Light" w:hAnsi="Calibri Light"/>
              </w:rPr>
            </w:pPr>
            <w:r w:rsidRPr="001128E3">
              <w:rPr>
                <w:rFonts w:ascii="Calibri Light" w:hAnsi="Calibri Light"/>
              </w:rPr>
              <w:t>Titleholders and NOPSEMA are required to engage with a highly complex set of legislative instruments and relevant guidelines under the environmental assessment process. This complexity is further compounded by the large number of Commonwealth government entities with policy</w:t>
            </w:r>
            <w:r>
              <w:rPr>
                <w:rFonts w:ascii="Calibri Light" w:hAnsi="Calibri Light"/>
              </w:rPr>
              <w:t xml:space="preserve">, </w:t>
            </w:r>
            <w:r w:rsidRPr="001128E3">
              <w:rPr>
                <w:rFonts w:ascii="Calibri Light" w:hAnsi="Calibri Light"/>
              </w:rPr>
              <w:t xml:space="preserve">regulatory </w:t>
            </w:r>
            <w:r>
              <w:rPr>
                <w:rFonts w:ascii="Calibri Light" w:hAnsi="Calibri Light"/>
              </w:rPr>
              <w:t>or advisory</w:t>
            </w:r>
            <w:r w:rsidRPr="00407C78">
              <w:rPr>
                <w:rFonts w:ascii="Calibri Light" w:hAnsi="Calibri Light"/>
              </w:rPr>
              <w:t xml:space="preserve"> </w:t>
            </w:r>
            <w:r w:rsidRPr="001128E3">
              <w:rPr>
                <w:rFonts w:ascii="Calibri Light" w:hAnsi="Calibri Light"/>
              </w:rPr>
              <w:t xml:space="preserve">responsibility over </w:t>
            </w:r>
            <w:r>
              <w:rPr>
                <w:rFonts w:ascii="Calibri Light" w:hAnsi="Calibri Light"/>
              </w:rPr>
              <w:t xml:space="preserve">or for </w:t>
            </w:r>
            <w:r w:rsidRPr="001128E3">
              <w:rPr>
                <w:rFonts w:ascii="Calibri Light" w:hAnsi="Calibri Light"/>
              </w:rPr>
              <w:t xml:space="preserve">elements of the offshore petroleum industry, for example with providing specialist advice on seismic or species matters (e.g. Parks Australia, Australian Antarctic Division, and Geoscience Australia). </w:t>
            </w:r>
          </w:p>
          <w:p w14:paraId="5EE18E6E" w14:textId="5ED3D540" w:rsidR="007C15D8" w:rsidRPr="001128E3" w:rsidRDefault="007C15D8" w:rsidP="00AC121F">
            <w:pPr>
              <w:widowControl w:val="0"/>
              <w:spacing w:after="80"/>
              <w:ind w:right="255"/>
              <w:rPr>
                <w:rFonts w:ascii="Calibri Light" w:hAnsi="Calibri Light"/>
              </w:rPr>
            </w:pPr>
            <w:r w:rsidRPr="001128E3">
              <w:rPr>
                <w:rFonts w:ascii="Calibri Light" w:hAnsi="Calibri Light"/>
              </w:rPr>
              <w:t>Collaboration and coordination through a ‘One Government’ approach is needed</w:t>
            </w:r>
            <w:r w:rsidR="003868DC">
              <w:rPr>
                <w:rFonts w:ascii="Calibri Light" w:hAnsi="Calibri Light"/>
              </w:rPr>
              <w:t xml:space="preserve"> and links to a key theme of the review</w:t>
            </w:r>
            <w:r w:rsidRPr="001128E3">
              <w:rPr>
                <w:rFonts w:ascii="Calibri Light" w:hAnsi="Calibri Light"/>
              </w:rPr>
              <w:t xml:space="preserve">. NOPSEMA has effective relationships with its peers and, in the main, successfully navigates this complexity – and helps titleholders to do so as well. At the foundation of effective collaboration and coordination is the exchange of and use of data and information. We recommend collaboration on data and new regulatory tools between DAWE and NOPSEMA as part of the review and digitisation of EPBC Act decisions. </w:t>
            </w:r>
          </w:p>
          <w:p w14:paraId="46F5626B" w14:textId="03F9DD13" w:rsidR="008557A2" w:rsidRPr="001465AC" w:rsidRDefault="008557A2" w:rsidP="008557A2">
            <w:pPr>
              <w:spacing w:after="120"/>
              <w:rPr>
                <w:rFonts w:ascii="Calibri" w:hAnsi="Calibri" w:cs="Calibri"/>
                <w:b/>
                <w:bCs/>
                <w:color w:val="00ABAB"/>
              </w:rPr>
            </w:pPr>
            <w:r w:rsidRPr="001465AC">
              <w:rPr>
                <w:rFonts w:ascii="Calibri" w:hAnsi="Calibri" w:cs="Calibri"/>
                <w:b/>
                <w:bCs/>
              </w:rPr>
              <w:t xml:space="preserve">Recommendations: </w:t>
            </w:r>
            <w:r w:rsidRPr="001465AC">
              <w:rPr>
                <w:rFonts w:ascii="Calibri" w:hAnsi="Calibri" w:cs="Calibri"/>
                <w:b/>
                <w:bCs/>
                <w:color w:val="00ABAB"/>
              </w:rPr>
              <w:t>EPBC-R-1, R-2, R-3, R-4</w:t>
            </w:r>
            <w:r>
              <w:rPr>
                <w:rFonts w:ascii="Calibri" w:hAnsi="Calibri" w:cs="Calibri"/>
                <w:b/>
                <w:bCs/>
                <w:color w:val="00ABAB"/>
              </w:rPr>
              <w:t>, R-5</w:t>
            </w:r>
          </w:p>
          <w:p w14:paraId="68AFD14B" w14:textId="4ECD8C25" w:rsidR="007C15D8" w:rsidRDefault="007C15D8" w:rsidP="00AC121F">
            <w:pPr>
              <w:widowControl w:val="0"/>
              <w:spacing w:after="80"/>
              <w:rPr>
                <w:rFonts w:ascii="Calibri Light" w:hAnsi="Calibri Light"/>
                <w:sz w:val="20"/>
                <w:szCs w:val="20"/>
              </w:rPr>
            </w:pPr>
            <w:r w:rsidRPr="001465AC">
              <w:rPr>
                <w:rFonts w:ascii="Calibri" w:hAnsi="Calibri" w:cs="Calibri"/>
                <w:b/>
                <w:bCs/>
              </w:rPr>
              <w:t xml:space="preserve">Opportunities: </w:t>
            </w:r>
            <w:r w:rsidRPr="001465AC">
              <w:rPr>
                <w:rFonts w:ascii="Calibri" w:hAnsi="Calibri" w:cs="Calibri"/>
                <w:b/>
                <w:bCs/>
                <w:color w:val="00ABAB"/>
              </w:rPr>
              <w:t>No opportunities were identified in this section</w:t>
            </w:r>
          </w:p>
        </w:tc>
      </w:tr>
    </w:tbl>
    <w:p w14:paraId="66AE68D0" w14:textId="77777777" w:rsidR="007C15D8" w:rsidRDefault="007C15D8" w:rsidP="007C15D8">
      <w:pPr>
        <w:spacing w:after="0"/>
        <w:rPr>
          <w:rFonts w:asciiTheme="majorHAnsi" w:hAnsiTheme="majorHAnsi" w:cs="Calibri"/>
          <w:sz w:val="17"/>
          <w:szCs w:val="17"/>
        </w:rPr>
      </w:pPr>
    </w:p>
    <w:p w14:paraId="4BF7D2CC" w14:textId="77777777" w:rsidR="007C15D8" w:rsidRDefault="007C15D8" w:rsidP="007C15D8">
      <w:pPr>
        <w:spacing w:after="0"/>
        <w:rPr>
          <w:rFonts w:asciiTheme="majorHAnsi" w:hAnsiTheme="majorHAnsi" w:cs="Calibri"/>
          <w:sz w:val="17"/>
          <w:szCs w:val="17"/>
        </w:rPr>
        <w:sectPr w:rsidR="007C15D8" w:rsidSect="007C15D8">
          <w:type w:val="continuous"/>
          <w:pgSz w:w="11906" w:h="16838" w:code="9"/>
          <w:pgMar w:top="1985" w:right="1021" w:bottom="1134" w:left="1021" w:header="680" w:footer="425" w:gutter="0"/>
          <w:cols w:space="284"/>
          <w:docGrid w:linePitch="360"/>
        </w:sectPr>
      </w:pPr>
    </w:p>
    <w:p w14:paraId="5FCD83A3" w14:textId="004D1C03" w:rsidR="00AF23E7" w:rsidRDefault="00E149F5" w:rsidP="00AF23E7">
      <w:pPr>
        <w:pStyle w:val="Heading2"/>
      </w:pPr>
      <w:r>
        <w:lastRenderedPageBreak/>
        <w:t>Overview</w:t>
      </w: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blBorders>
        <w:shd w:val="clear" w:color="auto" w:fill="F2F2F2" w:themeFill="background1" w:themeFillShade="F2"/>
        <w:tblCellMar>
          <w:top w:w="57" w:type="dxa"/>
          <w:left w:w="57" w:type="dxa"/>
          <w:bottom w:w="57" w:type="dxa"/>
          <w:right w:w="57" w:type="dxa"/>
        </w:tblCellMar>
        <w:tblLook w:val="04A0" w:firstRow="1" w:lastRow="0" w:firstColumn="1" w:lastColumn="0" w:noHBand="0" w:noVBand="1"/>
      </w:tblPr>
      <w:tblGrid>
        <w:gridCol w:w="9854"/>
      </w:tblGrid>
      <w:tr w:rsidR="00FD05FA" w14:paraId="32313F86" w14:textId="77777777" w:rsidTr="00144BA2">
        <w:trPr>
          <w:cnfStyle w:val="100000000000" w:firstRow="1" w:lastRow="0" w:firstColumn="0" w:lastColumn="0" w:oddVBand="0" w:evenVBand="0" w:oddHBand="0" w:evenHBand="0" w:firstRowFirstColumn="0" w:firstRowLastColumn="0" w:lastRowFirstColumn="0" w:lastRowLastColumn="0"/>
        </w:trPr>
        <w:tc>
          <w:tcPr>
            <w:tcW w:w="985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2F2F2" w:themeFill="background1" w:themeFillShade="F2"/>
          </w:tcPr>
          <w:p w14:paraId="1DEFEB1B" w14:textId="2BF5EE8E" w:rsidR="00FD05FA" w:rsidRPr="003C5A80" w:rsidRDefault="00FD05FA" w:rsidP="00144BA2">
            <w:pPr>
              <w:pStyle w:val="BodyCopyNEW"/>
              <w:spacing w:before="60" w:after="60"/>
              <w:rPr>
                <w:b/>
                <w:bCs/>
                <w:i/>
                <w:iCs/>
                <w:szCs w:val="18"/>
              </w:rPr>
            </w:pPr>
            <w:r>
              <w:rPr>
                <w:b/>
                <w:bCs/>
                <w:i/>
                <w:iCs/>
                <w:szCs w:val="18"/>
              </w:rPr>
              <w:t>Author</w:t>
            </w:r>
            <w:r w:rsidR="00092DAA">
              <w:rPr>
                <w:b/>
                <w:bCs/>
                <w:i/>
                <w:iCs/>
                <w:szCs w:val="18"/>
              </w:rPr>
              <w:t>’</w:t>
            </w:r>
            <w:r>
              <w:rPr>
                <w:b/>
                <w:bCs/>
                <w:i/>
                <w:iCs/>
                <w:szCs w:val="18"/>
              </w:rPr>
              <w:t>s note:</w:t>
            </w:r>
          </w:p>
          <w:p w14:paraId="181B2BC6" w14:textId="4A6CED86" w:rsidR="00FD05FA" w:rsidRDefault="00FD05FA" w:rsidP="00144BA2">
            <w:pPr>
              <w:spacing w:after="120" w:line="240" w:lineRule="auto"/>
              <w:rPr>
                <w:rFonts w:ascii="Calibri Light" w:hAnsi="Calibri Light" w:cs="Calibri Light"/>
              </w:rPr>
            </w:pPr>
            <w:r>
              <w:rPr>
                <w:rFonts w:ascii="Calibri Light" w:hAnsi="Calibri Light" w:cs="Calibri Light"/>
              </w:rPr>
              <w:t xml:space="preserve">The output of the 2020 Endorsed Program Assessment is captured in this section of our report – </w:t>
            </w:r>
            <w:r w:rsidR="00BF6385">
              <w:rPr>
                <w:rFonts w:ascii="Calibri Light" w:hAnsi="Calibri Light" w:cs="Calibri Light"/>
                <w:b/>
              </w:rPr>
              <w:t>Section</w:t>
            </w:r>
            <w:r w:rsidRPr="00E354DA">
              <w:rPr>
                <w:rFonts w:ascii="Calibri Light" w:hAnsi="Calibri Light" w:cs="Calibri Light"/>
                <w:b/>
              </w:rPr>
              <w:t xml:space="preserve"> 11: 2020 Endorsed Programme Assessment</w:t>
            </w:r>
            <w:r w:rsidRPr="00E354DA">
              <w:rPr>
                <w:rFonts w:ascii="Calibri Light" w:hAnsi="Calibri Light" w:cs="Calibri Light"/>
              </w:rPr>
              <w:t>.</w:t>
            </w:r>
            <w:r>
              <w:rPr>
                <w:rFonts w:ascii="Calibri Light" w:hAnsi="Calibri Light" w:cs="Calibri Light"/>
              </w:rPr>
              <w:t xml:space="preserve"> The intent of this section is to be a distinct but integrated ‘chapter’ within our wider examination of NOPSEMA’s operations across </w:t>
            </w:r>
            <w:r w:rsidR="008A5665">
              <w:rPr>
                <w:rFonts w:ascii="Calibri Light" w:hAnsi="Calibri Light" w:cs="Calibri Light"/>
              </w:rPr>
              <w:t>o</w:t>
            </w:r>
            <w:r>
              <w:rPr>
                <w:rFonts w:ascii="Calibri Light" w:hAnsi="Calibri Light" w:cs="Calibri Light"/>
              </w:rPr>
              <w:t xml:space="preserve">ccupational </w:t>
            </w:r>
            <w:r w:rsidR="008A5665">
              <w:rPr>
                <w:rFonts w:ascii="Calibri Light" w:hAnsi="Calibri Light" w:cs="Calibri Light"/>
              </w:rPr>
              <w:t>h</w:t>
            </w:r>
            <w:r>
              <w:rPr>
                <w:rFonts w:ascii="Calibri Light" w:hAnsi="Calibri Light" w:cs="Calibri Light"/>
              </w:rPr>
              <w:t xml:space="preserve">ealth and </w:t>
            </w:r>
            <w:r w:rsidR="008A5665">
              <w:rPr>
                <w:rFonts w:ascii="Calibri Light" w:hAnsi="Calibri Light" w:cs="Calibri Light"/>
              </w:rPr>
              <w:t>s</w:t>
            </w:r>
            <w:r>
              <w:rPr>
                <w:rFonts w:ascii="Calibri Light" w:hAnsi="Calibri Light" w:cs="Calibri Light"/>
              </w:rPr>
              <w:t xml:space="preserve">afety, </w:t>
            </w:r>
            <w:r w:rsidR="008A5665">
              <w:rPr>
                <w:rFonts w:ascii="Calibri Light" w:hAnsi="Calibri Light" w:cs="Calibri Light"/>
              </w:rPr>
              <w:t>w</w:t>
            </w:r>
            <w:r>
              <w:rPr>
                <w:rFonts w:ascii="Calibri Light" w:hAnsi="Calibri Light" w:cs="Calibri Light"/>
              </w:rPr>
              <w:t xml:space="preserve">ell </w:t>
            </w:r>
            <w:r w:rsidR="008A5665">
              <w:rPr>
                <w:rFonts w:ascii="Calibri Light" w:hAnsi="Calibri Light" w:cs="Calibri Light"/>
              </w:rPr>
              <w:t>i</w:t>
            </w:r>
            <w:r>
              <w:rPr>
                <w:rFonts w:ascii="Calibri Light" w:hAnsi="Calibri Light" w:cs="Calibri Light"/>
              </w:rPr>
              <w:t xml:space="preserve">ntegrity, and </w:t>
            </w:r>
            <w:r w:rsidR="008A5665">
              <w:rPr>
                <w:rFonts w:ascii="Calibri Light" w:hAnsi="Calibri Light" w:cs="Calibri Light"/>
              </w:rPr>
              <w:t>e</w:t>
            </w:r>
            <w:r>
              <w:rPr>
                <w:rFonts w:ascii="Calibri Light" w:hAnsi="Calibri Light" w:cs="Calibri Light"/>
              </w:rPr>
              <w:t xml:space="preserve">nvironmental </w:t>
            </w:r>
            <w:r w:rsidR="008A5665">
              <w:rPr>
                <w:rFonts w:ascii="Calibri Light" w:hAnsi="Calibri Light" w:cs="Calibri Light"/>
              </w:rPr>
              <w:t>m</w:t>
            </w:r>
            <w:r>
              <w:rPr>
                <w:rFonts w:ascii="Calibri Light" w:hAnsi="Calibri Light" w:cs="Calibri Light"/>
              </w:rPr>
              <w:t xml:space="preserve">anagement functions. </w:t>
            </w:r>
          </w:p>
          <w:p w14:paraId="656B10E9" w14:textId="45BEC7D0" w:rsidR="00FD05FA" w:rsidRDefault="00FD05FA" w:rsidP="00144BA2">
            <w:pPr>
              <w:spacing w:after="120" w:line="240" w:lineRule="auto"/>
              <w:rPr>
                <w:rFonts w:ascii="Calibri Light" w:hAnsi="Calibri Light" w:cs="Calibri Light"/>
              </w:rPr>
            </w:pPr>
            <w:r>
              <w:rPr>
                <w:rFonts w:ascii="Calibri Light" w:hAnsi="Calibri Light" w:cs="Calibri Light"/>
              </w:rPr>
              <w:t xml:space="preserve">As such, to meet the purposes of the 2020 Endorsed Program Assessment, there is a degree of necessary replication with select content examined in other sections of the report; </w:t>
            </w:r>
            <w:r w:rsidR="005A6F1F">
              <w:rPr>
                <w:rFonts w:ascii="Calibri Light" w:hAnsi="Calibri Light" w:cs="Calibri Light"/>
              </w:rPr>
              <w:t xml:space="preserve">a need for </w:t>
            </w:r>
            <w:r>
              <w:rPr>
                <w:rFonts w:ascii="Calibri Light" w:hAnsi="Calibri Light" w:cs="Calibri Light"/>
              </w:rPr>
              <w:t xml:space="preserve">separate background, summary, approach and methodology, and key statistics and data subsections; and </w:t>
            </w:r>
            <w:r w:rsidR="005A6F1F">
              <w:rPr>
                <w:rFonts w:ascii="Calibri Light" w:hAnsi="Calibri Light" w:cs="Calibri Light"/>
              </w:rPr>
              <w:t xml:space="preserve">the redefinition of </w:t>
            </w:r>
            <w:r>
              <w:rPr>
                <w:rFonts w:ascii="Calibri Light" w:hAnsi="Calibri Light" w:cs="Calibri Light"/>
              </w:rPr>
              <w:t xml:space="preserve">terms to improve the readability for those interested solely in the 2020 Endorsed Programme Assessment. </w:t>
            </w:r>
          </w:p>
          <w:p w14:paraId="5774AD82" w14:textId="43F4AD91" w:rsidR="00FD05FA" w:rsidRPr="00453F6C" w:rsidRDefault="00FD05FA" w:rsidP="00144BA2">
            <w:pPr>
              <w:spacing w:after="120" w:line="240" w:lineRule="auto"/>
              <w:rPr>
                <w:rFonts w:ascii="Calibri Light" w:hAnsi="Calibri Light" w:cs="Calibri Light"/>
              </w:rPr>
            </w:pPr>
            <w:r>
              <w:rPr>
                <w:rFonts w:ascii="Calibri Light" w:hAnsi="Calibri Light" w:cs="Calibri Light"/>
              </w:rPr>
              <w:t>However, while able to be read separately to the other sections of the report, t</w:t>
            </w:r>
            <w:r w:rsidRPr="002526F8">
              <w:rPr>
                <w:rFonts w:ascii="Calibri Light" w:hAnsi="Calibri Light" w:cs="Calibri Light"/>
              </w:rPr>
              <w:t xml:space="preserve">he findings and recommendations </w:t>
            </w:r>
            <w:r>
              <w:rPr>
                <w:rFonts w:ascii="Calibri Light" w:hAnsi="Calibri Light" w:cs="Calibri Light"/>
              </w:rPr>
              <w:t xml:space="preserve">contained within </w:t>
            </w:r>
            <w:r w:rsidR="008F2682">
              <w:rPr>
                <w:rFonts w:ascii="Calibri Light" w:hAnsi="Calibri Light" w:cs="Calibri Light"/>
              </w:rPr>
              <w:t>2020 Endorsed Program Assessment</w:t>
            </w:r>
            <w:r w:rsidRPr="002526F8">
              <w:rPr>
                <w:rFonts w:ascii="Calibri Light" w:hAnsi="Calibri Light" w:cs="Calibri Light"/>
              </w:rPr>
              <w:t xml:space="preserve"> should be considered in conjunction with the full suite of findings and recommendations </w:t>
            </w:r>
            <w:r>
              <w:rPr>
                <w:rFonts w:ascii="Calibri Light" w:hAnsi="Calibri Light" w:cs="Calibri Light"/>
              </w:rPr>
              <w:t>we make in relation to NOPSEMA</w:t>
            </w:r>
            <w:r w:rsidRPr="002526F8">
              <w:rPr>
                <w:rFonts w:ascii="Calibri Light" w:hAnsi="Calibri Light" w:cs="Calibri Light"/>
              </w:rPr>
              <w:t>.</w:t>
            </w:r>
            <w:r>
              <w:rPr>
                <w:rFonts w:ascii="Calibri Light" w:hAnsi="Calibri Light" w:cs="Calibri Light"/>
              </w:rPr>
              <w:t xml:space="preserve"> </w:t>
            </w:r>
          </w:p>
        </w:tc>
      </w:tr>
    </w:tbl>
    <w:p w14:paraId="50C3F5AA" w14:textId="77777777" w:rsidR="00C67BC7" w:rsidRPr="00B34F07" w:rsidRDefault="00C67BC7" w:rsidP="00C67BC7">
      <w:pPr>
        <w:pStyle w:val="Heading3"/>
      </w:pPr>
      <w:r w:rsidRPr="00B34F07">
        <w:t>Background</w:t>
      </w:r>
    </w:p>
    <w:p w14:paraId="08B45367" w14:textId="77777777" w:rsidR="00C67BC7" w:rsidRPr="002526F8" w:rsidRDefault="00C67BC7" w:rsidP="00C67BC7">
      <w:pPr>
        <w:spacing w:after="120" w:line="240" w:lineRule="auto"/>
        <w:rPr>
          <w:rFonts w:ascii="Calibri Light" w:hAnsi="Calibri Light" w:cs="Calibri Light"/>
        </w:rPr>
      </w:pPr>
      <w:r w:rsidRPr="002526F8">
        <w:rPr>
          <w:rFonts w:ascii="Calibri Light" w:hAnsi="Calibri Light" w:cs="Calibri Light"/>
        </w:rPr>
        <w:t xml:space="preserve">In 2014, the Minister for Environment (the </w:t>
      </w:r>
      <w:r w:rsidRPr="002526F8">
        <w:rPr>
          <w:rFonts w:ascii="Calibri Light" w:hAnsi="Calibri Light" w:cs="Calibri Light"/>
          <w:b/>
          <w:bCs/>
        </w:rPr>
        <w:t>Minister</w:t>
      </w:r>
      <w:r w:rsidRPr="002526F8">
        <w:rPr>
          <w:rFonts w:ascii="Calibri Light" w:hAnsi="Calibri Light" w:cs="Calibri Light"/>
        </w:rPr>
        <w:t>) endorsed the National Offshore Petroleum and Environmental Management Authority’s (</w:t>
      </w:r>
      <w:r w:rsidRPr="002526F8">
        <w:rPr>
          <w:rFonts w:ascii="Calibri Light" w:hAnsi="Calibri Light" w:cs="Calibri Light"/>
          <w:b/>
          <w:bCs/>
        </w:rPr>
        <w:t>NOPSEMA</w:t>
      </w:r>
      <w:r w:rsidRPr="002526F8">
        <w:rPr>
          <w:rFonts w:ascii="Calibri Light" w:hAnsi="Calibri Light" w:cs="Calibri Light"/>
        </w:rPr>
        <w:t>) environmental management authorisation process for petroleum and greenhouse gas (</w:t>
      </w:r>
      <w:r w:rsidRPr="002526F8">
        <w:rPr>
          <w:rFonts w:ascii="Calibri Light" w:hAnsi="Calibri Light" w:cs="Calibri Light"/>
          <w:b/>
          <w:bCs/>
        </w:rPr>
        <w:t>GHG</w:t>
      </w:r>
      <w:r w:rsidRPr="002526F8">
        <w:rPr>
          <w:rFonts w:ascii="Calibri Light" w:hAnsi="Calibri Light" w:cs="Calibri Light"/>
        </w:rPr>
        <w:t xml:space="preserve">) activities administered under the </w:t>
      </w:r>
      <w:r w:rsidRPr="002526F8">
        <w:rPr>
          <w:rFonts w:ascii="Calibri Light" w:hAnsi="Calibri Light" w:cs="Calibri Light"/>
          <w:i/>
          <w:iCs/>
        </w:rPr>
        <w:t>Offshore Petroleum and Greenhouse Gas Storage Act 2006</w:t>
      </w:r>
      <w:r w:rsidRPr="002526F8">
        <w:rPr>
          <w:rFonts w:ascii="Calibri Light" w:hAnsi="Calibri Light" w:cs="Calibri Light"/>
        </w:rPr>
        <w:t xml:space="preserve"> (the </w:t>
      </w:r>
      <w:r w:rsidRPr="002526F8">
        <w:rPr>
          <w:rFonts w:ascii="Calibri Light" w:hAnsi="Calibri Light" w:cs="Calibri Light"/>
          <w:b/>
          <w:bCs/>
        </w:rPr>
        <w:t>OPGGS Act</w:t>
      </w:r>
      <w:r w:rsidRPr="002526F8">
        <w:rPr>
          <w:rFonts w:ascii="Calibri Light" w:hAnsi="Calibri Light" w:cs="Calibri Light"/>
        </w:rPr>
        <w:t xml:space="preserve">) after a comprehensive </w:t>
      </w:r>
      <w:r>
        <w:rPr>
          <w:rFonts w:ascii="Calibri Light" w:hAnsi="Calibri Light" w:cs="Calibri Light"/>
        </w:rPr>
        <w:t>Strategic Assessment</w:t>
      </w:r>
      <w:r w:rsidRPr="002526F8">
        <w:rPr>
          <w:rFonts w:ascii="Calibri Light" w:hAnsi="Calibri Light" w:cs="Calibri Light"/>
        </w:rPr>
        <w:t xml:space="preserve"> of its practices. The endorsement was made pursuant to Part 10 of the </w:t>
      </w:r>
      <w:r w:rsidRPr="002526F8">
        <w:rPr>
          <w:rFonts w:ascii="Calibri Light" w:hAnsi="Calibri Light" w:cs="Calibri Light"/>
          <w:i/>
          <w:iCs/>
        </w:rPr>
        <w:t>Environment Protection and Biodiversity Conservation Act 1999</w:t>
      </w:r>
      <w:r w:rsidRPr="002526F8">
        <w:rPr>
          <w:rFonts w:ascii="Calibri Light" w:hAnsi="Calibri Light" w:cs="Calibri Light"/>
        </w:rPr>
        <w:t xml:space="preserve"> (the </w:t>
      </w:r>
      <w:r w:rsidRPr="002526F8">
        <w:rPr>
          <w:rFonts w:ascii="Calibri Light" w:hAnsi="Calibri Light" w:cs="Calibri Light"/>
          <w:b/>
          <w:bCs/>
        </w:rPr>
        <w:t>EPBC Act</w:t>
      </w:r>
      <w:r w:rsidRPr="002526F8">
        <w:rPr>
          <w:rFonts w:ascii="Calibri Light" w:hAnsi="Calibri Light" w:cs="Calibri Light"/>
        </w:rPr>
        <w:t>) and served to confirm NOPSEMA as the sole environment regulator in Commonwealth waters</w:t>
      </w:r>
      <w:r>
        <w:rPr>
          <w:rFonts w:ascii="Calibri Light" w:hAnsi="Calibri Light" w:cs="Calibri Light"/>
        </w:rPr>
        <w:t>,</w:t>
      </w:r>
      <w:r w:rsidRPr="002526F8">
        <w:rPr>
          <w:rFonts w:ascii="Calibri Light" w:hAnsi="Calibri Light" w:cs="Calibri Light"/>
        </w:rPr>
        <w:t xml:space="preserve"> expanding its remit to include matters protected under </w:t>
      </w:r>
      <w:r>
        <w:rPr>
          <w:rFonts w:ascii="Calibri Light" w:hAnsi="Calibri Light" w:cs="Calibri Light"/>
        </w:rPr>
        <w:t xml:space="preserve">Part 3 of </w:t>
      </w:r>
      <w:r w:rsidRPr="002526F8">
        <w:rPr>
          <w:rFonts w:ascii="Calibri Light" w:hAnsi="Calibri Light" w:cs="Calibri Light"/>
        </w:rPr>
        <w:t xml:space="preserve">the EPBC Act. The Strategic Assessment made under Part 10 of the EPBC Act is referred to as the </w:t>
      </w:r>
      <w:r w:rsidRPr="00884940">
        <w:rPr>
          <w:rFonts w:ascii="Calibri Light" w:hAnsi="Calibri Light" w:cs="Calibri Light"/>
          <w:b/>
          <w:bCs/>
        </w:rPr>
        <w:t xml:space="preserve">2014 </w:t>
      </w:r>
      <w:r w:rsidRPr="002526F8">
        <w:rPr>
          <w:rFonts w:ascii="Calibri Light" w:hAnsi="Calibri Light" w:cs="Calibri Light"/>
          <w:b/>
          <w:bCs/>
        </w:rPr>
        <w:t>Endorsed Program</w:t>
      </w:r>
      <w:r>
        <w:rPr>
          <w:rFonts w:ascii="Calibri Light" w:hAnsi="Calibri Light" w:cs="Calibri Light"/>
          <w:b/>
          <w:bCs/>
        </w:rPr>
        <w:t xml:space="preserve"> </w:t>
      </w:r>
      <w:r>
        <w:rPr>
          <w:rFonts w:ascii="Calibri Light" w:hAnsi="Calibri Light" w:cs="Calibri Light"/>
        </w:rPr>
        <w:t xml:space="preserve">or the </w:t>
      </w:r>
      <w:r>
        <w:rPr>
          <w:rFonts w:ascii="Calibri Light" w:hAnsi="Calibri Light" w:cs="Calibri Light"/>
          <w:b/>
          <w:bCs/>
        </w:rPr>
        <w:t>Endorsed Program</w:t>
      </w:r>
      <w:r w:rsidRPr="002526F8">
        <w:rPr>
          <w:rFonts w:ascii="Calibri Light" w:hAnsi="Calibri Light" w:cs="Calibri Light"/>
        </w:rPr>
        <w:t>.</w:t>
      </w:r>
    </w:p>
    <w:p w14:paraId="65C18219" w14:textId="77777777" w:rsidR="003745B5" w:rsidRDefault="003745B5" w:rsidP="003745B5">
      <w:pPr>
        <w:spacing w:after="120" w:line="240" w:lineRule="auto"/>
        <w:rPr>
          <w:rFonts w:ascii="Calibri Light" w:hAnsi="Calibri Light" w:cs="Calibri Light"/>
        </w:rPr>
      </w:pPr>
      <w:r>
        <w:rPr>
          <w:rFonts w:ascii="Calibri Light" w:hAnsi="Calibri Light" w:cs="Calibri Light"/>
        </w:rPr>
        <w:t>Following the endorsement of the environmental authorisation process by the Federal Minister for the Environment, the Minister approved a class of actions which, if undertaken in accordance with the Endorsed Program, would not require referral, assessment and approval under the EPBC Act. The approved class of actions includes ‘all actions which are petroleum and greenhouse gas activities taken in Commonwealth waters and in accordance with the Endorsed Program’, and excludes such actions that:</w:t>
      </w:r>
    </w:p>
    <w:p w14:paraId="4BA8F4F0" w14:textId="1C24F668" w:rsidR="003745B5" w:rsidRDefault="003745B5" w:rsidP="003745B5">
      <w:pPr>
        <w:pStyle w:val="ListParagraph"/>
        <w:numPr>
          <w:ilvl w:val="0"/>
          <w:numId w:val="41"/>
        </w:numPr>
        <w:spacing w:after="120" w:line="240" w:lineRule="auto"/>
        <w:rPr>
          <w:rFonts w:ascii="Calibri Light" w:hAnsi="Calibri Light" w:cs="Calibri Light"/>
        </w:rPr>
      </w:pPr>
      <w:r>
        <w:rPr>
          <w:rFonts w:ascii="Calibri Light" w:hAnsi="Calibri Light" w:cs="Calibri Light"/>
        </w:rPr>
        <w:t>h</w:t>
      </w:r>
      <w:r w:rsidRPr="009520E5">
        <w:rPr>
          <w:rFonts w:ascii="Calibri Light" w:hAnsi="Calibri Light" w:cs="Calibri Light"/>
        </w:rPr>
        <w:t>ave, will have or are likely to have a significant impact on the environment on Commonwealth land</w:t>
      </w:r>
    </w:p>
    <w:p w14:paraId="2BC97EB2" w14:textId="7E123916" w:rsidR="003745B5" w:rsidRDefault="003745B5" w:rsidP="003745B5">
      <w:pPr>
        <w:pStyle w:val="ListParagraph"/>
        <w:numPr>
          <w:ilvl w:val="0"/>
          <w:numId w:val="41"/>
        </w:numPr>
        <w:spacing w:after="120" w:line="240" w:lineRule="auto"/>
        <w:rPr>
          <w:rFonts w:ascii="Calibri Light" w:hAnsi="Calibri Light" w:cs="Calibri Light"/>
        </w:rPr>
      </w:pPr>
      <w:r>
        <w:rPr>
          <w:rFonts w:ascii="Calibri Light" w:hAnsi="Calibri Light" w:cs="Calibri Light"/>
        </w:rPr>
        <w:t>are taken in any area of sea or seabed that is declared to be part of the Great Barrier Reef Marine Park</w:t>
      </w:r>
    </w:p>
    <w:p w14:paraId="6C0E2E88" w14:textId="1262A09E" w:rsidR="003745B5" w:rsidRDefault="003745B5" w:rsidP="003745B5">
      <w:pPr>
        <w:pStyle w:val="ListParagraph"/>
        <w:numPr>
          <w:ilvl w:val="0"/>
          <w:numId w:val="41"/>
        </w:numPr>
        <w:spacing w:after="120" w:line="240" w:lineRule="auto"/>
        <w:rPr>
          <w:rFonts w:ascii="Calibri Light" w:hAnsi="Calibri Light" w:cs="Calibri Light"/>
        </w:rPr>
      </w:pPr>
      <w:r>
        <w:rPr>
          <w:rFonts w:ascii="Calibri Light" w:hAnsi="Calibri Light" w:cs="Calibri Light"/>
        </w:rPr>
        <w:t>have, will have or are likely to have a significant impact on the world heritage values of the Great Barrier Reef World Heritage property or on the national heritage values of the Great Barrier Reef National Heritage place</w:t>
      </w:r>
    </w:p>
    <w:p w14:paraId="771BF643" w14:textId="76A8B1E3" w:rsidR="003745B5" w:rsidRDefault="003745B5" w:rsidP="003745B5">
      <w:pPr>
        <w:pStyle w:val="ListParagraph"/>
        <w:numPr>
          <w:ilvl w:val="0"/>
          <w:numId w:val="41"/>
        </w:numPr>
        <w:spacing w:after="120" w:line="240" w:lineRule="auto"/>
        <w:rPr>
          <w:rFonts w:ascii="Calibri Light" w:hAnsi="Calibri Light" w:cs="Calibri Light"/>
        </w:rPr>
      </w:pPr>
      <w:r>
        <w:rPr>
          <w:rFonts w:ascii="Calibri Light" w:hAnsi="Calibri Light" w:cs="Calibri Light"/>
        </w:rPr>
        <w:t>are taken in the Antarctic</w:t>
      </w:r>
    </w:p>
    <w:p w14:paraId="06C3670C" w14:textId="51DCF668" w:rsidR="003745B5" w:rsidRPr="009520E5" w:rsidRDefault="003745B5" w:rsidP="003745B5">
      <w:pPr>
        <w:pStyle w:val="ListParagraph"/>
        <w:numPr>
          <w:ilvl w:val="0"/>
          <w:numId w:val="41"/>
        </w:numPr>
        <w:spacing w:after="120" w:line="240" w:lineRule="auto"/>
        <w:rPr>
          <w:rFonts w:ascii="Calibri Light" w:hAnsi="Calibri Light" w:cs="Calibri Light"/>
        </w:rPr>
      </w:pPr>
      <w:r>
        <w:rPr>
          <w:rFonts w:ascii="Calibri Light" w:hAnsi="Calibri Light" w:cs="Calibri Light"/>
        </w:rPr>
        <w:t>are injection and/or storage of greenhouse gas.</w:t>
      </w:r>
      <w:r>
        <w:rPr>
          <w:rStyle w:val="FootnoteReference"/>
          <w:rFonts w:cs="Calibri Light"/>
        </w:rPr>
        <w:footnoteReference w:id="55"/>
      </w:r>
      <w:r>
        <w:rPr>
          <w:rFonts w:ascii="Calibri Light" w:hAnsi="Calibri Light" w:cs="Calibri Light"/>
        </w:rPr>
        <w:t xml:space="preserve"> </w:t>
      </w:r>
    </w:p>
    <w:p w14:paraId="6E3AEDCB" w14:textId="4BDD4FCD" w:rsidR="003745B5" w:rsidRDefault="003745B5" w:rsidP="003745B5">
      <w:pPr>
        <w:spacing w:after="120" w:line="240" w:lineRule="auto"/>
        <w:rPr>
          <w:rFonts w:ascii="Calibri Light" w:hAnsi="Calibri Light" w:cs="Calibri Light"/>
        </w:rPr>
      </w:pPr>
      <w:r>
        <w:rPr>
          <w:rFonts w:ascii="Calibri Light" w:hAnsi="Calibri Light" w:cs="Calibri Light"/>
        </w:rPr>
        <w:t>Additionally, actions taken in state or territory waters are also noted not to be covered by the approved class of actions.</w:t>
      </w:r>
      <w:r w:rsidR="0026593A">
        <w:rPr>
          <w:rFonts w:ascii="Calibri Light" w:hAnsi="Calibri Light" w:cs="Calibri Light"/>
        </w:rPr>
        <w:t xml:space="preserve"> </w:t>
      </w:r>
      <w:r>
        <w:rPr>
          <w:rFonts w:ascii="Calibri Light" w:hAnsi="Calibri Light" w:cs="Calibri Light"/>
        </w:rPr>
        <w:t>Therefore if, for example an activity could have a significant impact on Commonwealth land, it would not be covered by the Endorsed Program, and would need to be referred under the EPBC Act to the Department of the Environment (</w:t>
      </w:r>
      <w:r w:rsidRPr="00BA230D">
        <w:rPr>
          <w:rFonts w:ascii="Calibri Light" w:hAnsi="Calibri Light" w:cs="Calibri Light"/>
          <w:b/>
          <w:bCs/>
        </w:rPr>
        <w:t>DoE</w:t>
      </w:r>
      <w:r>
        <w:rPr>
          <w:rFonts w:ascii="Calibri Light" w:hAnsi="Calibri Light" w:cs="Calibri Light"/>
        </w:rPr>
        <w:t>).</w:t>
      </w:r>
    </w:p>
    <w:p w14:paraId="08F04554" w14:textId="71A45675" w:rsidR="00C67BC7" w:rsidRPr="002526F8" w:rsidRDefault="00C67BC7" w:rsidP="00C67BC7">
      <w:pPr>
        <w:spacing w:after="120" w:line="240" w:lineRule="auto"/>
        <w:rPr>
          <w:rFonts w:ascii="Calibri Light" w:hAnsi="Calibri Light" w:cs="Calibri Light"/>
        </w:rPr>
      </w:pPr>
      <w:r w:rsidRPr="002526F8">
        <w:rPr>
          <w:rFonts w:ascii="Calibri Light" w:hAnsi="Calibri Light" w:cs="Calibri Light"/>
        </w:rPr>
        <w:t xml:space="preserve">Following Program endorsement, NOPSEMA entered into administrative arrangements with </w:t>
      </w:r>
      <w:r w:rsidRPr="002526F8">
        <w:rPr>
          <w:rFonts w:ascii="Calibri Light" w:hAnsi="Calibri Light" w:cs="Calibri Light"/>
          <w:b/>
          <w:bCs/>
        </w:rPr>
        <w:t>DoE</w:t>
      </w:r>
      <w:r w:rsidRPr="002526F8">
        <w:rPr>
          <w:rFonts w:ascii="Calibri Light" w:hAnsi="Calibri Light" w:cs="Calibri Light"/>
        </w:rPr>
        <w:t xml:space="preserve"> – now the Department of Agriculture, Water, and the Environment (</w:t>
      </w:r>
      <w:r w:rsidRPr="002526F8">
        <w:rPr>
          <w:rFonts w:ascii="Calibri Light" w:hAnsi="Calibri Light" w:cs="Calibri Light"/>
          <w:b/>
          <w:bCs/>
        </w:rPr>
        <w:t>DAWE</w:t>
      </w:r>
      <w:r w:rsidRPr="002526F8">
        <w:rPr>
          <w:rFonts w:ascii="Calibri Light" w:hAnsi="Calibri Light" w:cs="Calibri Light"/>
        </w:rPr>
        <w:t xml:space="preserve">) – to ensure respective commitments would be met </w:t>
      </w:r>
      <w:r>
        <w:rPr>
          <w:rFonts w:ascii="Calibri Light" w:hAnsi="Calibri Light" w:cs="Calibri Light"/>
        </w:rPr>
        <w:t>specified in</w:t>
      </w:r>
      <w:r w:rsidRPr="002526F8">
        <w:rPr>
          <w:rFonts w:ascii="Calibri Light" w:hAnsi="Calibri Light" w:cs="Calibri Light"/>
        </w:rPr>
        <w:t xml:space="preserve"> the Endorsed Program. In 2017, the </w:t>
      </w:r>
      <w:r>
        <w:rPr>
          <w:rFonts w:ascii="Calibri Light" w:hAnsi="Calibri Light" w:cs="Calibri Light"/>
        </w:rPr>
        <w:t>a</w:t>
      </w:r>
      <w:r w:rsidRPr="002526F8">
        <w:rPr>
          <w:rFonts w:ascii="Calibri Light" w:hAnsi="Calibri Light" w:cs="Calibri Light"/>
        </w:rPr>
        <w:t xml:space="preserve">dministrative </w:t>
      </w:r>
      <w:r>
        <w:rPr>
          <w:rFonts w:ascii="Calibri Light" w:hAnsi="Calibri Light" w:cs="Calibri Light"/>
        </w:rPr>
        <w:t>a</w:t>
      </w:r>
      <w:r w:rsidRPr="002526F8">
        <w:rPr>
          <w:rFonts w:ascii="Calibri Light" w:hAnsi="Calibri Light" w:cs="Calibri Light"/>
        </w:rPr>
        <w:t xml:space="preserve">rrangements were updated to the </w:t>
      </w:r>
      <w:r w:rsidRPr="002526F8">
        <w:rPr>
          <w:rFonts w:ascii="Calibri Light" w:hAnsi="Calibri Light" w:cs="Calibri Light"/>
          <w:i/>
          <w:iCs/>
        </w:rPr>
        <w:t>2017 Program Administrative Arrangements</w:t>
      </w:r>
      <w:r w:rsidRPr="002526F8">
        <w:rPr>
          <w:rFonts w:ascii="Calibri Light" w:hAnsi="Calibri Light" w:cs="Calibri Light"/>
        </w:rPr>
        <w:t xml:space="preserve"> (the </w:t>
      </w:r>
      <w:r w:rsidRPr="002526F8">
        <w:rPr>
          <w:rFonts w:ascii="Calibri Light" w:hAnsi="Calibri Light" w:cs="Calibri Light"/>
          <w:b/>
          <w:bCs/>
        </w:rPr>
        <w:t>Administrative Arrangements</w:t>
      </w:r>
      <w:r w:rsidRPr="002526F8">
        <w:rPr>
          <w:rFonts w:ascii="Calibri Light" w:hAnsi="Calibri Light" w:cs="Calibri Light"/>
        </w:rPr>
        <w:t>).</w:t>
      </w:r>
    </w:p>
    <w:p w14:paraId="04A04FC2" w14:textId="77777777" w:rsidR="00C67BC7" w:rsidRPr="002526F8" w:rsidRDefault="00C67BC7" w:rsidP="00C67BC7">
      <w:pPr>
        <w:spacing w:after="120" w:line="240" w:lineRule="auto"/>
        <w:rPr>
          <w:rFonts w:ascii="Calibri Light" w:hAnsi="Calibri Light" w:cs="Calibri Light"/>
        </w:rPr>
      </w:pPr>
      <w:r w:rsidRPr="002526F8">
        <w:rPr>
          <w:rFonts w:ascii="Calibri Light" w:hAnsi="Calibri Light" w:cs="Calibri Light"/>
        </w:rPr>
        <w:t xml:space="preserve">One of the aims of the Endorsed Program was to deliver a streamlined environmental approvals process for titleholders seeking to undertake petroleum and GHG activities in Commonwealth waters. The Minister’s approval meant that titleholders no longer needed to refer their proposed activities for assessment under the EPBC Act. As part of the Endorsed Program, a commitment was made for periodic reviews of the Endorsed Program. The purpose of the reviews is to assess the performance of the Endorsed Program against Endorsed Program objectives including ensuring that impacts on matters protected under Part 3 of the EPBC Act are not unacceptable. </w:t>
      </w:r>
    </w:p>
    <w:p w14:paraId="15206759" w14:textId="77777777" w:rsidR="00C67BC7" w:rsidRPr="002526F8" w:rsidRDefault="00C67BC7" w:rsidP="00C67BC7">
      <w:pPr>
        <w:spacing w:after="120" w:line="240" w:lineRule="auto"/>
        <w:rPr>
          <w:rFonts w:ascii="Calibri Light" w:hAnsi="Calibri Light" w:cs="Calibri Light"/>
        </w:rPr>
      </w:pPr>
      <w:r w:rsidRPr="002526F8">
        <w:rPr>
          <w:rFonts w:ascii="Calibri Light" w:hAnsi="Calibri Light" w:cs="Calibri Light"/>
        </w:rPr>
        <w:t xml:space="preserve">To meet this commitment, we (“Deloitte”, “we”, “us” or “the review team”) have undertaken the </w:t>
      </w:r>
      <w:r w:rsidRPr="002526F8">
        <w:rPr>
          <w:rFonts w:ascii="Calibri Light" w:hAnsi="Calibri Light" w:cs="Calibri Light"/>
          <w:b/>
          <w:bCs/>
        </w:rPr>
        <w:t>2020 Endorsed Program Assessment</w:t>
      </w:r>
      <w:r w:rsidRPr="002526F8">
        <w:rPr>
          <w:rFonts w:ascii="Calibri Light" w:hAnsi="Calibri Light" w:cs="Calibri Light"/>
        </w:rPr>
        <w:t xml:space="preserve"> as part of our </w:t>
      </w:r>
      <w:r w:rsidRPr="002526F8">
        <w:rPr>
          <w:rFonts w:ascii="Calibri Light" w:hAnsi="Calibri Light" w:cs="Calibri Light"/>
          <w:i/>
          <w:iCs/>
        </w:rPr>
        <w:t>2020 statutory review of the National Offshore Petroleum Safety and Environment Management Authority</w:t>
      </w:r>
      <w:r w:rsidRPr="002526F8">
        <w:rPr>
          <w:rFonts w:ascii="Calibri Light" w:hAnsi="Calibri Light" w:cs="Calibri Light"/>
        </w:rPr>
        <w:t xml:space="preserve"> (</w:t>
      </w:r>
      <w:r>
        <w:rPr>
          <w:rFonts w:ascii="Calibri Light" w:hAnsi="Calibri Light" w:cs="Calibri Light"/>
        </w:rPr>
        <w:t>this document</w:t>
      </w:r>
      <w:r w:rsidRPr="002526F8">
        <w:rPr>
          <w:rFonts w:ascii="Calibri Light" w:hAnsi="Calibri Light" w:cs="Calibri Light"/>
        </w:rPr>
        <w:t>)</w:t>
      </w:r>
      <w:r w:rsidRPr="002526F8">
        <w:rPr>
          <w:rStyle w:val="FootnoteReference"/>
          <w:rFonts w:cs="Calibri Light"/>
          <w:sz w:val="18"/>
        </w:rPr>
        <w:footnoteReference w:id="56"/>
      </w:r>
      <w:r>
        <w:rPr>
          <w:rFonts w:ascii="Calibri Light" w:hAnsi="Calibri Light" w:cs="Calibri Light"/>
        </w:rPr>
        <w:t xml:space="preserve">. </w:t>
      </w:r>
      <w:r w:rsidRPr="002526F8">
        <w:rPr>
          <w:rFonts w:ascii="Calibri Light" w:hAnsi="Calibri Light" w:cs="Calibri Light"/>
        </w:rPr>
        <w:t>We were engaged in July 2020 by the Department of Industry, Science, Energy, and Resources (</w:t>
      </w:r>
      <w:r w:rsidRPr="002526F8">
        <w:rPr>
          <w:rFonts w:ascii="Calibri Light" w:hAnsi="Calibri Light" w:cs="Calibri Light"/>
          <w:b/>
        </w:rPr>
        <w:t>DISER</w:t>
      </w:r>
      <w:r w:rsidRPr="002526F8">
        <w:rPr>
          <w:rFonts w:ascii="Calibri Light" w:hAnsi="Calibri Light" w:cs="Calibri Light"/>
        </w:rPr>
        <w:t xml:space="preserve">) to undertake the review. </w:t>
      </w:r>
    </w:p>
    <w:p w14:paraId="172978B5" w14:textId="77777777" w:rsidR="00C67BC7" w:rsidRPr="002526F8" w:rsidRDefault="00C67BC7" w:rsidP="00C67BC7">
      <w:pPr>
        <w:spacing w:after="120" w:line="240" w:lineRule="auto"/>
        <w:rPr>
          <w:rFonts w:ascii="Calibri Light" w:hAnsi="Calibri Light" w:cs="Calibri Light"/>
        </w:rPr>
      </w:pPr>
      <w:r w:rsidRPr="002526F8">
        <w:rPr>
          <w:rFonts w:ascii="Calibri Light" w:hAnsi="Calibri Light" w:cs="Calibri Light"/>
        </w:rPr>
        <w:lastRenderedPageBreak/>
        <w:t xml:space="preserve">The 2020 Endorsed Program Assessment is the second such </w:t>
      </w:r>
      <w:r>
        <w:rPr>
          <w:rFonts w:ascii="Calibri Light" w:hAnsi="Calibri Light" w:cs="Calibri Light"/>
        </w:rPr>
        <w:t>assessment</w:t>
      </w:r>
      <w:r w:rsidRPr="002526F8">
        <w:rPr>
          <w:rFonts w:ascii="Calibri Light" w:hAnsi="Calibri Light" w:cs="Calibri Light"/>
        </w:rPr>
        <w:t xml:space="preserve">, with the first, the </w:t>
      </w:r>
      <w:r w:rsidRPr="002526F8">
        <w:rPr>
          <w:rFonts w:ascii="Calibri Light" w:hAnsi="Calibri Light" w:cs="Calibri Light"/>
          <w:i/>
          <w:iCs/>
        </w:rPr>
        <w:t>EPBC Act Streamlining Review</w:t>
      </w:r>
      <w:r w:rsidRPr="002526F8">
        <w:rPr>
          <w:rFonts w:ascii="Calibri Light" w:hAnsi="Calibri Light" w:cs="Calibri Light"/>
        </w:rPr>
        <w:t xml:space="preserve"> (the </w:t>
      </w:r>
      <w:r w:rsidRPr="002526F8">
        <w:rPr>
          <w:rFonts w:ascii="Calibri Light" w:hAnsi="Calibri Light" w:cs="Calibri Light"/>
          <w:b/>
          <w:bCs/>
        </w:rPr>
        <w:t>2015 Endorsed Program Assessment</w:t>
      </w:r>
      <w:r w:rsidRPr="002526F8">
        <w:rPr>
          <w:rFonts w:ascii="Calibri Light" w:hAnsi="Calibri Light" w:cs="Calibri Light"/>
        </w:rPr>
        <w:t>), undertaken in 2015.</w:t>
      </w:r>
    </w:p>
    <w:p w14:paraId="56AC1C59" w14:textId="77777777" w:rsidR="00194A3D" w:rsidRPr="00C9238E" w:rsidRDefault="00194A3D" w:rsidP="00194A3D">
      <w:pPr>
        <w:pStyle w:val="Heading3"/>
      </w:pPr>
      <w:r>
        <w:t>Scope and objective of the 2020 Endorsed Program Assessment</w:t>
      </w:r>
    </w:p>
    <w:p w14:paraId="23C8732D" w14:textId="2AC86D8B" w:rsidR="00194A3D" w:rsidRPr="002F5265" w:rsidRDefault="00194A3D" w:rsidP="00194A3D">
      <w:pPr>
        <w:spacing w:after="120" w:line="240" w:lineRule="auto"/>
        <w:rPr>
          <w:rFonts w:ascii="Calibri Light" w:hAnsi="Calibri Light" w:cs="Calibri Light"/>
        </w:rPr>
      </w:pPr>
      <w:r w:rsidRPr="002F5265">
        <w:rPr>
          <w:rFonts w:ascii="Calibri Light" w:hAnsi="Calibri Light" w:cs="Calibri Light"/>
        </w:rPr>
        <w:t>The 2020 Endorsed Program Assessment details our review of two key obligations in accordance with the terms of reference (</w:t>
      </w:r>
      <w:r w:rsidRPr="002F5265">
        <w:rPr>
          <w:rFonts w:ascii="Calibri Light" w:hAnsi="Calibri Light" w:cs="Calibri Light"/>
          <w:b/>
          <w:bCs/>
        </w:rPr>
        <w:t>TOR</w:t>
      </w:r>
      <w:r w:rsidRPr="002F5265">
        <w:rPr>
          <w:rFonts w:ascii="Calibri Light" w:hAnsi="Calibri Light" w:cs="Calibri Light"/>
        </w:rPr>
        <w:t>)</w:t>
      </w:r>
      <w:r w:rsidR="00965298">
        <w:rPr>
          <w:rFonts w:ascii="Calibri Light" w:hAnsi="Calibri Light" w:cs="Calibri Light"/>
        </w:rPr>
        <w:t>,</w:t>
      </w:r>
      <w:r>
        <w:rPr>
          <w:rFonts w:ascii="Calibri Light" w:hAnsi="Calibri Light" w:cs="Calibri Light"/>
        </w:rPr>
        <w:t xml:space="preserve"> </w:t>
      </w:r>
      <w:r w:rsidRPr="002F5265">
        <w:rPr>
          <w:rFonts w:ascii="Calibri Light" w:hAnsi="Calibri Light" w:cs="Calibri Light"/>
        </w:rPr>
        <w:t xml:space="preserve">which are </w:t>
      </w:r>
      <w:r w:rsidRPr="00AF201E">
        <w:rPr>
          <w:rFonts w:ascii="Calibri Light" w:hAnsi="Calibri Light" w:cs="Calibri Light"/>
        </w:rPr>
        <w:t xml:space="preserve">attached at </w:t>
      </w:r>
      <w:r w:rsidRPr="00AF201E">
        <w:rPr>
          <w:rFonts w:ascii="Calibri Light" w:hAnsi="Calibri Light" w:cs="Calibri Light"/>
          <w:b/>
        </w:rPr>
        <w:t>Appendix A</w:t>
      </w:r>
      <w:r w:rsidRPr="00AF201E">
        <w:rPr>
          <w:rFonts w:ascii="Calibri Light" w:hAnsi="Calibri Light" w:cs="Calibri Light"/>
        </w:rPr>
        <w:t>. We</w:t>
      </w:r>
      <w:r>
        <w:rPr>
          <w:rFonts w:ascii="Calibri Light" w:hAnsi="Calibri Light" w:cs="Calibri Light"/>
        </w:rPr>
        <w:t xml:space="preserve"> understand these two key obligations were developed</w:t>
      </w:r>
      <w:r w:rsidRPr="002F5265">
        <w:rPr>
          <w:rFonts w:ascii="Calibri Light" w:hAnsi="Calibri Light" w:cs="Calibri Light"/>
        </w:rPr>
        <w:t xml:space="preserve"> by DISER</w:t>
      </w:r>
      <w:r>
        <w:rPr>
          <w:rFonts w:ascii="Calibri Light" w:hAnsi="Calibri Light" w:cs="Calibri Light"/>
        </w:rPr>
        <w:t xml:space="preserve"> in consultation with DAWE and NOPSEMA</w:t>
      </w:r>
      <w:r w:rsidRPr="002F5265">
        <w:rPr>
          <w:rFonts w:ascii="Calibri Light" w:hAnsi="Calibri Light" w:cs="Calibri Light"/>
        </w:rPr>
        <w:t>. Specifically</w:t>
      </w:r>
      <w:r>
        <w:rPr>
          <w:rFonts w:ascii="Calibri Light" w:hAnsi="Calibri Light" w:cs="Calibri Light"/>
        </w:rPr>
        <w:t>, we examined</w:t>
      </w:r>
      <w:r w:rsidRPr="002F5265">
        <w:rPr>
          <w:rFonts w:ascii="Calibri Light" w:hAnsi="Calibri Light" w:cs="Calibri Light"/>
        </w:rPr>
        <w:t>:</w:t>
      </w:r>
    </w:p>
    <w:p w14:paraId="5BF74DF4" w14:textId="77777777" w:rsidR="00194A3D" w:rsidRPr="002F5265" w:rsidRDefault="00194A3D" w:rsidP="000C3CE3">
      <w:pPr>
        <w:pStyle w:val="BodycopyNEW0"/>
        <w:numPr>
          <w:ilvl w:val="0"/>
          <w:numId w:val="23"/>
        </w:numPr>
        <w:ind w:left="378"/>
        <w:rPr>
          <w:rFonts w:cs="Calibri Light"/>
          <w:i/>
          <w:iCs/>
        </w:rPr>
      </w:pPr>
      <w:r w:rsidRPr="002F5265">
        <w:rPr>
          <w:rFonts w:cs="Calibri Light"/>
        </w:rPr>
        <w:t>NOPSEMA’s progress in achieving the objective of the 201</w:t>
      </w:r>
      <w:r>
        <w:rPr>
          <w:rFonts w:cs="Calibri Light"/>
        </w:rPr>
        <w:t>4</w:t>
      </w:r>
      <w:r w:rsidRPr="002F5265">
        <w:rPr>
          <w:rFonts w:cs="Calibri Light"/>
        </w:rPr>
        <w:t xml:space="preserve"> Endorsed Program Report</w:t>
      </w:r>
      <w:r>
        <w:rPr>
          <w:rStyle w:val="FootnoteReference"/>
          <w:rFonts w:cs="Calibri Light"/>
        </w:rPr>
        <w:footnoteReference w:id="57"/>
      </w:r>
      <w:r w:rsidRPr="002F5265">
        <w:rPr>
          <w:rFonts w:cs="Calibri Light"/>
        </w:rPr>
        <w:t xml:space="preserve"> under the EPBC Act of ensuring all offshore petroleum and GHG are carried out in a manner consistent with the Object of the </w:t>
      </w:r>
      <w:r w:rsidRPr="002F5265">
        <w:rPr>
          <w:rFonts w:cs="Calibri Light"/>
          <w:i/>
          <w:iCs/>
        </w:rPr>
        <w:t xml:space="preserve">Offshore Petroleum </w:t>
      </w:r>
      <w:r>
        <w:rPr>
          <w:rFonts w:cs="Calibri Light"/>
          <w:i/>
          <w:iCs/>
        </w:rPr>
        <w:t xml:space="preserve">and </w:t>
      </w:r>
      <w:r w:rsidRPr="002F5265">
        <w:rPr>
          <w:rFonts w:cs="Calibri Light"/>
          <w:i/>
          <w:iCs/>
        </w:rPr>
        <w:t xml:space="preserve">Greenhouse Gas Storage (Environment) Regulations 2009 </w:t>
      </w:r>
      <w:r w:rsidRPr="002F5265">
        <w:rPr>
          <w:rFonts w:cs="Calibri Light"/>
        </w:rPr>
        <w:t xml:space="preserve">(the </w:t>
      </w:r>
      <w:r w:rsidRPr="002F5265">
        <w:rPr>
          <w:rFonts w:cs="Calibri Light"/>
          <w:b/>
          <w:bCs/>
        </w:rPr>
        <w:t xml:space="preserve">OPGGS </w:t>
      </w:r>
      <w:r>
        <w:rPr>
          <w:rFonts w:cs="Calibri Light"/>
          <w:b/>
          <w:bCs/>
        </w:rPr>
        <w:t>(</w:t>
      </w:r>
      <w:r w:rsidRPr="002F5265">
        <w:rPr>
          <w:rFonts w:cs="Calibri Light"/>
          <w:b/>
          <w:bCs/>
        </w:rPr>
        <w:t>Environment</w:t>
      </w:r>
      <w:r>
        <w:rPr>
          <w:rFonts w:cs="Calibri Light"/>
          <w:b/>
          <w:bCs/>
        </w:rPr>
        <w:t>)</w:t>
      </w:r>
      <w:r w:rsidRPr="002F5265">
        <w:rPr>
          <w:rFonts w:cs="Calibri Light"/>
          <w:b/>
          <w:bCs/>
        </w:rPr>
        <w:t xml:space="preserve"> Regulations</w:t>
      </w:r>
      <w:r w:rsidRPr="002F5265">
        <w:rPr>
          <w:rFonts w:cs="Calibri Light"/>
        </w:rPr>
        <w:t>)</w:t>
      </w:r>
    </w:p>
    <w:p w14:paraId="397663DB" w14:textId="77777777" w:rsidR="00194A3D" w:rsidRPr="002F5265" w:rsidRDefault="00194A3D" w:rsidP="000C3CE3">
      <w:pPr>
        <w:pStyle w:val="BodycopyNEW0"/>
        <w:numPr>
          <w:ilvl w:val="0"/>
          <w:numId w:val="23"/>
        </w:numPr>
        <w:ind w:left="378"/>
        <w:rPr>
          <w:rFonts w:cs="Calibri Light"/>
        </w:rPr>
      </w:pPr>
      <w:r w:rsidRPr="002F5265">
        <w:rPr>
          <w:rFonts w:cs="Calibri Light"/>
        </w:rPr>
        <w:t xml:space="preserve">A review of the actions of both NOPSEMA and DAWE required under the Administrative Arrangements and </w:t>
      </w:r>
      <w:r>
        <w:rPr>
          <w:rFonts w:cs="Calibri Light"/>
        </w:rPr>
        <w:t xml:space="preserve">provision of advice on whether </w:t>
      </w:r>
      <w:r w:rsidRPr="002F5265">
        <w:rPr>
          <w:rFonts w:cs="Calibri Light"/>
        </w:rPr>
        <w:t xml:space="preserve">all commitments are being met. </w:t>
      </w:r>
    </w:p>
    <w:p w14:paraId="0DE196B6" w14:textId="278FF269" w:rsidR="00194A3D" w:rsidRPr="002F5265" w:rsidRDefault="00194A3D" w:rsidP="00194A3D">
      <w:pPr>
        <w:spacing w:after="120" w:line="240" w:lineRule="auto"/>
        <w:rPr>
          <w:rFonts w:ascii="Calibri Light" w:hAnsi="Calibri Light" w:cs="Calibri Light"/>
        </w:rPr>
      </w:pPr>
      <w:r w:rsidRPr="002F5265">
        <w:rPr>
          <w:rFonts w:ascii="Calibri Light" w:hAnsi="Calibri Light" w:cs="Calibri Light"/>
        </w:rPr>
        <w:t xml:space="preserve">The period of our assessment is the five-year period from 1 January 2015 to </w:t>
      </w:r>
      <w:r w:rsidR="00AF074C">
        <w:rPr>
          <w:rFonts w:ascii="Calibri Light" w:hAnsi="Calibri Light" w:cs="Calibri Light"/>
        </w:rPr>
        <w:t xml:space="preserve">31 </w:t>
      </w:r>
      <w:r w:rsidRPr="002F5265">
        <w:rPr>
          <w:rFonts w:ascii="Calibri Light" w:hAnsi="Calibri Light" w:cs="Calibri Light"/>
        </w:rPr>
        <w:t xml:space="preserve">December 2019. However, given the timing of the </w:t>
      </w:r>
      <w:r>
        <w:rPr>
          <w:rFonts w:ascii="Calibri Light" w:hAnsi="Calibri Light" w:cs="Calibri Light"/>
        </w:rPr>
        <w:t>assessment</w:t>
      </w:r>
      <w:r w:rsidRPr="002F5265">
        <w:rPr>
          <w:rFonts w:ascii="Calibri Light" w:hAnsi="Calibri Light" w:cs="Calibri Light"/>
        </w:rPr>
        <w:t xml:space="preserve">, we have also considered NOPSEMA’s actions and processes through the impact of the COVID-19 pandemic where appropriate as current </w:t>
      </w:r>
      <w:r>
        <w:rPr>
          <w:rFonts w:ascii="Calibri Light" w:hAnsi="Calibri Light" w:cs="Calibri Light"/>
        </w:rPr>
        <w:t xml:space="preserve">and </w:t>
      </w:r>
      <w:r w:rsidRPr="002F5265">
        <w:rPr>
          <w:rFonts w:ascii="Calibri Light" w:hAnsi="Calibri Light" w:cs="Calibri Light"/>
        </w:rPr>
        <w:t>important context to be reflected in our findings.</w:t>
      </w:r>
    </w:p>
    <w:p w14:paraId="3F652A26" w14:textId="77777777" w:rsidR="00552A2D" w:rsidRPr="00AE2D6E" w:rsidRDefault="00552A2D" w:rsidP="002B71FF">
      <w:pPr>
        <w:pStyle w:val="Heading3"/>
      </w:pPr>
      <w:r w:rsidRPr="00AE2D6E">
        <w:t>Our point of view</w:t>
      </w:r>
      <w:r>
        <w:t xml:space="preserve"> and recommendations</w:t>
      </w:r>
    </w:p>
    <w:p w14:paraId="270EC82D" w14:textId="75B35BD1" w:rsidR="00552A2D" w:rsidRDefault="00552A2D" w:rsidP="00552A2D">
      <w:pPr>
        <w:rPr>
          <w:rFonts w:ascii="Calibri Light" w:hAnsi="Calibri Light" w:cs="Calibri Light"/>
        </w:rPr>
      </w:pPr>
      <w:r w:rsidRPr="000D5384">
        <w:rPr>
          <w:rFonts w:ascii="Calibri Light" w:hAnsi="Calibri Light" w:cs="Calibri Light"/>
        </w:rPr>
        <w:t>Our assessment has found NOPSEMA to be</w:t>
      </w:r>
      <w:r w:rsidRPr="000D5384" w:rsidDel="00EF3EF3">
        <w:rPr>
          <w:rFonts w:ascii="Calibri Light" w:hAnsi="Calibri Light" w:cs="Calibri Light"/>
        </w:rPr>
        <w:t xml:space="preserve"> </w:t>
      </w:r>
      <w:r w:rsidR="00653A0D">
        <w:rPr>
          <w:rFonts w:ascii="Calibri Light" w:hAnsi="Calibri Light" w:cs="Calibri Light"/>
        </w:rPr>
        <w:t>meeting</w:t>
      </w:r>
      <w:r w:rsidRPr="000D5384">
        <w:rPr>
          <w:rFonts w:ascii="Calibri Light" w:hAnsi="Calibri Light" w:cs="Calibri Light"/>
        </w:rPr>
        <w:t xml:space="preserve"> its obligations in administering the streamlined Endorsed Program under the EPBC Act. </w:t>
      </w:r>
      <w:r>
        <w:rPr>
          <w:rFonts w:ascii="Calibri Light" w:hAnsi="Calibri Light" w:cs="Calibri Light"/>
        </w:rPr>
        <w:t>We have found:</w:t>
      </w:r>
    </w:p>
    <w:p w14:paraId="7D222E0D" w14:textId="3A7726D8" w:rsidR="00552A2D" w:rsidRDefault="00552A2D" w:rsidP="000C3CE3">
      <w:pPr>
        <w:pStyle w:val="BodycopyNEW0"/>
        <w:numPr>
          <w:ilvl w:val="0"/>
          <w:numId w:val="23"/>
        </w:numPr>
        <w:ind w:left="378"/>
        <w:rPr>
          <w:rFonts w:cs="Calibri Light"/>
        </w:rPr>
      </w:pPr>
      <w:r>
        <w:rPr>
          <w:rFonts w:cs="Calibri Light"/>
        </w:rPr>
        <w:t xml:space="preserve">NOPSEMA </w:t>
      </w:r>
      <w:r w:rsidR="00404A6C">
        <w:rPr>
          <w:rFonts w:cs="Calibri Light"/>
        </w:rPr>
        <w:t>is</w:t>
      </w:r>
      <w:r>
        <w:rPr>
          <w:rFonts w:cs="Calibri Light"/>
        </w:rPr>
        <w:t xml:space="preserve"> adhering to the Objects of the OPGGS (Environment) Regulations. Specifically, NOPSEMA aligns to the five principles of ecologically sustainable development (</w:t>
      </w:r>
      <w:r w:rsidRPr="00884940">
        <w:rPr>
          <w:rFonts w:cs="Calibri Light"/>
          <w:b/>
          <w:bCs/>
        </w:rPr>
        <w:t>ESD</w:t>
      </w:r>
      <w:r>
        <w:rPr>
          <w:rFonts w:cs="Calibri Light"/>
        </w:rPr>
        <w:t xml:space="preserve">) and seeks to ensure activities are carried out by titleholders in a manner that reduces environmental impacts to </w:t>
      </w:r>
      <w:r w:rsidRPr="00762164">
        <w:rPr>
          <w:rFonts w:cs="Calibri Light"/>
        </w:rPr>
        <w:t>‘As Low As Reasonably Practicable’ (</w:t>
      </w:r>
      <w:r w:rsidRPr="00884940">
        <w:rPr>
          <w:rFonts w:cs="Calibri Light"/>
          <w:b/>
          <w:bCs/>
        </w:rPr>
        <w:t>ALARP</w:t>
      </w:r>
      <w:r w:rsidRPr="00762164">
        <w:rPr>
          <w:rFonts w:cs="Calibri Light"/>
        </w:rPr>
        <w:t>) and ‘acceptable’</w:t>
      </w:r>
      <w:r>
        <w:rPr>
          <w:rFonts w:cs="Calibri Light"/>
        </w:rPr>
        <w:t xml:space="preserve"> levels</w:t>
      </w:r>
    </w:p>
    <w:p w14:paraId="234DA269" w14:textId="5A5AEB35" w:rsidR="00552A2D" w:rsidRPr="00486B65" w:rsidRDefault="00552A2D" w:rsidP="000C3CE3">
      <w:pPr>
        <w:pStyle w:val="BodycopyNEW0"/>
        <w:numPr>
          <w:ilvl w:val="0"/>
          <w:numId w:val="23"/>
        </w:numPr>
        <w:ind w:left="378"/>
        <w:rPr>
          <w:rFonts w:cs="Calibri Light"/>
        </w:rPr>
      </w:pPr>
      <w:r w:rsidRPr="00390EDC">
        <w:rPr>
          <w:rFonts w:cs="Calibri Light"/>
        </w:rPr>
        <w:t xml:space="preserve">NOPSEMA </w:t>
      </w:r>
      <w:r w:rsidR="00404A6C">
        <w:rPr>
          <w:rFonts w:cs="Calibri Light"/>
        </w:rPr>
        <w:t>is</w:t>
      </w:r>
      <w:r w:rsidRPr="00390EDC">
        <w:rPr>
          <w:rFonts w:cs="Calibri Light"/>
        </w:rPr>
        <w:t xml:space="preserve"> meeting all of </w:t>
      </w:r>
      <w:r w:rsidRPr="00486B65">
        <w:rPr>
          <w:rFonts w:cs="Calibri Light"/>
        </w:rPr>
        <w:t xml:space="preserve">its commitments and outcomes specified under the Endorsed Program </w:t>
      </w:r>
      <w:r w:rsidR="00DC2C32">
        <w:rPr>
          <w:rFonts w:cs="Calibri Light"/>
        </w:rPr>
        <w:t xml:space="preserve">so </w:t>
      </w:r>
      <w:r w:rsidRPr="00486B65">
        <w:rPr>
          <w:rFonts w:cs="Calibri Light"/>
        </w:rPr>
        <w:t>that environmental impacts on protected matters (as defined in Part 3 of the EPBC Act) are not unacceptable</w:t>
      </w:r>
    </w:p>
    <w:p w14:paraId="745C4905" w14:textId="3ADB3951" w:rsidR="00552A2D" w:rsidRDefault="00552A2D" w:rsidP="000C3CE3">
      <w:pPr>
        <w:pStyle w:val="BodycopyNEW0"/>
        <w:numPr>
          <w:ilvl w:val="0"/>
          <w:numId w:val="23"/>
        </w:numPr>
        <w:ind w:left="378"/>
        <w:rPr>
          <w:rFonts w:cs="Calibri Light"/>
        </w:rPr>
      </w:pPr>
      <w:r w:rsidRPr="000C3CE3">
        <w:rPr>
          <w:szCs w:val="18"/>
        </w:rPr>
        <w:t>NOPSEMA</w:t>
      </w:r>
      <w:r>
        <w:rPr>
          <w:rFonts w:cs="Calibri Light"/>
        </w:rPr>
        <w:t xml:space="preserve"> </w:t>
      </w:r>
      <w:r w:rsidR="00404A6C">
        <w:rPr>
          <w:rFonts w:cs="Calibri Light"/>
        </w:rPr>
        <w:t>is</w:t>
      </w:r>
      <w:r>
        <w:rPr>
          <w:rFonts w:cs="Calibri Light"/>
        </w:rPr>
        <w:t xml:space="preserve"> appropriately implementing continuous improvement opportunities identified through prior reviews</w:t>
      </w:r>
    </w:p>
    <w:p w14:paraId="136A2B79" w14:textId="77777777" w:rsidR="00552A2D" w:rsidRDefault="00552A2D" w:rsidP="000C3CE3">
      <w:pPr>
        <w:pStyle w:val="BodycopyNEW0"/>
        <w:numPr>
          <w:ilvl w:val="0"/>
          <w:numId w:val="23"/>
        </w:numPr>
        <w:ind w:left="378"/>
        <w:rPr>
          <w:rFonts w:cs="Calibri Light"/>
        </w:rPr>
      </w:pPr>
      <w:r w:rsidRPr="00390EDC">
        <w:rPr>
          <w:rFonts w:cs="Calibri Light"/>
        </w:rPr>
        <w:t xml:space="preserve">NOPSEMA </w:t>
      </w:r>
      <w:r>
        <w:rPr>
          <w:rFonts w:cs="Calibri Light"/>
        </w:rPr>
        <w:t>is meeting its commitments under the Administrative Arrangements</w:t>
      </w:r>
    </w:p>
    <w:p w14:paraId="6B126EBC" w14:textId="6F77166C" w:rsidR="00552A2D" w:rsidRPr="002F5265" w:rsidRDefault="00552A2D" w:rsidP="000C3CE3">
      <w:pPr>
        <w:pStyle w:val="BodycopyNEW0"/>
        <w:numPr>
          <w:ilvl w:val="0"/>
          <w:numId w:val="23"/>
        </w:numPr>
        <w:ind w:left="378"/>
        <w:rPr>
          <w:rFonts w:cs="Calibri Light"/>
        </w:rPr>
      </w:pPr>
      <w:r w:rsidRPr="000C3CE3">
        <w:rPr>
          <w:szCs w:val="18"/>
        </w:rPr>
        <w:t>NOPSEMA’s</w:t>
      </w:r>
      <w:r>
        <w:rPr>
          <w:rFonts w:cs="Calibri Light"/>
        </w:rPr>
        <w:t xml:space="preserve"> Environment Plan (</w:t>
      </w:r>
      <w:r w:rsidRPr="00884940">
        <w:rPr>
          <w:rFonts w:cs="Calibri Light"/>
          <w:b/>
          <w:bCs/>
        </w:rPr>
        <w:t>EP</w:t>
      </w:r>
      <w:r>
        <w:rPr>
          <w:rFonts w:cs="Calibri Light"/>
        </w:rPr>
        <w:t xml:space="preserve">) assessment process to be robust in its approach, but viewed by stakeholders as highly complex, </w:t>
      </w:r>
      <w:r w:rsidRPr="00567C50">
        <w:rPr>
          <w:rFonts w:cs="Calibri Light"/>
        </w:rPr>
        <w:t>prescripti</w:t>
      </w:r>
      <w:r>
        <w:rPr>
          <w:rFonts w:cs="Calibri Light"/>
        </w:rPr>
        <w:t>ve in its delivery</w:t>
      </w:r>
      <w:r w:rsidRPr="00567C50">
        <w:rPr>
          <w:rFonts w:cs="Calibri Light"/>
        </w:rPr>
        <w:t xml:space="preserve">, and </w:t>
      </w:r>
      <w:r>
        <w:rPr>
          <w:rFonts w:cs="Calibri Light"/>
        </w:rPr>
        <w:t xml:space="preserve">resulting in a high </w:t>
      </w:r>
      <w:r w:rsidRPr="00567C50">
        <w:rPr>
          <w:rFonts w:cs="Calibri Light"/>
        </w:rPr>
        <w:t xml:space="preserve">level of effort </w:t>
      </w:r>
      <w:r>
        <w:rPr>
          <w:rFonts w:cs="Calibri Light"/>
        </w:rPr>
        <w:t>to comply with the process</w:t>
      </w:r>
      <w:r w:rsidR="008B1776">
        <w:rPr>
          <w:rFonts w:cs="Calibri Light"/>
        </w:rPr>
        <w:t xml:space="preserve"> regardless of the level of risk </w:t>
      </w:r>
      <w:r w:rsidR="001F40B3">
        <w:rPr>
          <w:rFonts w:cs="Calibri Light"/>
        </w:rPr>
        <w:t>by the proposed activity</w:t>
      </w:r>
      <w:r>
        <w:rPr>
          <w:rFonts w:cs="Calibri Light"/>
        </w:rPr>
        <w:t>.</w:t>
      </w:r>
    </w:p>
    <w:p w14:paraId="3D2F21D3" w14:textId="458FD3ED" w:rsidR="00552A2D" w:rsidRDefault="00552A2D" w:rsidP="00552A2D">
      <w:pPr>
        <w:rPr>
          <w:rFonts w:ascii="Calibri Light" w:hAnsi="Calibri Light" w:cs="Calibri Light"/>
        </w:rPr>
      </w:pPr>
      <w:r w:rsidRPr="000D5384">
        <w:rPr>
          <w:rFonts w:ascii="Calibri Light" w:hAnsi="Calibri Light" w:cs="Calibri Light"/>
        </w:rPr>
        <w:t>The recommendations and opportunity identified below fall within the category of ‘continuous improvement’ for the administration of the environment assessments and related IT tools and expert advice.</w:t>
      </w:r>
    </w:p>
    <w:p w14:paraId="54317B7C" w14:textId="125DA36E" w:rsidR="00552A2D" w:rsidRPr="000D5384" w:rsidRDefault="00552A2D" w:rsidP="00552A2D">
      <w:pPr>
        <w:rPr>
          <w:rFonts w:ascii="Calibri Light" w:hAnsi="Calibri Light" w:cs="Calibri Light"/>
        </w:rPr>
      </w:pPr>
      <w:r w:rsidRPr="000D5384">
        <w:rPr>
          <w:rFonts w:ascii="Calibri Light" w:hAnsi="Calibri Light" w:cs="Calibri Light"/>
        </w:rPr>
        <w:t xml:space="preserve">In support of our findings we offer </w:t>
      </w:r>
      <w:r>
        <w:rPr>
          <w:rFonts w:ascii="Calibri Light" w:hAnsi="Calibri Light" w:cs="Calibri Light"/>
          <w:b/>
        </w:rPr>
        <w:t>5</w:t>
      </w:r>
      <w:r w:rsidRPr="000D5384">
        <w:rPr>
          <w:rFonts w:ascii="Calibri Light" w:hAnsi="Calibri Light" w:cs="Calibri Light"/>
          <w:b/>
        </w:rPr>
        <w:t xml:space="preserve"> recommendations</w:t>
      </w:r>
      <w:r w:rsidRPr="000D5384">
        <w:rPr>
          <w:rFonts w:ascii="Calibri Light" w:hAnsi="Calibri Light" w:cs="Calibri Light"/>
        </w:rPr>
        <w:t xml:space="preserve"> for consideration</w:t>
      </w:r>
      <w:r>
        <w:rPr>
          <w:rFonts w:ascii="Calibri Light" w:hAnsi="Calibri Light" w:cs="Calibri Light"/>
        </w:rPr>
        <w:t xml:space="preserve"> as</w:t>
      </w:r>
      <w:r w:rsidRPr="000D5384">
        <w:rPr>
          <w:rFonts w:ascii="Calibri Light" w:hAnsi="Calibri Light" w:cs="Calibri Light"/>
        </w:rPr>
        <w:t xml:space="preserve"> outlined in</w:t>
      </w:r>
      <w:r w:rsidRPr="000D5384">
        <w:rPr>
          <w:rFonts w:ascii="Calibri Light" w:hAnsi="Calibri Light" w:cs="Calibri Light"/>
          <w:b/>
        </w:rPr>
        <w:t xml:space="preserve"> </w:t>
      </w:r>
      <w:r w:rsidRPr="000D5384">
        <w:rPr>
          <w:rFonts w:ascii="Calibri Light" w:hAnsi="Calibri Light" w:cs="Calibri Light"/>
          <w:b/>
        </w:rPr>
        <w:fldChar w:fldCharType="begin"/>
      </w:r>
      <w:r w:rsidRPr="000D5384">
        <w:rPr>
          <w:rFonts w:ascii="Calibri Light" w:hAnsi="Calibri Light" w:cs="Calibri Light"/>
          <w:b/>
        </w:rPr>
        <w:instrText xml:space="preserve"> REF _Ref57757466 \h  \* MERGEFORMAT </w:instrText>
      </w:r>
      <w:r w:rsidRPr="000D5384">
        <w:rPr>
          <w:rFonts w:ascii="Calibri Light" w:hAnsi="Calibri Light" w:cs="Calibri Light"/>
          <w:b/>
        </w:rPr>
      </w:r>
      <w:r w:rsidRPr="000D5384">
        <w:rPr>
          <w:rFonts w:ascii="Calibri Light" w:hAnsi="Calibri Light" w:cs="Calibri Light"/>
          <w:b/>
        </w:rPr>
        <w:fldChar w:fldCharType="separate"/>
      </w:r>
      <w:r w:rsidR="00E816B8" w:rsidRPr="00E816B8">
        <w:rPr>
          <w:rFonts w:ascii="Calibri Light" w:hAnsi="Calibri Light" w:cs="Calibri Light"/>
          <w:b/>
        </w:rPr>
        <w:t>Table 11.1</w:t>
      </w:r>
      <w:r w:rsidRPr="000D5384">
        <w:rPr>
          <w:rFonts w:ascii="Calibri Light" w:hAnsi="Calibri Light" w:cs="Calibri Light"/>
          <w:b/>
        </w:rPr>
        <w:fldChar w:fldCharType="end"/>
      </w:r>
      <w:r w:rsidRPr="000D5384">
        <w:rPr>
          <w:rFonts w:ascii="Calibri Light" w:hAnsi="Calibri Light" w:cs="Calibri Light"/>
        </w:rPr>
        <w:t xml:space="preserve">. Additional considerations and detail relating to </w:t>
      </w:r>
      <w:r>
        <w:rPr>
          <w:rFonts w:ascii="Calibri Light" w:hAnsi="Calibri Light" w:cs="Calibri Light"/>
        </w:rPr>
        <w:t xml:space="preserve">the </w:t>
      </w:r>
      <w:r w:rsidRPr="000D5384">
        <w:rPr>
          <w:rFonts w:ascii="Calibri Light" w:hAnsi="Calibri Light" w:cs="Calibri Light"/>
        </w:rPr>
        <w:t>recommendations are contained within the respective sections where they are raised.</w:t>
      </w:r>
      <w:r>
        <w:rPr>
          <w:rFonts w:ascii="Calibri Light" w:hAnsi="Calibri Light" w:cs="Calibri Light"/>
        </w:rPr>
        <w:t xml:space="preserve"> For completeness, the above findings and below recommendations are also outlined in </w:t>
      </w:r>
      <w:r w:rsidRPr="00553E87">
        <w:rPr>
          <w:rFonts w:ascii="Calibri Light" w:hAnsi="Calibri Light" w:cs="Calibri Light"/>
          <w:b/>
          <w:bCs/>
        </w:rPr>
        <w:t xml:space="preserve">Section </w:t>
      </w:r>
      <w:r w:rsidR="00E50591">
        <w:rPr>
          <w:rFonts w:ascii="Calibri Light" w:hAnsi="Calibri Light" w:cs="Calibri Light"/>
          <w:b/>
          <w:bCs/>
        </w:rPr>
        <w:fldChar w:fldCharType="begin"/>
      </w:r>
      <w:r w:rsidR="00E50591">
        <w:rPr>
          <w:rFonts w:ascii="Calibri Light" w:hAnsi="Calibri Light" w:cs="Calibri Light"/>
          <w:b/>
          <w:bCs/>
        </w:rPr>
        <w:instrText xml:space="preserve"> REF _Ref63976950 \r \h </w:instrText>
      </w:r>
      <w:r w:rsidR="00E50591">
        <w:rPr>
          <w:rFonts w:ascii="Calibri Light" w:hAnsi="Calibri Light" w:cs="Calibri Light"/>
          <w:b/>
          <w:bCs/>
        </w:rPr>
      </w:r>
      <w:r w:rsidR="00E50591">
        <w:rPr>
          <w:rFonts w:ascii="Calibri Light" w:hAnsi="Calibri Light" w:cs="Calibri Light"/>
          <w:b/>
          <w:bCs/>
        </w:rPr>
        <w:fldChar w:fldCharType="separate"/>
      </w:r>
      <w:r w:rsidR="00E816B8">
        <w:rPr>
          <w:rFonts w:ascii="Calibri Light" w:hAnsi="Calibri Light" w:cs="Calibri Light"/>
          <w:b/>
          <w:bCs/>
        </w:rPr>
        <w:t>1.3</w:t>
      </w:r>
      <w:r w:rsidR="00E50591">
        <w:rPr>
          <w:rFonts w:ascii="Calibri Light" w:hAnsi="Calibri Light" w:cs="Calibri Light"/>
          <w:b/>
          <w:bCs/>
        </w:rPr>
        <w:fldChar w:fldCharType="end"/>
      </w:r>
      <w:r w:rsidRPr="008516AA">
        <w:rPr>
          <w:rFonts w:ascii="Calibri Light" w:hAnsi="Calibri Light" w:cs="Calibri Light"/>
        </w:rPr>
        <w:t xml:space="preserve"> and </w:t>
      </w:r>
      <w:r w:rsidR="008516AA" w:rsidRPr="008516AA">
        <w:rPr>
          <w:rFonts w:ascii="Calibri Light" w:hAnsi="Calibri Light" w:cs="Calibri Light"/>
          <w:b/>
          <w:bCs/>
          <w:highlight w:val="yellow"/>
        </w:rPr>
        <w:fldChar w:fldCharType="begin"/>
      </w:r>
      <w:r w:rsidR="008516AA" w:rsidRPr="008516AA">
        <w:rPr>
          <w:rFonts w:ascii="Calibri Light" w:hAnsi="Calibri Light" w:cs="Calibri Light"/>
          <w:b/>
          <w:bCs/>
          <w:highlight w:val="yellow"/>
        </w:rPr>
        <w:instrText xml:space="preserve"> REF _Ref58443452 \h  \* MERGEFORMAT </w:instrText>
      </w:r>
      <w:r w:rsidR="008516AA" w:rsidRPr="008516AA">
        <w:rPr>
          <w:rFonts w:ascii="Calibri Light" w:hAnsi="Calibri Light" w:cs="Calibri Light"/>
          <w:b/>
          <w:bCs/>
          <w:highlight w:val="yellow"/>
        </w:rPr>
      </w:r>
      <w:r w:rsidR="008516AA" w:rsidRPr="008516AA">
        <w:rPr>
          <w:rFonts w:ascii="Calibri Light" w:hAnsi="Calibri Light" w:cs="Calibri Light"/>
          <w:b/>
          <w:bCs/>
          <w:highlight w:val="yellow"/>
        </w:rPr>
        <w:fldChar w:fldCharType="separate"/>
      </w:r>
      <w:r w:rsidR="00E816B8" w:rsidRPr="00E816B8">
        <w:rPr>
          <w:rFonts w:ascii="Calibri Light" w:hAnsi="Calibri Light" w:cs="Calibri Light"/>
          <w:b/>
          <w:bCs/>
        </w:rPr>
        <w:t xml:space="preserve">Table </w:t>
      </w:r>
      <w:r w:rsidR="00E816B8" w:rsidRPr="00E816B8">
        <w:rPr>
          <w:rFonts w:ascii="Calibri Light" w:hAnsi="Calibri Light" w:cs="Calibri Light"/>
          <w:b/>
          <w:bCs/>
          <w:noProof/>
        </w:rPr>
        <w:t>2.1</w:t>
      </w:r>
      <w:r w:rsidR="008516AA" w:rsidRPr="008516AA">
        <w:rPr>
          <w:rFonts w:ascii="Calibri Light" w:hAnsi="Calibri Light" w:cs="Calibri Light"/>
          <w:b/>
          <w:bCs/>
          <w:highlight w:val="yellow"/>
        </w:rPr>
        <w:fldChar w:fldCharType="end"/>
      </w:r>
      <w:r>
        <w:rPr>
          <w:rFonts w:ascii="Calibri Light" w:hAnsi="Calibri Light" w:cs="Calibri Light"/>
        </w:rPr>
        <w:t>, respectively.</w:t>
      </w:r>
    </w:p>
    <w:p w14:paraId="336C8C0D" w14:textId="1532EEB0" w:rsidR="00D10897" w:rsidRPr="00E21DF0" w:rsidRDefault="00D10897" w:rsidP="00D10897">
      <w:pPr>
        <w:pStyle w:val="Caption"/>
        <w:rPr>
          <w:b w:val="0"/>
          <w:bCs/>
          <w:i/>
          <w:iCs w:val="0"/>
          <w:sz w:val="20"/>
          <w:szCs w:val="20"/>
        </w:rPr>
      </w:pPr>
      <w:bookmarkStart w:id="185" w:name="_Ref57757466"/>
      <w:r w:rsidRPr="00E21DF0">
        <w:rPr>
          <w:bCs/>
          <w:iCs w:val="0"/>
          <w:sz w:val="20"/>
          <w:szCs w:val="20"/>
        </w:rPr>
        <w:t xml:space="preserve">Table </w:t>
      </w:r>
      <w:r w:rsidR="00624D4F">
        <w:rPr>
          <w:bCs/>
          <w:iCs w:val="0"/>
          <w:sz w:val="20"/>
          <w:szCs w:val="20"/>
        </w:rPr>
        <w:fldChar w:fldCharType="begin"/>
      </w:r>
      <w:r w:rsidR="00624D4F">
        <w:rPr>
          <w:bCs/>
          <w:iCs w:val="0"/>
          <w:sz w:val="20"/>
          <w:szCs w:val="20"/>
        </w:rPr>
        <w:instrText xml:space="preserve"> STYLEREF 1 \s </w:instrText>
      </w:r>
      <w:r w:rsidR="00624D4F">
        <w:rPr>
          <w:bCs/>
          <w:iCs w:val="0"/>
          <w:sz w:val="20"/>
          <w:szCs w:val="20"/>
        </w:rPr>
        <w:fldChar w:fldCharType="separate"/>
      </w:r>
      <w:r w:rsidR="00E816B8">
        <w:rPr>
          <w:bCs/>
          <w:iCs w:val="0"/>
          <w:noProof/>
          <w:sz w:val="20"/>
          <w:szCs w:val="20"/>
        </w:rPr>
        <w:t>11</w:t>
      </w:r>
      <w:r w:rsidR="00624D4F">
        <w:rPr>
          <w:bCs/>
          <w:iCs w:val="0"/>
          <w:sz w:val="20"/>
          <w:szCs w:val="20"/>
        </w:rPr>
        <w:fldChar w:fldCharType="end"/>
      </w:r>
      <w:r w:rsidR="00624D4F">
        <w:rPr>
          <w:bCs/>
          <w:iCs w:val="0"/>
          <w:sz w:val="20"/>
          <w:szCs w:val="20"/>
        </w:rPr>
        <w:t>.</w:t>
      </w:r>
      <w:r w:rsidR="00624D4F">
        <w:rPr>
          <w:bCs/>
          <w:iCs w:val="0"/>
          <w:sz w:val="20"/>
          <w:szCs w:val="20"/>
        </w:rPr>
        <w:fldChar w:fldCharType="begin"/>
      </w:r>
      <w:r w:rsidR="00624D4F">
        <w:rPr>
          <w:bCs/>
          <w:iCs w:val="0"/>
          <w:sz w:val="20"/>
          <w:szCs w:val="20"/>
        </w:rPr>
        <w:instrText xml:space="preserve"> SEQ Table \* ARABIC \s 1 </w:instrText>
      </w:r>
      <w:r w:rsidR="00624D4F">
        <w:rPr>
          <w:bCs/>
          <w:iCs w:val="0"/>
          <w:sz w:val="20"/>
          <w:szCs w:val="20"/>
        </w:rPr>
        <w:fldChar w:fldCharType="separate"/>
      </w:r>
      <w:r w:rsidR="00E816B8">
        <w:rPr>
          <w:bCs/>
          <w:iCs w:val="0"/>
          <w:noProof/>
          <w:sz w:val="20"/>
          <w:szCs w:val="20"/>
        </w:rPr>
        <w:t>1</w:t>
      </w:r>
      <w:r w:rsidR="00624D4F">
        <w:rPr>
          <w:bCs/>
          <w:iCs w:val="0"/>
          <w:sz w:val="20"/>
          <w:szCs w:val="20"/>
        </w:rPr>
        <w:fldChar w:fldCharType="end"/>
      </w:r>
      <w:bookmarkEnd w:id="185"/>
      <w:r w:rsidRPr="00E21DF0">
        <w:rPr>
          <w:bCs/>
          <w:iCs w:val="0"/>
          <w:sz w:val="20"/>
          <w:szCs w:val="20"/>
        </w:rPr>
        <w:t>: Consolidated list of recommendations</w:t>
      </w:r>
      <w:r>
        <w:rPr>
          <w:bCs/>
          <w:iCs w:val="0"/>
          <w:sz w:val="20"/>
          <w:szCs w:val="20"/>
        </w:rPr>
        <w:t xml:space="preserve"> pertaining to the 2020 Endorsed Program Assessment</w:t>
      </w:r>
    </w:p>
    <w:tbl>
      <w:tblPr>
        <w:tblStyle w:val="TableGrid"/>
        <w:tblW w:w="5000" w:type="pct"/>
        <w:tblLayout w:type="fixed"/>
        <w:tblCellMar>
          <w:top w:w="57" w:type="dxa"/>
          <w:left w:w="57" w:type="dxa"/>
          <w:bottom w:w="57" w:type="dxa"/>
          <w:right w:w="57" w:type="dxa"/>
        </w:tblCellMar>
        <w:tblLook w:val="04A0" w:firstRow="1" w:lastRow="0" w:firstColumn="1" w:lastColumn="0" w:noHBand="0" w:noVBand="1"/>
      </w:tblPr>
      <w:tblGrid>
        <w:gridCol w:w="992"/>
        <w:gridCol w:w="8872"/>
      </w:tblGrid>
      <w:tr w:rsidR="00D10897" w:rsidRPr="00BF2348" w14:paraId="18AE3601" w14:textId="77777777" w:rsidTr="00144BA2">
        <w:trPr>
          <w:cnfStyle w:val="100000000000" w:firstRow="1" w:lastRow="0" w:firstColumn="0" w:lastColumn="0" w:oddVBand="0" w:evenVBand="0" w:oddHBand="0" w:evenHBand="0" w:firstRowFirstColumn="0" w:firstRowLastColumn="0" w:lastRowFirstColumn="0" w:lastRowLastColumn="0"/>
          <w:tblHeader/>
        </w:trPr>
        <w:tc>
          <w:tcPr>
            <w:tcW w:w="5000" w:type="pct"/>
            <w:gridSpan w:val="2"/>
            <w:shd w:val="clear" w:color="auto" w:fill="007680"/>
          </w:tcPr>
          <w:p w14:paraId="6645A3EA" w14:textId="77777777" w:rsidR="00D10897" w:rsidRPr="00BF2348" w:rsidRDefault="00D10897" w:rsidP="00144BA2">
            <w:pPr>
              <w:pStyle w:val="Tableheader"/>
              <w:rPr>
                <w:rFonts w:ascii="Calibri Light" w:hAnsi="Calibri Light" w:cs="Calibri Light"/>
                <w:color w:val="FFFFFF" w:themeColor="background1"/>
              </w:rPr>
            </w:pPr>
            <w:r w:rsidRPr="00BF2348">
              <w:rPr>
                <w:rFonts w:ascii="Calibri Light" w:hAnsi="Calibri Light" w:cs="Calibri Light"/>
                <w:color w:val="FFFFFF" w:themeColor="background1"/>
              </w:rPr>
              <w:t>Recommendation</w:t>
            </w:r>
          </w:p>
        </w:tc>
      </w:tr>
      <w:tr w:rsidR="00D10897" w:rsidRPr="00BF2348" w14:paraId="6510B388" w14:textId="77777777" w:rsidTr="00703852">
        <w:trPr>
          <w:trHeight w:val="679"/>
        </w:trPr>
        <w:tc>
          <w:tcPr>
            <w:tcW w:w="503" w:type="pct"/>
            <w:tcBorders>
              <w:top w:val="single" w:sz="4" w:space="0" w:color="BFBFBF" w:themeColor="background1" w:themeShade="BF"/>
              <w:bottom w:val="single" w:sz="4" w:space="0" w:color="BFBFBF" w:themeColor="background1" w:themeShade="BF"/>
            </w:tcBorders>
          </w:tcPr>
          <w:p w14:paraId="6E5A90B6" w14:textId="77777777" w:rsidR="00D10897" w:rsidRPr="00BE23B8" w:rsidRDefault="00D10897" w:rsidP="00144BA2">
            <w:pPr>
              <w:pStyle w:val="BodyCopyNEW"/>
              <w:rPr>
                <w:szCs w:val="18"/>
              </w:rPr>
            </w:pPr>
            <w:r w:rsidRPr="00BE23B8">
              <w:rPr>
                <w:szCs w:val="18"/>
              </w:rPr>
              <w:t>EPBC-R-</w:t>
            </w:r>
            <w:r>
              <w:rPr>
                <w:szCs w:val="18"/>
              </w:rPr>
              <w:t>1</w:t>
            </w:r>
          </w:p>
        </w:tc>
        <w:tc>
          <w:tcPr>
            <w:tcW w:w="4497" w:type="pct"/>
            <w:tcBorders>
              <w:top w:val="single" w:sz="4" w:space="0" w:color="BFBFBF" w:themeColor="background1" w:themeShade="BF"/>
              <w:bottom w:val="single" w:sz="4" w:space="0" w:color="BFBFBF" w:themeColor="background1" w:themeShade="BF"/>
            </w:tcBorders>
          </w:tcPr>
          <w:p w14:paraId="236E99D8" w14:textId="7A12F065" w:rsidR="00D10897" w:rsidRPr="00BE23B8" w:rsidRDefault="00D10897" w:rsidP="00144BA2">
            <w:pPr>
              <w:pStyle w:val="BodyCopyNEW"/>
              <w:rPr>
                <w:szCs w:val="18"/>
              </w:rPr>
            </w:pPr>
            <w:r w:rsidRPr="00BE23B8">
              <w:rPr>
                <w:szCs w:val="18"/>
              </w:rPr>
              <w:t xml:space="preserve">NOPSEMA </w:t>
            </w:r>
            <w:r>
              <w:rPr>
                <w:szCs w:val="18"/>
              </w:rPr>
              <w:t>should</w:t>
            </w:r>
            <w:r w:rsidRPr="00BE23B8">
              <w:rPr>
                <w:szCs w:val="18"/>
              </w:rPr>
              <w:t xml:space="preserve"> continue improving their guidance on how they assess </w:t>
            </w:r>
            <w:r>
              <w:rPr>
                <w:szCs w:val="18"/>
              </w:rPr>
              <w:t>‘ALARP’</w:t>
            </w:r>
            <w:r w:rsidRPr="00BE23B8">
              <w:rPr>
                <w:szCs w:val="18"/>
              </w:rPr>
              <w:t xml:space="preserve"> and ‘acceptable’ environmental risk and </w:t>
            </w:r>
            <w:r w:rsidRPr="004B400B">
              <w:rPr>
                <w:szCs w:val="18"/>
              </w:rPr>
              <w:t>ensure that the approach is consistent between assessments (where appropriate).</w:t>
            </w:r>
          </w:p>
        </w:tc>
      </w:tr>
      <w:tr w:rsidR="00D10897" w:rsidRPr="00BF2348" w14:paraId="6D783064" w14:textId="77777777" w:rsidTr="00144BA2">
        <w:tc>
          <w:tcPr>
            <w:tcW w:w="503" w:type="pct"/>
            <w:tcBorders>
              <w:top w:val="single" w:sz="4" w:space="0" w:color="BFBFBF" w:themeColor="background1" w:themeShade="BF"/>
              <w:bottom w:val="single" w:sz="4" w:space="0" w:color="BFBFBF" w:themeColor="background1" w:themeShade="BF"/>
            </w:tcBorders>
          </w:tcPr>
          <w:p w14:paraId="4CC44DDC" w14:textId="77777777" w:rsidR="00D10897" w:rsidRPr="00BE23B8" w:rsidRDefault="00D10897" w:rsidP="00144BA2">
            <w:pPr>
              <w:pStyle w:val="BodyCopyNEW"/>
              <w:rPr>
                <w:szCs w:val="18"/>
              </w:rPr>
            </w:pPr>
            <w:r>
              <w:rPr>
                <w:szCs w:val="18"/>
              </w:rPr>
              <w:t>EPBC-R-2</w:t>
            </w:r>
          </w:p>
        </w:tc>
        <w:tc>
          <w:tcPr>
            <w:tcW w:w="4497" w:type="pct"/>
            <w:tcBorders>
              <w:top w:val="single" w:sz="4" w:space="0" w:color="BFBFBF" w:themeColor="background1" w:themeShade="BF"/>
              <w:bottom w:val="single" w:sz="4" w:space="0" w:color="BFBFBF" w:themeColor="background1" w:themeShade="BF"/>
            </w:tcBorders>
          </w:tcPr>
          <w:p w14:paraId="21EBC884" w14:textId="3F828F89" w:rsidR="00D10897" w:rsidRPr="00BE23B8" w:rsidRDefault="00D10897" w:rsidP="00144BA2">
            <w:pPr>
              <w:pStyle w:val="BodyCopyNEW"/>
              <w:rPr>
                <w:szCs w:val="18"/>
              </w:rPr>
            </w:pPr>
            <w:r w:rsidRPr="004B400B">
              <w:rPr>
                <w:szCs w:val="18"/>
              </w:rPr>
              <w:t>NOPSEMA</w:t>
            </w:r>
            <w:r w:rsidR="00E12EB2">
              <w:rPr>
                <w:szCs w:val="18"/>
              </w:rPr>
              <w:t xml:space="preserve">, </w:t>
            </w:r>
            <w:r w:rsidR="0030130F">
              <w:rPr>
                <w:szCs w:val="18"/>
              </w:rPr>
              <w:t>with the support of other Government Departments as required,</w:t>
            </w:r>
            <w:r w:rsidRPr="004B400B">
              <w:rPr>
                <w:szCs w:val="18"/>
              </w:rPr>
              <w:t xml:space="preserve"> </w:t>
            </w:r>
            <w:r>
              <w:rPr>
                <w:szCs w:val="18"/>
              </w:rPr>
              <w:t xml:space="preserve">should </w:t>
            </w:r>
            <w:r w:rsidRPr="004B400B">
              <w:rPr>
                <w:szCs w:val="18"/>
              </w:rPr>
              <w:t xml:space="preserve">enable </w:t>
            </w:r>
            <w:r>
              <w:rPr>
                <w:szCs w:val="18"/>
              </w:rPr>
              <w:t xml:space="preserve">more effective </w:t>
            </w:r>
            <w:r w:rsidRPr="004B400B">
              <w:rPr>
                <w:szCs w:val="18"/>
              </w:rPr>
              <w:t>cumulative impact assessment in the marine environment over spatial</w:t>
            </w:r>
            <w:r w:rsidR="000E5054">
              <w:rPr>
                <w:szCs w:val="18"/>
              </w:rPr>
              <w:t xml:space="preserve"> and</w:t>
            </w:r>
            <w:r w:rsidRPr="004B400B">
              <w:rPr>
                <w:szCs w:val="18"/>
              </w:rPr>
              <w:t xml:space="preserve"> temporal</w:t>
            </w:r>
            <w:r w:rsidR="00C45631">
              <w:rPr>
                <w:szCs w:val="18"/>
              </w:rPr>
              <w:t xml:space="preserve"> extent</w:t>
            </w:r>
            <w:r w:rsidR="000E5054">
              <w:rPr>
                <w:szCs w:val="18"/>
              </w:rPr>
              <w:t>s</w:t>
            </w:r>
            <w:r w:rsidRPr="004B400B" w:rsidDel="000E5054">
              <w:rPr>
                <w:szCs w:val="18"/>
              </w:rPr>
              <w:t xml:space="preserve"> </w:t>
            </w:r>
            <w:r w:rsidR="000E5054">
              <w:rPr>
                <w:szCs w:val="18"/>
              </w:rPr>
              <w:t>as well as</w:t>
            </w:r>
            <w:r w:rsidRPr="004B400B">
              <w:rPr>
                <w:szCs w:val="18"/>
              </w:rPr>
              <w:t xml:space="preserve"> across other industries.</w:t>
            </w:r>
          </w:p>
        </w:tc>
      </w:tr>
      <w:tr w:rsidR="00D10897" w:rsidRPr="00BF2348" w14:paraId="3D276FF3" w14:textId="77777777" w:rsidTr="00144BA2">
        <w:tc>
          <w:tcPr>
            <w:tcW w:w="503" w:type="pct"/>
            <w:tcBorders>
              <w:top w:val="single" w:sz="4" w:space="0" w:color="BFBFBF" w:themeColor="background1" w:themeShade="BF"/>
              <w:bottom w:val="single" w:sz="4" w:space="0" w:color="BFBFBF" w:themeColor="background1" w:themeShade="BF"/>
            </w:tcBorders>
          </w:tcPr>
          <w:p w14:paraId="36E54E43" w14:textId="77777777" w:rsidR="00D10897" w:rsidRPr="00BE23B8" w:rsidRDefault="00D10897" w:rsidP="00144BA2">
            <w:pPr>
              <w:pStyle w:val="BodyCopyNEW"/>
              <w:rPr>
                <w:szCs w:val="18"/>
                <w:lang w:val="en-GB"/>
              </w:rPr>
            </w:pPr>
            <w:r w:rsidRPr="00BE23B8">
              <w:rPr>
                <w:szCs w:val="18"/>
              </w:rPr>
              <w:t>EPBC-R-</w:t>
            </w:r>
            <w:r>
              <w:rPr>
                <w:szCs w:val="18"/>
              </w:rPr>
              <w:t>3</w:t>
            </w:r>
          </w:p>
        </w:tc>
        <w:tc>
          <w:tcPr>
            <w:tcW w:w="4497" w:type="pct"/>
            <w:tcBorders>
              <w:top w:val="single" w:sz="4" w:space="0" w:color="BFBFBF" w:themeColor="background1" w:themeShade="BF"/>
              <w:bottom w:val="single" w:sz="4" w:space="0" w:color="BFBFBF" w:themeColor="background1" w:themeShade="BF"/>
            </w:tcBorders>
          </w:tcPr>
          <w:p w14:paraId="15F82367" w14:textId="740EA6D4" w:rsidR="00D10897" w:rsidRPr="00BE23B8" w:rsidRDefault="00D10897" w:rsidP="00144BA2">
            <w:pPr>
              <w:pStyle w:val="BodyCopyNEW"/>
              <w:rPr>
                <w:szCs w:val="18"/>
              </w:rPr>
            </w:pPr>
            <w:r>
              <w:rPr>
                <w:szCs w:val="18"/>
              </w:rPr>
              <w:t>I</w:t>
            </w:r>
            <w:r w:rsidRPr="00BE23B8">
              <w:rPr>
                <w:szCs w:val="18"/>
              </w:rPr>
              <w:t xml:space="preserve">n reference to the opportunities for improvement and observations from the </w:t>
            </w:r>
            <w:r w:rsidR="00BC7157" w:rsidRPr="00BC7157">
              <w:rPr>
                <w:szCs w:val="18"/>
              </w:rPr>
              <w:t>2015 Endorsed Program Assessment</w:t>
            </w:r>
            <w:r w:rsidRPr="00BE23B8">
              <w:rPr>
                <w:szCs w:val="18"/>
              </w:rPr>
              <w:t>:</w:t>
            </w:r>
          </w:p>
          <w:p w14:paraId="6B72EFB2" w14:textId="77777777" w:rsidR="00D10897" w:rsidRPr="00BE23B8" w:rsidRDefault="00D10897" w:rsidP="00144BA2">
            <w:pPr>
              <w:pStyle w:val="BodyBullet1"/>
              <w:ind w:left="368"/>
              <w:rPr>
                <w:szCs w:val="18"/>
              </w:rPr>
            </w:pPr>
            <w:r>
              <w:rPr>
                <w:szCs w:val="18"/>
              </w:rPr>
              <w:lastRenderedPageBreak/>
              <w:t>NOPSEMA should u</w:t>
            </w:r>
            <w:r w:rsidRPr="00BE23B8">
              <w:rPr>
                <w:szCs w:val="18"/>
              </w:rPr>
              <w:t xml:space="preserve">pdate the </w:t>
            </w:r>
            <w:r w:rsidRPr="009150BE">
              <w:rPr>
                <w:i/>
                <w:iCs/>
                <w:szCs w:val="18"/>
              </w:rPr>
              <w:t>Environment Plan Content Requirements</w:t>
            </w:r>
            <w:r w:rsidRPr="00BE23B8">
              <w:rPr>
                <w:szCs w:val="18"/>
              </w:rPr>
              <w:t xml:space="preserve"> </w:t>
            </w:r>
            <w:r w:rsidRPr="006D6552">
              <w:rPr>
                <w:szCs w:val="18"/>
              </w:rPr>
              <w:t>N-04750-GN1344 (A339814)</w:t>
            </w:r>
            <w:r w:rsidRPr="00BE23B8">
              <w:rPr>
                <w:szCs w:val="18"/>
              </w:rPr>
              <w:t xml:space="preserve"> to reflect additional information on defining acceptable levels as currently provided in the </w:t>
            </w:r>
            <w:r w:rsidRPr="009150BE">
              <w:rPr>
                <w:i/>
                <w:iCs/>
                <w:szCs w:val="18"/>
              </w:rPr>
              <w:t>Offshore Project Proposal Content Requirements Guidance Note</w:t>
            </w:r>
            <w:r w:rsidRPr="00BE23B8">
              <w:rPr>
                <w:szCs w:val="18"/>
              </w:rPr>
              <w:t xml:space="preserve"> N-04790-GN1663 (A473026)</w:t>
            </w:r>
          </w:p>
          <w:p w14:paraId="3362723B" w14:textId="77777777" w:rsidR="00D10897" w:rsidRDefault="00D10897" w:rsidP="00144BA2">
            <w:pPr>
              <w:pStyle w:val="BodyBullet1"/>
              <w:ind w:left="368"/>
              <w:rPr>
                <w:szCs w:val="18"/>
              </w:rPr>
            </w:pPr>
            <w:r>
              <w:rPr>
                <w:szCs w:val="18"/>
              </w:rPr>
              <w:t>NOPSEMA should c</w:t>
            </w:r>
            <w:r w:rsidRPr="00BE23B8">
              <w:rPr>
                <w:szCs w:val="18"/>
              </w:rPr>
              <w:t>onsider further transparency in</w:t>
            </w:r>
            <w:r>
              <w:rPr>
                <w:szCs w:val="18"/>
              </w:rPr>
              <w:t xml:space="preserve"> the</w:t>
            </w:r>
            <w:r w:rsidRPr="00BE23B8">
              <w:rPr>
                <w:szCs w:val="18"/>
              </w:rPr>
              <w:t xml:space="preserve"> assessment process, including publication of assessment timeline and progress (e.g. the issue of Response to Request for Further Written Information)</w:t>
            </w:r>
          </w:p>
          <w:p w14:paraId="62C510EE" w14:textId="77777777" w:rsidR="00D10897" w:rsidRPr="009150BE" w:rsidRDefault="00D10897" w:rsidP="00144BA2">
            <w:pPr>
              <w:pStyle w:val="BodyBullet1"/>
              <w:ind w:left="368"/>
              <w:rPr>
                <w:szCs w:val="18"/>
              </w:rPr>
            </w:pPr>
            <w:r w:rsidRPr="009150BE">
              <w:rPr>
                <w:bCs/>
                <w:szCs w:val="18"/>
              </w:rPr>
              <w:t>DAWE should consider options to make the process of identifying protected matters and related plans for management more efficient.</w:t>
            </w:r>
          </w:p>
        </w:tc>
      </w:tr>
      <w:tr w:rsidR="00D10897" w:rsidRPr="00BF2348" w14:paraId="56518BB8" w14:textId="77777777" w:rsidTr="00144BA2">
        <w:tc>
          <w:tcPr>
            <w:tcW w:w="503" w:type="pct"/>
            <w:tcBorders>
              <w:top w:val="single" w:sz="4" w:space="0" w:color="BFBFBF" w:themeColor="background1" w:themeShade="BF"/>
              <w:bottom w:val="single" w:sz="4" w:space="0" w:color="BFBFBF" w:themeColor="background1" w:themeShade="BF"/>
            </w:tcBorders>
          </w:tcPr>
          <w:p w14:paraId="2CFE8FED" w14:textId="77777777" w:rsidR="00D10897" w:rsidRPr="00BE23B8" w:rsidRDefault="00D10897" w:rsidP="00144BA2">
            <w:pPr>
              <w:pStyle w:val="BodyCopyNEW"/>
              <w:rPr>
                <w:szCs w:val="18"/>
                <w:lang w:val="en-GB"/>
              </w:rPr>
            </w:pPr>
            <w:r w:rsidRPr="00BE23B8">
              <w:rPr>
                <w:szCs w:val="18"/>
                <w:lang w:val="en-GB"/>
              </w:rPr>
              <w:lastRenderedPageBreak/>
              <w:t>EPBC-R-</w:t>
            </w:r>
            <w:r>
              <w:rPr>
                <w:szCs w:val="18"/>
                <w:lang w:val="en-GB"/>
              </w:rPr>
              <w:t>4</w:t>
            </w:r>
          </w:p>
        </w:tc>
        <w:tc>
          <w:tcPr>
            <w:tcW w:w="4497" w:type="pct"/>
            <w:tcBorders>
              <w:top w:val="single" w:sz="4" w:space="0" w:color="BFBFBF" w:themeColor="background1" w:themeShade="BF"/>
              <w:bottom w:val="single" w:sz="4" w:space="0" w:color="BFBFBF" w:themeColor="background1" w:themeShade="BF"/>
            </w:tcBorders>
          </w:tcPr>
          <w:p w14:paraId="3CE437FC" w14:textId="51C8F4FF" w:rsidR="00D10897" w:rsidRPr="00BE23B8" w:rsidRDefault="00D10897" w:rsidP="00144BA2">
            <w:pPr>
              <w:pStyle w:val="BodyCopyNEW"/>
              <w:rPr>
                <w:szCs w:val="18"/>
                <w:lang w:val="en-GB"/>
              </w:rPr>
            </w:pPr>
            <w:r w:rsidRPr="00BE23B8">
              <w:rPr>
                <w:szCs w:val="18"/>
                <w:lang w:val="en-GB"/>
              </w:rPr>
              <w:t>NOPSEMA</w:t>
            </w:r>
            <w:r>
              <w:rPr>
                <w:szCs w:val="18"/>
                <w:lang w:val="en-GB"/>
              </w:rPr>
              <w:t>,</w:t>
            </w:r>
            <w:r w:rsidRPr="00BE23B8">
              <w:rPr>
                <w:szCs w:val="18"/>
                <w:lang w:val="en-GB"/>
              </w:rPr>
              <w:t xml:space="preserve"> in consultation with DAWE</w:t>
            </w:r>
            <w:r>
              <w:rPr>
                <w:szCs w:val="18"/>
                <w:lang w:val="en-GB"/>
              </w:rPr>
              <w:t>,</w:t>
            </w:r>
            <w:r w:rsidRPr="00BE23B8">
              <w:rPr>
                <w:szCs w:val="18"/>
                <w:lang w:val="en-GB"/>
              </w:rPr>
              <w:t xml:space="preserve"> should agree acceptable levels on particular sensitive receptors, or within a significant location (such as a </w:t>
            </w:r>
            <w:r>
              <w:rPr>
                <w:szCs w:val="18"/>
                <w:lang w:val="en-GB"/>
              </w:rPr>
              <w:t>Biologically Important Area (</w:t>
            </w:r>
            <w:r w:rsidRPr="00F962D1">
              <w:rPr>
                <w:b/>
                <w:bCs/>
                <w:szCs w:val="18"/>
                <w:lang w:val="en-GB"/>
              </w:rPr>
              <w:t>BIA</w:t>
            </w:r>
            <w:r w:rsidRPr="00BE23B8">
              <w:rPr>
                <w:szCs w:val="18"/>
                <w:lang w:val="en-GB"/>
              </w:rPr>
              <w:t>)</w:t>
            </w:r>
            <w:r w:rsidR="00FB6CCA">
              <w:rPr>
                <w:szCs w:val="18"/>
                <w:lang w:val="en-GB"/>
              </w:rPr>
              <w:t>)</w:t>
            </w:r>
            <w:r w:rsidRPr="00BE23B8">
              <w:rPr>
                <w:szCs w:val="18"/>
                <w:lang w:val="en-GB"/>
              </w:rPr>
              <w:t>. This could support an outcome to improve cumulative impact assessments on key species at certain locations.</w:t>
            </w:r>
          </w:p>
          <w:p w14:paraId="1A44A3ED" w14:textId="77777777" w:rsidR="00D10897" w:rsidRPr="00BE23B8" w:rsidRDefault="00D10897" w:rsidP="00144BA2">
            <w:pPr>
              <w:pStyle w:val="BodyBullet1"/>
              <w:numPr>
                <w:ilvl w:val="0"/>
                <w:numId w:val="0"/>
              </w:numPr>
              <w:rPr>
                <w:szCs w:val="18"/>
              </w:rPr>
            </w:pPr>
            <w:r w:rsidRPr="00BE23B8">
              <w:rPr>
                <w:szCs w:val="18"/>
                <w:lang w:val="en-GB"/>
              </w:rPr>
              <w:t xml:space="preserve">This recommendation should be read in conjunction with </w:t>
            </w:r>
            <w:r w:rsidRPr="00153E2D">
              <w:rPr>
                <w:b/>
                <w:bCs/>
                <w:szCs w:val="18"/>
                <w:lang w:val="en-GB"/>
              </w:rPr>
              <w:t>recommendation EPBC-R-2</w:t>
            </w:r>
            <w:r w:rsidRPr="00153E2D">
              <w:rPr>
                <w:szCs w:val="18"/>
                <w:lang w:val="en-GB"/>
              </w:rPr>
              <w:t>.</w:t>
            </w:r>
          </w:p>
        </w:tc>
      </w:tr>
      <w:tr w:rsidR="00703852" w:rsidRPr="00BF2348" w14:paraId="2E461B59" w14:textId="77777777" w:rsidTr="00144BA2">
        <w:tc>
          <w:tcPr>
            <w:tcW w:w="503" w:type="pct"/>
            <w:tcBorders>
              <w:top w:val="single" w:sz="4" w:space="0" w:color="BFBFBF" w:themeColor="background1" w:themeShade="BF"/>
              <w:bottom w:val="single" w:sz="4" w:space="0" w:color="BFBFBF" w:themeColor="background1" w:themeShade="BF"/>
            </w:tcBorders>
          </w:tcPr>
          <w:p w14:paraId="1169FCC5" w14:textId="77777777" w:rsidR="00703852" w:rsidRPr="00BE23B8" w:rsidRDefault="00703852" w:rsidP="00703852">
            <w:pPr>
              <w:pStyle w:val="BodyCopyNEW"/>
              <w:rPr>
                <w:szCs w:val="18"/>
              </w:rPr>
            </w:pPr>
            <w:r w:rsidRPr="00BE23B8">
              <w:rPr>
                <w:szCs w:val="18"/>
              </w:rPr>
              <w:t>EPBC-R-</w:t>
            </w:r>
            <w:r>
              <w:rPr>
                <w:szCs w:val="18"/>
              </w:rPr>
              <w:t>5</w:t>
            </w:r>
          </w:p>
        </w:tc>
        <w:tc>
          <w:tcPr>
            <w:tcW w:w="4497" w:type="pct"/>
            <w:tcBorders>
              <w:top w:val="single" w:sz="4" w:space="0" w:color="BFBFBF" w:themeColor="background1" w:themeShade="BF"/>
              <w:bottom w:val="single" w:sz="4" w:space="0" w:color="BFBFBF" w:themeColor="background1" w:themeShade="BF"/>
            </w:tcBorders>
          </w:tcPr>
          <w:p w14:paraId="2A12CCC3" w14:textId="5DA2E322" w:rsidR="00703852" w:rsidRPr="00BE23B8" w:rsidRDefault="00703852" w:rsidP="00703852">
            <w:pPr>
              <w:pStyle w:val="BodyCopyNEW"/>
              <w:rPr>
                <w:szCs w:val="18"/>
                <w:lang w:val="en-GB"/>
              </w:rPr>
            </w:pPr>
            <w:r w:rsidRPr="00F346F5">
              <w:rPr>
                <w:color w:val="000000"/>
                <w:lang w:val="en-GB"/>
              </w:rPr>
              <w:t>DAWE, in consultation with NOPSEMA, should focus on ensuring Recovery Plans that are relevant to the offshore petroleum industry are unambiguous, contain contemporary information and fit for purpose. Further, DAWE, in consultation with NOPSEMA should upgrade interactive IT tools such as the National Conservation Values Atlas</w:t>
            </w:r>
            <w:r>
              <w:rPr>
                <w:color w:val="000000"/>
                <w:lang w:val="en-GB"/>
              </w:rPr>
              <w:t xml:space="preserve"> (</w:t>
            </w:r>
            <w:r w:rsidRPr="007F1005">
              <w:rPr>
                <w:b/>
                <w:bCs/>
                <w:color w:val="000000"/>
                <w:lang w:val="en-GB"/>
              </w:rPr>
              <w:t>NCVA</w:t>
            </w:r>
            <w:r>
              <w:rPr>
                <w:color w:val="000000"/>
                <w:lang w:val="en-GB"/>
              </w:rPr>
              <w:t>)</w:t>
            </w:r>
            <w:r w:rsidRPr="00F346F5">
              <w:rPr>
                <w:color w:val="000000"/>
                <w:lang w:val="en-GB"/>
              </w:rPr>
              <w:t xml:space="preserve"> (or a subsequent platform with relevant data) to be consistent with marine threatened species Recovery Plans. Information in those tools should be updated close to real time when the Recovery Plans are made or amended.</w:t>
            </w:r>
          </w:p>
        </w:tc>
      </w:tr>
    </w:tbl>
    <w:p w14:paraId="536840A9" w14:textId="08C3818B" w:rsidR="00C01877" w:rsidRDefault="00474781" w:rsidP="00C01877">
      <w:pPr>
        <w:pStyle w:val="Heading2"/>
      </w:pPr>
      <w:r>
        <w:t xml:space="preserve">Assessment </w:t>
      </w:r>
      <w:r w:rsidR="00B37475">
        <w:t>a</w:t>
      </w:r>
      <w:r>
        <w:t xml:space="preserve">pproach and </w:t>
      </w:r>
      <w:r w:rsidR="00B37475">
        <w:t>m</w:t>
      </w:r>
      <w:r>
        <w:t>ethod</w:t>
      </w:r>
    </w:p>
    <w:p w14:paraId="1665260B" w14:textId="4DAF00E8" w:rsidR="00C27EB9" w:rsidRDefault="00C27EB9" w:rsidP="00C27EB9">
      <w:pPr>
        <w:pStyle w:val="Heading3"/>
      </w:pPr>
      <w:r>
        <w:t>Assessment</w:t>
      </w:r>
      <w:r w:rsidRPr="00C9238E">
        <w:t xml:space="preserve"> </w:t>
      </w:r>
      <w:r w:rsidR="00F53F40">
        <w:t>activities</w:t>
      </w:r>
    </w:p>
    <w:p w14:paraId="2E405068" w14:textId="747C3D9F" w:rsidR="00C27EB9" w:rsidRPr="00AD0365" w:rsidRDefault="00C27EB9" w:rsidP="00C27EB9">
      <w:pPr>
        <w:pStyle w:val="BodyCopyNEW"/>
        <w:rPr>
          <w:szCs w:val="18"/>
        </w:rPr>
      </w:pPr>
      <w:r w:rsidRPr="009150BE">
        <w:rPr>
          <w:szCs w:val="18"/>
        </w:rPr>
        <w:t xml:space="preserve">The </w:t>
      </w:r>
      <w:r>
        <w:rPr>
          <w:szCs w:val="18"/>
        </w:rPr>
        <w:t xml:space="preserve">2020 </w:t>
      </w:r>
      <w:r w:rsidRPr="009150BE">
        <w:rPr>
          <w:szCs w:val="18"/>
        </w:rPr>
        <w:t xml:space="preserve">Endorsed Program Assessment was undertaken in parallel </w:t>
      </w:r>
      <w:r>
        <w:rPr>
          <w:szCs w:val="18"/>
        </w:rPr>
        <w:t xml:space="preserve">with the activities specified </w:t>
      </w:r>
      <w:r w:rsidRPr="00507B57">
        <w:rPr>
          <w:szCs w:val="18"/>
        </w:rPr>
        <w:t xml:space="preserve">in </w:t>
      </w:r>
      <w:r w:rsidRPr="00507B57">
        <w:rPr>
          <w:b/>
          <w:bCs/>
          <w:szCs w:val="18"/>
        </w:rPr>
        <w:t xml:space="preserve">Section </w:t>
      </w:r>
      <w:r w:rsidR="00CF10C4">
        <w:rPr>
          <w:b/>
          <w:bCs/>
          <w:szCs w:val="18"/>
        </w:rPr>
        <w:fldChar w:fldCharType="begin"/>
      </w:r>
      <w:r w:rsidR="00CF10C4">
        <w:rPr>
          <w:b/>
          <w:szCs w:val="18"/>
        </w:rPr>
        <w:instrText xml:space="preserve"> REF _Ref55930463 \r \h </w:instrText>
      </w:r>
      <w:r w:rsidR="00CF10C4">
        <w:rPr>
          <w:b/>
          <w:bCs/>
          <w:szCs w:val="18"/>
        </w:rPr>
      </w:r>
      <w:r w:rsidR="00CF10C4">
        <w:rPr>
          <w:b/>
          <w:bCs/>
          <w:szCs w:val="18"/>
        </w:rPr>
        <w:fldChar w:fldCharType="separate"/>
      </w:r>
      <w:r w:rsidR="00E816B8">
        <w:rPr>
          <w:b/>
          <w:szCs w:val="18"/>
        </w:rPr>
        <w:t>3</w:t>
      </w:r>
      <w:r w:rsidR="00CF10C4">
        <w:rPr>
          <w:b/>
          <w:bCs/>
          <w:szCs w:val="18"/>
        </w:rPr>
        <w:fldChar w:fldCharType="end"/>
      </w:r>
      <w:r w:rsidRPr="009150BE">
        <w:rPr>
          <w:szCs w:val="18"/>
        </w:rPr>
        <w:t>.</w:t>
      </w:r>
      <w:r w:rsidRPr="00507B57">
        <w:rPr>
          <w:szCs w:val="18"/>
        </w:rPr>
        <w:t xml:space="preserve"> Specific</w:t>
      </w:r>
      <w:r w:rsidRPr="009150BE">
        <w:rPr>
          <w:szCs w:val="18"/>
        </w:rPr>
        <w:t xml:space="preserve"> to </w:t>
      </w:r>
      <w:r>
        <w:rPr>
          <w:szCs w:val="18"/>
        </w:rPr>
        <w:t>the 2020 Endorsed Program Assessment</w:t>
      </w:r>
      <w:r w:rsidRPr="009150BE">
        <w:rPr>
          <w:szCs w:val="18"/>
        </w:rPr>
        <w:t xml:space="preserve">, </w:t>
      </w:r>
      <w:r>
        <w:rPr>
          <w:szCs w:val="18"/>
        </w:rPr>
        <w:t xml:space="preserve">we </w:t>
      </w:r>
      <w:r w:rsidRPr="009150BE">
        <w:rPr>
          <w:szCs w:val="18"/>
        </w:rPr>
        <w:t>undertook the following activities:</w:t>
      </w:r>
    </w:p>
    <w:p w14:paraId="74595FD9" w14:textId="45CD2D80" w:rsidR="00C27EB9" w:rsidRPr="001D6639" w:rsidRDefault="00C27EB9" w:rsidP="000C3CE3">
      <w:pPr>
        <w:pStyle w:val="BodycopyNEW0"/>
        <w:numPr>
          <w:ilvl w:val="0"/>
          <w:numId w:val="23"/>
        </w:numPr>
        <w:ind w:left="378"/>
        <w:rPr>
          <w:szCs w:val="18"/>
        </w:rPr>
      </w:pPr>
      <w:r w:rsidRPr="00786FAF">
        <w:rPr>
          <w:szCs w:val="18"/>
        </w:rPr>
        <w:t xml:space="preserve">Interviews with key NOPSEMA personnel, including the CEO, Head of Division </w:t>
      </w:r>
      <w:r w:rsidR="00857FA5">
        <w:rPr>
          <w:szCs w:val="18"/>
        </w:rPr>
        <w:t>–</w:t>
      </w:r>
      <w:r w:rsidRPr="00786FAF">
        <w:rPr>
          <w:szCs w:val="18"/>
        </w:rPr>
        <w:t xml:space="preserve"> Safety &amp; Integrity, Head of Division – Environment, Head of Division – Regulatory Support, and General Counsel. Refer </w:t>
      </w:r>
      <w:r w:rsidRPr="001D6639">
        <w:rPr>
          <w:szCs w:val="18"/>
        </w:rPr>
        <w:t xml:space="preserve">to highlighted personnel in </w:t>
      </w:r>
      <w:r w:rsidR="003433CC">
        <w:rPr>
          <w:b/>
          <w:szCs w:val="18"/>
        </w:rPr>
        <w:t>Appendix B</w:t>
      </w:r>
      <w:r>
        <w:rPr>
          <w:b/>
          <w:szCs w:val="18"/>
        </w:rPr>
        <w:t xml:space="preserve"> </w:t>
      </w:r>
      <w:r w:rsidRPr="001D6639">
        <w:rPr>
          <w:szCs w:val="18"/>
        </w:rPr>
        <w:t>for NOPSEMA personnel interviewed</w:t>
      </w:r>
      <w:r w:rsidRPr="001D6639" w:rsidDel="00F54EE7">
        <w:rPr>
          <w:szCs w:val="18"/>
        </w:rPr>
        <w:t xml:space="preserve"> </w:t>
      </w:r>
      <w:r w:rsidRPr="001D6639">
        <w:rPr>
          <w:szCs w:val="18"/>
        </w:rPr>
        <w:t>for the Endorsed Program Assessment. This included detailed discussions with NOPSEMA personnel to understand how individual environment approvals are processed, and how strategic issues are considered and assessed</w:t>
      </w:r>
    </w:p>
    <w:p w14:paraId="23BEFF45" w14:textId="790F1BCC" w:rsidR="00C27EB9" w:rsidRPr="001D6639" w:rsidRDefault="00C27EB9" w:rsidP="000C3CE3">
      <w:pPr>
        <w:pStyle w:val="BodycopyNEW0"/>
        <w:numPr>
          <w:ilvl w:val="0"/>
          <w:numId w:val="23"/>
        </w:numPr>
        <w:ind w:left="378"/>
        <w:rPr>
          <w:szCs w:val="18"/>
        </w:rPr>
      </w:pPr>
      <w:r w:rsidRPr="001D6639">
        <w:rPr>
          <w:szCs w:val="18"/>
        </w:rPr>
        <w:t xml:space="preserve">A review </w:t>
      </w:r>
      <w:r w:rsidR="00C471A8">
        <w:rPr>
          <w:szCs w:val="18"/>
        </w:rPr>
        <w:t>of</w:t>
      </w:r>
      <w:r w:rsidRPr="001D6639">
        <w:rPr>
          <w:szCs w:val="18"/>
        </w:rPr>
        <w:t xml:space="preserve"> NOPSEMA’s progress in achieving the objective of the Endorsed Program under the EPBC Act of ensuring all offshore petroleum and greenhouse gas storage activities are carried out in a manner consistent with the Object of the OPGGS (Environment) Regulations</w:t>
      </w:r>
    </w:p>
    <w:p w14:paraId="7153C238" w14:textId="4DEF7F98" w:rsidR="00C27EB9" w:rsidRPr="001D6639" w:rsidRDefault="00C27EB9" w:rsidP="000C3CE3">
      <w:pPr>
        <w:pStyle w:val="BodycopyNEW0"/>
        <w:numPr>
          <w:ilvl w:val="0"/>
          <w:numId w:val="23"/>
        </w:numPr>
        <w:ind w:left="378"/>
      </w:pPr>
      <w:r w:rsidRPr="001D6639">
        <w:rPr>
          <w:szCs w:val="18"/>
        </w:rPr>
        <w:t xml:space="preserve">A review of the actions of both NOPSEMA and DAWE as required under the Administrative Arrangements and </w:t>
      </w:r>
      <w:r w:rsidR="00C471A8">
        <w:rPr>
          <w:szCs w:val="18"/>
        </w:rPr>
        <w:t>a determination as to</w:t>
      </w:r>
      <w:r w:rsidRPr="001D6639">
        <w:rPr>
          <w:szCs w:val="18"/>
        </w:rPr>
        <w:t xml:space="preserve"> whether all commitments are being met </w:t>
      </w:r>
      <w:r w:rsidR="00C471A8">
        <w:rPr>
          <w:szCs w:val="18"/>
        </w:rPr>
        <w:t>by NOPSEMA</w:t>
      </w:r>
    </w:p>
    <w:p w14:paraId="354EDB7A" w14:textId="51B18E47" w:rsidR="00C27EB9" w:rsidRPr="001D6639" w:rsidRDefault="00C27EB9" w:rsidP="000C3CE3">
      <w:pPr>
        <w:pStyle w:val="BodycopyNEW0"/>
        <w:numPr>
          <w:ilvl w:val="0"/>
          <w:numId w:val="23"/>
        </w:numPr>
        <w:ind w:left="378"/>
        <w:rPr>
          <w:szCs w:val="18"/>
        </w:rPr>
      </w:pPr>
      <w:r w:rsidRPr="001D6639">
        <w:rPr>
          <w:szCs w:val="18"/>
        </w:rPr>
        <w:t xml:space="preserve">Consultation with a broad cross-section of industry stakeholders, including international regulators, titleholders, and conservation groups. Our approach to consultation included a detailed industry survey and structured interviews examining perceptions of NOPSEMA’s environment regulation processes. </w:t>
      </w:r>
      <w:r w:rsidRPr="00786FAF">
        <w:rPr>
          <w:szCs w:val="18"/>
        </w:rPr>
        <w:t xml:space="preserve">Please refer to </w:t>
      </w:r>
      <w:r w:rsidR="00641EF5">
        <w:rPr>
          <w:b/>
          <w:szCs w:val="18"/>
        </w:rPr>
        <w:t>Appendix C</w:t>
      </w:r>
      <w:r>
        <w:rPr>
          <w:b/>
          <w:szCs w:val="18"/>
        </w:rPr>
        <w:t xml:space="preserve"> </w:t>
      </w:r>
      <w:r w:rsidRPr="001D6639">
        <w:rPr>
          <w:szCs w:val="18"/>
        </w:rPr>
        <w:t>for a listing of industry stakeholders engaged through our consultation process and the consultation methods applied</w:t>
      </w:r>
    </w:p>
    <w:p w14:paraId="2D4697FC" w14:textId="7E63E2C8" w:rsidR="00C27EB9" w:rsidRPr="001D6639" w:rsidRDefault="00C27EB9" w:rsidP="000C3CE3">
      <w:pPr>
        <w:pStyle w:val="BodycopyNEW0"/>
        <w:numPr>
          <w:ilvl w:val="0"/>
          <w:numId w:val="23"/>
        </w:numPr>
        <w:ind w:left="378"/>
        <w:rPr>
          <w:szCs w:val="18"/>
        </w:rPr>
      </w:pPr>
      <w:r w:rsidRPr="001D6639">
        <w:rPr>
          <w:szCs w:val="18"/>
        </w:rPr>
        <w:t>Examination of NOPSEMA-provided documentation, including policies, procedures, corporate plans, performance reports and data, and other materials. Refer to highlighted items in</w:t>
      </w:r>
      <w:r w:rsidRPr="001D6639">
        <w:rPr>
          <w:b/>
          <w:bCs/>
          <w:szCs w:val="18"/>
        </w:rPr>
        <w:t xml:space="preserve"> </w:t>
      </w:r>
      <w:r w:rsidR="00641EF5">
        <w:rPr>
          <w:b/>
          <w:szCs w:val="18"/>
        </w:rPr>
        <w:t>Appendix D</w:t>
      </w:r>
      <w:r>
        <w:rPr>
          <w:b/>
          <w:szCs w:val="18"/>
        </w:rPr>
        <w:t xml:space="preserve"> </w:t>
      </w:r>
      <w:r w:rsidRPr="001D6639">
        <w:rPr>
          <w:szCs w:val="18"/>
        </w:rPr>
        <w:t>for a list of key materials examined</w:t>
      </w:r>
    </w:p>
    <w:p w14:paraId="08416F06" w14:textId="77777777" w:rsidR="00C27EB9" w:rsidRPr="00786FAF" w:rsidRDefault="00C27EB9" w:rsidP="000C3CE3">
      <w:pPr>
        <w:pStyle w:val="BodycopyNEW0"/>
        <w:numPr>
          <w:ilvl w:val="0"/>
          <w:numId w:val="23"/>
        </w:numPr>
        <w:ind w:left="378"/>
        <w:rPr>
          <w:szCs w:val="18"/>
        </w:rPr>
      </w:pPr>
      <w:r w:rsidRPr="00786FAF">
        <w:rPr>
          <w:szCs w:val="18"/>
        </w:rPr>
        <w:t xml:space="preserve">Detailed walkthrough sessions with NOPSEMA personnel to understand current processes and systems used to discharge its </w:t>
      </w:r>
      <w:r>
        <w:rPr>
          <w:szCs w:val="18"/>
        </w:rPr>
        <w:t xml:space="preserve">environment-related </w:t>
      </w:r>
      <w:r w:rsidRPr="00786FAF">
        <w:rPr>
          <w:szCs w:val="18"/>
        </w:rPr>
        <w:t>regulatory functions</w:t>
      </w:r>
    </w:p>
    <w:p w14:paraId="514CEFCD" w14:textId="77777777" w:rsidR="00C27EB9" w:rsidRPr="00786FAF" w:rsidRDefault="00C27EB9" w:rsidP="000C3CE3">
      <w:pPr>
        <w:pStyle w:val="BodycopyNEW0"/>
        <w:numPr>
          <w:ilvl w:val="0"/>
          <w:numId w:val="23"/>
        </w:numPr>
        <w:ind w:left="378"/>
        <w:rPr>
          <w:szCs w:val="18"/>
        </w:rPr>
      </w:pPr>
      <w:r w:rsidRPr="00786FAF">
        <w:rPr>
          <w:szCs w:val="18"/>
        </w:rPr>
        <w:t>Walkthrough</w:t>
      </w:r>
      <w:r>
        <w:rPr>
          <w:szCs w:val="18"/>
        </w:rPr>
        <w:t>s</w:t>
      </w:r>
      <w:r w:rsidRPr="00786FAF">
        <w:rPr>
          <w:szCs w:val="18"/>
        </w:rPr>
        <w:t xml:space="preserve"> of case studies with NOPSEMA personnel to test the process and outcomes of assessments made under the Endorsed Program</w:t>
      </w:r>
      <w:r>
        <w:rPr>
          <w:szCs w:val="18"/>
        </w:rPr>
        <w:t>. The selection of case studies and a high-level description of each are outlined below</w:t>
      </w:r>
    </w:p>
    <w:p w14:paraId="0F987546" w14:textId="0B5D9F74" w:rsidR="00C27EB9" w:rsidRPr="00786FAF" w:rsidRDefault="00C27EB9" w:rsidP="000C3CE3">
      <w:pPr>
        <w:pStyle w:val="BodycopyNEW0"/>
        <w:numPr>
          <w:ilvl w:val="0"/>
          <w:numId w:val="23"/>
        </w:numPr>
        <w:ind w:left="378"/>
        <w:rPr>
          <w:szCs w:val="18"/>
        </w:rPr>
      </w:pPr>
      <w:r w:rsidRPr="00786FAF">
        <w:rPr>
          <w:szCs w:val="18"/>
        </w:rPr>
        <w:t xml:space="preserve">Attendance at key meetings </w:t>
      </w:r>
      <w:r w:rsidR="00C471A8">
        <w:rPr>
          <w:szCs w:val="18"/>
        </w:rPr>
        <w:t>and</w:t>
      </w:r>
      <w:r w:rsidRPr="00786FAF">
        <w:rPr>
          <w:szCs w:val="18"/>
        </w:rPr>
        <w:t xml:space="preserve"> sessions to understand how meetings and decisions are made in the context of </w:t>
      </w:r>
      <w:r>
        <w:rPr>
          <w:szCs w:val="18"/>
        </w:rPr>
        <w:t>NOPSEMA’s</w:t>
      </w:r>
      <w:r w:rsidRPr="00786FAF">
        <w:rPr>
          <w:szCs w:val="18"/>
        </w:rPr>
        <w:t xml:space="preserve"> regulatory activities, including attendance at the NOPSEMA Leadership Team (</w:t>
      </w:r>
      <w:r w:rsidRPr="00786FAF">
        <w:rPr>
          <w:b/>
          <w:bCs/>
          <w:szCs w:val="18"/>
        </w:rPr>
        <w:t>NLT</w:t>
      </w:r>
      <w:r w:rsidRPr="00786FAF">
        <w:rPr>
          <w:szCs w:val="18"/>
        </w:rPr>
        <w:t>) meeting and the Compliance Committee meeting held in September 2020</w:t>
      </w:r>
    </w:p>
    <w:p w14:paraId="66D7C430" w14:textId="77777777" w:rsidR="00C27EB9" w:rsidRDefault="00C27EB9" w:rsidP="000C3CE3">
      <w:pPr>
        <w:pStyle w:val="BodycopyNEW0"/>
        <w:numPr>
          <w:ilvl w:val="0"/>
          <w:numId w:val="23"/>
        </w:numPr>
        <w:ind w:left="378"/>
        <w:rPr>
          <w:szCs w:val="18"/>
        </w:rPr>
      </w:pPr>
      <w:r w:rsidRPr="00786FAF">
        <w:rPr>
          <w:szCs w:val="18"/>
        </w:rPr>
        <w:t>Independent research and analysis of other jurisdictional approaches to regulation of offshore environmental matters.</w:t>
      </w:r>
    </w:p>
    <w:p w14:paraId="6EEAC561" w14:textId="77777777" w:rsidR="00853CCE" w:rsidRDefault="00853CCE" w:rsidP="00F53F40">
      <w:pPr>
        <w:pStyle w:val="Heading3"/>
      </w:pPr>
      <w:r>
        <w:lastRenderedPageBreak/>
        <w:t>Assessment framework</w:t>
      </w:r>
    </w:p>
    <w:p w14:paraId="3FA30742" w14:textId="2FDBDF2C" w:rsidR="00853CCE" w:rsidRDefault="00853CCE" w:rsidP="00853CCE">
      <w:pPr>
        <w:rPr>
          <w:rFonts w:ascii="Calibri Light" w:hAnsi="Calibri Light" w:cs="Calibri Light"/>
        </w:rPr>
      </w:pPr>
      <w:r>
        <w:rPr>
          <w:rFonts w:ascii="Calibri Light" w:hAnsi="Calibri Light" w:cs="Calibri Light"/>
        </w:rPr>
        <w:t xml:space="preserve">To guide our assessment activities, the review team applied a structured and holistic assessment </w:t>
      </w:r>
      <w:r w:rsidRPr="00362316">
        <w:rPr>
          <w:rFonts w:ascii="Calibri Light" w:hAnsi="Calibri Light" w:cs="Calibri Light"/>
        </w:rPr>
        <w:t xml:space="preserve">framework (see </w:t>
      </w:r>
      <w:r w:rsidRPr="00362316">
        <w:rPr>
          <w:rFonts w:ascii="Calibri Light" w:hAnsi="Calibri Light" w:cs="Calibri Light"/>
          <w:b/>
          <w:bCs/>
        </w:rPr>
        <w:fldChar w:fldCharType="begin"/>
      </w:r>
      <w:r w:rsidRPr="00362316">
        <w:rPr>
          <w:rFonts w:ascii="Calibri Light" w:hAnsi="Calibri Light" w:cs="Calibri Light"/>
          <w:b/>
          <w:bCs/>
        </w:rPr>
        <w:instrText xml:space="preserve"> REF _Ref63104497 \h  \* MERGEFORMAT </w:instrText>
      </w:r>
      <w:r w:rsidRPr="00362316">
        <w:rPr>
          <w:rFonts w:ascii="Calibri Light" w:hAnsi="Calibri Light" w:cs="Calibri Light"/>
          <w:b/>
          <w:bCs/>
        </w:rPr>
      </w:r>
      <w:r w:rsidRPr="00362316">
        <w:rPr>
          <w:rFonts w:ascii="Calibri Light" w:hAnsi="Calibri Light" w:cs="Calibri Light"/>
          <w:b/>
          <w:bCs/>
        </w:rPr>
        <w:fldChar w:fldCharType="separate"/>
      </w:r>
      <w:r w:rsidR="00E816B8" w:rsidRPr="00E816B8">
        <w:rPr>
          <w:rFonts w:ascii="Calibri Light" w:hAnsi="Calibri Light" w:cs="Calibri Light"/>
          <w:b/>
          <w:bCs/>
        </w:rPr>
        <w:t xml:space="preserve">Table </w:t>
      </w:r>
      <w:r w:rsidR="00E816B8" w:rsidRPr="00E816B8">
        <w:rPr>
          <w:rFonts w:ascii="Calibri Light" w:hAnsi="Calibri Light" w:cs="Calibri Light"/>
          <w:b/>
          <w:bCs/>
          <w:noProof/>
        </w:rPr>
        <w:t>11.2</w:t>
      </w:r>
      <w:r w:rsidRPr="00362316">
        <w:rPr>
          <w:rFonts w:ascii="Calibri Light" w:hAnsi="Calibri Light" w:cs="Calibri Light"/>
          <w:b/>
          <w:bCs/>
        </w:rPr>
        <w:fldChar w:fldCharType="end"/>
      </w:r>
      <w:r>
        <w:rPr>
          <w:rFonts w:ascii="Calibri Light" w:hAnsi="Calibri Light" w:cs="Calibri Light"/>
        </w:rPr>
        <w:t>). The framework sets out the dimensions of our assessment, the expected standards of assessment, and assessment activities applied to assess the standards. Assessment dimensions one to five are covered by the Endorsed Program Assessment. Assessment dimensions six to eight are examined in other sections of the report given their applicability to NOPSEMA’s broader functions under the OPPGS Act (i.e. Well Integrity and Occupational Health and Safety functions).</w:t>
      </w:r>
      <w:r w:rsidRPr="000547FE">
        <w:rPr>
          <w:rFonts w:ascii="Calibri Light" w:hAnsi="Calibri Light" w:cs="Calibri Light"/>
        </w:rPr>
        <w:t xml:space="preserve"> </w:t>
      </w:r>
    </w:p>
    <w:p w14:paraId="6C5A53E7" w14:textId="1879202B" w:rsidR="00853CCE" w:rsidRDefault="00853CCE" w:rsidP="00853CCE">
      <w:r>
        <w:rPr>
          <w:rFonts w:ascii="Calibri Light" w:hAnsi="Calibri Light" w:cs="Calibri Light"/>
        </w:rPr>
        <w:t xml:space="preserve">The assessment framework sets out the structure for the detailed findings, with each subsection </w:t>
      </w:r>
      <w:r w:rsidR="003645B6">
        <w:rPr>
          <w:rFonts w:ascii="Calibri Light" w:hAnsi="Calibri Light" w:cs="Calibri Light"/>
        </w:rPr>
        <w:t>of</w:t>
      </w:r>
      <w:r>
        <w:rPr>
          <w:rFonts w:ascii="Calibri Light" w:hAnsi="Calibri Light" w:cs="Calibri Light"/>
        </w:rPr>
        <w:t xml:space="preserve"> </w:t>
      </w:r>
      <w:r w:rsidR="002D496B" w:rsidRPr="002D496B">
        <w:rPr>
          <w:rFonts w:ascii="Calibri Light" w:hAnsi="Calibri Light" w:cs="Calibri Light"/>
          <w:b/>
          <w:bCs/>
        </w:rPr>
        <w:t>S</w:t>
      </w:r>
      <w:r w:rsidRPr="002D496B">
        <w:rPr>
          <w:rFonts w:ascii="Calibri Light" w:hAnsi="Calibri Light" w:cs="Calibri Light"/>
          <w:b/>
          <w:bCs/>
        </w:rPr>
        <w:t xml:space="preserve">ection </w:t>
      </w:r>
      <w:r w:rsidR="00C72F23">
        <w:rPr>
          <w:rFonts w:ascii="Calibri Light" w:hAnsi="Calibri Light" w:cs="Calibri Light"/>
          <w:b/>
          <w:bCs/>
        </w:rPr>
        <w:fldChar w:fldCharType="begin"/>
      </w:r>
      <w:r w:rsidR="00C72F23">
        <w:rPr>
          <w:rFonts w:ascii="Calibri Light" w:hAnsi="Calibri Light" w:cs="Calibri Light"/>
          <w:b/>
          <w:bCs/>
        </w:rPr>
        <w:instrText xml:space="preserve"> REF _Ref63977136 \r \h </w:instrText>
      </w:r>
      <w:r w:rsidR="00C72F23">
        <w:rPr>
          <w:rFonts w:ascii="Calibri Light" w:hAnsi="Calibri Light" w:cs="Calibri Light"/>
          <w:b/>
          <w:bCs/>
        </w:rPr>
      </w:r>
      <w:r w:rsidR="00C72F23">
        <w:rPr>
          <w:rFonts w:ascii="Calibri Light" w:hAnsi="Calibri Light" w:cs="Calibri Light"/>
          <w:b/>
          <w:bCs/>
        </w:rPr>
        <w:fldChar w:fldCharType="separate"/>
      </w:r>
      <w:r w:rsidR="00E816B8">
        <w:rPr>
          <w:rFonts w:ascii="Calibri Light" w:hAnsi="Calibri Light" w:cs="Calibri Light"/>
          <w:b/>
          <w:bCs/>
        </w:rPr>
        <w:t>11.4</w:t>
      </w:r>
      <w:r w:rsidR="00C72F23">
        <w:rPr>
          <w:rFonts w:ascii="Calibri Light" w:hAnsi="Calibri Light" w:cs="Calibri Light"/>
          <w:b/>
          <w:bCs/>
        </w:rPr>
        <w:fldChar w:fldCharType="end"/>
      </w:r>
      <w:r w:rsidR="002D496B">
        <w:rPr>
          <w:rFonts w:ascii="Calibri Light" w:hAnsi="Calibri Light" w:cs="Calibri Light"/>
        </w:rPr>
        <w:t xml:space="preserve"> </w:t>
      </w:r>
      <w:r>
        <w:rPr>
          <w:rFonts w:ascii="Calibri Light" w:hAnsi="Calibri Light" w:cs="Calibri Light"/>
        </w:rPr>
        <w:t>corresponding to an assessment dimension.</w:t>
      </w:r>
    </w:p>
    <w:p w14:paraId="6051B875" w14:textId="1C065826" w:rsidR="00853CCE" w:rsidRDefault="00853CCE" w:rsidP="00853CCE">
      <w:pPr>
        <w:rPr>
          <w:rFonts w:ascii="Calibri Light" w:hAnsi="Calibri Light" w:cs="Calibri Light"/>
        </w:rPr>
      </w:pPr>
      <w:r>
        <w:rPr>
          <w:rFonts w:ascii="Calibri Light" w:hAnsi="Calibri Light" w:cs="Calibri Light"/>
        </w:rPr>
        <w:t>In evaluating each assessment dimension, we have examined both the historic performance and actions of NOPSEMA across the assessment period as well as applying a ‘future focused’ lens to identifying instances where NOPSEMA’s effectiveness could be improved moving forward.</w:t>
      </w:r>
    </w:p>
    <w:p w14:paraId="5274C59A" w14:textId="6021D94F" w:rsidR="007C15D8" w:rsidRDefault="007C15D8" w:rsidP="007C15D8">
      <w:pPr>
        <w:pStyle w:val="BodyCopyNEW"/>
        <w:rPr>
          <w:szCs w:val="18"/>
        </w:rPr>
      </w:pPr>
    </w:p>
    <w:p w14:paraId="64CD8C1F" w14:textId="77777777" w:rsidR="007C15D8" w:rsidRDefault="007C15D8" w:rsidP="007C15D8">
      <w:pPr>
        <w:spacing w:after="0" w:line="264" w:lineRule="auto"/>
        <w:rPr>
          <w:rFonts w:ascii="Calibri Light" w:hAnsi="Calibri Light" w:cs="Calibri Light"/>
        </w:rPr>
        <w:sectPr w:rsidR="007C15D8">
          <w:pgSz w:w="11906" w:h="16838"/>
          <w:pgMar w:top="1985" w:right="1021" w:bottom="1134" w:left="1021" w:header="680" w:footer="425" w:gutter="0"/>
          <w:cols w:space="720"/>
        </w:sectPr>
      </w:pPr>
    </w:p>
    <w:p w14:paraId="74C77411" w14:textId="4C793536" w:rsidR="004F15D4" w:rsidRPr="0052564F" w:rsidRDefault="004F15D4" w:rsidP="004F15D4">
      <w:pPr>
        <w:pStyle w:val="Caption"/>
      </w:pPr>
      <w:bookmarkStart w:id="186" w:name="_Ref63104497"/>
      <w:r>
        <w:lastRenderedPageBreak/>
        <w:t xml:space="preserve">Table </w:t>
      </w:r>
      <w:r w:rsidR="00624D4F">
        <w:fldChar w:fldCharType="begin"/>
      </w:r>
      <w:r w:rsidR="00624D4F">
        <w:instrText xml:space="preserve"> STYLEREF 1 \s </w:instrText>
      </w:r>
      <w:r w:rsidR="00624D4F">
        <w:fldChar w:fldCharType="separate"/>
      </w:r>
      <w:r w:rsidR="00E816B8">
        <w:rPr>
          <w:noProof/>
        </w:rPr>
        <w:t>11</w:t>
      </w:r>
      <w:r w:rsidR="00624D4F">
        <w:fldChar w:fldCharType="end"/>
      </w:r>
      <w:r w:rsidR="00624D4F">
        <w:t>.</w:t>
      </w:r>
      <w:r w:rsidR="00624D4F">
        <w:fldChar w:fldCharType="begin"/>
      </w:r>
      <w:r w:rsidR="00624D4F">
        <w:instrText xml:space="preserve"> SEQ Table \* ARABIC \s 1 </w:instrText>
      </w:r>
      <w:r w:rsidR="00624D4F">
        <w:fldChar w:fldCharType="separate"/>
      </w:r>
      <w:r w:rsidR="00E816B8">
        <w:rPr>
          <w:noProof/>
        </w:rPr>
        <w:t>2</w:t>
      </w:r>
      <w:r w:rsidR="00624D4F">
        <w:fldChar w:fldCharType="end"/>
      </w:r>
      <w:bookmarkEnd w:id="186"/>
      <w:r w:rsidRPr="00362316">
        <w:t>:</w:t>
      </w:r>
      <w:r w:rsidRPr="004239CA">
        <w:t xml:space="preserve"> Assessment framework</w:t>
      </w:r>
      <w:r w:rsidRPr="0052564F">
        <w:t xml:space="preserve"> for the Endorsed Program</w:t>
      </w:r>
    </w:p>
    <w:tbl>
      <w:tblPr>
        <w:tblW w:w="5000" w:type="pct"/>
        <w:tblCellMar>
          <w:left w:w="0" w:type="dxa"/>
          <w:right w:w="0" w:type="dxa"/>
        </w:tblCellMar>
        <w:tblLook w:val="04A0" w:firstRow="1" w:lastRow="0" w:firstColumn="1" w:lastColumn="0" w:noHBand="0" w:noVBand="1"/>
      </w:tblPr>
      <w:tblGrid>
        <w:gridCol w:w="425"/>
        <w:gridCol w:w="3828"/>
        <w:gridCol w:w="5669"/>
        <w:gridCol w:w="3797"/>
      </w:tblGrid>
      <w:tr w:rsidR="004F15D4" w:rsidRPr="004E64E3" w14:paraId="31705098" w14:textId="77777777" w:rsidTr="00144BA2">
        <w:trPr>
          <w:trHeight w:val="276"/>
          <w:tblHeader/>
        </w:trPr>
        <w:tc>
          <w:tcPr>
            <w:tcW w:w="1550" w:type="pct"/>
            <w:gridSpan w:val="2"/>
            <w:tcBorders>
              <w:top w:val="single" w:sz="8" w:space="0" w:color="007680"/>
              <w:left w:val="nil"/>
              <w:bottom w:val="single" w:sz="8" w:space="0" w:color="007680"/>
              <w:right w:val="nil"/>
            </w:tcBorders>
          </w:tcPr>
          <w:p w14:paraId="22BCB8FF" w14:textId="77777777" w:rsidR="004F15D4" w:rsidRPr="0052564F" w:rsidRDefault="004F15D4" w:rsidP="00144BA2">
            <w:pPr>
              <w:spacing w:after="0" w:line="240" w:lineRule="exact"/>
              <w:rPr>
                <w:rFonts w:ascii="Calibri Light" w:eastAsia="Times New Roman" w:hAnsi="Calibri Light" w:cs="Calibri Light"/>
                <w:sz w:val="36"/>
                <w:szCs w:val="36"/>
                <w:lang w:eastAsia="en-AU"/>
              </w:rPr>
            </w:pPr>
            <w:r w:rsidRPr="0052564F">
              <w:rPr>
                <w:rFonts w:ascii="Calibri Light" w:eastAsia="Verdana" w:hAnsi="Calibri Light" w:cs="Calibri Light"/>
                <w:b/>
                <w:bCs/>
                <w:color w:val="007680"/>
                <w:kern w:val="24"/>
                <w:sz w:val="20"/>
                <w:szCs w:val="20"/>
                <w:lang w:eastAsia="en-AU"/>
              </w:rPr>
              <w:t>Assessment dimension</w:t>
            </w:r>
          </w:p>
        </w:tc>
        <w:tc>
          <w:tcPr>
            <w:tcW w:w="2066" w:type="pct"/>
            <w:tcBorders>
              <w:top w:val="single" w:sz="8" w:space="0" w:color="007680"/>
              <w:left w:val="nil"/>
              <w:bottom w:val="single" w:sz="8" w:space="0" w:color="007680"/>
              <w:right w:val="nil"/>
            </w:tcBorders>
            <w:shd w:val="clear" w:color="auto" w:fill="auto"/>
            <w:tcMar>
              <w:top w:w="15" w:type="dxa"/>
              <w:left w:w="108" w:type="dxa"/>
              <w:bottom w:w="0" w:type="dxa"/>
              <w:right w:w="108" w:type="dxa"/>
            </w:tcMar>
            <w:hideMark/>
          </w:tcPr>
          <w:p w14:paraId="3D11DC30" w14:textId="77777777" w:rsidR="004F15D4" w:rsidRPr="0052564F" w:rsidRDefault="004F15D4" w:rsidP="00144BA2">
            <w:pPr>
              <w:spacing w:after="0" w:line="240" w:lineRule="exact"/>
              <w:rPr>
                <w:rFonts w:ascii="Calibri Light" w:eastAsia="Times New Roman" w:hAnsi="Calibri Light" w:cs="Calibri Light"/>
                <w:sz w:val="36"/>
                <w:szCs w:val="36"/>
                <w:lang w:eastAsia="en-AU"/>
              </w:rPr>
            </w:pPr>
            <w:r w:rsidRPr="0052564F">
              <w:rPr>
                <w:rFonts w:ascii="Calibri Light" w:eastAsia="Verdana" w:hAnsi="Calibri Light" w:cs="Calibri Light"/>
                <w:b/>
                <w:bCs/>
                <w:color w:val="007680"/>
                <w:kern w:val="24"/>
                <w:sz w:val="20"/>
                <w:szCs w:val="20"/>
                <w:lang w:eastAsia="en-AU"/>
              </w:rPr>
              <w:t>The expected standard</w:t>
            </w:r>
            <w:r>
              <w:rPr>
                <w:rFonts w:ascii="Calibri Light" w:eastAsia="Verdana" w:hAnsi="Calibri Light" w:cs="Calibri Light"/>
                <w:b/>
                <w:bCs/>
                <w:color w:val="007680"/>
                <w:kern w:val="24"/>
                <w:sz w:val="20"/>
                <w:szCs w:val="20"/>
                <w:lang w:eastAsia="en-AU"/>
              </w:rPr>
              <w:t>(s)</w:t>
            </w:r>
          </w:p>
        </w:tc>
        <w:tc>
          <w:tcPr>
            <w:tcW w:w="1383" w:type="pct"/>
            <w:tcBorders>
              <w:top w:val="single" w:sz="8" w:space="0" w:color="007680"/>
              <w:left w:val="nil"/>
              <w:bottom w:val="single" w:sz="8" w:space="0" w:color="007680"/>
              <w:right w:val="nil"/>
            </w:tcBorders>
            <w:shd w:val="clear" w:color="auto" w:fill="auto"/>
            <w:tcMar>
              <w:top w:w="15" w:type="dxa"/>
              <w:left w:w="108" w:type="dxa"/>
              <w:bottom w:w="0" w:type="dxa"/>
              <w:right w:w="108" w:type="dxa"/>
            </w:tcMar>
            <w:hideMark/>
          </w:tcPr>
          <w:p w14:paraId="7138F733" w14:textId="77777777" w:rsidR="004F15D4" w:rsidRPr="0052564F" w:rsidRDefault="004F15D4" w:rsidP="00144BA2">
            <w:pPr>
              <w:spacing w:after="0" w:line="240" w:lineRule="exact"/>
              <w:rPr>
                <w:rFonts w:ascii="Calibri Light" w:eastAsia="Times New Roman" w:hAnsi="Calibri Light" w:cs="Calibri Light"/>
                <w:sz w:val="36"/>
                <w:szCs w:val="36"/>
                <w:lang w:eastAsia="en-AU"/>
              </w:rPr>
            </w:pPr>
            <w:r w:rsidRPr="0052564F">
              <w:rPr>
                <w:rFonts w:ascii="Calibri Light" w:eastAsia="Verdana" w:hAnsi="Calibri Light" w:cs="Calibri Light"/>
                <w:b/>
                <w:bCs/>
                <w:color w:val="007680"/>
                <w:kern w:val="24"/>
                <w:sz w:val="20"/>
                <w:szCs w:val="20"/>
                <w:lang w:eastAsia="en-AU"/>
              </w:rPr>
              <w:t>How the standard</w:t>
            </w:r>
            <w:r>
              <w:rPr>
                <w:rFonts w:ascii="Calibri Light" w:eastAsia="Verdana" w:hAnsi="Calibri Light" w:cs="Calibri Light"/>
                <w:b/>
                <w:bCs/>
                <w:color w:val="007680"/>
                <w:kern w:val="24"/>
                <w:sz w:val="20"/>
                <w:szCs w:val="20"/>
                <w:lang w:eastAsia="en-AU"/>
              </w:rPr>
              <w:t>(</w:t>
            </w:r>
            <w:r w:rsidRPr="0052564F">
              <w:rPr>
                <w:rFonts w:ascii="Calibri Light" w:eastAsia="Verdana" w:hAnsi="Calibri Light" w:cs="Calibri Light"/>
                <w:b/>
                <w:bCs/>
                <w:color w:val="007680"/>
                <w:kern w:val="24"/>
                <w:sz w:val="20"/>
                <w:szCs w:val="20"/>
                <w:lang w:eastAsia="en-AU"/>
              </w:rPr>
              <w:t>s</w:t>
            </w:r>
            <w:r>
              <w:rPr>
                <w:rFonts w:ascii="Calibri Light" w:eastAsia="Verdana" w:hAnsi="Calibri Light" w:cs="Calibri Light"/>
                <w:b/>
                <w:bCs/>
                <w:color w:val="007680"/>
                <w:kern w:val="24"/>
                <w:sz w:val="20"/>
                <w:szCs w:val="20"/>
                <w:lang w:eastAsia="en-AU"/>
              </w:rPr>
              <w:t>)</w:t>
            </w:r>
            <w:r w:rsidRPr="0052564F">
              <w:rPr>
                <w:rFonts w:ascii="Calibri Light" w:eastAsia="Verdana" w:hAnsi="Calibri Light" w:cs="Calibri Light"/>
                <w:b/>
                <w:bCs/>
                <w:color w:val="007680"/>
                <w:kern w:val="24"/>
                <w:sz w:val="20"/>
                <w:szCs w:val="20"/>
                <w:lang w:eastAsia="en-AU"/>
              </w:rPr>
              <w:t xml:space="preserve"> were assessed</w:t>
            </w:r>
          </w:p>
        </w:tc>
      </w:tr>
      <w:tr w:rsidR="004F15D4" w:rsidRPr="004E64E3" w14:paraId="2DB517A8" w14:textId="77777777" w:rsidTr="00144BA2">
        <w:trPr>
          <w:trHeight w:val="22"/>
        </w:trPr>
        <w:tc>
          <w:tcPr>
            <w:tcW w:w="5000" w:type="pct"/>
            <w:gridSpan w:val="4"/>
            <w:tcBorders>
              <w:top w:val="single" w:sz="4" w:space="0" w:color="D9D9D9" w:themeColor="background1" w:themeShade="D9"/>
              <w:left w:val="nil"/>
              <w:bottom w:val="single" w:sz="8" w:space="0" w:color="BFBFBF"/>
              <w:right w:val="nil"/>
            </w:tcBorders>
            <w:shd w:val="clear" w:color="auto" w:fill="F2F2F2" w:themeFill="background1" w:themeFillShade="F2"/>
          </w:tcPr>
          <w:p w14:paraId="3CD0B4CE" w14:textId="77777777" w:rsidR="004F15D4" w:rsidRPr="004E64E3" w:rsidRDefault="004F15D4" w:rsidP="00144BA2">
            <w:pPr>
              <w:pStyle w:val="BodyBullet1"/>
              <w:numPr>
                <w:ilvl w:val="0"/>
                <w:numId w:val="0"/>
              </w:numPr>
              <w:rPr>
                <w:szCs w:val="18"/>
              </w:rPr>
            </w:pPr>
            <w:r>
              <w:rPr>
                <w:b/>
                <w:bCs/>
                <w:szCs w:val="18"/>
              </w:rPr>
              <w:t>PRIMARY a</w:t>
            </w:r>
            <w:r w:rsidRPr="001641EA">
              <w:rPr>
                <w:b/>
                <w:bCs/>
                <w:szCs w:val="18"/>
              </w:rPr>
              <w:t xml:space="preserve">ssessment dimensions examined </w:t>
            </w:r>
            <w:r>
              <w:rPr>
                <w:b/>
                <w:bCs/>
                <w:szCs w:val="18"/>
              </w:rPr>
              <w:t>as part of</w:t>
            </w:r>
            <w:r w:rsidRPr="001641EA">
              <w:rPr>
                <w:b/>
                <w:bCs/>
                <w:szCs w:val="18"/>
              </w:rPr>
              <w:t xml:space="preserve"> the </w:t>
            </w:r>
            <w:r>
              <w:rPr>
                <w:b/>
                <w:bCs/>
                <w:szCs w:val="18"/>
              </w:rPr>
              <w:t xml:space="preserve">2020 </w:t>
            </w:r>
            <w:r w:rsidRPr="001641EA">
              <w:rPr>
                <w:b/>
                <w:bCs/>
                <w:szCs w:val="18"/>
              </w:rPr>
              <w:t>Endorsed Program Assessment</w:t>
            </w:r>
          </w:p>
        </w:tc>
      </w:tr>
      <w:tr w:rsidR="004F15D4" w:rsidRPr="004E64E3" w14:paraId="38F65379" w14:textId="77777777" w:rsidTr="00164336">
        <w:trPr>
          <w:trHeight w:val="1948"/>
        </w:trPr>
        <w:tc>
          <w:tcPr>
            <w:tcW w:w="155" w:type="pct"/>
            <w:tcBorders>
              <w:top w:val="single" w:sz="4" w:space="0" w:color="D9D9D9" w:themeColor="background1" w:themeShade="D9"/>
              <w:left w:val="nil"/>
              <w:bottom w:val="single" w:sz="8" w:space="0" w:color="BFBFBF"/>
              <w:right w:val="nil"/>
            </w:tcBorders>
          </w:tcPr>
          <w:p w14:paraId="17595330" w14:textId="77777777" w:rsidR="004F15D4" w:rsidRPr="004E64E3" w:rsidRDefault="004F15D4" w:rsidP="00144BA2">
            <w:pPr>
              <w:spacing w:after="0" w:line="240" w:lineRule="auto"/>
              <w:rPr>
                <w:rFonts w:ascii="Calibri Light" w:eastAsia="Times New Roman" w:hAnsi="Calibri Light" w:cs="Calibri Light"/>
                <w:b/>
                <w:bCs/>
                <w:color w:val="00ABAB"/>
                <w:kern w:val="24"/>
                <w:sz w:val="48"/>
                <w:szCs w:val="48"/>
                <w:lang w:eastAsia="en-AU"/>
              </w:rPr>
            </w:pPr>
            <w:r>
              <w:rPr>
                <w:rFonts w:ascii="Calibri Light" w:eastAsia="Times New Roman" w:hAnsi="Calibri Light" w:cs="Calibri Light"/>
                <w:b/>
                <w:bCs/>
                <w:color w:val="00ABAB"/>
                <w:kern w:val="24"/>
                <w:sz w:val="48"/>
                <w:szCs w:val="48"/>
                <w:lang w:eastAsia="en-AU"/>
              </w:rPr>
              <w:t>1</w:t>
            </w:r>
          </w:p>
        </w:tc>
        <w:tc>
          <w:tcPr>
            <w:tcW w:w="1395" w:type="pct"/>
            <w:tcBorders>
              <w:top w:val="single" w:sz="4" w:space="0" w:color="D9D9D9" w:themeColor="background1" w:themeShade="D9"/>
              <w:left w:val="nil"/>
              <w:bottom w:val="single" w:sz="8" w:space="0" w:color="BFBFBF"/>
              <w:right w:val="nil"/>
            </w:tcBorders>
            <w:shd w:val="clear" w:color="auto" w:fill="auto"/>
            <w:tcMar>
              <w:top w:w="72" w:type="dxa"/>
              <w:left w:w="144" w:type="dxa"/>
              <w:bottom w:w="72" w:type="dxa"/>
              <w:right w:w="144" w:type="dxa"/>
            </w:tcMar>
            <w:hideMark/>
          </w:tcPr>
          <w:p w14:paraId="58D91308" w14:textId="77777777" w:rsidR="004F15D4" w:rsidRPr="004239CA" w:rsidRDefault="004F15D4" w:rsidP="00144BA2">
            <w:pPr>
              <w:spacing w:after="0" w:line="240" w:lineRule="auto"/>
              <w:rPr>
                <w:rFonts w:ascii="Calibri Light" w:eastAsia="Times New Roman" w:hAnsi="Calibri Light" w:cs="Calibri Light"/>
                <w:b/>
                <w:bCs/>
                <w:color w:val="00ABAB"/>
                <w:kern w:val="24"/>
                <w:lang w:eastAsia="en-AU"/>
              </w:rPr>
            </w:pPr>
            <w:r w:rsidRPr="004239CA">
              <w:rPr>
                <w:rFonts w:ascii="Calibri Light" w:eastAsia="Times New Roman" w:hAnsi="Calibri Light" w:cs="Calibri Light"/>
                <w:b/>
                <w:bCs/>
                <w:color w:val="00ABAB"/>
                <w:kern w:val="24"/>
                <w:lang w:eastAsia="en-AU"/>
              </w:rPr>
              <w:t>NOPSEMA’s adherence to the relevant Object(s) of regulations and legislation</w:t>
            </w:r>
          </w:p>
          <w:p w14:paraId="1ABBF565" w14:textId="77777777" w:rsidR="004F15D4" w:rsidRPr="004E64E3" w:rsidRDefault="004F15D4" w:rsidP="004F15D4">
            <w:pPr>
              <w:pStyle w:val="BodyBullet1"/>
              <w:numPr>
                <w:ilvl w:val="0"/>
                <w:numId w:val="37"/>
              </w:numPr>
              <w:ind w:left="426"/>
              <w:rPr>
                <w:szCs w:val="18"/>
              </w:rPr>
            </w:pPr>
            <w:r w:rsidRPr="004E64E3">
              <w:rPr>
                <w:szCs w:val="18"/>
              </w:rPr>
              <w:t>NOPSEMA’s adherence to the principles of ecologically sustainable development</w:t>
            </w:r>
          </w:p>
          <w:p w14:paraId="37C1F537" w14:textId="77777777" w:rsidR="004F15D4" w:rsidRPr="006F27E6" w:rsidRDefault="004F15D4" w:rsidP="004F15D4">
            <w:pPr>
              <w:pStyle w:val="BodyBullet1"/>
              <w:numPr>
                <w:ilvl w:val="0"/>
                <w:numId w:val="37"/>
              </w:numPr>
              <w:ind w:left="426"/>
              <w:rPr>
                <w:lang w:eastAsia="en-AU"/>
              </w:rPr>
            </w:pPr>
            <w:r w:rsidRPr="004239CA">
              <w:rPr>
                <w:szCs w:val="18"/>
              </w:rPr>
              <w:t>NOPSEMA’s a</w:t>
            </w:r>
            <w:r w:rsidRPr="004E64E3">
              <w:rPr>
                <w:szCs w:val="18"/>
              </w:rPr>
              <w:t>pplication of checks for proponent’s adherence to ALARP and acceptability criteria</w:t>
            </w:r>
            <w:r>
              <w:rPr>
                <w:szCs w:val="18"/>
              </w:rPr>
              <w:t>.</w:t>
            </w:r>
          </w:p>
        </w:tc>
        <w:tc>
          <w:tcPr>
            <w:tcW w:w="2066" w:type="pct"/>
            <w:tcBorders>
              <w:top w:val="single" w:sz="4" w:space="0" w:color="D9D9D9" w:themeColor="background1" w:themeShade="D9"/>
              <w:left w:val="nil"/>
              <w:bottom w:val="single" w:sz="8" w:space="0" w:color="BFBFBF"/>
              <w:right w:val="nil"/>
            </w:tcBorders>
            <w:shd w:val="clear" w:color="auto" w:fill="auto"/>
            <w:tcMar>
              <w:top w:w="72" w:type="dxa"/>
              <w:left w:w="144" w:type="dxa"/>
              <w:bottom w:w="72" w:type="dxa"/>
              <w:right w:w="144" w:type="dxa"/>
            </w:tcMar>
            <w:hideMark/>
          </w:tcPr>
          <w:p w14:paraId="26E90A6F" w14:textId="77777777" w:rsidR="004F15D4" w:rsidRPr="004239CA" w:rsidRDefault="004F15D4" w:rsidP="004F15D4">
            <w:pPr>
              <w:pStyle w:val="BodyBullet1"/>
              <w:numPr>
                <w:ilvl w:val="0"/>
                <w:numId w:val="37"/>
              </w:numPr>
              <w:ind w:left="426"/>
              <w:rPr>
                <w:szCs w:val="18"/>
              </w:rPr>
            </w:pPr>
            <w:r w:rsidRPr="004239CA">
              <w:rPr>
                <w:szCs w:val="18"/>
              </w:rPr>
              <w:t>Offshore petroleum and GHG storage activities are carried out in a manner consistent with the principles of ecologically sustainable development set out in section 3A of the EPBC Act</w:t>
            </w:r>
          </w:p>
          <w:p w14:paraId="55421ACA" w14:textId="587D5103" w:rsidR="004F15D4" w:rsidRPr="004239CA" w:rsidRDefault="004F15D4" w:rsidP="004F15D4">
            <w:pPr>
              <w:pStyle w:val="BodyBullet1"/>
              <w:numPr>
                <w:ilvl w:val="0"/>
                <w:numId w:val="37"/>
              </w:numPr>
              <w:ind w:left="426"/>
              <w:rPr>
                <w:szCs w:val="18"/>
              </w:rPr>
            </w:pPr>
            <w:r w:rsidRPr="004239CA">
              <w:rPr>
                <w:szCs w:val="18"/>
              </w:rPr>
              <w:t xml:space="preserve">The activities </w:t>
            </w:r>
            <w:r w:rsidR="00C471A8">
              <w:rPr>
                <w:szCs w:val="18"/>
              </w:rPr>
              <w:t xml:space="preserve">are </w:t>
            </w:r>
            <w:r w:rsidRPr="004239CA">
              <w:rPr>
                <w:szCs w:val="18"/>
              </w:rPr>
              <w:t xml:space="preserve">carried out in a manner by which the environmental impacts and risks of the activity will be reduced to </w:t>
            </w:r>
            <w:r>
              <w:rPr>
                <w:szCs w:val="18"/>
              </w:rPr>
              <w:t>ALARP</w:t>
            </w:r>
          </w:p>
          <w:p w14:paraId="640AA8BF" w14:textId="485A879C" w:rsidR="004F15D4" w:rsidRPr="004239CA" w:rsidRDefault="004F15D4" w:rsidP="004F15D4">
            <w:pPr>
              <w:pStyle w:val="BodyBullet1"/>
              <w:numPr>
                <w:ilvl w:val="0"/>
                <w:numId w:val="37"/>
              </w:numPr>
              <w:ind w:left="426"/>
              <w:rPr>
                <w:szCs w:val="18"/>
              </w:rPr>
            </w:pPr>
            <w:r w:rsidRPr="004239CA">
              <w:rPr>
                <w:szCs w:val="18"/>
              </w:rPr>
              <w:t xml:space="preserve">The activities </w:t>
            </w:r>
            <w:r w:rsidR="00C471A8">
              <w:rPr>
                <w:szCs w:val="18"/>
              </w:rPr>
              <w:t xml:space="preserve">are </w:t>
            </w:r>
            <w:r w:rsidRPr="004239CA">
              <w:rPr>
                <w:szCs w:val="18"/>
              </w:rPr>
              <w:t>carried out in a manner by which the environmental impacts and risks of the activity will be of an acceptable level</w:t>
            </w:r>
            <w:r>
              <w:rPr>
                <w:szCs w:val="18"/>
              </w:rPr>
              <w:t>.</w:t>
            </w:r>
          </w:p>
        </w:tc>
        <w:tc>
          <w:tcPr>
            <w:tcW w:w="1383" w:type="pct"/>
            <w:tcBorders>
              <w:top w:val="single" w:sz="4" w:space="0" w:color="D9D9D9" w:themeColor="background1" w:themeShade="D9"/>
              <w:left w:val="nil"/>
              <w:bottom w:val="single" w:sz="8" w:space="0" w:color="BFBFBF"/>
              <w:right w:val="nil"/>
            </w:tcBorders>
            <w:shd w:val="clear" w:color="auto" w:fill="auto"/>
            <w:tcMar>
              <w:top w:w="72" w:type="dxa"/>
              <w:left w:w="144" w:type="dxa"/>
              <w:bottom w:w="72" w:type="dxa"/>
              <w:right w:w="144" w:type="dxa"/>
            </w:tcMar>
            <w:hideMark/>
          </w:tcPr>
          <w:p w14:paraId="07F8A0C6" w14:textId="77777777" w:rsidR="004F15D4" w:rsidRDefault="004F15D4" w:rsidP="004F15D4">
            <w:pPr>
              <w:pStyle w:val="BodyBullet1"/>
              <w:numPr>
                <w:ilvl w:val="0"/>
                <w:numId w:val="37"/>
              </w:numPr>
              <w:ind w:left="426"/>
              <w:rPr>
                <w:szCs w:val="18"/>
              </w:rPr>
            </w:pPr>
            <w:r w:rsidRPr="001641EA">
              <w:rPr>
                <w:szCs w:val="18"/>
              </w:rPr>
              <w:t xml:space="preserve">Process walkthroughs and interviews with NOPSEMA </w:t>
            </w:r>
            <w:r>
              <w:rPr>
                <w:szCs w:val="18"/>
              </w:rPr>
              <w:t>personnel</w:t>
            </w:r>
            <w:r w:rsidRPr="001641EA">
              <w:rPr>
                <w:szCs w:val="18"/>
              </w:rPr>
              <w:t xml:space="preserve"> (including applying case studies where relevant)</w:t>
            </w:r>
          </w:p>
          <w:p w14:paraId="683C894B" w14:textId="4956D6EB" w:rsidR="004F15D4" w:rsidRDefault="004F15D4" w:rsidP="004F15D4">
            <w:pPr>
              <w:pStyle w:val="BodyBullet1"/>
              <w:numPr>
                <w:ilvl w:val="0"/>
                <w:numId w:val="37"/>
              </w:numPr>
              <w:ind w:left="426"/>
              <w:rPr>
                <w:szCs w:val="18"/>
              </w:rPr>
            </w:pPr>
            <w:r>
              <w:rPr>
                <w:szCs w:val="18"/>
              </w:rPr>
              <w:t xml:space="preserve">Interviews with NOPSEMA, DAWE, </w:t>
            </w:r>
            <w:r w:rsidR="001634F5" w:rsidRPr="001634F5">
              <w:rPr>
                <w:szCs w:val="18"/>
              </w:rPr>
              <w:t xml:space="preserve">Australian Antarctic Division </w:t>
            </w:r>
            <w:r w:rsidR="001634F5">
              <w:rPr>
                <w:szCs w:val="18"/>
              </w:rPr>
              <w:t>(</w:t>
            </w:r>
            <w:r w:rsidRPr="001634F5">
              <w:rPr>
                <w:b/>
                <w:bCs/>
                <w:szCs w:val="18"/>
              </w:rPr>
              <w:t>AAD</w:t>
            </w:r>
            <w:r w:rsidR="001634F5">
              <w:rPr>
                <w:szCs w:val="18"/>
              </w:rPr>
              <w:t>)</w:t>
            </w:r>
            <w:r>
              <w:rPr>
                <w:szCs w:val="18"/>
              </w:rPr>
              <w:t xml:space="preserve"> and Parks Australia </w:t>
            </w:r>
            <w:r w:rsidR="003F4F02">
              <w:rPr>
                <w:szCs w:val="18"/>
              </w:rPr>
              <w:t>p</w:t>
            </w:r>
            <w:r>
              <w:rPr>
                <w:szCs w:val="18"/>
              </w:rPr>
              <w:t xml:space="preserve">ersonnel </w:t>
            </w:r>
          </w:p>
          <w:p w14:paraId="756BF961" w14:textId="77777777" w:rsidR="004F15D4" w:rsidRDefault="004F15D4" w:rsidP="004F15D4">
            <w:pPr>
              <w:pStyle w:val="BodyBullet1"/>
              <w:numPr>
                <w:ilvl w:val="0"/>
                <w:numId w:val="37"/>
              </w:numPr>
              <w:ind w:left="426"/>
              <w:rPr>
                <w:szCs w:val="18"/>
              </w:rPr>
            </w:pPr>
            <w:r>
              <w:rPr>
                <w:szCs w:val="18"/>
              </w:rPr>
              <w:t xml:space="preserve">Stakeholder engagement with authority holders </w:t>
            </w:r>
          </w:p>
          <w:p w14:paraId="4A4AF719" w14:textId="633DA7C4" w:rsidR="004F15D4" w:rsidRPr="004239CA" w:rsidRDefault="004F15D4" w:rsidP="004F15D4">
            <w:pPr>
              <w:pStyle w:val="BodyBullet1"/>
              <w:numPr>
                <w:ilvl w:val="0"/>
                <w:numId w:val="37"/>
              </w:numPr>
              <w:ind w:left="426"/>
              <w:rPr>
                <w:szCs w:val="18"/>
              </w:rPr>
            </w:pPr>
            <w:r w:rsidRPr="004239CA">
              <w:rPr>
                <w:szCs w:val="18"/>
              </w:rPr>
              <w:t>Review of relevant materials</w:t>
            </w:r>
            <w:r>
              <w:rPr>
                <w:szCs w:val="18"/>
              </w:rPr>
              <w:t xml:space="preserve"> including</w:t>
            </w:r>
            <w:r w:rsidR="00BF31E4">
              <w:rPr>
                <w:szCs w:val="18"/>
              </w:rPr>
              <w:t xml:space="preserve"> published guidance</w:t>
            </w:r>
            <w:r w:rsidR="002D4644">
              <w:rPr>
                <w:szCs w:val="18"/>
              </w:rPr>
              <w:t>,</w:t>
            </w:r>
            <w:r>
              <w:rPr>
                <w:szCs w:val="18"/>
              </w:rPr>
              <w:t xml:space="preserve"> case studies and publicly available assessment material.</w:t>
            </w:r>
          </w:p>
        </w:tc>
      </w:tr>
      <w:tr w:rsidR="004F15D4" w:rsidRPr="004E64E3" w14:paraId="2840A499" w14:textId="77777777" w:rsidTr="00164336">
        <w:trPr>
          <w:trHeight w:val="2086"/>
        </w:trPr>
        <w:tc>
          <w:tcPr>
            <w:tcW w:w="155" w:type="pct"/>
            <w:tcBorders>
              <w:top w:val="single" w:sz="8" w:space="0" w:color="BFBFBF"/>
              <w:left w:val="nil"/>
              <w:bottom w:val="single" w:sz="8" w:space="0" w:color="BFBFBF"/>
              <w:right w:val="nil"/>
            </w:tcBorders>
          </w:tcPr>
          <w:p w14:paraId="5CED172E" w14:textId="77777777" w:rsidR="004F15D4" w:rsidRPr="004E64E3" w:rsidRDefault="004F15D4" w:rsidP="00144BA2">
            <w:pPr>
              <w:spacing w:after="0" w:line="240" w:lineRule="auto"/>
              <w:rPr>
                <w:rFonts w:ascii="Calibri Light" w:eastAsia="Times New Roman" w:hAnsi="Calibri Light" w:cs="Calibri Light"/>
                <w:b/>
                <w:bCs/>
                <w:color w:val="00ABAB"/>
                <w:kern w:val="24"/>
                <w:sz w:val="48"/>
                <w:szCs w:val="48"/>
                <w:lang w:eastAsia="en-AU"/>
              </w:rPr>
            </w:pPr>
            <w:r>
              <w:rPr>
                <w:rFonts w:ascii="Calibri Light" w:eastAsia="Times New Roman" w:hAnsi="Calibri Light" w:cs="Calibri Light"/>
                <w:b/>
                <w:bCs/>
                <w:color w:val="00ABAB"/>
                <w:kern w:val="24"/>
                <w:sz w:val="48"/>
                <w:szCs w:val="48"/>
                <w:lang w:eastAsia="en-AU"/>
              </w:rPr>
              <w:t>2</w:t>
            </w:r>
          </w:p>
        </w:tc>
        <w:tc>
          <w:tcPr>
            <w:tcW w:w="1395"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14:paraId="0E9F31D4" w14:textId="77777777" w:rsidR="004F15D4" w:rsidRPr="004239CA" w:rsidRDefault="004F15D4" w:rsidP="00144BA2">
            <w:pPr>
              <w:spacing w:after="0" w:line="240" w:lineRule="auto"/>
              <w:rPr>
                <w:rFonts w:ascii="Calibri Light" w:eastAsia="Times New Roman" w:hAnsi="Calibri Light" w:cs="Calibri Light"/>
                <w:b/>
                <w:bCs/>
                <w:color w:val="00ABAB"/>
                <w:kern w:val="24"/>
                <w:lang w:eastAsia="en-AU"/>
              </w:rPr>
            </w:pPr>
            <w:r w:rsidRPr="004239CA">
              <w:rPr>
                <w:rFonts w:ascii="Calibri Light" w:eastAsia="Times New Roman" w:hAnsi="Calibri Light" w:cs="Calibri Light"/>
                <w:b/>
                <w:bCs/>
                <w:color w:val="00ABAB"/>
                <w:kern w:val="24"/>
                <w:lang w:eastAsia="en-AU"/>
              </w:rPr>
              <w:t xml:space="preserve">NOPSEMA’s adherence to </w:t>
            </w:r>
            <w:r>
              <w:rPr>
                <w:rFonts w:ascii="Calibri Light" w:eastAsia="Times New Roman" w:hAnsi="Calibri Light" w:cs="Calibri Light"/>
                <w:b/>
                <w:bCs/>
                <w:color w:val="00ABAB"/>
                <w:kern w:val="24"/>
                <w:lang w:eastAsia="en-AU"/>
              </w:rPr>
              <w:t xml:space="preserve">the </w:t>
            </w:r>
            <w:r w:rsidRPr="004239CA">
              <w:rPr>
                <w:rFonts w:ascii="Calibri Light" w:eastAsia="Times New Roman" w:hAnsi="Calibri Light" w:cs="Calibri Light"/>
                <w:b/>
                <w:bCs/>
                <w:color w:val="00ABAB"/>
                <w:kern w:val="24"/>
                <w:lang w:eastAsia="en-AU"/>
              </w:rPr>
              <w:t>Endorsed Program</w:t>
            </w:r>
            <w:r>
              <w:rPr>
                <w:rFonts w:ascii="Calibri Light" w:eastAsia="Times New Roman" w:hAnsi="Calibri Light" w:cs="Calibri Light"/>
                <w:b/>
                <w:bCs/>
                <w:color w:val="00ABAB"/>
                <w:kern w:val="24"/>
                <w:lang w:eastAsia="en-AU"/>
              </w:rPr>
              <w:t>’s</w:t>
            </w:r>
            <w:r w:rsidRPr="004239CA">
              <w:rPr>
                <w:rFonts w:ascii="Calibri Light" w:eastAsia="Times New Roman" w:hAnsi="Calibri Light" w:cs="Calibri Light"/>
                <w:b/>
                <w:bCs/>
                <w:color w:val="00ABAB"/>
                <w:kern w:val="24"/>
                <w:lang w:eastAsia="en-AU"/>
              </w:rPr>
              <w:t xml:space="preserve"> commitments and outcomes</w:t>
            </w:r>
          </w:p>
          <w:p w14:paraId="0C475DFF" w14:textId="77777777" w:rsidR="004F15D4" w:rsidRPr="004E64E3" w:rsidRDefault="004F15D4" w:rsidP="004F15D4">
            <w:pPr>
              <w:pStyle w:val="BodyBullet1"/>
              <w:numPr>
                <w:ilvl w:val="0"/>
                <w:numId w:val="37"/>
              </w:numPr>
              <w:ind w:left="426"/>
              <w:rPr>
                <w:szCs w:val="18"/>
              </w:rPr>
            </w:pPr>
            <w:r w:rsidRPr="004E64E3">
              <w:rPr>
                <w:szCs w:val="18"/>
              </w:rPr>
              <w:t>NOPSEMA’s commitment to protection of EPBC Act Part 3 matters</w:t>
            </w:r>
          </w:p>
          <w:p w14:paraId="28EDBA28" w14:textId="77777777" w:rsidR="004F15D4" w:rsidRPr="006F27E6" w:rsidRDefault="004F15D4" w:rsidP="004F15D4">
            <w:pPr>
              <w:pStyle w:val="BodyBullet1"/>
              <w:numPr>
                <w:ilvl w:val="0"/>
                <w:numId w:val="37"/>
              </w:numPr>
              <w:ind w:left="426"/>
              <w:rPr>
                <w:lang w:eastAsia="en-AU"/>
              </w:rPr>
            </w:pPr>
            <w:r w:rsidRPr="004239CA">
              <w:rPr>
                <w:szCs w:val="18"/>
              </w:rPr>
              <w:t>NOPSEMA and DAWE’s commitments relating to the administration of the Endorsed Program</w:t>
            </w:r>
            <w:r>
              <w:rPr>
                <w:szCs w:val="18"/>
              </w:rPr>
              <w:t>.</w:t>
            </w:r>
          </w:p>
        </w:tc>
        <w:tc>
          <w:tcPr>
            <w:tcW w:w="2066"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14:paraId="430B650D" w14:textId="14644944" w:rsidR="004F15D4" w:rsidRPr="004E64E3" w:rsidRDefault="004F15D4" w:rsidP="004F15D4">
            <w:pPr>
              <w:pStyle w:val="BodyBullet1"/>
              <w:numPr>
                <w:ilvl w:val="0"/>
                <w:numId w:val="37"/>
              </w:numPr>
              <w:ind w:left="426"/>
              <w:rPr>
                <w:szCs w:val="18"/>
              </w:rPr>
            </w:pPr>
            <w:r w:rsidRPr="004E64E3">
              <w:rPr>
                <w:szCs w:val="18"/>
              </w:rPr>
              <w:t>All commitments and outcomes outlined in the Endorsed Program</w:t>
            </w:r>
            <w:r w:rsidR="00EE2447">
              <w:rPr>
                <w:szCs w:val="18"/>
              </w:rPr>
              <w:t>,</w:t>
            </w:r>
            <w:r w:rsidRPr="004E64E3">
              <w:rPr>
                <w:szCs w:val="18"/>
              </w:rPr>
              <w:t xml:space="preserve"> in relation to protected matters</w:t>
            </w:r>
            <w:r w:rsidR="003641DA">
              <w:rPr>
                <w:szCs w:val="18"/>
              </w:rPr>
              <w:t>,</w:t>
            </w:r>
            <w:r w:rsidRPr="004E64E3">
              <w:rPr>
                <w:szCs w:val="18"/>
              </w:rPr>
              <w:t xml:space="preserve"> are met</w:t>
            </w:r>
            <w:r>
              <w:rPr>
                <w:szCs w:val="18"/>
              </w:rPr>
              <w:t xml:space="preserve"> </w:t>
            </w:r>
            <w:r w:rsidR="00EA2FE3">
              <w:rPr>
                <w:szCs w:val="18"/>
              </w:rPr>
              <w:t xml:space="preserve">by NOPSEMA </w:t>
            </w:r>
            <w:r>
              <w:rPr>
                <w:szCs w:val="18"/>
              </w:rPr>
              <w:t xml:space="preserve">(refer to </w:t>
            </w:r>
            <w:r w:rsidR="00636EBF">
              <w:rPr>
                <w:szCs w:val="18"/>
              </w:rPr>
              <w:t xml:space="preserve">Table 1 and </w:t>
            </w:r>
            <w:r>
              <w:rPr>
                <w:szCs w:val="18"/>
              </w:rPr>
              <w:t xml:space="preserve">Table 2, </w:t>
            </w:r>
            <w:r w:rsidR="00636EBF">
              <w:rPr>
                <w:szCs w:val="18"/>
              </w:rPr>
              <w:t xml:space="preserve">on pages 10 and </w:t>
            </w:r>
            <w:r>
              <w:rPr>
                <w:szCs w:val="18"/>
              </w:rPr>
              <w:t>33 of the Endorsed Program</w:t>
            </w:r>
            <w:r w:rsidR="00834157">
              <w:rPr>
                <w:szCs w:val="18"/>
              </w:rPr>
              <w:t>, respectively</w:t>
            </w:r>
            <w:r>
              <w:rPr>
                <w:szCs w:val="18"/>
              </w:rPr>
              <w:t>)</w:t>
            </w:r>
          </w:p>
          <w:p w14:paraId="40CE9C64" w14:textId="5A608C95" w:rsidR="004F15D4" w:rsidRDefault="004F15D4" w:rsidP="004F15D4">
            <w:pPr>
              <w:pStyle w:val="BodyBullet1"/>
              <w:numPr>
                <w:ilvl w:val="0"/>
                <w:numId w:val="37"/>
              </w:numPr>
              <w:ind w:left="426"/>
              <w:rPr>
                <w:szCs w:val="18"/>
              </w:rPr>
            </w:pPr>
            <w:r w:rsidRPr="004239CA">
              <w:rPr>
                <w:szCs w:val="18"/>
              </w:rPr>
              <w:t xml:space="preserve">All </w:t>
            </w:r>
            <w:r>
              <w:rPr>
                <w:szCs w:val="18"/>
              </w:rPr>
              <w:t>commitments outlined in the Endorsed Program</w:t>
            </w:r>
            <w:r w:rsidR="003641DA">
              <w:rPr>
                <w:szCs w:val="18"/>
              </w:rPr>
              <w:t>,</w:t>
            </w:r>
            <w:r>
              <w:rPr>
                <w:szCs w:val="18"/>
              </w:rPr>
              <w:t xml:space="preserve"> in relation to administration</w:t>
            </w:r>
            <w:r w:rsidR="003641DA">
              <w:rPr>
                <w:szCs w:val="18"/>
              </w:rPr>
              <w:t>,</w:t>
            </w:r>
            <w:r w:rsidRPr="004239CA">
              <w:rPr>
                <w:szCs w:val="18"/>
              </w:rPr>
              <w:t xml:space="preserve"> are </w:t>
            </w:r>
            <w:r>
              <w:rPr>
                <w:szCs w:val="18"/>
              </w:rPr>
              <w:t>met</w:t>
            </w:r>
            <w:r w:rsidRPr="004239CA">
              <w:rPr>
                <w:szCs w:val="18"/>
              </w:rPr>
              <w:t xml:space="preserve"> by NOPSEMA </w:t>
            </w:r>
            <w:r>
              <w:rPr>
                <w:szCs w:val="18"/>
              </w:rPr>
              <w:t>(refer to Table 3, page 37 of the Endorsed Program)</w:t>
            </w:r>
            <w:r w:rsidR="00E437EE">
              <w:rPr>
                <w:szCs w:val="18"/>
              </w:rPr>
              <w:t>.</w:t>
            </w:r>
          </w:p>
          <w:p w14:paraId="2730795E" w14:textId="086A3079" w:rsidR="00E437EE" w:rsidRPr="004239CA" w:rsidRDefault="00E437EE" w:rsidP="00E437EE">
            <w:pPr>
              <w:pStyle w:val="BodyBullet1"/>
              <w:numPr>
                <w:ilvl w:val="0"/>
                <w:numId w:val="0"/>
              </w:numPr>
              <w:ind w:left="66"/>
              <w:rPr>
                <w:szCs w:val="18"/>
              </w:rPr>
            </w:pPr>
            <w:r w:rsidRPr="00E437EE">
              <w:rPr>
                <w:b/>
                <w:bCs/>
                <w:szCs w:val="18"/>
              </w:rPr>
              <w:t>Note:</w:t>
            </w:r>
            <w:r>
              <w:rPr>
                <w:szCs w:val="18"/>
              </w:rPr>
              <w:t xml:space="preserve"> Although DAWE have commitments under the Endorsed Program, an assessment of DAWE’s adherence to its commitments was out of scope.</w:t>
            </w:r>
          </w:p>
        </w:tc>
        <w:tc>
          <w:tcPr>
            <w:tcW w:w="1383"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14:paraId="09ACD63B" w14:textId="77777777" w:rsidR="004F15D4" w:rsidRDefault="004F15D4" w:rsidP="004F15D4">
            <w:pPr>
              <w:pStyle w:val="BodyBullet1"/>
              <w:numPr>
                <w:ilvl w:val="0"/>
                <w:numId w:val="37"/>
              </w:numPr>
              <w:ind w:left="426"/>
              <w:rPr>
                <w:szCs w:val="18"/>
              </w:rPr>
            </w:pPr>
            <w:r w:rsidRPr="001641EA">
              <w:rPr>
                <w:szCs w:val="18"/>
              </w:rPr>
              <w:t xml:space="preserve">Process walkthroughs and interviews with NOPSEMA </w:t>
            </w:r>
            <w:r>
              <w:rPr>
                <w:szCs w:val="18"/>
              </w:rPr>
              <w:t>personnel</w:t>
            </w:r>
            <w:r w:rsidRPr="001641EA">
              <w:rPr>
                <w:szCs w:val="18"/>
              </w:rPr>
              <w:t xml:space="preserve"> (including applying case studies where relevant)</w:t>
            </w:r>
          </w:p>
          <w:p w14:paraId="46A3490F" w14:textId="7A459063" w:rsidR="004F15D4" w:rsidRDefault="004F15D4" w:rsidP="004F15D4">
            <w:pPr>
              <w:pStyle w:val="BodyBullet1"/>
              <w:numPr>
                <w:ilvl w:val="0"/>
                <w:numId w:val="37"/>
              </w:numPr>
              <w:ind w:left="426"/>
              <w:rPr>
                <w:szCs w:val="18"/>
              </w:rPr>
            </w:pPr>
            <w:r>
              <w:rPr>
                <w:szCs w:val="18"/>
              </w:rPr>
              <w:t xml:space="preserve">Interviews with NOPSEMA, DAWE, AAD and Parks Australia </w:t>
            </w:r>
            <w:r w:rsidR="003F4F02">
              <w:rPr>
                <w:szCs w:val="18"/>
              </w:rPr>
              <w:t>p</w:t>
            </w:r>
            <w:r>
              <w:rPr>
                <w:szCs w:val="18"/>
              </w:rPr>
              <w:t xml:space="preserve">ersonnel </w:t>
            </w:r>
          </w:p>
          <w:p w14:paraId="0136A410" w14:textId="38E66019" w:rsidR="004F15D4" w:rsidRPr="004239CA" w:rsidRDefault="004F15D4" w:rsidP="004F15D4">
            <w:pPr>
              <w:pStyle w:val="BodyBullet1"/>
              <w:numPr>
                <w:ilvl w:val="0"/>
                <w:numId w:val="37"/>
              </w:numPr>
              <w:ind w:left="426"/>
              <w:rPr>
                <w:szCs w:val="18"/>
              </w:rPr>
            </w:pPr>
            <w:r w:rsidRPr="00DA1FBA">
              <w:rPr>
                <w:szCs w:val="18"/>
              </w:rPr>
              <w:t>Review of relevant materials</w:t>
            </w:r>
            <w:r>
              <w:rPr>
                <w:szCs w:val="18"/>
              </w:rPr>
              <w:t xml:space="preserve"> including</w:t>
            </w:r>
            <w:r w:rsidR="000E6B78">
              <w:rPr>
                <w:szCs w:val="18"/>
              </w:rPr>
              <w:t xml:space="preserve"> published guidance,</w:t>
            </w:r>
            <w:r>
              <w:rPr>
                <w:szCs w:val="18"/>
              </w:rPr>
              <w:t xml:space="preserve"> case studies and publicly available assessment material.</w:t>
            </w:r>
          </w:p>
        </w:tc>
      </w:tr>
      <w:tr w:rsidR="004F15D4" w:rsidRPr="004E64E3" w14:paraId="6F73DA73" w14:textId="77777777" w:rsidTr="00164336">
        <w:trPr>
          <w:trHeight w:val="667"/>
        </w:trPr>
        <w:tc>
          <w:tcPr>
            <w:tcW w:w="155" w:type="pct"/>
            <w:tcBorders>
              <w:top w:val="single" w:sz="8" w:space="0" w:color="BFBFBF"/>
              <w:left w:val="nil"/>
              <w:bottom w:val="single" w:sz="8" w:space="0" w:color="BFBFBF"/>
              <w:right w:val="nil"/>
            </w:tcBorders>
          </w:tcPr>
          <w:p w14:paraId="52F7508F" w14:textId="77777777" w:rsidR="004F15D4" w:rsidRPr="004E64E3" w:rsidRDefault="004F15D4" w:rsidP="00144BA2">
            <w:pPr>
              <w:spacing w:after="0" w:line="240" w:lineRule="auto"/>
              <w:rPr>
                <w:rFonts w:ascii="Calibri Light" w:eastAsia="Times New Roman" w:hAnsi="Calibri Light" w:cs="Calibri Light"/>
                <w:b/>
                <w:bCs/>
                <w:color w:val="00ABAB"/>
                <w:kern w:val="24"/>
                <w:sz w:val="48"/>
                <w:szCs w:val="48"/>
                <w:lang w:eastAsia="en-AU"/>
              </w:rPr>
            </w:pPr>
            <w:r>
              <w:rPr>
                <w:rFonts w:ascii="Calibri Light" w:eastAsia="Times New Roman" w:hAnsi="Calibri Light" w:cs="Calibri Light"/>
                <w:b/>
                <w:bCs/>
                <w:color w:val="00ABAB"/>
                <w:kern w:val="24"/>
                <w:sz w:val="48"/>
                <w:szCs w:val="48"/>
                <w:lang w:eastAsia="en-AU"/>
              </w:rPr>
              <w:t>3</w:t>
            </w:r>
          </w:p>
        </w:tc>
        <w:tc>
          <w:tcPr>
            <w:tcW w:w="1395"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14:paraId="74DA4E28" w14:textId="77777777" w:rsidR="004F15D4" w:rsidRPr="004239CA" w:rsidRDefault="004F15D4" w:rsidP="00144BA2">
            <w:pPr>
              <w:spacing w:after="0" w:line="240" w:lineRule="auto"/>
              <w:rPr>
                <w:rFonts w:ascii="Calibri Light" w:eastAsia="Times New Roman" w:hAnsi="Calibri Light" w:cs="Calibri Light"/>
                <w:b/>
                <w:bCs/>
                <w:color w:val="00ABAB"/>
                <w:kern w:val="24"/>
                <w:lang w:eastAsia="en-AU"/>
              </w:rPr>
            </w:pPr>
            <w:r w:rsidRPr="004239CA">
              <w:rPr>
                <w:rFonts w:ascii="Calibri Light" w:eastAsia="Times New Roman" w:hAnsi="Calibri Light" w:cs="Calibri Light"/>
                <w:b/>
                <w:bCs/>
                <w:color w:val="00ABAB"/>
                <w:kern w:val="24"/>
                <w:lang w:eastAsia="en-AU"/>
              </w:rPr>
              <w:t>NOPSEMA’s implementation of continuous improvement opportunities</w:t>
            </w:r>
          </w:p>
          <w:p w14:paraId="75F552B5" w14:textId="77777777" w:rsidR="004F15D4" w:rsidRPr="004E64E3" w:rsidRDefault="004F15D4" w:rsidP="004F15D4">
            <w:pPr>
              <w:pStyle w:val="BodyBullet1"/>
              <w:numPr>
                <w:ilvl w:val="0"/>
                <w:numId w:val="37"/>
              </w:numPr>
              <w:ind w:left="426"/>
              <w:rPr>
                <w:szCs w:val="18"/>
              </w:rPr>
            </w:pPr>
            <w:r w:rsidRPr="004E64E3">
              <w:rPr>
                <w:szCs w:val="18"/>
              </w:rPr>
              <w:t>NOPSEMA’s identification of continuous improvement opportunities</w:t>
            </w:r>
          </w:p>
          <w:p w14:paraId="5F72E575" w14:textId="77777777" w:rsidR="004F15D4" w:rsidRPr="004239CA" w:rsidRDefault="004F15D4" w:rsidP="004F15D4">
            <w:pPr>
              <w:pStyle w:val="BodyBullet1"/>
              <w:numPr>
                <w:ilvl w:val="0"/>
                <w:numId w:val="37"/>
              </w:numPr>
              <w:ind w:left="426"/>
              <w:rPr>
                <w:sz w:val="16"/>
                <w:szCs w:val="16"/>
              </w:rPr>
            </w:pPr>
            <w:r w:rsidRPr="004239CA">
              <w:rPr>
                <w:szCs w:val="18"/>
              </w:rPr>
              <w:t>NOPSEMA’s implementation of continuous improvement opportunities</w:t>
            </w:r>
            <w:r>
              <w:rPr>
                <w:szCs w:val="18"/>
              </w:rPr>
              <w:t>.</w:t>
            </w:r>
          </w:p>
          <w:p w14:paraId="55D9B582" w14:textId="77777777" w:rsidR="004F15D4" w:rsidRPr="004239CA" w:rsidRDefault="004F15D4" w:rsidP="00144BA2">
            <w:pPr>
              <w:pStyle w:val="BodyBullet1"/>
              <w:numPr>
                <w:ilvl w:val="0"/>
                <w:numId w:val="0"/>
              </w:numPr>
              <w:ind w:left="360"/>
              <w:rPr>
                <w:rFonts w:eastAsia="Times New Roman"/>
                <w:sz w:val="36"/>
                <w:szCs w:val="36"/>
                <w:lang w:eastAsia="en-AU"/>
              </w:rPr>
            </w:pPr>
          </w:p>
        </w:tc>
        <w:tc>
          <w:tcPr>
            <w:tcW w:w="2066"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14:paraId="1C152DAC" w14:textId="77777777" w:rsidR="004F15D4" w:rsidRPr="001641EA" w:rsidRDefault="004F15D4" w:rsidP="004F15D4">
            <w:pPr>
              <w:pStyle w:val="BodyBullet1"/>
              <w:numPr>
                <w:ilvl w:val="0"/>
                <w:numId w:val="37"/>
              </w:numPr>
              <w:ind w:left="426"/>
              <w:rPr>
                <w:szCs w:val="18"/>
              </w:rPr>
            </w:pPr>
            <w:r w:rsidRPr="001641EA">
              <w:rPr>
                <w:szCs w:val="18"/>
              </w:rPr>
              <w:lastRenderedPageBreak/>
              <w:t>NOPSEMA has established practices to identify, monitor, and complete corrective actions</w:t>
            </w:r>
          </w:p>
          <w:p w14:paraId="7385D31B" w14:textId="77777777" w:rsidR="004F15D4" w:rsidRPr="001641EA" w:rsidRDefault="004F15D4" w:rsidP="004F15D4">
            <w:pPr>
              <w:pStyle w:val="BodyBullet1"/>
              <w:numPr>
                <w:ilvl w:val="0"/>
                <w:numId w:val="37"/>
              </w:numPr>
              <w:ind w:left="426"/>
              <w:rPr>
                <w:szCs w:val="18"/>
              </w:rPr>
            </w:pPr>
            <w:r w:rsidRPr="00A659F3">
              <w:rPr>
                <w:szCs w:val="18"/>
              </w:rPr>
              <w:t>There is evidence of a continuous improvement process</w:t>
            </w:r>
          </w:p>
          <w:p w14:paraId="7000B8C7" w14:textId="7CC96F8F" w:rsidR="004F15D4" w:rsidRPr="004239CA" w:rsidRDefault="004F15D4" w:rsidP="004F15D4">
            <w:pPr>
              <w:pStyle w:val="BodyBullet1"/>
              <w:numPr>
                <w:ilvl w:val="0"/>
                <w:numId w:val="37"/>
              </w:numPr>
              <w:ind w:left="426"/>
              <w:rPr>
                <w:szCs w:val="18"/>
              </w:rPr>
            </w:pPr>
            <w:r w:rsidRPr="001641EA">
              <w:rPr>
                <w:szCs w:val="18"/>
              </w:rPr>
              <w:t xml:space="preserve">NOPSEMA and DAWE have completed all relevant observations </w:t>
            </w:r>
            <w:r>
              <w:rPr>
                <w:szCs w:val="18"/>
              </w:rPr>
              <w:t>from prior revie</w:t>
            </w:r>
            <w:r w:rsidR="00ED0103">
              <w:rPr>
                <w:szCs w:val="18"/>
              </w:rPr>
              <w:t>w</w:t>
            </w:r>
            <w:r>
              <w:rPr>
                <w:szCs w:val="18"/>
              </w:rPr>
              <w:t xml:space="preserve">s </w:t>
            </w:r>
            <w:r w:rsidRPr="001641EA">
              <w:rPr>
                <w:szCs w:val="18"/>
              </w:rPr>
              <w:t>in a timely manner, reporting status to executive leadership</w:t>
            </w:r>
            <w:r>
              <w:rPr>
                <w:szCs w:val="18"/>
              </w:rPr>
              <w:t>.</w:t>
            </w:r>
          </w:p>
        </w:tc>
        <w:tc>
          <w:tcPr>
            <w:tcW w:w="1383"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hideMark/>
          </w:tcPr>
          <w:p w14:paraId="66BDA1CD" w14:textId="77777777" w:rsidR="004F15D4" w:rsidRDefault="004F15D4" w:rsidP="004F15D4">
            <w:pPr>
              <w:pStyle w:val="BodyBullet1"/>
              <w:numPr>
                <w:ilvl w:val="0"/>
                <w:numId w:val="37"/>
              </w:numPr>
              <w:ind w:left="426"/>
              <w:rPr>
                <w:szCs w:val="18"/>
              </w:rPr>
            </w:pPr>
            <w:r w:rsidRPr="004239CA">
              <w:rPr>
                <w:szCs w:val="18"/>
              </w:rPr>
              <w:t>Gap analysis of progress against previous review findings</w:t>
            </w:r>
          </w:p>
          <w:p w14:paraId="13F52AE3" w14:textId="77777777" w:rsidR="004F15D4" w:rsidRDefault="004F15D4" w:rsidP="004F15D4">
            <w:pPr>
              <w:pStyle w:val="BodyBullet1"/>
              <w:numPr>
                <w:ilvl w:val="0"/>
                <w:numId w:val="37"/>
              </w:numPr>
              <w:ind w:left="426"/>
              <w:rPr>
                <w:szCs w:val="18"/>
              </w:rPr>
            </w:pPr>
            <w:r w:rsidRPr="001641EA">
              <w:rPr>
                <w:szCs w:val="18"/>
              </w:rPr>
              <w:t xml:space="preserve">Interviews with </w:t>
            </w:r>
            <w:r>
              <w:rPr>
                <w:szCs w:val="18"/>
              </w:rPr>
              <w:t xml:space="preserve">NOPSEMA, </w:t>
            </w:r>
            <w:r w:rsidRPr="001641EA">
              <w:rPr>
                <w:szCs w:val="18"/>
              </w:rPr>
              <w:t>DAWE</w:t>
            </w:r>
            <w:r>
              <w:rPr>
                <w:szCs w:val="18"/>
              </w:rPr>
              <w:t>, AAD, and Parks Australia</w:t>
            </w:r>
            <w:r w:rsidRPr="001641EA">
              <w:rPr>
                <w:szCs w:val="18"/>
              </w:rPr>
              <w:t xml:space="preserve"> </w:t>
            </w:r>
            <w:r>
              <w:rPr>
                <w:szCs w:val="18"/>
              </w:rPr>
              <w:t>personnel</w:t>
            </w:r>
          </w:p>
          <w:p w14:paraId="3F7B1225" w14:textId="77777777" w:rsidR="004F15D4" w:rsidRPr="004239CA" w:rsidRDefault="004F15D4" w:rsidP="004F15D4">
            <w:pPr>
              <w:pStyle w:val="BodyBullet1"/>
              <w:numPr>
                <w:ilvl w:val="0"/>
                <w:numId w:val="37"/>
              </w:numPr>
              <w:ind w:left="426"/>
              <w:rPr>
                <w:szCs w:val="18"/>
              </w:rPr>
            </w:pPr>
            <w:r w:rsidRPr="001641EA">
              <w:rPr>
                <w:szCs w:val="18"/>
              </w:rPr>
              <w:t>Review of relevant materials</w:t>
            </w:r>
            <w:r>
              <w:rPr>
                <w:szCs w:val="18"/>
              </w:rPr>
              <w:t>.</w:t>
            </w:r>
          </w:p>
        </w:tc>
      </w:tr>
      <w:tr w:rsidR="004F15D4" w:rsidRPr="004E64E3" w14:paraId="1BA12F9B" w14:textId="77777777" w:rsidTr="00164336">
        <w:trPr>
          <w:trHeight w:val="1727"/>
        </w:trPr>
        <w:tc>
          <w:tcPr>
            <w:tcW w:w="155" w:type="pct"/>
            <w:tcBorders>
              <w:top w:val="single" w:sz="8" w:space="0" w:color="BFBFBF"/>
              <w:left w:val="nil"/>
              <w:bottom w:val="single" w:sz="8" w:space="0" w:color="BFBFBF"/>
              <w:right w:val="nil"/>
            </w:tcBorders>
          </w:tcPr>
          <w:p w14:paraId="4A9052C8" w14:textId="77777777" w:rsidR="004F15D4" w:rsidRPr="004E64E3" w:rsidRDefault="004F15D4" w:rsidP="00144BA2">
            <w:pPr>
              <w:spacing w:after="0" w:line="240" w:lineRule="auto"/>
              <w:rPr>
                <w:rFonts w:ascii="Calibri Light" w:eastAsia="Times New Roman" w:hAnsi="Calibri Light" w:cs="Calibri Light"/>
                <w:b/>
                <w:bCs/>
                <w:color w:val="00ABAB"/>
                <w:kern w:val="24"/>
                <w:sz w:val="48"/>
                <w:szCs w:val="48"/>
                <w:lang w:eastAsia="en-AU"/>
              </w:rPr>
            </w:pPr>
            <w:r>
              <w:rPr>
                <w:rFonts w:ascii="Calibri Light" w:eastAsia="Times New Roman" w:hAnsi="Calibri Light" w:cs="Calibri Light"/>
                <w:b/>
                <w:bCs/>
                <w:color w:val="00ABAB"/>
                <w:kern w:val="24"/>
                <w:sz w:val="48"/>
                <w:szCs w:val="48"/>
                <w:lang w:eastAsia="en-AU"/>
              </w:rPr>
              <w:t>4</w:t>
            </w:r>
          </w:p>
        </w:tc>
        <w:tc>
          <w:tcPr>
            <w:tcW w:w="1395"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14:paraId="1DC496CE" w14:textId="77777777" w:rsidR="004F15D4" w:rsidRPr="004239CA" w:rsidRDefault="004F15D4" w:rsidP="00144BA2">
            <w:pPr>
              <w:spacing w:after="0" w:line="240" w:lineRule="auto"/>
              <w:rPr>
                <w:rFonts w:ascii="Calibri Light" w:eastAsia="Times New Roman" w:hAnsi="Calibri Light" w:cs="Calibri Light"/>
                <w:b/>
                <w:bCs/>
                <w:color w:val="00ABAB"/>
                <w:kern w:val="24"/>
                <w:lang w:eastAsia="en-AU"/>
              </w:rPr>
            </w:pPr>
            <w:r w:rsidRPr="004239CA">
              <w:rPr>
                <w:rFonts w:ascii="Calibri Light" w:eastAsia="Times New Roman" w:hAnsi="Calibri Light" w:cs="Calibri Light"/>
                <w:b/>
                <w:bCs/>
                <w:color w:val="00ABAB"/>
                <w:kern w:val="24"/>
                <w:lang w:eastAsia="en-AU"/>
              </w:rPr>
              <w:t xml:space="preserve">NOPSEMA’s </w:t>
            </w:r>
            <w:r>
              <w:rPr>
                <w:rFonts w:ascii="Calibri Light" w:eastAsia="Times New Roman" w:hAnsi="Calibri Light" w:cs="Calibri Light"/>
                <w:b/>
                <w:bCs/>
                <w:color w:val="00ABAB"/>
                <w:kern w:val="24"/>
                <w:lang w:eastAsia="en-AU"/>
              </w:rPr>
              <w:t>implementation of</w:t>
            </w:r>
            <w:r w:rsidRPr="004239CA">
              <w:rPr>
                <w:rFonts w:ascii="Calibri Light" w:eastAsia="Times New Roman" w:hAnsi="Calibri Light" w:cs="Calibri Light"/>
                <w:b/>
                <w:bCs/>
                <w:color w:val="00ABAB"/>
                <w:kern w:val="24"/>
                <w:lang w:eastAsia="en-AU"/>
              </w:rPr>
              <w:t xml:space="preserve"> the Administrative Arrangements</w:t>
            </w:r>
          </w:p>
          <w:p w14:paraId="19DA0FA4" w14:textId="77777777" w:rsidR="004F15D4" w:rsidRPr="004E64E3" w:rsidRDefault="004F15D4" w:rsidP="004F15D4">
            <w:pPr>
              <w:pStyle w:val="BodyBullet1"/>
              <w:numPr>
                <w:ilvl w:val="0"/>
                <w:numId w:val="37"/>
              </w:numPr>
              <w:ind w:left="426"/>
              <w:rPr>
                <w:szCs w:val="18"/>
              </w:rPr>
            </w:pPr>
            <w:r w:rsidRPr="004E64E3">
              <w:rPr>
                <w:szCs w:val="18"/>
              </w:rPr>
              <w:t>NOPSEMA’s execution of its roles and responsibilities under the Administrative Arrangements</w:t>
            </w:r>
          </w:p>
          <w:p w14:paraId="5D96BFE6" w14:textId="77777777" w:rsidR="004F15D4" w:rsidRPr="004239CA" w:rsidRDefault="004F15D4" w:rsidP="004F15D4">
            <w:pPr>
              <w:pStyle w:val="BodyBullet1"/>
              <w:numPr>
                <w:ilvl w:val="0"/>
                <w:numId w:val="37"/>
              </w:numPr>
              <w:ind w:left="426"/>
              <w:rPr>
                <w:szCs w:val="18"/>
              </w:rPr>
            </w:pPr>
            <w:r w:rsidRPr="004239CA">
              <w:rPr>
                <w:szCs w:val="18"/>
              </w:rPr>
              <w:t>Effectiveness of the relationship between NOPSEMA and DAWE</w:t>
            </w:r>
            <w:r>
              <w:rPr>
                <w:szCs w:val="18"/>
              </w:rPr>
              <w:t>.</w:t>
            </w:r>
          </w:p>
        </w:tc>
        <w:tc>
          <w:tcPr>
            <w:tcW w:w="2066"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14:paraId="1C848A0C" w14:textId="77777777" w:rsidR="006F0E2E" w:rsidRPr="006F0E2E" w:rsidRDefault="006F0E2E" w:rsidP="006F0E2E">
            <w:pPr>
              <w:pStyle w:val="BodyBullet1"/>
              <w:numPr>
                <w:ilvl w:val="0"/>
                <w:numId w:val="37"/>
              </w:numPr>
              <w:ind w:left="426"/>
              <w:rPr>
                <w:szCs w:val="18"/>
              </w:rPr>
            </w:pPr>
            <w:r w:rsidRPr="006F0E2E">
              <w:rPr>
                <w:szCs w:val="18"/>
              </w:rPr>
              <w:t>NOPSEMA successfully shares information with and advises DAWE on post approval matters and their approval conditions</w:t>
            </w:r>
          </w:p>
          <w:p w14:paraId="23B09E77" w14:textId="77777777" w:rsidR="006F0E2E" w:rsidRPr="006F0E2E" w:rsidRDefault="006F0E2E" w:rsidP="006F0E2E">
            <w:pPr>
              <w:pStyle w:val="BodyBullet1"/>
              <w:numPr>
                <w:ilvl w:val="0"/>
                <w:numId w:val="37"/>
              </w:numPr>
              <w:ind w:left="426"/>
              <w:rPr>
                <w:szCs w:val="18"/>
              </w:rPr>
            </w:pPr>
            <w:r w:rsidRPr="006F0E2E">
              <w:rPr>
                <w:szCs w:val="18"/>
              </w:rPr>
              <w:t>NOPSEMA and DAWE collaborate in an open and constructive manner</w:t>
            </w:r>
          </w:p>
          <w:p w14:paraId="6E443DC3" w14:textId="58B7855E" w:rsidR="004F15D4" w:rsidRPr="006F0E2E" w:rsidRDefault="006F0E2E" w:rsidP="006F0E2E">
            <w:pPr>
              <w:pStyle w:val="BodyBullet1"/>
              <w:numPr>
                <w:ilvl w:val="0"/>
                <w:numId w:val="37"/>
              </w:numPr>
              <w:ind w:left="426"/>
              <w:rPr>
                <w:szCs w:val="18"/>
              </w:rPr>
            </w:pPr>
            <w:r w:rsidRPr="006F0E2E">
              <w:rPr>
                <w:szCs w:val="18"/>
              </w:rPr>
              <w:t xml:space="preserve">NOPSEMA is meeting its agreed actions. </w:t>
            </w:r>
          </w:p>
        </w:tc>
        <w:tc>
          <w:tcPr>
            <w:tcW w:w="1383"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14:paraId="4B0254C8" w14:textId="77777777" w:rsidR="004F15D4" w:rsidRPr="004E64E3" w:rsidRDefault="004F15D4" w:rsidP="004F15D4">
            <w:pPr>
              <w:pStyle w:val="BodyBullet1"/>
              <w:numPr>
                <w:ilvl w:val="0"/>
                <w:numId w:val="37"/>
              </w:numPr>
              <w:ind w:left="426"/>
              <w:rPr>
                <w:szCs w:val="18"/>
              </w:rPr>
            </w:pPr>
            <w:r w:rsidRPr="004E64E3">
              <w:rPr>
                <w:szCs w:val="18"/>
              </w:rPr>
              <w:t xml:space="preserve">Interviews with </w:t>
            </w:r>
            <w:r>
              <w:rPr>
                <w:szCs w:val="18"/>
              </w:rPr>
              <w:t xml:space="preserve">NOPSEMA, </w:t>
            </w:r>
            <w:r w:rsidRPr="004E64E3">
              <w:rPr>
                <w:szCs w:val="18"/>
              </w:rPr>
              <w:t>DAWE</w:t>
            </w:r>
            <w:r>
              <w:rPr>
                <w:szCs w:val="18"/>
              </w:rPr>
              <w:t>, AAD and Parks Australia</w:t>
            </w:r>
            <w:r w:rsidRPr="004E64E3">
              <w:rPr>
                <w:szCs w:val="18"/>
              </w:rPr>
              <w:t xml:space="preserve"> </w:t>
            </w:r>
            <w:r>
              <w:rPr>
                <w:szCs w:val="18"/>
              </w:rPr>
              <w:t>personnel</w:t>
            </w:r>
          </w:p>
          <w:p w14:paraId="337B48B6" w14:textId="77777777" w:rsidR="004F15D4" w:rsidRPr="004E64E3" w:rsidRDefault="004F15D4" w:rsidP="004F15D4">
            <w:pPr>
              <w:pStyle w:val="BodyBullet1"/>
              <w:numPr>
                <w:ilvl w:val="0"/>
                <w:numId w:val="37"/>
              </w:numPr>
              <w:ind w:left="426"/>
              <w:rPr>
                <w:szCs w:val="18"/>
              </w:rPr>
            </w:pPr>
            <w:r w:rsidRPr="004E64E3">
              <w:rPr>
                <w:szCs w:val="18"/>
              </w:rPr>
              <w:t>Review of relevant materials</w:t>
            </w:r>
            <w:r>
              <w:rPr>
                <w:szCs w:val="18"/>
              </w:rPr>
              <w:t xml:space="preserve"> including policy documents and administration and cooperation arrangements.</w:t>
            </w:r>
          </w:p>
        </w:tc>
      </w:tr>
      <w:tr w:rsidR="004F15D4" w:rsidRPr="004E64E3" w14:paraId="722BE424" w14:textId="77777777" w:rsidTr="00164336">
        <w:trPr>
          <w:trHeight w:val="1201"/>
        </w:trPr>
        <w:tc>
          <w:tcPr>
            <w:tcW w:w="155" w:type="pct"/>
            <w:tcBorders>
              <w:top w:val="single" w:sz="8" w:space="0" w:color="BFBFBF"/>
              <w:left w:val="nil"/>
              <w:bottom w:val="single" w:sz="8" w:space="0" w:color="BFBFBF"/>
              <w:right w:val="nil"/>
            </w:tcBorders>
          </w:tcPr>
          <w:p w14:paraId="11AC1DB6" w14:textId="77777777" w:rsidR="004F15D4" w:rsidRPr="0041475E" w:rsidRDefault="004F15D4" w:rsidP="00144BA2">
            <w:pPr>
              <w:spacing w:after="0" w:line="240" w:lineRule="auto"/>
              <w:rPr>
                <w:rFonts w:ascii="Calibri Light" w:eastAsia="Times New Roman" w:hAnsi="Calibri Light" w:cs="Calibri Light"/>
                <w:b/>
                <w:bCs/>
                <w:color w:val="00ABAB"/>
                <w:kern w:val="24"/>
                <w:sz w:val="48"/>
                <w:szCs w:val="48"/>
                <w:lang w:eastAsia="en-AU"/>
              </w:rPr>
            </w:pPr>
            <w:r>
              <w:rPr>
                <w:rFonts w:ascii="Calibri Light" w:eastAsia="Times New Roman" w:hAnsi="Calibri Light" w:cs="Calibri Light"/>
                <w:b/>
                <w:bCs/>
                <w:color w:val="00ABAB"/>
                <w:kern w:val="24"/>
                <w:sz w:val="48"/>
                <w:szCs w:val="48"/>
                <w:lang w:eastAsia="en-AU"/>
              </w:rPr>
              <w:t>5</w:t>
            </w:r>
          </w:p>
        </w:tc>
        <w:tc>
          <w:tcPr>
            <w:tcW w:w="1395"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14:paraId="12FC7EC6" w14:textId="77777777" w:rsidR="004F15D4" w:rsidRPr="004239CA" w:rsidRDefault="004F15D4" w:rsidP="00144BA2">
            <w:pPr>
              <w:spacing w:after="0" w:line="240" w:lineRule="auto"/>
              <w:rPr>
                <w:rFonts w:ascii="Calibri Light" w:eastAsia="Times New Roman" w:hAnsi="Calibri Light" w:cs="Calibri Light"/>
                <w:b/>
                <w:bCs/>
                <w:color w:val="00ABAB"/>
                <w:kern w:val="24"/>
                <w:lang w:eastAsia="en-AU"/>
              </w:rPr>
            </w:pPr>
            <w:r w:rsidRPr="004239CA">
              <w:rPr>
                <w:rFonts w:ascii="Calibri Light" w:eastAsia="Times New Roman" w:hAnsi="Calibri Light" w:cs="Calibri Light"/>
                <w:b/>
                <w:bCs/>
                <w:color w:val="00ABAB"/>
                <w:kern w:val="24"/>
                <w:lang w:eastAsia="en-AU"/>
              </w:rPr>
              <w:t>NOPSEMA’s environment plan assessment process</w:t>
            </w:r>
          </w:p>
          <w:p w14:paraId="7B98397C" w14:textId="77777777" w:rsidR="004F15D4" w:rsidRPr="00704B97" w:rsidRDefault="004F15D4" w:rsidP="004F15D4">
            <w:pPr>
              <w:pStyle w:val="BodyBullet1"/>
              <w:numPr>
                <w:ilvl w:val="0"/>
                <w:numId w:val="37"/>
              </w:numPr>
              <w:ind w:left="426"/>
              <w:rPr>
                <w:szCs w:val="18"/>
              </w:rPr>
            </w:pPr>
            <w:r w:rsidRPr="004239CA">
              <w:rPr>
                <w:szCs w:val="18"/>
              </w:rPr>
              <w:t>NOPSEMA</w:t>
            </w:r>
            <w:r w:rsidRPr="0041475E">
              <w:rPr>
                <w:szCs w:val="18"/>
              </w:rPr>
              <w:t xml:space="preserve">’s </w:t>
            </w:r>
            <w:r>
              <w:rPr>
                <w:szCs w:val="18"/>
              </w:rPr>
              <w:t>EP</w:t>
            </w:r>
            <w:r w:rsidRPr="0041475E">
              <w:rPr>
                <w:szCs w:val="18"/>
              </w:rPr>
              <w:t xml:space="preserve"> assessment process, policies, and procedures</w:t>
            </w:r>
          </w:p>
          <w:p w14:paraId="19E235CC" w14:textId="77777777" w:rsidR="004F15D4" w:rsidRPr="006F27E6" w:rsidRDefault="004F15D4" w:rsidP="004F15D4">
            <w:pPr>
              <w:pStyle w:val="BodyBullet1"/>
              <w:numPr>
                <w:ilvl w:val="0"/>
                <w:numId w:val="37"/>
              </w:numPr>
              <w:ind w:left="426"/>
              <w:rPr>
                <w:lang w:eastAsia="en-AU"/>
              </w:rPr>
            </w:pPr>
            <w:r w:rsidRPr="004239CA">
              <w:rPr>
                <w:szCs w:val="18"/>
              </w:rPr>
              <w:t xml:space="preserve">The efficiency of NOPSEMA’s </w:t>
            </w:r>
            <w:r>
              <w:rPr>
                <w:szCs w:val="18"/>
              </w:rPr>
              <w:t xml:space="preserve">EP </w:t>
            </w:r>
            <w:r w:rsidRPr="004239CA">
              <w:rPr>
                <w:szCs w:val="18"/>
              </w:rPr>
              <w:t>assessment process, policies, and procedures</w:t>
            </w:r>
            <w:r>
              <w:rPr>
                <w:szCs w:val="18"/>
              </w:rPr>
              <w:t>.</w:t>
            </w:r>
          </w:p>
        </w:tc>
        <w:tc>
          <w:tcPr>
            <w:tcW w:w="2066"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14:paraId="16368E61" w14:textId="77777777" w:rsidR="004F15D4" w:rsidRDefault="004F15D4" w:rsidP="004F15D4">
            <w:pPr>
              <w:pStyle w:val="BodyBullet1"/>
              <w:numPr>
                <w:ilvl w:val="0"/>
                <w:numId w:val="37"/>
              </w:numPr>
              <w:ind w:left="426"/>
              <w:rPr>
                <w:szCs w:val="18"/>
              </w:rPr>
            </w:pPr>
            <w:r>
              <w:rPr>
                <w:szCs w:val="18"/>
              </w:rPr>
              <w:t>NOPSEMA’s EP assessment process is risk based, reliable, consistent, integrated with other NOPSEMA monitoring, compliance, and enforcement processes, and enables the adherence to program commitments and relevant Objects of the regulations and legislation</w:t>
            </w:r>
          </w:p>
          <w:p w14:paraId="4600ECB7" w14:textId="0367FA82" w:rsidR="004F15D4" w:rsidRPr="004E64E3" w:rsidRDefault="004F15D4" w:rsidP="004F15D4">
            <w:pPr>
              <w:pStyle w:val="BodyBullet1"/>
              <w:numPr>
                <w:ilvl w:val="0"/>
                <w:numId w:val="37"/>
              </w:numPr>
              <w:ind w:left="426"/>
              <w:rPr>
                <w:szCs w:val="18"/>
              </w:rPr>
            </w:pPr>
            <w:r>
              <w:rPr>
                <w:szCs w:val="18"/>
              </w:rPr>
              <w:t xml:space="preserve">EP assessment processes are efficient and streamlined relative to arrangements prior to the Endorsed Program being in </w:t>
            </w:r>
            <w:r w:rsidR="00074049">
              <w:rPr>
                <w:szCs w:val="18"/>
              </w:rPr>
              <w:t>effect</w:t>
            </w:r>
            <w:r>
              <w:rPr>
                <w:szCs w:val="18"/>
              </w:rPr>
              <w:t>.</w:t>
            </w:r>
          </w:p>
        </w:tc>
        <w:tc>
          <w:tcPr>
            <w:tcW w:w="1383" w:type="pct"/>
            <w:tcBorders>
              <w:top w:val="single" w:sz="8" w:space="0" w:color="BFBFBF"/>
              <w:left w:val="nil"/>
              <w:bottom w:val="single" w:sz="8" w:space="0" w:color="BFBFBF"/>
              <w:right w:val="nil"/>
            </w:tcBorders>
            <w:shd w:val="clear" w:color="auto" w:fill="auto"/>
            <w:tcMar>
              <w:top w:w="72" w:type="dxa"/>
              <w:left w:w="144" w:type="dxa"/>
              <w:bottom w:w="72" w:type="dxa"/>
              <w:right w:w="144" w:type="dxa"/>
            </w:tcMar>
          </w:tcPr>
          <w:p w14:paraId="2C85FB47" w14:textId="77777777" w:rsidR="004F15D4" w:rsidRPr="001641EA" w:rsidRDefault="004F15D4" w:rsidP="004F15D4">
            <w:pPr>
              <w:pStyle w:val="BodyBullet1"/>
              <w:numPr>
                <w:ilvl w:val="0"/>
                <w:numId w:val="37"/>
              </w:numPr>
              <w:ind w:left="426"/>
              <w:rPr>
                <w:szCs w:val="18"/>
              </w:rPr>
            </w:pPr>
            <w:r w:rsidRPr="001641EA">
              <w:rPr>
                <w:szCs w:val="18"/>
              </w:rPr>
              <w:t>Survey and interviews with key stakeholders across NOPSEMA’s stakeholder ecosystem</w:t>
            </w:r>
          </w:p>
          <w:p w14:paraId="2B05A19E" w14:textId="77777777" w:rsidR="004F15D4" w:rsidRDefault="004F15D4" w:rsidP="004F15D4">
            <w:pPr>
              <w:pStyle w:val="BodyBullet1"/>
              <w:numPr>
                <w:ilvl w:val="0"/>
                <w:numId w:val="37"/>
              </w:numPr>
              <w:ind w:left="426"/>
              <w:rPr>
                <w:szCs w:val="18"/>
              </w:rPr>
            </w:pPr>
            <w:r w:rsidRPr="001641EA">
              <w:rPr>
                <w:szCs w:val="18"/>
              </w:rPr>
              <w:t xml:space="preserve">Process walkthroughs and interviews with NOPSEMA </w:t>
            </w:r>
            <w:r>
              <w:rPr>
                <w:szCs w:val="18"/>
              </w:rPr>
              <w:t>personnel</w:t>
            </w:r>
            <w:r w:rsidRPr="001641EA">
              <w:rPr>
                <w:szCs w:val="18"/>
              </w:rPr>
              <w:t xml:space="preserve"> (including </w:t>
            </w:r>
            <w:r>
              <w:rPr>
                <w:szCs w:val="18"/>
              </w:rPr>
              <w:t xml:space="preserve">reviewing </w:t>
            </w:r>
            <w:r w:rsidRPr="001641EA">
              <w:rPr>
                <w:szCs w:val="18"/>
              </w:rPr>
              <w:t>case studies where relevant)</w:t>
            </w:r>
          </w:p>
          <w:p w14:paraId="1216078A" w14:textId="77777777" w:rsidR="004F15D4" w:rsidRPr="00DF2995" w:rsidRDefault="004F15D4" w:rsidP="004F15D4">
            <w:pPr>
              <w:pStyle w:val="BodyBullet1"/>
              <w:numPr>
                <w:ilvl w:val="0"/>
                <w:numId w:val="37"/>
              </w:numPr>
              <w:ind w:left="426"/>
              <w:rPr>
                <w:szCs w:val="18"/>
              </w:rPr>
            </w:pPr>
            <w:r w:rsidRPr="001641EA">
              <w:rPr>
                <w:szCs w:val="18"/>
              </w:rPr>
              <w:t>Interviews with</w:t>
            </w:r>
            <w:r>
              <w:rPr>
                <w:szCs w:val="18"/>
              </w:rPr>
              <w:t xml:space="preserve"> </w:t>
            </w:r>
            <w:r w:rsidRPr="001641EA">
              <w:rPr>
                <w:szCs w:val="18"/>
              </w:rPr>
              <w:t>DAWE</w:t>
            </w:r>
            <w:r>
              <w:rPr>
                <w:szCs w:val="18"/>
              </w:rPr>
              <w:t>, AAD, and Parks Australia</w:t>
            </w:r>
            <w:r w:rsidRPr="001641EA">
              <w:rPr>
                <w:szCs w:val="18"/>
              </w:rPr>
              <w:t xml:space="preserve"> </w:t>
            </w:r>
            <w:r>
              <w:rPr>
                <w:szCs w:val="18"/>
              </w:rPr>
              <w:t>personnel.</w:t>
            </w:r>
          </w:p>
        </w:tc>
      </w:tr>
      <w:tr w:rsidR="004F15D4" w:rsidRPr="004E64E3" w14:paraId="41CA339B" w14:textId="77777777" w:rsidTr="00144BA2">
        <w:trPr>
          <w:trHeight w:val="70"/>
        </w:trPr>
        <w:tc>
          <w:tcPr>
            <w:tcW w:w="5000" w:type="pct"/>
            <w:gridSpan w:val="4"/>
            <w:tcBorders>
              <w:top w:val="single" w:sz="8" w:space="0" w:color="BFBFBF"/>
              <w:left w:val="nil"/>
              <w:bottom w:val="single" w:sz="8" w:space="0" w:color="BFBFBF"/>
              <w:right w:val="nil"/>
            </w:tcBorders>
            <w:shd w:val="clear" w:color="auto" w:fill="F2F2F2" w:themeFill="background1" w:themeFillShade="F2"/>
          </w:tcPr>
          <w:p w14:paraId="18DC1CF6" w14:textId="77777777" w:rsidR="004F15D4" w:rsidRPr="001641EA" w:rsidRDefault="004F15D4" w:rsidP="00144BA2">
            <w:pPr>
              <w:pStyle w:val="BodyBullet1"/>
              <w:numPr>
                <w:ilvl w:val="0"/>
                <w:numId w:val="0"/>
              </w:numPr>
              <w:rPr>
                <w:szCs w:val="18"/>
              </w:rPr>
            </w:pPr>
            <w:r w:rsidRPr="001641EA">
              <w:rPr>
                <w:b/>
                <w:bCs/>
                <w:szCs w:val="18"/>
              </w:rPr>
              <w:t xml:space="preserve">ENABLING assessment dimensions examined as part of </w:t>
            </w:r>
            <w:r>
              <w:rPr>
                <w:b/>
                <w:bCs/>
                <w:szCs w:val="18"/>
              </w:rPr>
              <w:t xml:space="preserve">other sections of </w:t>
            </w:r>
            <w:r w:rsidRPr="001641EA">
              <w:rPr>
                <w:b/>
                <w:bCs/>
                <w:szCs w:val="18"/>
              </w:rPr>
              <w:t xml:space="preserve">the </w:t>
            </w:r>
            <w:r>
              <w:rPr>
                <w:b/>
                <w:bCs/>
                <w:szCs w:val="18"/>
              </w:rPr>
              <w:t>report</w:t>
            </w:r>
          </w:p>
          <w:p w14:paraId="4F4FC1CA" w14:textId="77777777" w:rsidR="004F15D4" w:rsidRPr="004E64E3" w:rsidRDefault="004F15D4" w:rsidP="00144BA2">
            <w:pPr>
              <w:pStyle w:val="BodyBullet1"/>
              <w:numPr>
                <w:ilvl w:val="0"/>
                <w:numId w:val="0"/>
              </w:numPr>
              <w:rPr>
                <w:szCs w:val="18"/>
              </w:rPr>
            </w:pPr>
            <w:r w:rsidRPr="001641EA">
              <w:rPr>
                <w:szCs w:val="18"/>
              </w:rPr>
              <w:t xml:space="preserve">Elements of NOPSEMA’s operational framework which indirectly enable the </w:t>
            </w:r>
            <w:r>
              <w:rPr>
                <w:szCs w:val="18"/>
              </w:rPr>
              <w:t xml:space="preserve">successful </w:t>
            </w:r>
            <w:r w:rsidRPr="001641EA">
              <w:rPr>
                <w:szCs w:val="18"/>
              </w:rPr>
              <w:t>delivery of the Endorsed Program</w:t>
            </w:r>
          </w:p>
        </w:tc>
      </w:tr>
      <w:tr w:rsidR="004F15D4" w:rsidRPr="004E64E3" w14:paraId="34871D83" w14:textId="77777777" w:rsidTr="00164336">
        <w:trPr>
          <w:trHeight w:val="366"/>
        </w:trPr>
        <w:tc>
          <w:tcPr>
            <w:tcW w:w="155" w:type="pct"/>
            <w:tcBorders>
              <w:top w:val="single" w:sz="8" w:space="0" w:color="BFBFBF"/>
              <w:left w:val="nil"/>
              <w:bottom w:val="single" w:sz="8" w:space="0" w:color="BFBFBF"/>
              <w:right w:val="nil"/>
            </w:tcBorders>
          </w:tcPr>
          <w:p w14:paraId="052A9741" w14:textId="77777777" w:rsidR="004F15D4" w:rsidRPr="004E64E3" w:rsidRDefault="004F15D4" w:rsidP="00144BA2">
            <w:pPr>
              <w:spacing w:after="0" w:line="240" w:lineRule="auto"/>
              <w:rPr>
                <w:rFonts w:ascii="Calibri Light" w:eastAsia="Times New Roman" w:hAnsi="Calibri Light" w:cs="Calibri Light"/>
                <w:b/>
                <w:bCs/>
                <w:color w:val="6FC2B4"/>
                <w:kern w:val="24"/>
                <w:sz w:val="48"/>
                <w:szCs w:val="48"/>
                <w:lang w:eastAsia="en-AU"/>
              </w:rPr>
            </w:pPr>
            <w:r>
              <w:rPr>
                <w:rFonts w:ascii="Calibri Light" w:eastAsia="Times New Roman" w:hAnsi="Calibri Light" w:cs="Calibri Light"/>
                <w:b/>
                <w:bCs/>
                <w:color w:val="6FC2B4"/>
                <w:kern w:val="24"/>
                <w:sz w:val="48"/>
                <w:szCs w:val="48"/>
                <w:lang w:eastAsia="en-AU"/>
              </w:rPr>
              <w:t>6</w:t>
            </w:r>
          </w:p>
        </w:tc>
        <w:tc>
          <w:tcPr>
            <w:tcW w:w="1395" w:type="pct"/>
            <w:tcBorders>
              <w:top w:val="single" w:sz="8" w:space="0" w:color="BFBFBF"/>
              <w:left w:val="nil"/>
              <w:bottom w:val="single" w:sz="8" w:space="0" w:color="BFBFBF"/>
              <w:right w:val="nil"/>
            </w:tcBorders>
            <w:shd w:val="clear" w:color="auto" w:fill="auto"/>
            <w:tcMar>
              <w:top w:w="15" w:type="dxa"/>
              <w:left w:w="108" w:type="dxa"/>
              <w:bottom w:w="0" w:type="dxa"/>
              <w:right w:w="108" w:type="dxa"/>
            </w:tcMar>
            <w:hideMark/>
          </w:tcPr>
          <w:p w14:paraId="4DF95933" w14:textId="77777777" w:rsidR="004F15D4" w:rsidRPr="004239CA" w:rsidRDefault="004F15D4" w:rsidP="00144BA2">
            <w:pPr>
              <w:spacing w:after="0" w:line="240" w:lineRule="auto"/>
              <w:rPr>
                <w:rFonts w:ascii="Calibri Light" w:eastAsia="Times New Roman" w:hAnsi="Calibri Light" w:cs="Calibri Light"/>
                <w:b/>
                <w:bCs/>
                <w:color w:val="6FC2B4"/>
                <w:kern w:val="24"/>
                <w:lang w:eastAsia="en-AU"/>
              </w:rPr>
            </w:pPr>
            <w:r w:rsidRPr="004239CA">
              <w:rPr>
                <w:rFonts w:ascii="Calibri Light" w:eastAsia="Times New Roman" w:hAnsi="Calibri Light" w:cs="Calibri Light"/>
                <w:b/>
                <w:bCs/>
                <w:color w:val="6FC2B4"/>
                <w:kern w:val="24"/>
                <w:lang w:eastAsia="en-AU"/>
              </w:rPr>
              <w:t>Effectiveness of compliance, monitoring, and enforcement approaches</w:t>
            </w:r>
          </w:p>
          <w:p w14:paraId="71DFE964" w14:textId="77777777" w:rsidR="004F15D4" w:rsidRPr="004E64E3" w:rsidRDefault="004F15D4" w:rsidP="004F15D4">
            <w:pPr>
              <w:pStyle w:val="BodyBullet1"/>
              <w:numPr>
                <w:ilvl w:val="0"/>
                <w:numId w:val="37"/>
              </w:numPr>
              <w:ind w:left="426"/>
              <w:rPr>
                <w:szCs w:val="18"/>
              </w:rPr>
            </w:pPr>
            <w:r w:rsidRPr="004E64E3">
              <w:rPr>
                <w:szCs w:val="18"/>
              </w:rPr>
              <w:t>NOPSEMA’s compliance, monitoring, and enforcement processes, policies, and procedures</w:t>
            </w:r>
          </w:p>
          <w:p w14:paraId="3609A8CD" w14:textId="77777777" w:rsidR="004F15D4" w:rsidRPr="004239CA" w:rsidRDefault="004F15D4" w:rsidP="004F15D4">
            <w:pPr>
              <w:pStyle w:val="BodyBullet1"/>
              <w:numPr>
                <w:ilvl w:val="0"/>
                <w:numId w:val="37"/>
              </w:numPr>
              <w:ind w:left="426"/>
              <w:rPr>
                <w:szCs w:val="18"/>
              </w:rPr>
            </w:pPr>
            <w:r w:rsidRPr="004239CA">
              <w:rPr>
                <w:szCs w:val="18"/>
              </w:rPr>
              <w:t>Observed outcomes of compliance, monitoring, and enforcement activities</w:t>
            </w:r>
            <w:r>
              <w:rPr>
                <w:szCs w:val="18"/>
              </w:rPr>
              <w:t>.</w:t>
            </w:r>
          </w:p>
        </w:tc>
        <w:tc>
          <w:tcPr>
            <w:tcW w:w="2066" w:type="pct"/>
            <w:tcBorders>
              <w:top w:val="single" w:sz="8" w:space="0" w:color="BFBFBF"/>
              <w:left w:val="nil"/>
              <w:bottom w:val="single" w:sz="8" w:space="0" w:color="BFBFBF"/>
              <w:right w:val="nil"/>
            </w:tcBorders>
            <w:shd w:val="clear" w:color="auto" w:fill="auto"/>
            <w:tcMar>
              <w:top w:w="15" w:type="dxa"/>
              <w:left w:w="108" w:type="dxa"/>
              <w:bottom w:w="0" w:type="dxa"/>
              <w:right w:w="108" w:type="dxa"/>
            </w:tcMar>
            <w:hideMark/>
          </w:tcPr>
          <w:p w14:paraId="2B9D8389" w14:textId="77777777" w:rsidR="004F15D4" w:rsidRPr="0024082D" w:rsidRDefault="004F15D4" w:rsidP="004F15D4">
            <w:pPr>
              <w:pStyle w:val="BodyBullet1"/>
              <w:numPr>
                <w:ilvl w:val="0"/>
                <w:numId w:val="37"/>
              </w:numPr>
              <w:ind w:left="426"/>
              <w:rPr>
                <w:szCs w:val="18"/>
              </w:rPr>
            </w:pPr>
            <w:r w:rsidRPr="004239CA">
              <w:rPr>
                <w:szCs w:val="18"/>
              </w:rPr>
              <w:t>NOPSEMA’s processes, policies, and procedures have the appropriate safeguards, are consistent with one another and form a cohesive (integrated) approach to regulatory activities, enabl</w:t>
            </w:r>
            <w:r>
              <w:rPr>
                <w:szCs w:val="18"/>
              </w:rPr>
              <w:t>e</w:t>
            </w:r>
            <w:r w:rsidRPr="004239CA">
              <w:rPr>
                <w:szCs w:val="18"/>
              </w:rPr>
              <w:t xml:space="preserve"> </w:t>
            </w:r>
            <w:r>
              <w:rPr>
                <w:szCs w:val="18"/>
              </w:rPr>
              <w:t>the application of</w:t>
            </w:r>
            <w:r w:rsidRPr="0024082D">
              <w:rPr>
                <w:szCs w:val="18"/>
              </w:rPr>
              <w:t xml:space="preserve"> an objective/risk-based regulatory approach, align to appropriate government standards and leading practice, and align to the relevant legislation and regulations</w:t>
            </w:r>
            <w:r>
              <w:rPr>
                <w:szCs w:val="18"/>
              </w:rPr>
              <w:t>.</w:t>
            </w:r>
          </w:p>
        </w:tc>
        <w:tc>
          <w:tcPr>
            <w:tcW w:w="1383" w:type="pct"/>
            <w:tcBorders>
              <w:top w:val="single" w:sz="8" w:space="0" w:color="BFBFBF"/>
              <w:left w:val="nil"/>
              <w:bottom w:val="single" w:sz="8" w:space="0" w:color="BFBFBF"/>
              <w:right w:val="nil"/>
            </w:tcBorders>
            <w:shd w:val="clear" w:color="auto" w:fill="auto"/>
            <w:tcMar>
              <w:top w:w="15" w:type="dxa"/>
              <w:left w:w="108" w:type="dxa"/>
              <w:bottom w:w="0" w:type="dxa"/>
              <w:right w:w="108" w:type="dxa"/>
            </w:tcMar>
            <w:hideMark/>
          </w:tcPr>
          <w:p w14:paraId="54CBE80C" w14:textId="77777777" w:rsidR="004F15D4" w:rsidRPr="004E64E3" w:rsidRDefault="004F15D4" w:rsidP="004F15D4">
            <w:pPr>
              <w:pStyle w:val="BodyBullet1"/>
              <w:numPr>
                <w:ilvl w:val="0"/>
                <w:numId w:val="37"/>
              </w:numPr>
              <w:ind w:left="426"/>
              <w:rPr>
                <w:szCs w:val="18"/>
              </w:rPr>
            </w:pPr>
            <w:r w:rsidRPr="004E64E3">
              <w:rPr>
                <w:szCs w:val="18"/>
              </w:rPr>
              <w:t xml:space="preserve">Process walkthroughs and interviews with NOPSEMA </w:t>
            </w:r>
            <w:r>
              <w:rPr>
                <w:szCs w:val="18"/>
              </w:rPr>
              <w:t>personnel</w:t>
            </w:r>
            <w:r w:rsidRPr="004E64E3">
              <w:rPr>
                <w:szCs w:val="18"/>
              </w:rPr>
              <w:t xml:space="preserve"> (including applying case studies where relevant)</w:t>
            </w:r>
          </w:p>
          <w:p w14:paraId="2D9206ED" w14:textId="77777777" w:rsidR="004F15D4" w:rsidRDefault="004F15D4" w:rsidP="004F15D4">
            <w:pPr>
              <w:pStyle w:val="BodyBullet1"/>
              <w:numPr>
                <w:ilvl w:val="0"/>
                <w:numId w:val="37"/>
              </w:numPr>
              <w:ind w:left="426"/>
              <w:rPr>
                <w:szCs w:val="18"/>
              </w:rPr>
            </w:pPr>
            <w:r w:rsidRPr="004E64E3">
              <w:rPr>
                <w:szCs w:val="18"/>
              </w:rPr>
              <w:t>System/technology demonstrations</w:t>
            </w:r>
          </w:p>
          <w:p w14:paraId="56208185" w14:textId="4E9026FC" w:rsidR="004F15D4" w:rsidRPr="001641EA" w:rsidRDefault="004F15D4" w:rsidP="00144BA2">
            <w:pPr>
              <w:pStyle w:val="BodyBullet1"/>
              <w:numPr>
                <w:ilvl w:val="0"/>
                <w:numId w:val="0"/>
              </w:numPr>
              <w:ind w:left="66"/>
              <w:rPr>
                <w:szCs w:val="18"/>
              </w:rPr>
            </w:pPr>
            <w:r>
              <w:rPr>
                <w:szCs w:val="18"/>
              </w:rPr>
              <w:t xml:space="preserve">For an examination of this assessment dimension as it relates to NOPSEMA’s full regulatory remit – Occupational Health and Safety, environmental management, and well integrity – please refer to </w:t>
            </w:r>
            <w:r w:rsidR="00255E05" w:rsidRPr="00276A29">
              <w:rPr>
                <w:b/>
              </w:rPr>
              <w:t xml:space="preserve">Section </w:t>
            </w:r>
            <w:r w:rsidR="00255E05" w:rsidRPr="00276A29">
              <w:rPr>
                <w:b/>
              </w:rPr>
              <w:fldChar w:fldCharType="begin"/>
            </w:r>
            <w:r w:rsidR="00255E05" w:rsidRPr="00276A29">
              <w:rPr>
                <w:b/>
              </w:rPr>
              <w:instrText xml:space="preserve"> REF _Ref55978299 \r \h  \* MERGEFORMAT </w:instrText>
            </w:r>
            <w:r w:rsidR="00255E05" w:rsidRPr="00276A29">
              <w:rPr>
                <w:b/>
              </w:rPr>
            </w:r>
            <w:r w:rsidR="00255E05" w:rsidRPr="00276A29">
              <w:rPr>
                <w:b/>
              </w:rPr>
              <w:fldChar w:fldCharType="separate"/>
            </w:r>
            <w:r w:rsidR="00E816B8">
              <w:rPr>
                <w:b/>
              </w:rPr>
              <w:t>6</w:t>
            </w:r>
            <w:r w:rsidR="00255E05" w:rsidRPr="00276A29">
              <w:rPr>
                <w:b/>
              </w:rPr>
              <w:fldChar w:fldCharType="end"/>
            </w:r>
            <w:r>
              <w:rPr>
                <w:szCs w:val="18"/>
              </w:rPr>
              <w:t>.</w:t>
            </w:r>
          </w:p>
          <w:p w14:paraId="3815B9D6" w14:textId="77777777" w:rsidR="004F15D4" w:rsidRPr="0024082D" w:rsidRDefault="004F15D4" w:rsidP="00144BA2">
            <w:pPr>
              <w:pStyle w:val="BodyBullet1"/>
              <w:numPr>
                <w:ilvl w:val="0"/>
                <w:numId w:val="0"/>
              </w:numPr>
              <w:rPr>
                <w:szCs w:val="18"/>
              </w:rPr>
            </w:pPr>
          </w:p>
        </w:tc>
      </w:tr>
      <w:tr w:rsidR="004F15D4" w:rsidRPr="004E64E3" w14:paraId="556DEE4F" w14:textId="77777777" w:rsidTr="00164336">
        <w:trPr>
          <w:trHeight w:val="130"/>
        </w:trPr>
        <w:tc>
          <w:tcPr>
            <w:tcW w:w="155" w:type="pct"/>
            <w:tcBorders>
              <w:top w:val="single" w:sz="8" w:space="0" w:color="BFBFBF"/>
              <w:left w:val="nil"/>
              <w:bottom w:val="single" w:sz="8" w:space="0" w:color="BFBFBF"/>
              <w:right w:val="nil"/>
            </w:tcBorders>
          </w:tcPr>
          <w:p w14:paraId="3E83EB1B" w14:textId="77777777" w:rsidR="004F15D4" w:rsidRPr="004E64E3" w:rsidRDefault="004F15D4" w:rsidP="00144BA2">
            <w:pPr>
              <w:spacing w:after="0" w:line="240" w:lineRule="auto"/>
              <w:rPr>
                <w:rFonts w:ascii="Calibri Light" w:eastAsia="Times New Roman" w:hAnsi="Calibri Light" w:cs="Calibri Light"/>
                <w:b/>
                <w:bCs/>
                <w:color w:val="6FC2B4"/>
                <w:kern w:val="24"/>
                <w:sz w:val="48"/>
                <w:szCs w:val="48"/>
                <w:lang w:eastAsia="en-AU"/>
              </w:rPr>
            </w:pPr>
            <w:r>
              <w:rPr>
                <w:rFonts w:ascii="Calibri Light" w:eastAsia="Times New Roman" w:hAnsi="Calibri Light" w:cs="Calibri Light"/>
                <w:b/>
                <w:bCs/>
                <w:color w:val="6FC2B4"/>
                <w:kern w:val="24"/>
                <w:sz w:val="48"/>
                <w:szCs w:val="48"/>
                <w:lang w:eastAsia="en-AU"/>
              </w:rPr>
              <w:lastRenderedPageBreak/>
              <w:t>7</w:t>
            </w:r>
          </w:p>
        </w:tc>
        <w:tc>
          <w:tcPr>
            <w:tcW w:w="1395" w:type="pct"/>
            <w:tcBorders>
              <w:top w:val="single" w:sz="8" w:space="0" w:color="BFBFBF"/>
              <w:left w:val="nil"/>
              <w:bottom w:val="single" w:sz="8" w:space="0" w:color="BFBFBF"/>
              <w:right w:val="nil"/>
            </w:tcBorders>
            <w:shd w:val="clear" w:color="auto" w:fill="auto"/>
            <w:tcMar>
              <w:top w:w="15" w:type="dxa"/>
              <w:left w:w="108" w:type="dxa"/>
              <w:bottom w:w="0" w:type="dxa"/>
              <w:right w:w="108" w:type="dxa"/>
            </w:tcMar>
            <w:hideMark/>
          </w:tcPr>
          <w:p w14:paraId="65DF2D58" w14:textId="77777777" w:rsidR="004F15D4" w:rsidRPr="0024082D" w:rsidRDefault="004F15D4" w:rsidP="00144BA2">
            <w:pPr>
              <w:spacing w:after="0" w:line="240" w:lineRule="auto"/>
              <w:rPr>
                <w:rFonts w:ascii="Calibri Light" w:eastAsia="Times New Roman" w:hAnsi="Calibri Light" w:cs="Calibri Light"/>
                <w:b/>
                <w:bCs/>
                <w:color w:val="6FC2B4"/>
                <w:kern w:val="24"/>
                <w:lang w:eastAsia="en-AU"/>
              </w:rPr>
            </w:pPr>
            <w:r w:rsidRPr="0024082D">
              <w:rPr>
                <w:rFonts w:ascii="Calibri Light" w:eastAsia="Times New Roman" w:hAnsi="Calibri Light" w:cs="Calibri Light"/>
                <w:b/>
                <w:bCs/>
                <w:color w:val="6FC2B4"/>
                <w:kern w:val="24"/>
                <w:lang w:eastAsia="en-AU"/>
              </w:rPr>
              <w:t>Effectiveness of stakeholder engagement and collaboration to enable NOPSEMA to discharge its duties in accordance with the Endorsed Program</w:t>
            </w:r>
          </w:p>
          <w:p w14:paraId="3DDB6E33" w14:textId="77777777" w:rsidR="004F15D4" w:rsidRPr="0024082D" w:rsidRDefault="004F15D4" w:rsidP="004F15D4">
            <w:pPr>
              <w:pStyle w:val="BodyBullet1"/>
              <w:numPr>
                <w:ilvl w:val="0"/>
                <w:numId w:val="37"/>
              </w:numPr>
              <w:ind w:left="426"/>
              <w:rPr>
                <w:szCs w:val="18"/>
              </w:rPr>
            </w:pPr>
            <w:r w:rsidRPr="0024082D">
              <w:rPr>
                <w:szCs w:val="18"/>
              </w:rPr>
              <w:t xml:space="preserve">Depth and breadth of </w:t>
            </w:r>
            <w:r>
              <w:rPr>
                <w:szCs w:val="18"/>
              </w:rPr>
              <w:t xml:space="preserve">NOPSEMA’s </w:t>
            </w:r>
            <w:r w:rsidRPr="0024082D">
              <w:rPr>
                <w:szCs w:val="18"/>
              </w:rPr>
              <w:t>stakeholder relationships, engagement approach, and communications</w:t>
            </w:r>
            <w:r>
              <w:rPr>
                <w:szCs w:val="18"/>
              </w:rPr>
              <w:t>.</w:t>
            </w:r>
          </w:p>
        </w:tc>
        <w:tc>
          <w:tcPr>
            <w:tcW w:w="2066" w:type="pct"/>
            <w:tcBorders>
              <w:top w:val="single" w:sz="8" w:space="0" w:color="BFBFBF"/>
              <w:left w:val="nil"/>
              <w:bottom w:val="single" w:sz="8" w:space="0" w:color="BFBFBF"/>
              <w:right w:val="nil"/>
            </w:tcBorders>
            <w:shd w:val="clear" w:color="auto" w:fill="auto"/>
            <w:tcMar>
              <w:top w:w="15" w:type="dxa"/>
              <w:left w:w="108" w:type="dxa"/>
              <w:bottom w:w="0" w:type="dxa"/>
              <w:right w:w="108" w:type="dxa"/>
            </w:tcMar>
            <w:hideMark/>
          </w:tcPr>
          <w:p w14:paraId="261F5D37" w14:textId="77777777" w:rsidR="004F15D4" w:rsidRPr="004E64E3" w:rsidRDefault="004F15D4" w:rsidP="004F15D4">
            <w:pPr>
              <w:pStyle w:val="BodyBullet1"/>
              <w:numPr>
                <w:ilvl w:val="0"/>
                <w:numId w:val="37"/>
              </w:numPr>
              <w:ind w:left="426"/>
              <w:rPr>
                <w:szCs w:val="18"/>
              </w:rPr>
            </w:pPr>
            <w:r w:rsidRPr="004E64E3">
              <w:rPr>
                <w:szCs w:val="18"/>
              </w:rPr>
              <w:t>NOPSEMA has a wide range of effective and productive relationships with its state/territory and Commonwealth government peers, international peers, industry stakeholders, and community/adjacent industry stakeholders</w:t>
            </w:r>
            <w:r>
              <w:rPr>
                <w:szCs w:val="18"/>
              </w:rPr>
              <w:t>.</w:t>
            </w:r>
          </w:p>
          <w:p w14:paraId="1C47D3C9" w14:textId="77777777" w:rsidR="004F15D4" w:rsidRPr="004E64E3" w:rsidRDefault="004F15D4" w:rsidP="004F15D4">
            <w:pPr>
              <w:pStyle w:val="BodyBullet1"/>
              <w:numPr>
                <w:ilvl w:val="0"/>
                <w:numId w:val="37"/>
              </w:numPr>
              <w:ind w:left="426"/>
              <w:rPr>
                <w:szCs w:val="18"/>
              </w:rPr>
            </w:pPr>
            <w:r w:rsidRPr="004E64E3">
              <w:rPr>
                <w:szCs w:val="18"/>
              </w:rPr>
              <w:t>NOPSEMA has defined processes and frameworks to managing its stakeholder engagement activities</w:t>
            </w:r>
          </w:p>
          <w:p w14:paraId="0A948078" w14:textId="77777777" w:rsidR="004F15D4" w:rsidRPr="0024082D" w:rsidRDefault="004F15D4" w:rsidP="004F15D4">
            <w:pPr>
              <w:pStyle w:val="BodyBullet1"/>
              <w:numPr>
                <w:ilvl w:val="0"/>
                <w:numId w:val="37"/>
              </w:numPr>
              <w:ind w:left="426"/>
              <w:rPr>
                <w:szCs w:val="18"/>
              </w:rPr>
            </w:pPr>
            <w:r w:rsidRPr="0024082D">
              <w:rPr>
                <w:szCs w:val="18"/>
              </w:rPr>
              <w:t>NOPSEMA actively seeks to build community confidence in the regulation of offshore oil and gas activities</w:t>
            </w:r>
            <w:r>
              <w:rPr>
                <w:szCs w:val="18"/>
              </w:rPr>
              <w:t>.</w:t>
            </w:r>
          </w:p>
        </w:tc>
        <w:tc>
          <w:tcPr>
            <w:tcW w:w="1383" w:type="pct"/>
            <w:tcBorders>
              <w:top w:val="single" w:sz="8" w:space="0" w:color="BFBFBF"/>
              <w:left w:val="nil"/>
              <w:bottom w:val="single" w:sz="8" w:space="0" w:color="BFBFBF"/>
              <w:right w:val="nil"/>
            </w:tcBorders>
            <w:shd w:val="clear" w:color="auto" w:fill="auto"/>
            <w:tcMar>
              <w:top w:w="15" w:type="dxa"/>
              <w:left w:w="108" w:type="dxa"/>
              <w:bottom w:w="0" w:type="dxa"/>
              <w:right w:w="108" w:type="dxa"/>
            </w:tcMar>
            <w:hideMark/>
          </w:tcPr>
          <w:p w14:paraId="7E1122C7" w14:textId="77777777" w:rsidR="004F15D4" w:rsidRPr="004E64E3" w:rsidRDefault="004F15D4" w:rsidP="004F15D4">
            <w:pPr>
              <w:pStyle w:val="BodyBullet1"/>
              <w:numPr>
                <w:ilvl w:val="0"/>
                <w:numId w:val="37"/>
              </w:numPr>
              <w:ind w:left="426"/>
              <w:rPr>
                <w:szCs w:val="18"/>
              </w:rPr>
            </w:pPr>
            <w:r w:rsidRPr="004E64E3">
              <w:rPr>
                <w:szCs w:val="18"/>
              </w:rPr>
              <w:t>Survey and interviews with key stakeholders across NOPSEMA’s stakeholder ecosystem</w:t>
            </w:r>
            <w:r>
              <w:rPr>
                <w:szCs w:val="18"/>
              </w:rPr>
              <w:t xml:space="preserve">, including government, industry, and NGO sector. </w:t>
            </w:r>
          </w:p>
          <w:p w14:paraId="72702C6B" w14:textId="77777777" w:rsidR="004F15D4" w:rsidRDefault="004F15D4" w:rsidP="004F15D4">
            <w:pPr>
              <w:pStyle w:val="BodyBullet1"/>
              <w:numPr>
                <w:ilvl w:val="0"/>
                <w:numId w:val="37"/>
              </w:numPr>
              <w:ind w:left="426"/>
              <w:rPr>
                <w:szCs w:val="18"/>
              </w:rPr>
            </w:pPr>
            <w:r w:rsidRPr="004E64E3">
              <w:rPr>
                <w:szCs w:val="18"/>
              </w:rPr>
              <w:t xml:space="preserve">Interviews with NOPSEMA </w:t>
            </w:r>
            <w:r>
              <w:rPr>
                <w:szCs w:val="18"/>
              </w:rPr>
              <w:t>personnel</w:t>
            </w:r>
          </w:p>
          <w:p w14:paraId="5464F616" w14:textId="77777777" w:rsidR="004F15D4" w:rsidRDefault="004F15D4" w:rsidP="004F15D4">
            <w:pPr>
              <w:pStyle w:val="BodyBullet1"/>
              <w:numPr>
                <w:ilvl w:val="0"/>
                <w:numId w:val="37"/>
              </w:numPr>
              <w:ind w:left="426"/>
              <w:rPr>
                <w:szCs w:val="18"/>
              </w:rPr>
            </w:pPr>
            <w:r w:rsidRPr="001641EA">
              <w:rPr>
                <w:szCs w:val="18"/>
              </w:rPr>
              <w:t>Review of relevant materials</w:t>
            </w:r>
            <w:r>
              <w:rPr>
                <w:szCs w:val="18"/>
              </w:rPr>
              <w:t>.</w:t>
            </w:r>
          </w:p>
          <w:p w14:paraId="40419584" w14:textId="739E56EE" w:rsidR="004F15D4" w:rsidRPr="001641EA" w:rsidRDefault="004F15D4" w:rsidP="00144BA2">
            <w:pPr>
              <w:pStyle w:val="BodyBullet1"/>
              <w:numPr>
                <w:ilvl w:val="0"/>
                <w:numId w:val="0"/>
              </w:numPr>
              <w:ind w:left="66"/>
              <w:rPr>
                <w:szCs w:val="18"/>
              </w:rPr>
            </w:pPr>
            <w:r>
              <w:rPr>
                <w:szCs w:val="18"/>
              </w:rPr>
              <w:t xml:space="preserve">For an examination of this assessment dimension as it relates to NOPSEMA’s full regulatory remit – Occupational Health and Safety, environmental management, and well integrity – please refer to </w:t>
            </w:r>
            <w:r w:rsidR="007B6658" w:rsidRPr="00E94BB2">
              <w:rPr>
                <w:b/>
              </w:rPr>
              <w:t xml:space="preserve">Section </w:t>
            </w:r>
            <w:r w:rsidR="007B6658" w:rsidRPr="00E94BB2">
              <w:rPr>
                <w:b/>
              </w:rPr>
              <w:fldChar w:fldCharType="begin"/>
            </w:r>
            <w:r w:rsidR="007B6658" w:rsidRPr="00E94BB2">
              <w:rPr>
                <w:b/>
              </w:rPr>
              <w:instrText xml:space="preserve"> REF _Ref56070743 \r \h </w:instrText>
            </w:r>
            <w:r w:rsidR="007B6658">
              <w:rPr>
                <w:b/>
                <w:bCs/>
              </w:rPr>
              <w:instrText xml:space="preserve"> \* MERGEFORMAT </w:instrText>
            </w:r>
            <w:r w:rsidR="007B6658" w:rsidRPr="00E94BB2">
              <w:rPr>
                <w:b/>
              </w:rPr>
            </w:r>
            <w:r w:rsidR="007B6658" w:rsidRPr="00E94BB2">
              <w:rPr>
                <w:b/>
              </w:rPr>
              <w:fldChar w:fldCharType="separate"/>
            </w:r>
            <w:r w:rsidR="00E816B8">
              <w:rPr>
                <w:b/>
              </w:rPr>
              <w:t>9</w:t>
            </w:r>
            <w:r w:rsidR="007B6658" w:rsidRPr="00E94BB2">
              <w:rPr>
                <w:b/>
              </w:rPr>
              <w:fldChar w:fldCharType="end"/>
            </w:r>
            <w:r>
              <w:rPr>
                <w:szCs w:val="18"/>
              </w:rPr>
              <w:t>.</w:t>
            </w:r>
          </w:p>
          <w:p w14:paraId="2F11B588" w14:textId="77777777" w:rsidR="004F15D4" w:rsidRPr="0024082D" w:rsidRDefault="004F15D4" w:rsidP="00144BA2">
            <w:pPr>
              <w:pStyle w:val="BodyBullet1"/>
              <w:numPr>
                <w:ilvl w:val="0"/>
                <w:numId w:val="0"/>
              </w:numPr>
              <w:ind w:left="66"/>
              <w:rPr>
                <w:szCs w:val="18"/>
              </w:rPr>
            </w:pPr>
          </w:p>
        </w:tc>
      </w:tr>
      <w:tr w:rsidR="004F15D4" w:rsidRPr="004E64E3" w14:paraId="2A55A205" w14:textId="77777777" w:rsidTr="00164336">
        <w:trPr>
          <w:trHeight w:val="130"/>
        </w:trPr>
        <w:tc>
          <w:tcPr>
            <w:tcW w:w="155" w:type="pct"/>
            <w:tcBorders>
              <w:top w:val="single" w:sz="8" w:space="0" w:color="BFBFBF"/>
              <w:left w:val="nil"/>
              <w:bottom w:val="single" w:sz="8" w:space="0" w:color="BFBFBF"/>
              <w:right w:val="nil"/>
            </w:tcBorders>
          </w:tcPr>
          <w:p w14:paraId="755C269C" w14:textId="77777777" w:rsidR="004F15D4" w:rsidRPr="004E64E3" w:rsidRDefault="004F15D4" w:rsidP="00144BA2">
            <w:pPr>
              <w:spacing w:after="0" w:line="240" w:lineRule="auto"/>
              <w:rPr>
                <w:rFonts w:ascii="Calibri Light" w:eastAsia="Times New Roman" w:hAnsi="Calibri Light" w:cs="Calibri Light"/>
                <w:b/>
                <w:bCs/>
                <w:color w:val="6FC2B4"/>
                <w:kern w:val="24"/>
                <w:sz w:val="48"/>
                <w:szCs w:val="48"/>
                <w:lang w:eastAsia="en-AU"/>
              </w:rPr>
            </w:pPr>
            <w:r>
              <w:rPr>
                <w:rFonts w:ascii="Calibri Light" w:eastAsia="Times New Roman" w:hAnsi="Calibri Light" w:cs="Calibri Light"/>
                <w:b/>
                <w:bCs/>
                <w:color w:val="6FC2B4"/>
                <w:kern w:val="24"/>
                <w:sz w:val="48"/>
                <w:szCs w:val="48"/>
                <w:lang w:eastAsia="en-AU"/>
              </w:rPr>
              <w:t>8</w:t>
            </w:r>
          </w:p>
        </w:tc>
        <w:tc>
          <w:tcPr>
            <w:tcW w:w="1395" w:type="pct"/>
            <w:tcBorders>
              <w:top w:val="single" w:sz="8" w:space="0" w:color="BFBFBF"/>
              <w:left w:val="nil"/>
              <w:bottom w:val="single" w:sz="8" w:space="0" w:color="BFBFBF"/>
              <w:right w:val="nil"/>
            </w:tcBorders>
            <w:shd w:val="clear" w:color="auto" w:fill="auto"/>
            <w:tcMar>
              <w:top w:w="15" w:type="dxa"/>
              <w:left w:w="108" w:type="dxa"/>
              <w:bottom w:w="0" w:type="dxa"/>
              <w:right w:w="108" w:type="dxa"/>
            </w:tcMar>
            <w:hideMark/>
          </w:tcPr>
          <w:p w14:paraId="6B422DAC" w14:textId="77777777" w:rsidR="004F15D4" w:rsidRPr="0024082D" w:rsidRDefault="004F15D4" w:rsidP="00144BA2">
            <w:pPr>
              <w:spacing w:after="120" w:line="264" w:lineRule="auto"/>
              <w:rPr>
                <w:rFonts w:ascii="Calibri Light" w:eastAsia="Times New Roman" w:hAnsi="Calibri Light" w:cs="Calibri Light"/>
                <w:b/>
                <w:bCs/>
                <w:color w:val="6FC2B4"/>
                <w:kern w:val="24"/>
                <w:lang w:eastAsia="en-AU"/>
              </w:rPr>
            </w:pPr>
            <w:r w:rsidRPr="0024082D">
              <w:rPr>
                <w:rFonts w:ascii="Calibri Light" w:eastAsia="Times New Roman" w:hAnsi="Calibri Light" w:cs="Calibri Light"/>
                <w:b/>
                <w:bCs/>
                <w:color w:val="6FC2B4"/>
                <w:kern w:val="24"/>
                <w:lang w:eastAsia="en-AU"/>
              </w:rPr>
              <w:t>Effectiveness of supporting operational practices to enable NOPSEMA to discharge its duties in accordance with the Endorsed Program</w:t>
            </w:r>
          </w:p>
          <w:p w14:paraId="64DF1B30" w14:textId="77777777" w:rsidR="004F15D4" w:rsidRPr="004E64E3" w:rsidRDefault="004F15D4" w:rsidP="004F15D4">
            <w:pPr>
              <w:pStyle w:val="BodyBullet1"/>
              <w:numPr>
                <w:ilvl w:val="0"/>
                <w:numId w:val="37"/>
              </w:numPr>
              <w:ind w:left="426"/>
              <w:rPr>
                <w:szCs w:val="18"/>
              </w:rPr>
            </w:pPr>
            <w:r w:rsidRPr="004E64E3">
              <w:rPr>
                <w:szCs w:val="18"/>
              </w:rPr>
              <w:t>NOPSEMA’s enabling processes, policies, and procedures</w:t>
            </w:r>
          </w:p>
          <w:p w14:paraId="5E22FC71" w14:textId="77777777" w:rsidR="004F15D4" w:rsidRPr="004E64E3" w:rsidRDefault="004F15D4" w:rsidP="004F15D4">
            <w:pPr>
              <w:pStyle w:val="BodyBullet1"/>
              <w:numPr>
                <w:ilvl w:val="0"/>
                <w:numId w:val="37"/>
              </w:numPr>
              <w:ind w:left="426"/>
              <w:rPr>
                <w:szCs w:val="18"/>
              </w:rPr>
            </w:pPr>
            <w:r w:rsidRPr="004E64E3">
              <w:rPr>
                <w:szCs w:val="18"/>
              </w:rPr>
              <w:t>NOPSEMA’s technology and information management capabilities</w:t>
            </w:r>
          </w:p>
          <w:p w14:paraId="7F3B6C7D" w14:textId="77777777" w:rsidR="004F15D4" w:rsidRPr="004E64E3" w:rsidRDefault="004F15D4" w:rsidP="004F15D4">
            <w:pPr>
              <w:pStyle w:val="BodyBullet1"/>
              <w:numPr>
                <w:ilvl w:val="0"/>
                <w:numId w:val="37"/>
              </w:numPr>
              <w:ind w:left="426"/>
              <w:rPr>
                <w:szCs w:val="18"/>
              </w:rPr>
            </w:pPr>
            <w:r w:rsidRPr="004E64E3">
              <w:rPr>
                <w:szCs w:val="18"/>
              </w:rPr>
              <w:t xml:space="preserve">NOPSEMA’s people capabilities and talent management </w:t>
            </w:r>
          </w:p>
          <w:p w14:paraId="25BDF7C4" w14:textId="77777777" w:rsidR="004F15D4" w:rsidRPr="0024082D" w:rsidRDefault="004F15D4" w:rsidP="004F15D4">
            <w:pPr>
              <w:pStyle w:val="BodyBullet1"/>
              <w:numPr>
                <w:ilvl w:val="0"/>
                <w:numId w:val="37"/>
              </w:numPr>
              <w:ind w:left="426"/>
              <w:rPr>
                <w:lang w:eastAsia="en-AU"/>
              </w:rPr>
            </w:pPr>
            <w:r w:rsidRPr="0024082D">
              <w:rPr>
                <w:szCs w:val="18"/>
              </w:rPr>
              <w:t>NOPSEMA’s governance and quality assurance arrangements</w:t>
            </w:r>
            <w:r>
              <w:rPr>
                <w:szCs w:val="18"/>
              </w:rPr>
              <w:t>.</w:t>
            </w:r>
          </w:p>
        </w:tc>
        <w:tc>
          <w:tcPr>
            <w:tcW w:w="2066" w:type="pct"/>
            <w:tcBorders>
              <w:top w:val="single" w:sz="8" w:space="0" w:color="BFBFBF"/>
              <w:left w:val="nil"/>
              <w:bottom w:val="single" w:sz="8" w:space="0" w:color="BFBFBF"/>
              <w:right w:val="nil"/>
            </w:tcBorders>
            <w:shd w:val="clear" w:color="auto" w:fill="auto"/>
            <w:tcMar>
              <w:top w:w="15" w:type="dxa"/>
              <w:left w:w="108" w:type="dxa"/>
              <w:bottom w:w="0" w:type="dxa"/>
              <w:right w:w="108" w:type="dxa"/>
            </w:tcMar>
            <w:hideMark/>
          </w:tcPr>
          <w:p w14:paraId="03D6D387" w14:textId="77777777" w:rsidR="004F15D4" w:rsidRPr="004E64E3" w:rsidRDefault="004F15D4" w:rsidP="004F15D4">
            <w:pPr>
              <w:pStyle w:val="BodyBullet1"/>
              <w:numPr>
                <w:ilvl w:val="0"/>
                <w:numId w:val="37"/>
              </w:numPr>
              <w:ind w:left="426"/>
              <w:rPr>
                <w:szCs w:val="18"/>
              </w:rPr>
            </w:pPr>
            <w:r w:rsidRPr="004E64E3">
              <w:rPr>
                <w:szCs w:val="18"/>
              </w:rPr>
              <w:t>Processes, policies, and procedures are aligned, consistent, integrated, efficient, have clearly defined roles and responsibilities, and incorporate appropriate controls</w:t>
            </w:r>
          </w:p>
          <w:p w14:paraId="637D93CB" w14:textId="77777777" w:rsidR="004F15D4" w:rsidRPr="004E64E3" w:rsidRDefault="004F15D4" w:rsidP="004F15D4">
            <w:pPr>
              <w:pStyle w:val="BodyBullet1"/>
              <w:numPr>
                <w:ilvl w:val="0"/>
                <w:numId w:val="37"/>
              </w:numPr>
              <w:ind w:left="426"/>
              <w:rPr>
                <w:szCs w:val="18"/>
              </w:rPr>
            </w:pPr>
            <w:r w:rsidRPr="004E64E3">
              <w:rPr>
                <w:szCs w:val="18"/>
              </w:rPr>
              <w:t>Technology and information management capabilities support the operationalisation of processes, policies, and procedures</w:t>
            </w:r>
          </w:p>
          <w:p w14:paraId="639BC3F6" w14:textId="77777777" w:rsidR="004F15D4" w:rsidRPr="004E64E3" w:rsidRDefault="004F15D4" w:rsidP="004F15D4">
            <w:pPr>
              <w:pStyle w:val="BodyBullet1"/>
              <w:numPr>
                <w:ilvl w:val="0"/>
                <w:numId w:val="37"/>
              </w:numPr>
              <w:ind w:left="426"/>
              <w:rPr>
                <w:szCs w:val="18"/>
              </w:rPr>
            </w:pPr>
            <w:r w:rsidRPr="004E64E3">
              <w:rPr>
                <w:szCs w:val="18"/>
              </w:rPr>
              <w:t>NOPSEMA has sufficient people capability and capacity to deliver its functions under the OPGGS Act and the Endorsed Program, including effective training and performance management approaches</w:t>
            </w:r>
          </w:p>
          <w:p w14:paraId="69B99FD0" w14:textId="77777777" w:rsidR="004F15D4" w:rsidRPr="0024082D" w:rsidRDefault="004F15D4" w:rsidP="004F15D4">
            <w:pPr>
              <w:pStyle w:val="BodyBullet1"/>
              <w:numPr>
                <w:ilvl w:val="0"/>
                <w:numId w:val="37"/>
              </w:numPr>
              <w:ind w:left="426"/>
              <w:rPr>
                <w:szCs w:val="18"/>
              </w:rPr>
            </w:pPr>
            <w:r w:rsidRPr="0024082D">
              <w:rPr>
                <w:szCs w:val="18"/>
              </w:rPr>
              <w:t>Governance and assurance mechanisms provide sufficient management oversight and control, managing operational risk</w:t>
            </w:r>
            <w:r>
              <w:rPr>
                <w:szCs w:val="18"/>
              </w:rPr>
              <w:t>.</w:t>
            </w:r>
          </w:p>
        </w:tc>
        <w:tc>
          <w:tcPr>
            <w:tcW w:w="1383" w:type="pct"/>
            <w:tcBorders>
              <w:top w:val="single" w:sz="8" w:space="0" w:color="BFBFBF"/>
              <w:left w:val="nil"/>
              <w:bottom w:val="single" w:sz="8" w:space="0" w:color="BFBFBF"/>
              <w:right w:val="nil"/>
            </w:tcBorders>
            <w:shd w:val="clear" w:color="auto" w:fill="auto"/>
            <w:tcMar>
              <w:top w:w="15" w:type="dxa"/>
              <w:left w:w="108" w:type="dxa"/>
              <w:bottom w:w="0" w:type="dxa"/>
              <w:right w:w="108" w:type="dxa"/>
            </w:tcMar>
            <w:hideMark/>
          </w:tcPr>
          <w:p w14:paraId="1134DA8A" w14:textId="77777777" w:rsidR="004F15D4" w:rsidRPr="004E64E3" w:rsidRDefault="004F15D4" w:rsidP="004F15D4">
            <w:pPr>
              <w:pStyle w:val="BodyBullet1"/>
              <w:numPr>
                <w:ilvl w:val="0"/>
                <w:numId w:val="37"/>
              </w:numPr>
              <w:ind w:left="426"/>
              <w:rPr>
                <w:szCs w:val="18"/>
              </w:rPr>
            </w:pPr>
            <w:r w:rsidRPr="004E64E3">
              <w:rPr>
                <w:szCs w:val="18"/>
              </w:rPr>
              <w:t xml:space="preserve">Process walkthroughs and interviews with NOPSEMA </w:t>
            </w:r>
            <w:r>
              <w:rPr>
                <w:szCs w:val="18"/>
              </w:rPr>
              <w:t>personnel</w:t>
            </w:r>
          </w:p>
          <w:p w14:paraId="33B089CB" w14:textId="77777777" w:rsidR="004F15D4" w:rsidRPr="004E64E3" w:rsidRDefault="004F15D4" w:rsidP="004F15D4">
            <w:pPr>
              <w:pStyle w:val="BodyBullet1"/>
              <w:numPr>
                <w:ilvl w:val="0"/>
                <w:numId w:val="37"/>
              </w:numPr>
              <w:ind w:left="426"/>
              <w:rPr>
                <w:szCs w:val="18"/>
              </w:rPr>
            </w:pPr>
            <w:r w:rsidRPr="004E64E3">
              <w:rPr>
                <w:szCs w:val="18"/>
              </w:rPr>
              <w:t>System/technology demonstrations</w:t>
            </w:r>
          </w:p>
          <w:p w14:paraId="16A30A4A" w14:textId="77777777" w:rsidR="004F15D4" w:rsidRPr="004E64E3" w:rsidRDefault="004F15D4" w:rsidP="004F15D4">
            <w:pPr>
              <w:pStyle w:val="BodyBullet1"/>
              <w:numPr>
                <w:ilvl w:val="0"/>
                <w:numId w:val="37"/>
              </w:numPr>
              <w:ind w:left="426"/>
              <w:rPr>
                <w:szCs w:val="18"/>
              </w:rPr>
            </w:pPr>
            <w:r w:rsidRPr="004E64E3">
              <w:rPr>
                <w:szCs w:val="18"/>
              </w:rPr>
              <w:t>Examination of people practices and training</w:t>
            </w:r>
          </w:p>
          <w:p w14:paraId="07CE6EAF" w14:textId="77777777" w:rsidR="004F15D4" w:rsidRDefault="004F15D4" w:rsidP="004F15D4">
            <w:pPr>
              <w:pStyle w:val="BodyBullet1"/>
              <w:numPr>
                <w:ilvl w:val="0"/>
                <w:numId w:val="37"/>
              </w:numPr>
              <w:ind w:left="426"/>
              <w:rPr>
                <w:szCs w:val="18"/>
              </w:rPr>
            </w:pPr>
            <w:r w:rsidRPr="004E64E3">
              <w:rPr>
                <w:szCs w:val="18"/>
              </w:rPr>
              <w:t>Examination of governance arrangements</w:t>
            </w:r>
            <w:r>
              <w:rPr>
                <w:szCs w:val="18"/>
              </w:rPr>
              <w:t>.</w:t>
            </w:r>
          </w:p>
          <w:p w14:paraId="1578F316" w14:textId="77777777" w:rsidR="004F15D4" w:rsidRPr="001641EA" w:rsidRDefault="004F15D4" w:rsidP="00144BA2">
            <w:pPr>
              <w:pStyle w:val="BodyBullet1"/>
              <w:numPr>
                <w:ilvl w:val="0"/>
                <w:numId w:val="0"/>
              </w:numPr>
              <w:ind w:left="66"/>
              <w:rPr>
                <w:szCs w:val="18"/>
              </w:rPr>
            </w:pPr>
            <w:r>
              <w:rPr>
                <w:szCs w:val="18"/>
              </w:rPr>
              <w:t xml:space="preserve">For an examination of this assessment dimension as it relates to NOPSEMA’s full regulatory remit – Occupational Health and Safety, environmental management, and well integrity – please refer </w:t>
            </w:r>
            <w:r w:rsidRPr="00323D6C">
              <w:rPr>
                <w:szCs w:val="18"/>
              </w:rPr>
              <w:t xml:space="preserve">to </w:t>
            </w:r>
            <w:r w:rsidRPr="0024082D">
              <w:rPr>
                <w:szCs w:val="18"/>
              </w:rPr>
              <w:t>the following sections</w:t>
            </w:r>
            <w:r>
              <w:rPr>
                <w:szCs w:val="18"/>
              </w:rPr>
              <w:t>:</w:t>
            </w:r>
          </w:p>
          <w:p w14:paraId="5C125FB8" w14:textId="27FB8F57" w:rsidR="004F15D4" w:rsidRPr="003A5AF3" w:rsidRDefault="004F15D4" w:rsidP="004F15D4">
            <w:pPr>
              <w:pStyle w:val="BodyBullet1"/>
              <w:numPr>
                <w:ilvl w:val="0"/>
                <w:numId w:val="37"/>
              </w:numPr>
              <w:ind w:left="426"/>
              <w:rPr>
                <w:szCs w:val="18"/>
              </w:rPr>
            </w:pPr>
            <w:r w:rsidRPr="003A5AF3">
              <w:rPr>
                <w:szCs w:val="18"/>
              </w:rPr>
              <w:t xml:space="preserve">People and talent management capabilities: </w:t>
            </w:r>
            <w:r w:rsidR="00F01102" w:rsidRPr="003A5AF3">
              <w:rPr>
                <w:b/>
                <w:szCs w:val="18"/>
              </w:rPr>
              <w:t>Section</w:t>
            </w:r>
            <w:r w:rsidR="00F01102" w:rsidRPr="003A5AF3">
              <w:rPr>
                <w:szCs w:val="18"/>
              </w:rPr>
              <w:t xml:space="preserve"> </w:t>
            </w:r>
            <w:r w:rsidR="00F01102" w:rsidRPr="003A5AF3">
              <w:rPr>
                <w:b/>
                <w:szCs w:val="18"/>
              </w:rPr>
              <w:fldChar w:fldCharType="begin"/>
            </w:r>
            <w:r w:rsidR="00F01102" w:rsidRPr="003A5AF3">
              <w:rPr>
                <w:b/>
                <w:szCs w:val="18"/>
              </w:rPr>
              <w:instrText xml:space="preserve"> REF _Ref55990509 \r \h  \* MERGEFORMAT </w:instrText>
            </w:r>
            <w:r w:rsidR="00F01102" w:rsidRPr="003A5AF3">
              <w:rPr>
                <w:b/>
                <w:szCs w:val="18"/>
              </w:rPr>
            </w:r>
            <w:r w:rsidR="00F01102" w:rsidRPr="003A5AF3">
              <w:rPr>
                <w:b/>
                <w:szCs w:val="18"/>
              </w:rPr>
              <w:fldChar w:fldCharType="separate"/>
            </w:r>
            <w:r w:rsidR="00E816B8">
              <w:rPr>
                <w:b/>
                <w:szCs w:val="18"/>
              </w:rPr>
              <w:t>7</w:t>
            </w:r>
            <w:r w:rsidR="00F01102" w:rsidRPr="003A5AF3">
              <w:rPr>
                <w:b/>
                <w:szCs w:val="18"/>
              </w:rPr>
              <w:fldChar w:fldCharType="end"/>
            </w:r>
            <w:r w:rsidRPr="003A5AF3">
              <w:rPr>
                <w:szCs w:val="18"/>
              </w:rPr>
              <w:t xml:space="preserve">, specifically </w:t>
            </w:r>
            <w:r w:rsidR="00FE0417">
              <w:rPr>
                <w:b/>
                <w:szCs w:val="18"/>
              </w:rPr>
              <w:t>s</w:t>
            </w:r>
            <w:r w:rsidRPr="003A5AF3">
              <w:rPr>
                <w:b/>
                <w:szCs w:val="18"/>
              </w:rPr>
              <w:t xml:space="preserve">ubsection </w:t>
            </w:r>
            <w:r w:rsidR="00705603">
              <w:rPr>
                <w:b/>
                <w:szCs w:val="18"/>
              </w:rPr>
              <w:fldChar w:fldCharType="begin"/>
            </w:r>
            <w:r w:rsidR="00705603">
              <w:rPr>
                <w:b/>
                <w:szCs w:val="18"/>
              </w:rPr>
              <w:instrText xml:space="preserve"> REF _Ref58593452 \r \h </w:instrText>
            </w:r>
            <w:r w:rsidR="00705603">
              <w:rPr>
                <w:b/>
                <w:szCs w:val="18"/>
              </w:rPr>
            </w:r>
            <w:r w:rsidR="00705603">
              <w:rPr>
                <w:b/>
                <w:szCs w:val="18"/>
              </w:rPr>
              <w:fldChar w:fldCharType="separate"/>
            </w:r>
            <w:r w:rsidR="00E816B8">
              <w:rPr>
                <w:b/>
                <w:szCs w:val="18"/>
              </w:rPr>
              <w:t>7.3</w:t>
            </w:r>
            <w:r w:rsidR="00705603">
              <w:rPr>
                <w:b/>
                <w:szCs w:val="18"/>
              </w:rPr>
              <w:fldChar w:fldCharType="end"/>
            </w:r>
          </w:p>
          <w:p w14:paraId="47EEEFAF" w14:textId="7A33289A" w:rsidR="004F15D4" w:rsidRPr="001641EA" w:rsidRDefault="004F15D4" w:rsidP="004F15D4">
            <w:pPr>
              <w:pStyle w:val="BodyBullet1"/>
              <w:numPr>
                <w:ilvl w:val="0"/>
                <w:numId w:val="37"/>
              </w:numPr>
              <w:ind w:left="426"/>
              <w:rPr>
                <w:szCs w:val="18"/>
              </w:rPr>
            </w:pPr>
            <w:r w:rsidRPr="001641EA">
              <w:rPr>
                <w:szCs w:val="18"/>
              </w:rPr>
              <w:t xml:space="preserve">Processes, policies, and procedures: </w:t>
            </w:r>
            <w:r w:rsidR="00255E05" w:rsidRPr="003A5AF3">
              <w:rPr>
                <w:b/>
              </w:rPr>
              <w:t xml:space="preserve">Sections </w:t>
            </w:r>
            <w:r w:rsidR="00255E05" w:rsidRPr="003A5AF3">
              <w:rPr>
                <w:b/>
              </w:rPr>
              <w:fldChar w:fldCharType="begin"/>
            </w:r>
            <w:r w:rsidR="00255E05" w:rsidRPr="003A5AF3">
              <w:rPr>
                <w:b/>
              </w:rPr>
              <w:instrText xml:space="preserve"> REF _Ref55978299 \r \h  \* MERGEFORMAT </w:instrText>
            </w:r>
            <w:r w:rsidR="00255E05" w:rsidRPr="003A5AF3">
              <w:rPr>
                <w:b/>
              </w:rPr>
            </w:r>
            <w:r w:rsidR="00255E05" w:rsidRPr="003A5AF3">
              <w:rPr>
                <w:b/>
              </w:rPr>
              <w:fldChar w:fldCharType="separate"/>
            </w:r>
            <w:r w:rsidR="00E816B8">
              <w:rPr>
                <w:b/>
              </w:rPr>
              <w:t>6</w:t>
            </w:r>
            <w:r w:rsidR="00255E05" w:rsidRPr="003A5AF3">
              <w:rPr>
                <w:b/>
              </w:rPr>
              <w:fldChar w:fldCharType="end"/>
            </w:r>
            <w:r w:rsidRPr="003A5AF3">
              <w:rPr>
                <w:b/>
                <w:szCs w:val="18"/>
              </w:rPr>
              <w:t xml:space="preserve">, </w:t>
            </w:r>
            <w:r w:rsidR="00F01102" w:rsidRPr="003A5AF3">
              <w:rPr>
                <w:b/>
                <w:szCs w:val="18"/>
              </w:rPr>
              <w:fldChar w:fldCharType="begin"/>
            </w:r>
            <w:r w:rsidR="00F01102" w:rsidRPr="003A5AF3">
              <w:rPr>
                <w:b/>
                <w:szCs w:val="18"/>
              </w:rPr>
              <w:instrText xml:space="preserve"> REF _Ref55990509 \r \h  \* MERGEFORMAT </w:instrText>
            </w:r>
            <w:r w:rsidR="00F01102" w:rsidRPr="003A5AF3">
              <w:rPr>
                <w:b/>
                <w:szCs w:val="18"/>
              </w:rPr>
            </w:r>
            <w:r w:rsidR="00F01102" w:rsidRPr="003A5AF3">
              <w:rPr>
                <w:b/>
                <w:szCs w:val="18"/>
              </w:rPr>
              <w:fldChar w:fldCharType="separate"/>
            </w:r>
            <w:r w:rsidR="00E816B8">
              <w:rPr>
                <w:b/>
                <w:szCs w:val="18"/>
              </w:rPr>
              <w:t>7</w:t>
            </w:r>
            <w:r w:rsidR="00F01102" w:rsidRPr="003A5AF3">
              <w:rPr>
                <w:b/>
                <w:szCs w:val="18"/>
              </w:rPr>
              <w:fldChar w:fldCharType="end"/>
            </w:r>
            <w:r w:rsidRPr="003A5AF3">
              <w:rPr>
                <w:b/>
                <w:szCs w:val="18"/>
              </w:rPr>
              <w:t xml:space="preserve">, </w:t>
            </w:r>
            <w:r w:rsidR="003E606B">
              <w:rPr>
                <w:b/>
                <w:szCs w:val="18"/>
              </w:rPr>
              <w:fldChar w:fldCharType="begin"/>
            </w:r>
            <w:r w:rsidR="003E606B">
              <w:rPr>
                <w:b/>
                <w:szCs w:val="18"/>
              </w:rPr>
              <w:instrText xml:space="preserve"> REF _Ref63972900 \r \h </w:instrText>
            </w:r>
            <w:r w:rsidR="003E606B">
              <w:rPr>
                <w:b/>
                <w:szCs w:val="18"/>
              </w:rPr>
            </w:r>
            <w:r w:rsidR="003E606B">
              <w:rPr>
                <w:b/>
                <w:szCs w:val="18"/>
              </w:rPr>
              <w:fldChar w:fldCharType="separate"/>
            </w:r>
            <w:r w:rsidR="00E816B8">
              <w:rPr>
                <w:b/>
                <w:szCs w:val="18"/>
              </w:rPr>
              <w:t>8</w:t>
            </w:r>
            <w:r w:rsidR="003E606B">
              <w:rPr>
                <w:b/>
                <w:szCs w:val="18"/>
              </w:rPr>
              <w:fldChar w:fldCharType="end"/>
            </w:r>
            <w:r w:rsidRPr="003A5AF3">
              <w:rPr>
                <w:b/>
                <w:szCs w:val="18"/>
              </w:rPr>
              <w:t xml:space="preserve">, and </w:t>
            </w:r>
            <w:r w:rsidR="007B6658" w:rsidRPr="003A5AF3">
              <w:rPr>
                <w:b/>
              </w:rPr>
              <w:fldChar w:fldCharType="begin"/>
            </w:r>
            <w:r w:rsidR="007B6658" w:rsidRPr="003A5AF3">
              <w:rPr>
                <w:b/>
              </w:rPr>
              <w:instrText xml:space="preserve"> REF _Ref56070743 \r \h </w:instrText>
            </w:r>
            <w:r w:rsidR="007B6658" w:rsidRPr="003A5AF3">
              <w:rPr>
                <w:b/>
                <w:bCs/>
              </w:rPr>
              <w:instrText xml:space="preserve"> \* MERGEFORMAT </w:instrText>
            </w:r>
            <w:r w:rsidR="007B6658" w:rsidRPr="003A5AF3">
              <w:rPr>
                <w:b/>
              </w:rPr>
            </w:r>
            <w:r w:rsidR="007B6658" w:rsidRPr="003A5AF3">
              <w:rPr>
                <w:b/>
              </w:rPr>
              <w:fldChar w:fldCharType="separate"/>
            </w:r>
            <w:r w:rsidR="00E816B8">
              <w:rPr>
                <w:b/>
              </w:rPr>
              <w:t>9</w:t>
            </w:r>
            <w:r w:rsidR="007B6658" w:rsidRPr="003A5AF3">
              <w:rPr>
                <w:b/>
              </w:rPr>
              <w:fldChar w:fldCharType="end"/>
            </w:r>
          </w:p>
          <w:p w14:paraId="346DDE3F" w14:textId="61EF02EE" w:rsidR="004F15D4" w:rsidRDefault="004F15D4" w:rsidP="004F15D4">
            <w:pPr>
              <w:pStyle w:val="BodyBullet1"/>
              <w:numPr>
                <w:ilvl w:val="0"/>
                <w:numId w:val="37"/>
              </w:numPr>
              <w:ind w:left="426"/>
              <w:rPr>
                <w:szCs w:val="18"/>
              </w:rPr>
            </w:pPr>
            <w:r w:rsidRPr="001641EA">
              <w:rPr>
                <w:szCs w:val="18"/>
              </w:rPr>
              <w:t xml:space="preserve">Technology and information management: </w:t>
            </w:r>
            <w:r w:rsidR="00255E05" w:rsidRPr="00276A29">
              <w:rPr>
                <w:b/>
              </w:rPr>
              <w:t xml:space="preserve">Section </w:t>
            </w:r>
            <w:r w:rsidR="00255E05" w:rsidRPr="00276A29">
              <w:rPr>
                <w:b/>
              </w:rPr>
              <w:fldChar w:fldCharType="begin"/>
            </w:r>
            <w:r w:rsidR="00255E05" w:rsidRPr="00276A29">
              <w:rPr>
                <w:b/>
              </w:rPr>
              <w:instrText xml:space="preserve"> REF _Ref55978299 \r \h  \* MERGEFORMAT </w:instrText>
            </w:r>
            <w:r w:rsidR="00255E05" w:rsidRPr="00276A29">
              <w:rPr>
                <w:b/>
              </w:rPr>
            </w:r>
            <w:r w:rsidR="00255E05" w:rsidRPr="00276A29">
              <w:rPr>
                <w:b/>
              </w:rPr>
              <w:fldChar w:fldCharType="separate"/>
            </w:r>
            <w:r w:rsidR="00E816B8">
              <w:rPr>
                <w:b/>
              </w:rPr>
              <w:t>6</w:t>
            </w:r>
            <w:r w:rsidR="00255E05" w:rsidRPr="00276A29">
              <w:rPr>
                <w:b/>
              </w:rPr>
              <w:fldChar w:fldCharType="end"/>
            </w:r>
          </w:p>
          <w:p w14:paraId="75F3F046" w14:textId="3BFA3C11" w:rsidR="004F15D4" w:rsidRPr="0024082D" w:rsidRDefault="004F15D4" w:rsidP="004F15D4">
            <w:pPr>
              <w:pStyle w:val="BodyBullet1"/>
              <w:numPr>
                <w:ilvl w:val="0"/>
                <w:numId w:val="37"/>
              </w:numPr>
              <w:ind w:left="426"/>
              <w:rPr>
                <w:szCs w:val="18"/>
              </w:rPr>
            </w:pPr>
            <w:r w:rsidRPr="00F01102">
              <w:rPr>
                <w:szCs w:val="18"/>
              </w:rPr>
              <w:t xml:space="preserve">Governance: </w:t>
            </w:r>
            <w:r w:rsidR="00F01102" w:rsidRPr="00F01102">
              <w:rPr>
                <w:b/>
                <w:bCs/>
              </w:rPr>
              <w:t xml:space="preserve">Sections </w:t>
            </w:r>
            <w:r w:rsidR="00F01102" w:rsidRPr="00F01102">
              <w:rPr>
                <w:b/>
                <w:bCs/>
              </w:rPr>
              <w:fldChar w:fldCharType="begin"/>
            </w:r>
            <w:r w:rsidR="00F01102" w:rsidRPr="00F01102">
              <w:rPr>
                <w:b/>
                <w:bCs/>
              </w:rPr>
              <w:instrText xml:space="preserve"> REF _Ref55988234 \r \h  \* MERGEFORMAT </w:instrText>
            </w:r>
            <w:r w:rsidR="00F01102" w:rsidRPr="00F01102">
              <w:rPr>
                <w:b/>
                <w:bCs/>
              </w:rPr>
            </w:r>
            <w:r w:rsidR="00F01102" w:rsidRPr="00F01102">
              <w:rPr>
                <w:b/>
                <w:bCs/>
              </w:rPr>
              <w:fldChar w:fldCharType="separate"/>
            </w:r>
            <w:r w:rsidR="00E816B8">
              <w:rPr>
                <w:b/>
                <w:bCs/>
              </w:rPr>
              <w:t>5</w:t>
            </w:r>
            <w:r w:rsidR="00F01102" w:rsidRPr="00F01102">
              <w:rPr>
                <w:b/>
                <w:bCs/>
              </w:rPr>
              <w:fldChar w:fldCharType="end"/>
            </w:r>
            <w:r w:rsidRPr="00F01102">
              <w:rPr>
                <w:b/>
                <w:szCs w:val="18"/>
              </w:rPr>
              <w:t xml:space="preserve">, </w:t>
            </w:r>
            <w:r w:rsidR="00255E05" w:rsidRPr="00F01102">
              <w:rPr>
                <w:b/>
              </w:rPr>
              <w:fldChar w:fldCharType="begin"/>
            </w:r>
            <w:r w:rsidR="00255E05" w:rsidRPr="00F01102">
              <w:rPr>
                <w:b/>
              </w:rPr>
              <w:instrText xml:space="preserve"> REF _Ref55978299 \r \h  \* MERGEFORMAT </w:instrText>
            </w:r>
            <w:r w:rsidR="00255E05" w:rsidRPr="00F01102">
              <w:rPr>
                <w:b/>
              </w:rPr>
            </w:r>
            <w:r w:rsidR="00255E05" w:rsidRPr="00F01102">
              <w:rPr>
                <w:b/>
              </w:rPr>
              <w:fldChar w:fldCharType="separate"/>
            </w:r>
            <w:r w:rsidR="00E816B8">
              <w:rPr>
                <w:b/>
              </w:rPr>
              <w:t>6</w:t>
            </w:r>
            <w:r w:rsidR="00255E05" w:rsidRPr="00F01102">
              <w:rPr>
                <w:b/>
              </w:rPr>
              <w:fldChar w:fldCharType="end"/>
            </w:r>
            <w:r w:rsidRPr="00F01102">
              <w:rPr>
                <w:b/>
                <w:szCs w:val="18"/>
              </w:rPr>
              <w:t xml:space="preserve">, and </w:t>
            </w:r>
            <w:r w:rsidR="00F01102" w:rsidRPr="00F01102">
              <w:rPr>
                <w:b/>
                <w:szCs w:val="18"/>
              </w:rPr>
              <w:fldChar w:fldCharType="begin"/>
            </w:r>
            <w:r w:rsidR="00F01102" w:rsidRPr="00F01102">
              <w:rPr>
                <w:b/>
                <w:szCs w:val="18"/>
              </w:rPr>
              <w:instrText xml:space="preserve"> REF _Ref55990509 \r \h  \* MERGEFORMAT </w:instrText>
            </w:r>
            <w:r w:rsidR="00F01102" w:rsidRPr="00F01102">
              <w:rPr>
                <w:b/>
                <w:szCs w:val="18"/>
              </w:rPr>
            </w:r>
            <w:r w:rsidR="00F01102" w:rsidRPr="00F01102">
              <w:rPr>
                <w:b/>
                <w:szCs w:val="18"/>
              </w:rPr>
              <w:fldChar w:fldCharType="separate"/>
            </w:r>
            <w:r w:rsidR="00E816B8">
              <w:rPr>
                <w:b/>
                <w:szCs w:val="18"/>
              </w:rPr>
              <w:t>7</w:t>
            </w:r>
            <w:r w:rsidR="00F01102" w:rsidRPr="00F01102">
              <w:rPr>
                <w:b/>
                <w:szCs w:val="18"/>
              </w:rPr>
              <w:fldChar w:fldCharType="end"/>
            </w:r>
            <w:r w:rsidRPr="00F01102">
              <w:rPr>
                <w:szCs w:val="18"/>
              </w:rPr>
              <w:t>.</w:t>
            </w:r>
          </w:p>
        </w:tc>
      </w:tr>
    </w:tbl>
    <w:p w14:paraId="6B78B426" w14:textId="77777777" w:rsidR="004F15D4" w:rsidRDefault="004F15D4" w:rsidP="007C15D8">
      <w:pPr>
        <w:pStyle w:val="Caption"/>
        <w:keepNext/>
      </w:pPr>
    </w:p>
    <w:p w14:paraId="3400CA14" w14:textId="77777777" w:rsidR="00173871" w:rsidRDefault="00173871" w:rsidP="00A871B0">
      <w:pPr>
        <w:sectPr w:rsidR="00173871">
          <w:pgSz w:w="16838" w:h="11906" w:orient="landscape"/>
          <w:pgMar w:top="1021" w:right="1985" w:bottom="1021" w:left="1134" w:header="680" w:footer="425" w:gutter="0"/>
          <w:cols w:space="720"/>
        </w:sectPr>
      </w:pPr>
    </w:p>
    <w:p w14:paraId="1BCAE918" w14:textId="77777777" w:rsidR="00500673" w:rsidRDefault="00500673" w:rsidP="00F53F40">
      <w:pPr>
        <w:pStyle w:val="Heading3"/>
      </w:pPr>
      <w:r>
        <w:lastRenderedPageBreak/>
        <w:t>Case studies</w:t>
      </w:r>
    </w:p>
    <w:p w14:paraId="525D0413" w14:textId="77777777" w:rsidR="00500673" w:rsidRPr="0024082D" w:rsidRDefault="00500673" w:rsidP="00500673">
      <w:pPr>
        <w:rPr>
          <w:rFonts w:ascii="Calibri Light" w:hAnsi="Calibri Light" w:cs="Calibri Light"/>
        </w:rPr>
      </w:pPr>
      <w:r>
        <w:rPr>
          <w:rFonts w:ascii="Calibri Light" w:hAnsi="Calibri Light" w:cs="Calibri Light"/>
        </w:rPr>
        <w:t>Case studies formed an important basis of our assessment approach and were selected by NOPSEMA and the Deloitte review team</w:t>
      </w:r>
      <w:r w:rsidRPr="00B63AA6">
        <w:rPr>
          <w:rFonts w:ascii="Calibri Light" w:hAnsi="Calibri Light" w:cs="Calibri Light"/>
        </w:rPr>
        <w:t xml:space="preserve">. </w:t>
      </w:r>
      <w:r w:rsidRPr="0024082D">
        <w:rPr>
          <w:rFonts w:ascii="Calibri Light" w:hAnsi="Calibri Light" w:cs="Calibri Light"/>
        </w:rPr>
        <w:t>The s</w:t>
      </w:r>
      <w:r w:rsidRPr="00B63AA6">
        <w:rPr>
          <w:rFonts w:ascii="Calibri Light" w:hAnsi="Calibri Light" w:cs="Calibri Light"/>
        </w:rPr>
        <w:t xml:space="preserve">election of the case studies </w:t>
      </w:r>
      <w:r w:rsidRPr="0024082D">
        <w:rPr>
          <w:rFonts w:ascii="Calibri Light" w:hAnsi="Calibri Light" w:cs="Calibri Light"/>
        </w:rPr>
        <w:t>aimed</w:t>
      </w:r>
      <w:r w:rsidRPr="00B63AA6">
        <w:rPr>
          <w:rFonts w:ascii="Calibri Light" w:hAnsi="Calibri Light" w:cs="Calibri Light"/>
        </w:rPr>
        <w:t xml:space="preserve"> to provide a</w:t>
      </w:r>
      <w:r w:rsidRPr="0024082D">
        <w:rPr>
          <w:rFonts w:ascii="Calibri Light" w:hAnsi="Calibri Light" w:cs="Calibri Light"/>
        </w:rPr>
        <w:t>:</w:t>
      </w:r>
    </w:p>
    <w:p w14:paraId="55723C3F" w14:textId="77777777" w:rsidR="00500673" w:rsidRDefault="00500673" w:rsidP="000C3CE3">
      <w:pPr>
        <w:pStyle w:val="BodycopyNEW0"/>
        <w:numPr>
          <w:ilvl w:val="0"/>
          <w:numId w:val="23"/>
        </w:numPr>
        <w:ind w:left="378"/>
        <w:rPr>
          <w:szCs w:val="18"/>
        </w:rPr>
      </w:pPr>
      <w:r>
        <w:rPr>
          <w:szCs w:val="18"/>
        </w:rPr>
        <w:t>R</w:t>
      </w:r>
      <w:r w:rsidRPr="0024082D">
        <w:rPr>
          <w:szCs w:val="18"/>
        </w:rPr>
        <w:t>epresentative sample of NOPSEMA’s environment work program for</w:t>
      </w:r>
      <w:r>
        <w:rPr>
          <w:szCs w:val="18"/>
        </w:rPr>
        <w:t xml:space="preserve"> our</w:t>
      </w:r>
      <w:r w:rsidRPr="0024082D">
        <w:rPr>
          <w:szCs w:val="18"/>
        </w:rPr>
        <w:t xml:space="preserve"> </w:t>
      </w:r>
      <w:r>
        <w:rPr>
          <w:szCs w:val="18"/>
        </w:rPr>
        <w:t>analysis</w:t>
      </w:r>
      <w:r w:rsidRPr="0024082D">
        <w:rPr>
          <w:szCs w:val="18"/>
        </w:rPr>
        <w:t>, highlighting both common and uncommon issues and challenges faced in administering the work program</w:t>
      </w:r>
    </w:p>
    <w:p w14:paraId="1A7E1395" w14:textId="77777777" w:rsidR="00500673" w:rsidRDefault="00500673" w:rsidP="000C3CE3">
      <w:pPr>
        <w:pStyle w:val="BodycopyNEW0"/>
        <w:numPr>
          <w:ilvl w:val="0"/>
          <w:numId w:val="23"/>
        </w:numPr>
        <w:ind w:left="378"/>
        <w:rPr>
          <w:szCs w:val="18"/>
        </w:rPr>
      </w:pPr>
      <w:r>
        <w:rPr>
          <w:szCs w:val="18"/>
        </w:rPr>
        <w:t>Practical application of</w:t>
      </w:r>
      <w:r w:rsidRPr="0024082D">
        <w:rPr>
          <w:szCs w:val="18"/>
        </w:rPr>
        <w:t xml:space="preserve"> NOPSEMA’s operational processes, policies, and procedures. </w:t>
      </w:r>
    </w:p>
    <w:p w14:paraId="71C1F4AC" w14:textId="77777777" w:rsidR="00500673" w:rsidRDefault="00500673" w:rsidP="00500673">
      <w:pPr>
        <w:pStyle w:val="BodyCopyNEW"/>
        <w:rPr>
          <w:szCs w:val="18"/>
        </w:rPr>
      </w:pPr>
      <w:r w:rsidRPr="00573C69">
        <w:rPr>
          <w:szCs w:val="18"/>
        </w:rPr>
        <w:t xml:space="preserve">The review team also reviewed a number of publicly available documents including the EPs for each case study. We also considered the broader strategic issues associated with the assessments via interviews, survey outcomes, and written detail provided by </w:t>
      </w:r>
      <w:r>
        <w:rPr>
          <w:szCs w:val="18"/>
        </w:rPr>
        <w:t>title</w:t>
      </w:r>
      <w:r w:rsidRPr="00573C69">
        <w:rPr>
          <w:szCs w:val="18"/>
        </w:rPr>
        <w:t>holders.</w:t>
      </w:r>
    </w:p>
    <w:p w14:paraId="38D45781" w14:textId="5F166DFC" w:rsidR="00500673" w:rsidRPr="00B63AA6" w:rsidRDefault="00500673" w:rsidP="00500673">
      <w:pPr>
        <w:pStyle w:val="BodyBullet1"/>
        <w:numPr>
          <w:ilvl w:val="0"/>
          <w:numId w:val="0"/>
        </w:numPr>
      </w:pPr>
      <w:r w:rsidRPr="00362316">
        <w:rPr>
          <w:b/>
          <w:bCs/>
          <w:szCs w:val="18"/>
          <w:highlight w:val="yellow"/>
        </w:rPr>
        <w:fldChar w:fldCharType="begin"/>
      </w:r>
      <w:r w:rsidRPr="00362316">
        <w:rPr>
          <w:b/>
          <w:bCs/>
          <w:szCs w:val="18"/>
        </w:rPr>
        <w:instrText xml:space="preserve"> REF _Ref63104555 \h </w:instrText>
      </w:r>
      <w:r w:rsidRPr="00362316">
        <w:rPr>
          <w:b/>
          <w:bCs/>
          <w:szCs w:val="18"/>
          <w:highlight w:val="yellow"/>
        </w:rPr>
        <w:instrText xml:space="preserve"> \* MERGEFORMAT </w:instrText>
      </w:r>
      <w:r w:rsidRPr="00362316">
        <w:rPr>
          <w:b/>
          <w:bCs/>
          <w:szCs w:val="18"/>
          <w:highlight w:val="yellow"/>
        </w:rPr>
      </w:r>
      <w:r w:rsidRPr="00362316">
        <w:rPr>
          <w:b/>
          <w:bCs/>
          <w:szCs w:val="18"/>
          <w:highlight w:val="yellow"/>
        </w:rPr>
        <w:fldChar w:fldCharType="separate"/>
      </w:r>
      <w:r w:rsidR="00E816B8" w:rsidRPr="00E816B8">
        <w:rPr>
          <w:b/>
          <w:bCs/>
          <w:szCs w:val="18"/>
        </w:rPr>
        <w:t xml:space="preserve">Table </w:t>
      </w:r>
      <w:r w:rsidR="00E816B8" w:rsidRPr="00E816B8">
        <w:rPr>
          <w:b/>
          <w:bCs/>
          <w:noProof/>
          <w:szCs w:val="18"/>
        </w:rPr>
        <w:t>11.3</w:t>
      </w:r>
      <w:r w:rsidRPr="00362316">
        <w:rPr>
          <w:b/>
          <w:bCs/>
          <w:szCs w:val="18"/>
          <w:highlight w:val="yellow"/>
        </w:rPr>
        <w:fldChar w:fldCharType="end"/>
      </w:r>
      <w:r w:rsidRPr="00362316">
        <w:rPr>
          <w:b/>
          <w:bCs/>
          <w:szCs w:val="18"/>
        </w:rPr>
        <w:t xml:space="preserve"> </w:t>
      </w:r>
      <w:r w:rsidRPr="00453F6C">
        <w:rPr>
          <w:szCs w:val="18"/>
        </w:rPr>
        <w:t>and</w:t>
      </w:r>
      <w:r>
        <w:rPr>
          <w:b/>
          <w:bCs/>
          <w:szCs w:val="18"/>
        </w:rPr>
        <w:t xml:space="preserve"> </w:t>
      </w:r>
      <w:r w:rsidR="006F73F7" w:rsidRPr="006F73F7">
        <w:rPr>
          <w:b/>
          <w:bCs/>
          <w:szCs w:val="18"/>
        </w:rPr>
        <w:fldChar w:fldCharType="begin"/>
      </w:r>
      <w:r w:rsidR="006F73F7" w:rsidRPr="006F73F7">
        <w:rPr>
          <w:b/>
          <w:bCs/>
          <w:szCs w:val="18"/>
        </w:rPr>
        <w:instrText xml:space="preserve"> REF _Ref63193554 \h  \* MERGEFORMAT </w:instrText>
      </w:r>
      <w:r w:rsidR="006F73F7" w:rsidRPr="006F73F7">
        <w:rPr>
          <w:b/>
          <w:bCs/>
          <w:szCs w:val="18"/>
        </w:rPr>
      </w:r>
      <w:r w:rsidR="006F73F7" w:rsidRPr="006F73F7">
        <w:rPr>
          <w:b/>
          <w:bCs/>
          <w:szCs w:val="18"/>
        </w:rPr>
        <w:fldChar w:fldCharType="separate"/>
      </w:r>
      <w:r w:rsidR="00E816B8" w:rsidRPr="00E816B8">
        <w:rPr>
          <w:b/>
          <w:bCs/>
        </w:rPr>
        <w:t xml:space="preserve">Table </w:t>
      </w:r>
      <w:r w:rsidR="00E816B8" w:rsidRPr="00E816B8">
        <w:rPr>
          <w:b/>
          <w:bCs/>
          <w:noProof/>
        </w:rPr>
        <w:t>11.4</w:t>
      </w:r>
      <w:r w:rsidR="006F73F7" w:rsidRPr="006F73F7">
        <w:rPr>
          <w:b/>
          <w:bCs/>
          <w:szCs w:val="18"/>
        </w:rPr>
        <w:fldChar w:fldCharType="end"/>
      </w:r>
      <w:r>
        <w:rPr>
          <w:b/>
          <w:bCs/>
          <w:szCs w:val="18"/>
        </w:rPr>
        <w:t xml:space="preserve"> </w:t>
      </w:r>
      <w:r w:rsidRPr="0024082D">
        <w:rPr>
          <w:szCs w:val="18"/>
        </w:rPr>
        <w:t xml:space="preserve">outline the case studies selected to inform </w:t>
      </w:r>
      <w:r>
        <w:rPr>
          <w:szCs w:val="18"/>
        </w:rPr>
        <w:t>our</w:t>
      </w:r>
      <w:r w:rsidRPr="0024082D">
        <w:rPr>
          <w:szCs w:val="18"/>
        </w:rPr>
        <w:t xml:space="preserve"> assessment.</w:t>
      </w:r>
    </w:p>
    <w:p w14:paraId="38B009D6" w14:textId="7834EACD" w:rsidR="00160054" w:rsidRPr="00C97652" w:rsidRDefault="00160054" w:rsidP="00160054">
      <w:pPr>
        <w:pStyle w:val="Caption"/>
      </w:pPr>
      <w:bookmarkStart w:id="187" w:name="_Ref63104555"/>
      <w:r>
        <w:t xml:space="preserve">Table </w:t>
      </w:r>
      <w:r w:rsidR="00624D4F">
        <w:fldChar w:fldCharType="begin"/>
      </w:r>
      <w:r w:rsidR="00624D4F">
        <w:instrText xml:space="preserve"> STYLEREF 1 \s </w:instrText>
      </w:r>
      <w:r w:rsidR="00624D4F">
        <w:fldChar w:fldCharType="separate"/>
      </w:r>
      <w:r w:rsidR="00E816B8">
        <w:rPr>
          <w:noProof/>
        </w:rPr>
        <w:t>11</w:t>
      </w:r>
      <w:r w:rsidR="00624D4F">
        <w:fldChar w:fldCharType="end"/>
      </w:r>
      <w:r w:rsidR="00624D4F">
        <w:t>.</w:t>
      </w:r>
      <w:r w:rsidR="00624D4F">
        <w:fldChar w:fldCharType="begin"/>
      </w:r>
      <w:r w:rsidR="00624D4F">
        <w:instrText xml:space="preserve"> SEQ Table \* ARABIC \s 1 </w:instrText>
      </w:r>
      <w:r w:rsidR="00624D4F">
        <w:fldChar w:fldCharType="separate"/>
      </w:r>
      <w:r w:rsidR="00E816B8">
        <w:rPr>
          <w:noProof/>
        </w:rPr>
        <w:t>3</w:t>
      </w:r>
      <w:r w:rsidR="00624D4F">
        <w:fldChar w:fldCharType="end"/>
      </w:r>
      <w:bookmarkEnd w:id="187"/>
      <w:r>
        <w:t xml:space="preserve">: </w:t>
      </w:r>
      <w:r w:rsidRPr="009211FD">
        <w:t xml:space="preserve">Case </w:t>
      </w:r>
      <w:r w:rsidRPr="00C97652">
        <w:t>studies used to inform the 2020 Endorsed Program Assessment</w:t>
      </w:r>
    </w:p>
    <w:tbl>
      <w:tblPr>
        <w:tblW w:w="5000" w:type="pct"/>
        <w:tblCellMar>
          <w:left w:w="0" w:type="dxa"/>
          <w:right w:w="0" w:type="dxa"/>
        </w:tblCellMar>
        <w:tblLook w:val="04A0" w:firstRow="1" w:lastRow="0" w:firstColumn="1" w:lastColumn="0" w:noHBand="0" w:noVBand="1"/>
      </w:tblPr>
      <w:tblGrid>
        <w:gridCol w:w="1418"/>
        <w:gridCol w:w="8446"/>
      </w:tblGrid>
      <w:tr w:rsidR="00160054" w14:paraId="5FAAD8DF" w14:textId="77777777" w:rsidTr="005937A4">
        <w:trPr>
          <w:tblHeader/>
        </w:trPr>
        <w:tc>
          <w:tcPr>
            <w:tcW w:w="719" w:type="pct"/>
            <w:tcBorders>
              <w:top w:val="single" w:sz="8" w:space="0" w:color="007680"/>
              <w:bottom w:val="single" w:sz="8" w:space="0" w:color="007680"/>
            </w:tcBorders>
            <w:shd w:val="clear" w:color="auto" w:fill="auto"/>
            <w:tcMar>
              <w:top w:w="0" w:type="dxa"/>
              <w:left w:w="108" w:type="dxa"/>
              <w:bottom w:w="0" w:type="dxa"/>
              <w:right w:w="108" w:type="dxa"/>
            </w:tcMar>
            <w:hideMark/>
          </w:tcPr>
          <w:p w14:paraId="54762EA2" w14:textId="77777777" w:rsidR="00160054" w:rsidRPr="009A0E24" w:rsidRDefault="00160054" w:rsidP="00144BA2">
            <w:pPr>
              <w:pStyle w:val="Tableheader"/>
            </w:pPr>
            <w:r>
              <w:t>Case study ID</w:t>
            </w:r>
            <w:r>
              <w:rPr>
                <w:rStyle w:val="FootnoteReference"/>
              </w:rPr>
              <w:footnoteReference w:id="58"/>
            </w:r>
          </w:p>
        </w:tc>
        <w:tc>
          <w:tcPr>
            <w:tcW w:w="4281" w:type="pct"/>
            <w:tcBorders>
              <w:top w:val="single" w:sz="8" w:space="0" w:color="007680"/>
              <w:bottom w:val="single" w:sz="8" w:space="0" w:color="007680"/>
            </w:tcBorders>
            <w:shd w:val="clear" w:color="auto" w:fill="auto"/>
            <w:tcMar>
              <w:top w:w="0" w:type="dxa"/>
              <w:left w:w="108" w:type="dxa"/>
              <w:bottom w:w="0" w:type="dxa"/>
              <w:right w:w="108" w:type="dxa"/>
            </w:tcMar>
            <w:hideMark/>
          </w:tcPr>
          <w:p w14:paraId="54E7E78C" w14:textId="77777777" w:rsidR="00160054" w:rsidRPr="009A0E24" w:rsidRDefault="00160054" w:rsidP="00144BA2">
            <w:pPr>
              <w:pStyle w:val="Tableheader"/>
            </w:pPr>
            <w:r>
              <w:t>Description</w:t>
            </w:r>
          </w:p>
        </w:tc>
      </w:tr>
      <w:tr w:rsidR="00160054" w14:paraId="38D680D1" w14:textId="77777777" w:rsidTr="005937A4">
        <w:trPr>
          <w:trHeight w:val="2752"/>
        </w:trPr>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0D9E970E" w14:textId="77777777" w:rsidR="00C635ED" w:rsidRPr="00C635ED" w:rsidRDefault="00160054" w:rsidP="00144BA2">
            <w:pPr>
              <w:pStyle w:val="BodyCopyNEW"/>
              <w:rPr>
                <w:b/>
                <w:bCs/>
                <w:szCs w:val="18"/>
              </w:rPr>
            </w:pPr>
            <w:r w:rsidRPr="00C635ED">
              <w:rPr>
                <w:b/>
                <w:bCs/>
                <w:szCs w:val="18"/>
              </w:rPr>
              <w:t>Biofouling case studies</w:t>
            </w:r>
          </w:p>
          <w:p w14:paraId="384EDC3F" w14:textId="104B33A1" w:rsidR="00160054" w:rsidRPr="00C635ED" w:rsidRDefault="00983731" w:rsidP="00144BA2">
            <w:pPr>
              <w:pStyle w:val="BodyCopyNEW"/>
              <w:rPr>
                <w:i/>
                <w:iCs/>
                <w:szCs w:val="18"/>
              </w:rPr>
            </w:pPr>
            <w:r>
              <w:rPr>
                <w:i/>
                <w:iCs/>
                <w:szCs w:val="18"/>
              </w:rPr>
              <w:t>CS001 and CS002</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446432AE" w14:textId="77777777" w:rsidR="00160054" w:rsidRDefault="00160054" w:rsidP="00144BA2">
            <w:pPr>
              <w:pStyle w:val="BodyCopyNEW"/>
              <w:rPr>
                <w:bCs/>
                <w:szCs w:val="18"/>
              </w:rPr>
            </w:pPr>
            <w:r>
              <w:rPr>
                <w:bCs/>
                <w:szCs w:val="18"/>
              </w:rPr>
              <w:t xml:space="preserve">NOPSEMA identified that two floating facilities had entered Commonwealth waters with residual biofouling which was confirmed to be an invasive marine species. Inspectors found that titleholders responsible for the activities may not be managing the risk to ALARP or acceptable levels. The matter was taken to the NOPSEMA Compliance Committee and a decision was made to take compliance actions, including a Request for an EP revision. </w:t>
            </w:r>
          </w:p>
          <w:p w14:paraId="52F9163A" w14:textId="6438FFEB" w:rsidR="00160054" w:rsidRPr="003A6428" w:rsidRDefault="00160054" w:rsidP="00144BA2">
            <w:pPr>
              <w:pStyle w:val="BodyCopyNEW"/>
              <w:rPr>
                <w:szCs w:val="18"/>
              </w:rPr>
            </w:pPr>
            <w:r>
              <w:rPr>
                <w:bCs/>
                <w:szCs w:val="18"/>
              </w:rPr>
              <w:t>Analysis identified that the risk magnitude was not evident for other titleholders and facilities. The inspection strategy was updated to reflect the new inspection approach for biosecurity matters and new guidance was developed and published. NOPSEMA also: participated in a Biosecurity Workshop; accepted an invitation to be an observer on the Marine Pest Sectoral Committee (</w:t>
            </w:r>
            <w:r w:rsidRPr="0053341D">
              <w:rPr>
                <w:b/>
                <w:szCs w:val="18"/>
              </w:rPr>
              <w:t>MP</w:t>
            </w:r>
            <w:r w:rsidR="00BC6252">
              <w:rPr>
                <w:b/>
                <w:szCs w:val="18"/>
              </w:rPr>
              <w:t>S</w:t>
            </w:r>
            <w:r w:rsidRPr="0053341D">
              <w:rPr>
                <w:b/>
                <w:szCs w:val="18"/>
              </w:rPr>
              <w:t>C</w:t>
            </w:r>
            <w:r>
              <w:rPr>
                <w:bCs/>
                <w:szCs w:val="18"/>
              </w:rPr>
              <w:t xml:space="preserve">); strengthened working relationships with </w:t>
            </w:r>
            <w:r w:rsidR="0053341D">
              <w:rPr>
                <w:bCs/>
                <w:szCs w:val="18"/>
              </w:rPr>
              <w:t>s</w:t>
            </w:r>
            <w:r>
              <w:rPr>
                <w:bCs/>
                <w:szCs w:val="18"/>
              </w:rPr>
              <w:t xml:space="preserve">tate agencies; and agreed to work with members of the MPSC to develop good practice guidance on biofouling management. </w:t>
            </w:r>
          </w:p>
        </w:tc>
      </w:tr>
      <w:tr w:rsidR="00160054" w14:paraId="6D2D1A40" w14:textId="77777777" w:rsidTr="005937A4">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11E5B137" w14:textId="77777777" w:rsidR="00C635ED" w:rsidRPr="00C635ED" w:rsidRDefault="00160054" w:rsidP="00144BA2">
            <w:pPr>
              <w:pStyle w:val="BodyCopyNEW"/>
              <w:rPr>
                <w:b/>
                <w:bCs/>
                <w:szCs w:val="18"/>
              </w:rPr>
            </w:pPr>
            <w:r w:rsidRPr="00C635ED">
              <w:rPr>
                <w:b/>
                <w:bCs/>
                <w:szCs w:val="18"/>
              </w:rPr>
              <w:t xml:space="preserve">Rectification of missing EP </w:t>
            </w:r>
          </w:p>
          <w:p w14:paraId="1818B249" w14:textId="4B742B1A" w:rsidR="00160054" w:rsidRPr="00C635ED" w:rsidRDefault="00983731" w:rsidP="00144BA2">
            <w:pPr>
              <w:pStyle w:val="BodyCopyNEW"/>
              <w:rPr>
                <w:i/>
                <w:iCs/>
                <w:szCs w:val="18"/>
              </w:rPr>
            </w:pPr>
            <w:r>
              <w:rPr>
                <w:i/>
                <w:iCs/>
                <w:szCs w:val="18"/>
              </w:rPr>
              <w:t>CS003</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067C64A1" w14:textId="732B47CB" w:rsidR="00160054" w:rsidRPr="0024082D" w:rsidRDefault="00160054" w:rsidP="00144BA2">
            <w:pPr>
              <w:pStyle w:val="BodyCopyNEW"/>
              <w:rPr>
                <w:szCs w:val="18"/>
              </w:rPr>
            </w:pPr>
            <w:r w:rsidRPr="0024082D">
              <w:rPr>
                <w:szCs w:val="18"/>
              </w:rPr>
              <w:t xml:space="preserve">NOPTA requested advice </w:t>
            </w:r>
            <w:r>
              <w:rPr>
                <w:bCs/>
                <w:szCs w:val="18"/>
              </w:rPr>
              <w:t xml:space="preserve">from NOPSEMA </w:t>
            </w:r>
            <w:r w:rsidRPr="0024082D">
              <w:rPr>
                <w:szCs w:val="18"/>
              </w:rPr>
              <w:t>on renewal of a retention lease. A WOMP was identified but no EP identified for one well</w:t>
            </w:r>
            <w:r w:rsidR="001634F5">
              <w:rPr>
                <w:szCs w:val="18"/>
              </w:rPr>
              <w:t xml:space="preserve"> </w:t>
            </w:r>
            <w:r w:rsidRPr="0024082D">
              <w:rPr>
                <w:szCs w:val="18"/>
              </w:rPr>
              <w:t>head. Advice was provided to NOPTA that there were no serious compliance issues but that one well head did not have an EP and that NOPSEMA would seek an EP submission (Enforcement RMS</w:t>
            </w:r>
            <w:r w:rsidR="00777D2D">
              <w:rPr>
                <w:szCs w:val="18"/>
              </w:rPr>
              <w:t xml:space="preserve"> </w:t>
            </w:r>
            <w:r w:rsidRPr="0024082D">
              <w:rPr>
                <w:szCs w:val="18"/>
              </w:rPr>
              <w:t xml:space="preserve">757). An EP was then submitted and accepted. </w:t>
            </w:r>
          </w:p>
        </w:tc>
      </w:tr>
      <w:tr w:rsidR="00160054" w14:paraId="68528643" w14:textId="77777777" w:rsidTr="005937A4">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70D0A527" w14:textId="06F342E8" w:rsidR="00C635ED" w:rsidRDefault="00152ED9" w:rsidP="00144BA2">
            <w:pPr>
              <w:pStyle w:val="BodyCopyNEW"/>
              <w:rPr>
                <w:szCs w:val="18"/>
              </w:rPr>
            </w:pPr>
            <w:r>
              <w:rPr>
                <w:b/>
                <w:bCs/>
                <w:szCs w:val="18"/>
              </w:rPr>
              <w:t>An Offshore Project Proposal</w:t>
            </w:r>
            <w:r w:rsidR="00160054">
              <w:rPr>
                <w:szCs w:val="18"/>
              </w:rPr>
              <w:t xml:space="preserve"> </w:t>
            </w:r>
          </w:p>
          <w:p w14:paraId="7654F811" w14:textId="42A65930" w:rsidR="00160054" w:rsidRPr="00C635ED" w:rsidRDefault="00983731" w:rsidP="00144BA2">
            <w:pPr>
              <w:pStyle w:val="BodyCopyNEW"/>
              <w:rPr>
                <w:i/>
                <w:iCs/>
                <w:szCs w:val="18"/>
              </w:rPr>
            </w:pPr>
            <w:r>
              <w:rPr>
                <w:i/>
                <w:iCs/>
                <w:szCs w:val="18"/>
              </w:rPr>
              <w:t>CS004</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34BD96E4" w14:textId="0C7CDFD1" w:rsidR="00160054" w:rsidRPr="003A6428" w:rsidRDefault="00160054" w:rsidP="00144BA2">
            <w:pPr>
              <w:pStyle w:val="BodyCopyNEW"/>
              <w:rPr>
                <w:szCs w:val="18"/>
              </w:rPr>
            </w:pPr>
            <w:r>
              <w:rPr>
                <w:bCs/>
                <w:szCs w:val="18"/>
              </w:rPr>
              <w:t xml:space="preserve">The </w:t>
            </w:r>
            <w:r w:rsidR="00CE6499">
              <w:rPr>
                <w:bCs/>
                <w:szCs w:val="18"/>
              </w:rPr>
              <w:t>r</w:t>
            </w:r>
            <w:r>
              <w:rPr>
                <w:bCs/>
                <w:szCs w:val="18"/>
              </w:rPr>
              <w:t>eview team considered this offshore project proposal (</w:t>
            </w:r>
            <w:r w:rsidRPr="00453F6C">
              <w:rPr>
                <w:b/>
                <w:szCs w:val="18"/>
              </w:rPr>
              <w:t>OPP</w:t>
            </w:r>
            <w:r>
              <w:rPr>
                <w:bCs/>
                <w:szCs w:val="18"/>
              </w:rPr>
              <w:t xml:space="preserve">) as it was a </w:t>
            </w:r>
            <w:r w:rsidR="007C5595">
              <w:rPr>
                <w:bCs/>
                <w:szCs w:val="18"/>
              </w:rPr>
              <w:t>large-scale</w:t>
            </w:r>
            <w:r>
              <w:rPr>
                <w:bCs/>
                <w:szCs w:val="18"/>
              </w:rPr>
              <w:t xml:space="preserve"> proposal involving surface infrastructure, subsea infrastructure, wells, and trunkline installation. </w:t>
            </w:r>
            <w:r w:rsidRPr="005F4453">
              <w:rPr>
                <w:szCs w:val="18"/>
              </w:rPr>
              <w:t xml:space="preserve">Our review of the </w:t>
            </w:r>
            <w:r>
              <w:rPr>
                <w:bCs/>
                <w:szCs w:val="18"/>
              </w:rPr>
              <w:t>OPP</w:t>
            </w:r>
            <w:r w:rsidRPr="005F4453">
              <w:rPr>
                <w:szCs w:val="18"/>
              </w:rPr>
              <w:t xml:space="preserve"> indicated that there were defined environmental performance outcomes for all receptors that may </w:t>
            </w:r>
            <w:r w:rsidRPr="005F4453">
              <w:rPr>
                <w:bCs/>
                <w:szCs w:val="18"/>
              </w:rPr>
              <w:t>have been</w:t>
            </w:r>
            <w:r w:rsidRPr="005F4453">
              <w:rPr>
                <w:szCs w:val="18"/>
              </w:rPr>
              <w:t xml:space="preserve"> impacted by the activity from planned and unplanned </w:t>
            </w:r>
            <w:r w:rsidR="00DC3D06" w:rsidRPr="005F4453">
              <w:rPr>
                <w:szCs w:val="18"/>
              </w:rPr>
              <w:t>events.</w:t>
            </w:r>
            <w:r w:rsidR="00DC3D06">
              <w:rPr>
                <w:szCs w:val="18"/>
              </w:rPr>
              <w:t xml:space="preserve"> These environmental performance outcomes reflected key criteria for acceptability of impacts and risks including criteria that directly related to requirements of the EPBC Act and various Commonwealth plans for management and listed species recovery plans.</w:t>
            </w:r>
          </w:p>
        </w:tc>
      </w:tr>
      <w:tr w:rsidR="00160054" w14:paraId="581B0CD2" w14:textId="77777777" w:rsidTr="005937A4">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40F5A596" w14:textId="77777777" w:rsidR="00160054" w:rsidRPr="00C635ED" w:rsidRDefault="00160054" w:rsidP="00144BA2">
            <w:pPr>
              <w:pStyle w:val="BodyCopyNEW"/>
              <w:rPr>
                <w:b/>
                <w:bCs/>
                <w:szCs w:val="18"/>
              </w:rPr>
            </w:pPr>
            <w:r w:rsidRPr="00C635ED">
              <w:rPr>
                <w:b/>
                <w:bCs/>
                <w:szCs w:val="18"/>
              </w:rPr>
              <w:t xml:space="preserve">Oil spill investigation and subsequent Direction </w:t>
            </w:r>
          </w:p>
          <w:p w14:paraId="2ADE3EE4" w14:textId="02B870FD" w:rsidR="00160054" w:rsidRPr="00C635ED" w:rsidRDefault="00983731" w:rsidP="00144BA2">
            <w:pPr>
              <w:pStyle w:val="BodyCopyNEW"/>
              <w:rPr>
                <w:i/>
                <w:iCs/>
                <w:szCs w:val="18"/>
              </w:rPr>
            </w:pPr>
            <w:r>
              <w:rPr>
                <w:i/>
                <w:iCs/>
                <w:szCs w:val="18"/>
              </w:rPr>
              <w:t>CS005</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2B1F6AAD" w14:textId="07E524F9" w:rsidR="00160054" w:rsidRDefault="00160054" w:rsidP="00144BA2">
            <w:pPr>
              <w:pStyle w:val="BodyCopyNEW"/>
              <w:rPr>
                <w:szCs w:val="18"/>
              </w:rPr>
            </w:pPr>
            <w:r>
              <w:rPr>
                <w:szCs w:val="18"/>
              </w:rPr>
              <w:t>An oil spill of 2</w:t>
            </w:r>
            <w:r w:rsidR="001F7DA8">
              <w:rPr>
                <w:szCs w:val="18"/>
              </w:rPr>
              <w:t>,</w:t>
            </w:r>
            <w:r>
              <w:rPr>
                <w:szCs w:val="18"/>
              </w:rPr>
              <w:t xml:space="preserve">000 litres was reported on 24 July 2018 at 0815 </w:t>
            </w:r>
            <w:r w:rsidR="00133434">
              <w:rPr>
                <w:szCs w:val="18"/>
              </w:rPr>
              <w:t>hours</w:t>
            </w:r>
            <w:r>
              <w:rPr>
                <w:szCs w:val="18"/>
              </w:rPr>
              <w:t xml:space="preserve">. The NOPSEMA Spill Risk Manager initiated an investigation with inspection </w:t>
            </w:r>
            <w:r w:rsidR="006C762F">
              <w:rPr>
                <w:szCs w:val="18"/>
              </w:rPr>
              <w:t>at</w:t>
            </w:r>
            <w:r>
              <w:rPr>
                <w:szCs w:val="18"/>
              </w:rPr>
              <w:t xml:space="preserve"> 1300</w:t>
            </w:r>
            <w:r w:rsidR="00133434">
              <w:rPr>
                <w:szCs w:val="18"/>
              </w:rPr>
              <w:t xml:space="preserve"> hours</w:t>
            </w:r>
            <w:r>
              <w:rPr>
                <w:szCs w:val="18"/>
              </w:rPr>
              <w:t xml:space="preserve"> of the same day, finding that production had ceased, wells were shut in and relevant authorities notified. The authority holder was considering restarting the operation, however the NOPSEMA inspection team indicated that further action was required prior to restart. On 25 July NOPSEMA issued </w:t>
            </w:r>
            <w:r w:rsidR="009B3E21">
              <w:rPr>
                <w:szCs w:val="18"/>
              </w:rPr>
              <w:t xml:space="preserve">a </w:t>
            </w:r>
            <w:r>
              <w:rPr>
                <w:szCs w:val="18"/>
              </w:rPr>
              <w:t xml:space="preserve">Direction directing the authority holder to take specific actions prior to restart. </w:t>
            </w:r>
          </w:p>
          <w:p w14:paraId="6F4C2B03" w14:textId="1020AC46" w:rsidR="00160054" w:rsidRPr="009A0E24" w:rsidRDefault="00160054" w:rsidP="00144BA2">
            <w:pPr>
              <w:pStyle w:val="BodyCopyNEW"/>
              <w:rPr>
                <w:szCs w:val="18"/>
              </w:rPr>
            </w:pPr>
            <w:r>
              <w:rPr>
                <w:szCs w:val="18"/>
              </w:rPr>
              <w:t>A multi-disciplinary NOPSEMA team was established to understand the events and any failings. The authority holder provided a report outlining how they would comply with the Direction as well as additional actions they would implement following a restart. NOPSEMA then confirmed that the direction had been complied with to NOPSEMA’s satisfaction. Approximately two months later</w:t>
            </w:r>
            <w:r w:rsidR="00577224">
              <w:rPr>
                <w:szCs w:val="18"/>
              </w:rPr>
              <w:t>,</w:t>
            </w:r>
            <w:r>
              <w:rPr>
                <w:szCs w:val="18"/>
              </w:rPr>
              <w:t xml:space="preserve"> NOPSEMA issued a final report including a series of recommendations. These were then tracked and resolved by the Environment inspector. Recommendations associated with restoring asset integrity were resolved by the Safety and Integrity inspector. </w:t>
            </w:r>
          </w:p>
        </w:tc>
      </w:tr>
      <w:tr w:rsidR="00160054" w14:paraId="31ED9302" w14:textId="77777777" w:rsidTr="005937A4">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2FE0DDAA" w14:textId="77777777" w:rsidR="00C635ED" w:rsidRPr="00C635ED" w:rsidRDefault="00160054" w:rsidP="00144BA2">
            <w:pPr>
              <w:pStyle w:val="BodyCopyNEW"/>
              <w:rPr>
                <w:b/>
                <w:bCs/>
                <w:szCs w:val="18"/>
              </w:rPr>
            </w:pPr>
            <w:r w:rsidRPr="00C635ED">
              <w:rPr>
                <w:b/>
                <w:bCs/>
                <w:szCs w:val="18"/>
              </w:rPr>
              <w:lastRenderedPageBreak/>
              <w:t xml:space="preserve">Multi-client 3D and 2D Marine study </w:t>
            </w:r>
          </w:p>
          <w:p w14:paraId="20C7C283" w14:textId="78D3589F" w:rsidR="00160054" w:rsidRPr="00C635ED" w:rsidRDefault="00983731" w:rsidP="00144BA2">
            <w:pPr>
              <w:pStyle w:val="BodyCopyNEW"/>
              <w:rPr>
                <w:i/>
                <w:iCs/>
                <w:szCs w:val="18"/>
              </w:rPr>
            </w:pPr>
            <w:r>
              <w:rPr>
                <w:i/>
                <w:iCs/>
                <w:szCs w:val="18"/>
              </w:rPr>
              <w:t>CS006</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2A7DD67C" w14:textId="1D3B89ED" w:rsidR="00160054" w:rsidRDefault="00160054" w:rsidP="00144BA2">
            <w:pPr>
              <w:pStyle w:val="BodyCopyNEW"/>
              <w:rPr>
                <w:szCs w:val="18"/>
              </w:rPr>
            </w:pPr>
            <w:r>
              <w:rPr>
                <w:szCs w:val="18"/>
              </w:rPr>
              <w:t>A draft EP was submitted and NOPSEMA identified that there was a potential for unacceptable impacts on</w:t>
            </w:r>
            <w:r w:rsidR="00E327FE">
              <w:rPr>
                <w:szCs w:val="18"/>
              </w:rPr>
              <w:t xml:space="preserve"> listed species</w:t>
            </w:r>
            <w:r w:rsidR="00650376">
              <w:rPr>
                <w:szCs w:val="18"/>
              </w:rPr>
              <w:t xml:space="preserve"> including</w:t>
            </w:r>
            <w:r>
              <w:rPr>
                <w:szCs w:val="18"/>
              </w:rPr>
              <w:t xml:space="preserve"> pygmy blue whales (</w:t>
            </w:r>
            <w:r w:rsidRPr="003A14B4">
              <w:rPr>
                <w:b/>
                <w:bCs/>
                <w:szCs w:val="18"/>
              </w:rPr>
              <w:t>PBW</w:t>
            </w:r>
            <w:r>
              <w:rPr>
                <w:szCs w:val="18"/>
              </w:rPr>
              <w:t>), Southern right whales (</w:t>
            </w:r>
            <w:r w:rsidRPr="003A14B4">
              <w:rPr>
                <w:b/>
                <w:bCs/>
                <w:szCs w:val="18"/>
              </w:rPr>
              <w:t>SRW</w:t>
            </w:r>
            <w:r>
              <w:rPr>
                <w:szCs w:val="18"/>
              </w:rPr>
              <w:t xml:space="preserve">) and pinnipeds. The EP was requested to be </w:t>
            </w:r>
            <w:r w:rsidR="00ED1552">
              <w:rPr>
                <w:szCs w:val="18"/>
              </w:rPr>
              <w:t>amended</w:t>
            </w:r>
            <w:r>
              <w:rPr>
                <w:szCs w:val="18"/>
              </w:rPr>
              <w:t xml:space="preserve"> three times to deal with temporal and spatial overlap with species habitat and potential for noise in calving areas for SRW, overlap with PBW foraging season and consistency with PBW and SRW conservation management plans and potential injury to pinnipeds. Expert advice from AAD was sought in relation to PBW and SRW at the second review point. </w:t>
            </w:r>
          </w:p>
          <w:p w14:paraId="389A240C" w14:textId="7B9CEC01" w:rsidR="00160054" w:rsidRDefault="00160054" w:rsidP="00144BA2">
            <w:pPr>
              <w:pStyle w:val="BodyCopyNEW"/>
              <w:rPr>
                <w:szCs w:val="18"/>
              </w:rPr>
            </w:pPr>
            <w:r>
              <w:rPr>
                <w:szCs w:val="18"/>
              </w:rPr>
              <w:t xml:space="preserve">The EP was eventually accepted with Conditions and the relevant Program commitments were met with those conditions, and the decision making was consistent with the principles of ESD. </w:t>
            </w:r>
          </w:p>
          <w:p w14:paraId="0C65A167" w14:textId="0A6245D9" w:rsidR="00160054" w:rsidRPr="009A0E24" w:rsidRDefault="00160054" w:rsidP="00144BA2">
            <w:pPr>
              <w:pStyle w:val="BodyCopyNEW"/>
              <w:rPr>
                <w:szCs w:val="18"/>
              </w:rPr>
            </w:pPr>
            <w:r>
              <w:rPr>
                <w:szCs w:val="18"/>
              </w:rPr>
              <w:t>The survey is currently on hold</w:t>
            </w:r>
            <w:r w:rsidR="0049360E">
              <w:rPr>
                <w:szCs w:val="18"/>
              </w:rPr>
              <w:t xml:space="preserve"> at the time of the review</w:t>
            </w:r>
            <w:r>
              <w:rPr>
                <w:szCs w:val="18"/>
              </w:rPr>
              <w:t xml:space="preserve">. </w:t>
            </w:r>
          </w:p>
        </w:tc>
      </w:tr>
      <w:tr w:rsidR="00160054" w14:paraId="386A978D" w14:textId="77777777" w:rsidTr="005937A4">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0B873477" w14:textId="77777777" w:rsidR="000826B8" w:rsidRPr="000826B8" w:rsidRDefault="000826B8" w:rsidP="00144BA2">
            <w:pPr>
              <w:pStyle w:val="BodyCopyNEW"/>
              <w:rPr>
                <w:b/>
                <w:bCs/>
                <w:szCs w:val="18"/>
              </w:rPr>
            </w:pPr>
            <w:r w:rsidRPr="000826B8">
              <w:rPr>
                <w:b/>
                <w:bCs/>
                <w:szCs w:val="18"/>
              </w:rPr>
              <w:t xml:space="preserve">Marine Seismic Survey </w:t>
            </w:r>
          </w:p>
          <w:p w14:paraId="022D7C1D" w14:textId="25886D1E" w:rsidR="00160054" w:rsidRPr="000826B8" w:rsidRDefault="00983731" w:rsidP="00144BA2">
            <w:pPr>
              <w:pStyle w:val="BodyCopyNEW"/>
              <w:rPr>
                <w:i/>
                <w:iCs/>
                <w:szCs w:val="18"/>
              </w:rPr>
            </w:pPr>
            <w:r>
              <w:rPr>
                <w:i/>
                <w:iCs/>
                <w:szCs w:val="18"/>
              </w:rPr>
              <w:t>CS007</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25FF037C" w14:textId="239B7AE2" w:rsidR="00160054" w:rsidRDefault="000F617B" w:rsidP="00144BA2">
            <w:pPr>
              <w:pStyle w:val="BodyCopyNEW"/>
              <w:rPr>
                <w:szCs w:val="18"/>
              </w:rPr>
            </w:pPr>
            <w:r>
              <w:rPr>
                <w:szCs w:val="18"/>
              </w:rPr>
              <w:t>A</w:t>
            </w:r>
            <w:r w:rsidR="00160054">
              <w:rPr>
                <w:szCs w:val="18"/>
              </w:rPr>
              <w:t xml:space="preserve"> </w:t>
            </w:r>
            <w:r>
              <w:rPr>
                <w:szCs w:val="18"/>
              </w:rPr>
              <w:t>m</w:t>
            </w:r>
            <w:r w:rsidR="00160054">
              <w:rPr>
                <w:szCs w:val="18"/>
              </w:rPr>
              <w:t xml:space="preserve">arine </w:t>
            </w:r>
            <w:r w:rsidRPr="00382EB4">
              <w:rPr>
                <w:szCs w:val="18"/>
              </w:rPr>
              <w:t>s</w:t>
            </w:r>
            <w:r w:rsidR="00160054" w:rsidRPr="00382EB4">
              <w:rPr>
                <w:szCs w:val="18"/>
              </w:rPr>
              <w:t>eismic survey</w:t>
            </w:r>
            <w:r w:rsidR="00382EB4" w:rsidRPr="00382EB4">
              <w:rPr>
                <w:szCs w:val="18"/>
              </w:rPr>
              <w:t xml:space="preserve"> EP</w:t>
            </w:r>
            <w:r w:rsidR="00160054" w:rsidRPr="00382EB4">
              <w:rPr>
                <w:szCs w:val="18"/>
              </w:rPr>
              <w:t xml:space="preserve"> was submitted </w:t>
            </w:r>
            <w:r w:rsidR="00160054">
              <w:rPr>
                <w:szCs w:val="18"/>
              </w:rPr>
              <w:t xml:space="preserve">to NOPSEMA, with a potential for unacceptable impacts on PBW, SRW and sperm whales. The EP was then revised twice to provide controls to prevent SRW stress response, detection of sperm whales and a demonstration that impacts to PBW could be managed so that there is no injury or displacement from the foraging </w:t>
            </w:r>
            <w:r w:rsidR="0064541D">
              <w:rPr>
                <w:szCs w:val="18"/>
              </w:rPr>
              <w:t>BIAs</w:t>
            </w:r>
            <w:r w:rsidR="00160054">
              <w:rPr>
                <w:szCs w:val="18"/>
              </w:rPr>
              <w:t xml:space="preserve"> (as required by the </w:t>
            </w:r>
            <w:r w:rsidR="0064541D">
              <w:rPr>
                <w:szCs w:val="18"/>
              </w:rPr>
              <w:t>R</w:t>
            </w:r>
            <w:r w:rsidR="00160054">
              <w:rPr>
                <w:szCs w:val="18"/>
              </w:rPr>
              <w:t xml:space="preserve">ecovery </w:t>
            </w:r>
            <w:r w:rsidR="0064541D">
              <w:rPr>
                <w:szCs w:val="18"/>
              </w:rPr>
              <w:t>P</w:t>
            </w:r>
            <w:r w:rsidR="00160054">
              <w:rPr>
                <w:szCs w:val="18"/>
              </w:rPr>
              <w:t xml:space="preserve">lan). </w:t>
            </w:r>
          </w:p>
          <w:p w14:paraId="0EAFF2F9" w14:textId="7DCEE958" w:rsidR="00770451" w:rsidRDefault="00770451" w:rsidP="00770451">
            <w:pPr>
              <w:pStyle w:val="BodyCopyNEW"/>
              <w:rPr>
                <w:szCs w:val="18"/>
              </w:rPr>
            </w:pPr>
            <w:r>
              <w:rPr>
                <w:szCs w:val="18"/>
              </w:rPr>
              <w:t xml:space="preserve">Note BIA maps and descriptions are available in the </w:t>
            </w:r>
            <w:r w:rsidR="00961B1D">
              <w:rPr>
                <w:szCs w:val="18"/>
              </w:rPr>
              <w:t>NCVA</w:t>
            </w:r>
            <w:r>
              <w:rPr>
                <w:szCs w:val="18"/>
              </w:rPr>
              <w:t xml:space="preserve"> (which is hosted by DAWE).</w:t>
            </w:r>
          </w:p>
          <w:p w14:paraId="71B85F30" w14:textId="0D90D489" w:rsidR="00160054" w:rsidRDefault="00160054" w:rsidP="00144BA2">
            <w:pPr>
              <w:pStyle w:val="BodyCopyNEW"/>
              <w:rPr>
                <w:szCs w:val="18"/>
              </w:rPr>
            </w:pPr>
            <w:r>
              <w:rPr>
                <w:szCs w:val="18"/>
              </w:rPr>
              <w:t>NOPSEMA was</w:t>
            </w:r>
            <w:r w:rsidR="003F3FFB">
              <w:rPr>
                <w:szCs w:val="18"/>
              </w:rPr>
              <w:t xml:space="preserve"> not</w:t>
            </w:r>
            <w:r>
              <w:rPr>
                <w:szCs w:val="18"/>
              </w:rPr>
              <w:t xml:space="preserve"> reasonably satisfied that impacts to protected matters except PBW would be managed to ALARP and acceptable levels</w:t>
            </w:r>
            <w:r w:rsidR="00A41B69">
              <w:rPr>
                <w:szCs w:val="18"/>
              </w:rPr>
              <w:t>, noting scientific uncertainty in the effectiveness of detection and control measures</w:t>
            </w:r>
            <w:r>
              <w:rPr>
                <w:szCs w:val="18"/>
              </w:rPr>
              <w:t>.</w:t>
            </w:r>
            <w:r w:rsidR="002B7883">
              <w:rPr>
                <w:szCs w:val="18"/>
              </w:rPr>
              <w:t xml:space="preserve"> </w:t>
            </w:r>
            <w:r w:rsidR="00D6207A">
              <w:rPr>
                <w:szCs w:val="18"/>
              </w:rPr>
              <w:t>However, t</w:t>
            </w:r>
            <w:r w:rsidR="002B7883">
              <w:rPr>
                <w:szCs w:val="18"/>
              </w:rPr>
              <w:t>he EP was accepted</w:t>
            </w:r>
            <w:r>
              <w:rPr>
                <w:szCs w:val="18"/>
              </w:rPr>
              <w:t xml:space="preserve"> with </w:t>
            </w:r>
            <w:r w:rsidR="007F3CB1">
              <w:rPr>
                <w:szCs w:val="18"/>
              </w:rPr>
              <w:t>limitations (</w:t>
            </w:r>
            <w:r>
              <w:rPr>
                <w:szCs w:val="18"/>
              </w:rPr>
              <w:t>conditions</w:t>
            </w:r>
            <w:r w:rsidR="007F3CB1">
              <w:rPr>
                <w:szCs w:val="18"/>
              </w:rPr>
              <w:t>)</w:t>
            </w:r>
            <w:r>
              <w:rPr>
                <w:szCs w:val="18"/>
              </w:rPr>
              <w:t xml:space="preserve"> that there would be no discharge of seismic airguns in the PBW BIA in the relevant time period, and that there would be a limitation of anthropogenic noise in the BIA so that PBW could continue to utilise the area without injury and is not displaced from a foraging area. </w:t>
            </w:r>
          </w:p>
          <w:p w14:paraId="4928AC66" w14:textId="3F22F2BE" w:rsidR="00160054" w:rsidRPr="009A0E24" w:rsidRDefault="00160054" w:rsidP="00144BA2">
            <w:pPr>
              <w:pStyle w:val="BodyCopyNEW"/>
              <w:rPr>
                <w:szCs w:val="18"/>
              </w:rPr>
            </w:pPr>
            <w:r>
              <w:rPr>
                <w:szCs w:val="18"/>
              </w:rPr>
              <w:t>This activity has now been completed</w:t>
            </w:r>
            <w:r w:rsidR="0049360E">
              <w:rPr>
                <w:szCs w:val="18"/>
              </w:rPr>
              <w:t xml:space="preserve"> at the time of the review</w:t>
            </w:r>
            <w:r>
              <w:rPr>
                <w:szCs w:val="18"/>
              </w:rPr>
              <w:t xml:space="preserve">. </w:t>
            </w:r>
          </w:p>
        </w:tc>
      </w:tr>
      <w:tr w:rsidR="00160054" w14:paraId="40880811" w14:textId="77777777" w:rsidTr="005937A4">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43E40A4F" w14:textId="77777777" w:rsidR="003A14B4" w:rsidRPr="003A14B4" w:rsidRDefault="00160054" w:rsidP="00144BA2">
            <w:pPr>
              <w:pStyle w:val="BodyCopyNEW"/>
              <w:rPr>
                <w:b/>
                <w:bCs/>
                <w:szCs w:val="18"/>
              </w:rPr>
            </w:pPr>
            <w:r w:rsidRPr="003A14B4">
              <w:rPr>
                <w:b/>
                <w:bCs/>
                <w:szCs w:val="18"/>
              </w:rPr>
              <w:t xml:space="preserve">Exploration Drilling </w:t>
            </w:r>
          </w:p>
          <w:p w14:paraId="6C44D589" w14:textId="05DABFD2" w:rsidR="00160054" w:rsidRPr="003A14B4" w:rsidRDefault="00983731" w:rsidP="00144BA2">
            <w:pPr>
              <w:pStyle w:val="BodyCopyNEW"/>
              <w:rPr>
                <w:i/>
                <w:iCs/>
                <w:szCs w:val="18"/>
              </w:rPr>
            </w:pPr>
            <w:r>
              <w:rPr>
                <w:i/>
                <w:iCs/>
                <w:szCs w:val="18"/>
              </w:rPr>
              <w:t>CS008</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27C0D664" w14:textId="2E4912F6" w:rsidR="00160054" w:rsidRDefault="00160054" w:rsidP="00144BA2">
            <w:pPr>
              <w:pStyle w:val="BodyCopyNEW"/>
              <w:rPr>
                <w:szCs w:val="18"/>
              </w:rPr>
            </w:pPr>
            <w:r>
              <w:rPr>
                <w:szCs w:val="18"/>
              </w:rPr>
              <w:t>An exploration drilling EP was submitted to NOPSEMA with a large loss of well control (</w:t>
            </w:r>
            <w:r w:rsidRPr="00A755FE">
              <w:rPr>
                <w:b/>
                <w:szCs w:val="18"/>
              </w:rPr>
              <w:t>LOWC</w:t>
            </w:r>
            <w:r>
              <w:rPr>
                <w:szCs w:val="18"/>
              </w:rPr>
              <w:t>) release scenario. The response capability presented was found not to reduce the risk to ALARP and acceptable levels. The EP was revised twice</w:t>
            </w:r>
            <w:r w:rsidR="005A17C3">
              <w:rPr>
                <w:szCs w:val="18"/>
              </w:rPr>
              <w:t xml:space="preserve"> at NOPSEMA’s request</w:t>
            </w:r>
            <w:r>
              <w:rPr>
                <w:szCs w:val="18"/>
              </w:rPr>
              <w:t>. The first revision include</w:t>
            </w:r>
            <w:r w:rsidR="00F47D4A">
              <w:rPr>
                <w:szCs w:val="18"/>
              </w:rPr>
              <w:t>d</w:t>
            </w:r>
            <w:r>
              <w:rPr>
                <w:szCs w:val="18"/>
              </w:rPr>
              <w:t xml:space="preserve"> an updated well design including a</w:t>
            </w:r>
            <w:r w:rsidR="00CC5011">
              <w:rPr>
                <w:szCs w:val="18"/>
              </w:rPr>
              <w:t>n additional</w:t>
            </w:r>
            <w:r>
              <w:rPr>
                <w:szCs w:val="18"/>
              </w:rPr>
              <w:t xml:space="preserve"> </w:t>
            </w:r>
            <w:r w:rsidR="007B1235">
              <w:rPr>
                <w:szCs w:val="18"/>
              </w:rPr>
              <w:t>liner</w:t>
            </w:r>
            <w:r>
              <w:rPr>
                <w:szCs w:val="18"/>
              </w:rPr>
              <w:t xml:space="preserve"> to divide the reservoir interval, thereby reducing the maximum volume of sand that may be exposed, resulting in a lower calculated Worst Credible Discharge flow rate. Additional control measures were also added to reduce the risk to ALARP. </w:t>
            </w:r>
          </w:p>
          <w:p w14:paraId="2BED8A47" w14:textId="77777777" w:rsidR="00160054" w:rsidRDefault="00160054" w:rsidP="00144BA2">
            <w:pPr>
              <w:pStyle w:val="BodyCopyNEW"/>
              <w:rPr>
                <w:szCs w:val="18"/>
              </w:rPr>
            </w:pPr>
            <w:r>
              <w:rPr>
                <w:szCs w:val="18"/>
              </w:rPr>
              <w:t xml:space="preserve">The second revision included a much reduced LOWC discharge volume and a shorter duration for relief well drilling (103 to 83 days) and demonstrated the suitability of the method used to for estimate financial assurance. Additional commitments were also made for monitoring of capping-stack-deployment-capable vessels. </w:t>
            </w:r>
          </w:p>
          <w:p w14:paraId="52DE985D" w14:textId="4B6E6A43" w:rsidR="00160054" w:rsidRPr="009A0E24" w:rsidRDefault="00160054" w:rsidP="00144BA2">
            <w:pPr>
              <w:pStyle w:val="BodyCopyNEW"/>
              <w:rPr>
                <w:szCs w:val="18"/>
              </w:rPr>
            </w:pPr>
            <w:r>
              <w:rPr>
                <w:szCs w:val="18"/>
              </w:rPr>
              <w:t>Drilling is commencing and a NOPSEMA inspection planned</w:t>
            </w:r>
            <w:r w:rsidR="001634F5">
              <w:rPr>
                <w:szCs w:val="18"/>
              </w:rPr>
              <w:t xml:space="preserve"> at the time of the review</w:t>
            </w:r>
            <w:r>
              <w:rPr>
                <w:szCs w:val="18"/>
              </w:rPr>
              <w:t xml:space="preserve">. </w:t>
            </w:r>
          </w:p>
        </w:tc>
      </w:tr>
      <w:tr w:rsidR="00160054" w14:paraId="44DCC6EB" w14:textId="77777777" w:rsidTr="005937A4">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666C3226" w14:textId="77777777" w:rsidR="0064541D" w:rsidRDefault="00160054" w:rsidP="00144BA2">
            <w:pPr>
              <w:pStyle w:val="BodyCopyNEW"/>
              <w:rPr>
                <w:szCs w:val="18"/>
              </w:rPr>
            </w:pPr>
            <w:r w:rsidRPr="0064541D">
              <w:rPr>
                <w:b/>
                <w:bCs/>
                <w:szCs w:val="18"/>
              </w:rPr>
              <w:t>Marine Seismic Survey</w:t>
            </w:r>
            <w:r>
              <w:rPr>
                <w:szCs w:val="18"/>
              </w:rPr>
              <w:t xml:space="preserve"> </w:t>
            </w:r>
          </w:p>
          <w:p w14:paraId="3DAA5DAD" w14:textId="5DD94F73" w:rsidR="00160054" w:rsidRPr="0064541D" w:rsidRDefault="00983731" w:rsidP="00144BA2">
            <w:pPr>
              <w:pStyle w:val="BodyCopyNEW"/>
              <w:rPr>
                <w:i/>
                <w:iCs/>
                <w:szCs w:val="18"/>
              </w:rPr>
            </w:pPr>
            <w:r>
              <w:rPr>
                <w:i/>
                <w:iCs/>
                <w:szCs w:val="18"/>
              </w:rPr>
              <w:t>CS009</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4BD88618" w14:textId="2FA13BA7" w:rsidR="00160054" w:rsidRDefault="00160054" w:rsidP="00144BA2">
            <w:pPr>
              <w:pStyle w:val="BodyCopyNEW"/>
              <w:rPr>
                <w:szCs w:val="18"/>
              </w:rPr>
            </w:pPr>
            <w:r>
              <w:rPr>
                <w:szCs w:val="18"/>
              </w:rPr>
              <w:t xml:space="preserve">A </w:t>
            </w:r>
            <w:r w:rsidR="00B952A7">
              <w:rPr>
                <w:szCs w:val="18"/>
              </w:rPr>
              <w:t>m</w:t>
            </w:r>
            <w:r>
              <w:rPr>
                <w:szCs w:val="18"/>
              </w:rPr>
              <w:t xml:space="preserve">arine </w:t>
            </w:r>
            <w:r w:rsidR="00B952A7">
              <w:rPr>
                <w:szCs w:val="18"/>
              </w:rPr>
              <w:t>s</w:t>
            </w:r>
            <w:r>
              <w:rPr>
                <w:szCs w:val="18"/>
              </w:rPr>
              <w:t>eismic survey</w:t>
            </w:r>
            <w:r w:rsidR="00091BF5">
              <w:rPr>
                <w:szCs w:val="18"/>
              </w:rPr>
              <w:t xml:space="preserve"> EP</w:t>
            </w:r>
            <w:r>
              <w:rPr>
                <w:szCs w:val="18"/>
              </w:rPr>
              <w:t xml:space="preserve"> was submitted, and NOPSEMA identified a potential for </w:t>
            </w:r>
            <w:r w:rsidR="00763ECA">
              <w:rPr>
                <w:szCs w:val="18"/>
              </w:rPr>
              <w:t xml:space="preserve">unacceptable </w:t>
            </w:r>
            <w:r>
              <w:rPr>
                <w:szCs w:val="18"/>
              </w:rPr>
              <w:t>impacts on commercial fisheries as well as a number of EPBC Act listed whale species (</w:t>
            </w:r>
            <w:r w:rsidR="002D6CB3">
              <w:rPr>
                <w:szCs w:val="18"/>
              </w:rPr>
              <w:t xml:space="preserve">i.e. </w:t>
            </w:r>
            <w:r>
              <w:rPr>
                <w:szCs w:val="18"/>
              </w:rPr>
              <w:t>humpback, blue and SRW).</w:t>
            </w:r>
          </w:p>
          <w:p w14:paraId="4C9D352A" w14:textId="1CB59B04" w:rsidR="00160054" w:rsidRDefault="00160054" w:rsidP="00144BA2">
            <w:pPr>
              <w:pStyle w:val="BodyCopyNEW"/>
              <w:rPr>
                <w:szCs w:val="18"/>
              </w:rPr>
            </w:pPr>
            <w:r>
              <w:rPr>
                <w:szCs w:val="18"/>
              </w:rPr>
              <w:t xml:space="preserve">A revised EP was then submitted and accepted by NOPSEMA, </w:t>
            </w:r>
            <w:r w:rsidR="00D00AC2">
              <w:rPr>
                <w:szCs w:val="18"/>
              </w:rPr>
              <w:t>which incor</w:t>
            </w:r>
            <w:r w:rsidR="000D4AFF">
              <w:rPr>
                <w:szCs w:val="18"/>
              </w:rPr>
              <w:t>porated</w:t>
            </w:r>
            <w:r>
              <w:rPr>
                <w:szCs w:val="18"/>
              </w:rPr>
              <w:t xml:space="preserve"> comprehensive information on interactions with and impacts to whales, commercial fish stocks and fishing operations. Stronger measures were introduced to manage impacts. For commercial fish stocks and fishing operations</w:t>
            </w:r>
            <w:r w:rsidR="00431F51">
              <w:rPr>
                <w:szCs w:val="18"/>
              </w:rPr>
              <w:t>,</w:t>
            </w:r>
            <w:r>
              <w:rPr>
                <w:szCs w:val="18"/>
              </w:rPr>
              <w:t xml:space="preserve"> this included the establishment of a Scientific Advisory Committee (</w:t>
            </w:r>
            <w:r w:rsidRPr="00F6044E">
              <w:rPr>
                <w:b/>
                <w:bCs/>
                <w:szCs w:val="18"/>
              </w:rPr>
              <w:t>SAC</w:t>
            </w:r>
            <w:r>
              <w:rPr>
                <w:szCs w:val="18"/>
              </w:rPr>
              <w:t xml:space="preserve">) to inform design of research projects and the development of a compensation scheme in the form of a Fisheries Displacement Mitigation Plan. </w:t>
            </w:r>
          </w:p>
          <w:p w14:paraId="460D5C0E" w14:textId="77777777" w:rsidR="00160054" w:rsidRDefault="00160054" w:rsidP="00144BA2">
            <w:pPr>
              <w:pStyle w:val="BodyCopyNEW"/>
              <w:rPr>
                <w:szCs w:val="18"/>
              </w:rPr>
            </w:pPr>
            <w:r>
              <w:rPr>
                <w:szCs w:val="18"/>
              </w:rPr>
              <w:t>NOPSEMA reviewed the establishment of the SAC, the fisheries displacement mitigation plan and the design of the research studies. Recommendations were made to enhance the functioning of the SAC.</w:t>
            </w:r>
          </w:p>
          <w:p w14:paraId="09917016" w14:textId="77777777" w:rsidR="00160054" w:rsidRDefault="00160054" w:rsidP="00144BA2">
            <w:pPr>
              <w:pStyle w:val="BodyCopyNEW"/>
              <w:rPr>
                <w:szCs w:val="18"/>
              </w:rPr>
            </w:pPr>
            <w:r>
              <w:rPr>
                <w:szCs w:val="18"/>
              </w:rPr>
              <w:t xml:space="preserve">Two investigations were undertaken in response to complaints received from commercial fishers regarding the administration of the compensation scheme. NOPSEMA issued a general direction after two investigations identified that the compensation scheme was not being implemented in a manner in keeping with the intent of the EP, particularly regarding communication practices and timely assessment of compensation schemes. </w:t>
            </w:r>
          </w:p>
          <w:p w14:paraId="2B85BE28" w14:textId="65EF68E0" w:rsidR="00160054" w:rsidRPr="009A0E24" w:rsidRDefault="00160054" w:rsidP="00144BA2">
            <w:pPr>
              <w:pStyle w:val="BodyCopyNEW"/>
              <w:rPr>
                <w:szCs w:val="18"/>
              </w:rPr>
            </w:pPr>
            <w:r>
              <w:rPr>
                <w:szCs w:val="18"/>
              </w:rPr>
              <w:t xml:space="preserve">NOPSEMA then engaged with fisheries and relevant petroleum policy agencies to highlight the challenges associated with interactions between fisheries and seismic surveys. </w:t>
            </w:r>
            <w:r w:rsidR="001D167F">
              <w:rPr>
                <w:szCs w:val="18"/>
              </w:rPr>
              <w:t>S</w:t>
            </w:r>
            <w:r>
              <w:rPr>
                <w:szCs w:val="18"/>
              </w:rPr>
              <w:t xml:space="preserve">takeholders have agreed that there is a need for a policy framework to manage interactions and a standard compensation scheme administered by an independent, expert panel. </w:t>
            </w:r>
          </w:p>
        </w:tc>
      </w:tr>
      <w:tr w:rsidR="00160054" w14:paraId="0FADC964" w14:textId="77777777" w:rsidTr="005937A4">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3B175D95" w14:textId="77777777" w:rsidR="00F6044E" w:rsidRDefault="00160054" w:rsidP="00144BA2">
            <w:pPr>
              <w:pStyle w:val="BodyCopyNEW"/>
              <w:rPr>
                <w:szCs w:val="18"/>
              </w:rPr>
            </w:pPr>
            <w:r w:rsidRPr="00F6044E">
              <w:rPr>
                <w:b/>
                <w:bCs/>
                <w:szCs w:val="18"/>
              </w:rPr>
              <w:lastRenderedPageBreak/>
              <w:t>Produced Formation Water discharge issue</w:t>
            </w:r>
            <w:r>
              <w:rPr>
                <w:szCs w:val="18"/>
              </w:rPr>
              <w:t xml:space="preserve"> </w:t>
            </w:r>
          </w:p>
          <w:p w14:paraId="64C7FCA9" w14:textId="65F43368" w:rsidR="00160054" w:rsidRPr="00F6044E" w:rsidRDefault="00983731" w:rsidP="00144BA2">
            <w:pPr>
              <w:pStyle w:val="BodyCopyNEW"/>
              <w:rPr>
                <w:i/>
                <w:iCs/>
                <w:szCs w:val="18"/>
              </w:rPr>
            </w:pPr>
            <w:r>
              <w:rPr>
                <w:i/>
                <w:iCs/>
                <w:szCs w:val="18"/>
              </w:rPr>
              <w:t>CS010</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6734D0AF" w14:textId="3A32C1CA" w:rsidR="00160054" w:rsidRDefault="00160054" w:rsidP="00144BA2">
            <w:pPr>
              <w:pStyle w:val="BodyCopyNEW"/>
              <w:rPr>
                <w:szCs w:val="18"/>
              </w:rPr>
            </w:pPr>
            <w:r>
              <w:rPr>
                <w:szCs w:val="18"/>
              </w:rPr>
              <w:t>A</w:t>
            </w:r>
            <w:r w:rsidR="00092C98">
              <w:rPr>
                <w:szCs w:val="18"/>
              </w:rPr>
              <w:t>n</w:t>
            </w:r>
            <w:r>
              <w:rPr>
                <w:szCs w:val="18"/>
              </w:rPr>
              <w:t xml:space="preserve"> EP </w:t>
            </w:r>
            <w:r w:rsidR="00F7122C">
              <w:rPr>
                <w:szCs w:val="18"/>
              </w:rPr>
              <w:t xml:space="preserve">for an operations activity </w:t>
            </w:r>
            <w:r>
              <w:rPr>
                <w:szCs w:val="18"/>
              </w:rPr>
              <w:t>was submitted to NOPSEMA, and NOPSEMA identified a risk of unacceptable impacts on the Commonwealth marine area due to produced formation water (</w:t>
            </w:r>
            <w:r w:rsidRPr="00757B5D">
              <w:rPr>
                <w:b/>
                <w:bCs/>
                <w:szCs w:val="18"/>
              </w:rPr>
              <w:t>PFW</w:t>
            </w:r>
            <w:r>
              <w:rPr>
                <w:szCs w:val="18"/>
              </w:rPr>
              <w:t xml:space="preserve">) discharge (i.e. risk of oil in water discharged to sea). The Regulations previously set a limit of 30 mg/L of petroleum (averaged over 24 hours) in any produced formation water discharged to sea and outlined testing requirements for monitoring equipment. This was changed in 2014 to require that PFW discharge must be at an acceptable level and reduced to ALARP. The OPGGS </w:t>
            </w:r>
            <w:r w:rsidR="00757B5D">
              <w:rPr>
                <w:szCs w:val="18"/>
              </w:rPr>
              <w:t>(</w:t>
            </w:r>
            <w:r>
              <w:rPr>
                <w:szCs w:val="18"/>
              </w:rPr>
              <w:t>Environment</w:t>
            </w:r>
            <w:r w:rsidR="00757B5D">
              <w:rPr>
                <w:szCs w:val="18"/>
              </w:rPr>
              <w:t>)</w:t>
            </w:r>
            <w:r>
              <w:rPr>
                <w:szCs w:val="18"/>
              </w:rPr>
              <w:t xml:space="preserve"> Regulations also require an implementation strategy with provision for monitoring and evaluation.</w:t>
            </w:r>
          </w:p>
          <w:p w14:paraId="7036BBFD" w14:textId="0FC960BF" w:rsidR="00160054" w:rsidRDefault="00160054" w:rsidP="00144BA2">
            <w:pPr>
              <w:pStyle w:val="BodyCopyNEW"/>
              <w:rPr>
                <w:szCs w:val="18"/>
              </w:rPr>
            </w:pPr>
            <w:r>
              <w:rPr>
                <w:szCs w:val="18"/>
              </w:rPr>
              <w:t xml:space="preserve">The </w:t>
            </w:r>
            <w:r w:rsidR="00C50FBA">
              <w:rPr>
                <w:szCs w:val="18"/>
              </w:rPr>
              <w:t>operations</w:t>
            </w:r>
            <w:r>
              <w:rPr>
                <w:szCs w:val="18"/>
              </w:rPr>
              <w:t xml:space="preserve"> EP was revised four times and accepted on the fourth submission. The issues identified in the previous versions included: a lack of clarity around the extent and severity of impacts on the Commonwealth marine area, monitoring of PFW concentrations and a requirement to meet the 99% safe dilution target at marine areas of very high conservation value (even thought this was a deviation from industry standard practice). </w:t>
            </w:r>
          </w:p>
          <w:p w14:paraId="7ED6C0C2" w14:textId="77777777" w:rsidR="00160054" w:rsidRDefault="00160054" w:rsidP="00144BA2">
            <w:pPr>
              <w:pStyle w:val="BodyCopyNEW"/>
              <w:rPr>
                <w:szCs w:val="18"/>
              </w:rPr>
            </w:pPr>
            <w:r>
              <w:rPr>
                <w:szCs w:val="18"/>
              </w:rPr>
              <w:t xml:space="preserve">The final EP was accepted once NOPSEMA was reasonably satisfied that impacts to the Commonwealth marine area would be managed to acceptable levels with clear and measurable levels of ecological protection included in the EP, a mixing zone established at the 99% species protection level, a management and monitoring framework (with corrective actions if needed), and a requirement for continuous improvement opportunities to be investigated. </w:t>
            </w:r>
          </w:p>
        </w:tc>
      </w:tr>
    </w:tbl>
    <w:p w14:paraId="292A9217" w14:textId="5B10C18F" w:rsidR="006F73F7" w:rsidRDefault="006F73F7" w:rsidP="006F73F7">
      <w:pPr>
        <w:pStyle w:val="Caption"/>
      </w:pPr>
      <w:bookmarkStart w:id="188" w:name="_Ref63193554"/>
      <w:r w:rsidRPr="006F73F7">
        <w:t xml:space="preserve">Table </w:t>
      </w:r>
      <w:r w:rsidR="00624D4F">
        <w:fldChar w:fldCharType="begin"/>
      </w:r>
      <w:r w:rsidR="00624D4F">
        <w:instrText xml:space="preserve"> STYLEREF 1 \s </w:instrText>
      </w:r>
      <w:r w:rsidR="00624D4F">
        <w:fldChar w:fldCharType="separate"/>
      </w:r>
      <w:r w:rsidR="00E816B8">
        <w:rPr>
          <w:noProof/>
        </w:rPr>
        <w:t>11</w:t>
      </w:r>
      <w:r w:rsidR="00624D4F">
        <w:fldChar w:fldCharType="end"/>
      </w:r>
      <w:r w:rsidR="00624D4F">
        <w:t>.</w:t>
      </w:r>
      <w:r w:rsidR="00624D4F">
        <w:fldChar w:fldCharType="begin"/>
      </w:r>
      <w:r w:rsidR="00624D4F">
        <w:instrText xml:space="preserve"> SEQ Table \* ARABIC \s 1 </w:instrText>
      </w:r>
      <w:r w:rsidR="00624D4F">
        <w:fldChar w:fldCharType="separate"/>
      </w:r>
      <w:r w:rsidR="00E816B8">
        <w:rPr>
          <w:noProof/>
        </w:rPr>
        <w:t>4</w:t>
      </w:r>
      <w:r w:rsidR="00624D4F">
        <w:fldChar w:fldCharType="end"/>
      </w:r>
      <w:bookmarkEnd w:id="188"/>
      <w:r w:rsidRPr="006F73F7">
        <w:t>:</w:t>
      </w:r>
      <w:r>
        <w:t xml:space="preserve"> </w:t>
      </w:r>
      <w:r w:rsidRPr="006F73F7">
        <w:t>Work</w:t>
      </w:r>
      <w:r>
        <w:t xml:space="preserve"> practice c</w:t>
      </w:r>
      <w:r w:rsidRPr="009211FD">
        <w:t xml:space="preserve">ase </w:t>
      </w:r>
      <w:r w:rsidRPr="00C97652">
        <w:t>studies used to inform the 2020 Endorsed Program Assessment</w:t>
      </w:r>
    </w:p>
    <w:tbl>
      <w:tblPr>
        <w:tblW w:w="5000" w:type="pct"/>
        <w:tblCellMar>
          <w:left w:w="0" w:type="dxa"/>
          <w:right w:w="0" w:type="dxa"/>
        </w:tblCellMar>
        <w:tblLook w:val="04A0" w:firstRow="1" w:lastRow="0" w:firstColumn="1" w:lastColumn="0" w:noHBand="0" w:noVBand="1"/>
      </w:tblPr>
      <w:tblGrid>
        <w:gridCol w:w="1418"/>
        <w:gridCol w:w="8446"/>
      </w:tblGrid>
      <w:tr w:rsidR="006F73F7" w:rsidRPr="009A0E24" w14:paraId="64E0D501" w14:textId="77777777" w:rsidTr="005937A4">
        <w:trPr>
          <w:tblHeader/>
        </w:trPr>
        <w:tc>
          <w:tcPr>
            <w:tcW w:w="719" w:type="pct"/>
            <w:tcBorders>
              <w:top w:val="single" w:sz="8" w:space="0" w:color="007680"/>
              <w:bottom w:val="single" w:sz="8" w:space="0" w:color="007680"/>
            </w:tcBorders>
            <w:shd w:val="clear" w:color="auto" w:fill="auto"/>
            <w:tcMar>
              <w:top w:w="0" w:type="dxa"/>
              <w:left w:w="108" w:type="dxa"/>
              <w:bottom w:w="0" w:type="dxa"/>
              <w:right w:w="108" w:type="dxa"/>
            </w:tcMar>
            <w:hideMark/>
          </w:tcPr>
          <w:p w14:paraId="61335598" w14:textId="77777777" w:rsidR="006F73F7" w:rsidRPr="009A0E24" w:rsidRDefault="006F73F7" w:rsidP="00144BA2">
            <w:pPr>
              <w:pStyle w:val="Tableheader"/>
            </w:pPr>
            <w:r>
              <w:t>Work practice case study ID</w:t>
            </w:r>
          </w:p>
        </w:tc>
        <w:tc>
          <w:tcPr>
            <w:tcW w:w="4281" w:type="pct"/>
            <w:tcBorders>
              <w:top w:val="single" w:sz="8" w:space="0" w:color="007680"/>
              <w:bottom w:val="single" w:sz="8" w:space="0" w:color="007680"/>
            </w:tcBorders>
            <w:shd w:val="clear" w:color="auto" w:fill="auto"/>
            <w:tcMar>
              <w:top w:w="0" w:type="dxa"/>
              <w:left w:w="108" w:type="dxa"/>
              <w:bottom w:w="0" w:type="dxa"/>
              <w:right w:w="108" w:type="dxa"/>
            </w:tcMar>
            <w:hideMark/>
          </w:tcPr>
          <w:p w14:paraId="09678EE0" w14:textId="77777777" w:rsidR="006F73F7" w:rsidRPr="009A0E24" w:rsidRDefault="006F73F7" w:rsidP="00144BA2">
            <w:pPr>
              <w:pStyle w:val="Tableheader"/>
            </w:pPr>
            <w:r>
              <w:t>Description</w:t>
            </w:r>
          </w:p>
        </w:tc>
      </w:tr>
      <w:tr w:rsidR="00951818" w:rsidRPr="00DA1FBA" w14:paraId="4B4F9363" w14:textId="77777777" w:rsidTr="005937A4">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2E027737" w14:textId="6AE6519B" w:rsidR="00951818" w:rsidRPr="00F6044E" w:rsidRDefault="00951818" w:rsidP="00951818">
            <w:pPr>
              <w:pStyle w:val="BodyCopyNEW"/>
              <w:rPr>
                <w:b/>
                <w:bCs/>
                <w:szCs w:val="18"/>
              </w:rPr>
            </w:pPr>
            <w:r w:rsidRPr="00F6044E">
              <w:rPr>
                <w:b/>
                <w:bCs/>
                <w:szCs w:val="18"/>
              </w:rPr>
              <w:t xml:space="preserve">NOPSEMA Transparency project </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2FA4409D" w14:textId="7C3701D0" w:rsidR="00951818" w:rsidRDefault="00951818" w:rsidP="00951818">
            <w:pPr>
              <w:pStyle w:val="BodyCopyNEW"/>
              <w:rPr>
                <w:bCs/>
                <w:szCs w:val="18"/>
              </w:rPr>
            </w:pPr>
            <w:r>
              <w:rPr>
                <w:bCs/>
                <w:szCs w:val="18"/>
              </w:rPr>
              <w:t xml:space="preserve">In 2015, NOPSEMA’S Environment Division initiated a stakeholder engagement and transparency work program to improve consultation practices in the offshore petroleum industry and to increase transparency of regulatory decision making. NOPSEMA worked collaboratively with industry and stakeholders in relation to the priority initiatives. A Transparency Taskforce was established to align transparency efforts with other jurisdictions. The subsequent regulatory process led to the full publication of EPs and introduction of a public comment period for exploration activities. These reforms have helped to improve community understanding </w:t>
            </w:r>
            <w:r w:rsidR="006C625D">
              <w:rPr>
                <w:bCs/>
                <w:szCs w:val="18"/>
              </w:rPr>
              <w:t>of the</w:t>
            </w:r>
            <w:r>
              <w:rPr>
                <w:bCs/>
                <w:szCs w:val="18"/>
              </w:rPr>
              <w:t xml:space="preserve"> offshore petroleum environmental approvals</w:t>
            </w:r>
            <w:r w:rsidR="00B954B1">
              <w:rPr>
                <w:bCs/>
                <w:szCs w:val="18"/>
              </w:rPr>
              <w:t xml:space="preserve"> process</w:t>
            </w:r>
            <w:r>
              <w:rPr>
                <w:bCs/>
                <w:szCs w:val="18"/>
              </w:rPr>
              <w:t xml:space="preserve">. There are tangential benefits including lifting industry performance by facilitating knowledge-sharing with stakeholders and between industry participants. </w:t>
            </w:r>
          </w:p>
        </w:tc>
      </w:tr>
      <w:tr w:rsidR="00951818" w:rsidRPr="00DA1FBA" w14:paraId="7F15CF44" w14:textId="77777777" w:rsidTr="005937A4">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2733120B" w14:textId="1284D470" w:rsidR="00951818" w:rsidRPr="00F6044E" w:rsidRDefault="00951818" w:rsidP="00951818">
            <w:pPr>
              <w:pStyle w:val="BodyCopyNEW"/>
              <w:rPr>
                <w:b/>
                <w:bCs/>
                <w:szCs w:val="18"/>
              </w:rPr>
            </w:pPr>
            <w:r w:rsidRPr="00F6044E">
              <w:rPr>
                <w:b/>
                <w:bCs/>
                <w:szCs w:val="18"/>
              </w:rPr>
              <w:t xml:space="preserve">NOPSEMA Inspector Powers project </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6D4805DD" w14:textId="334D8D7B" w:rsidR="00951818" w:rsidRDefault="00951818" w:rsidP="00951818">
            <w:pPr>
              <w:pStyle w:val="BodyCopyNEW"/>
              <w:rPr>
                <w:bCs/>
                <w:szCs w:val="18"/>
              </w:rPr>
            </w:pPr>
            <w:r>
              <w:rPr>
                <w:bCs/>
                <w:szCs w:val="18"/>
              </w:rPr>
              <w:t xml:space="preserve">In 2016, NOPSEMA identified that the NOPSEMA inspector powers did not fully enable NOPSEMA to effectively monitor compliance with environmental law in all circumstances, particularly regarding access to premises. Amendments were drafted and passed in Federal Parliament in 2019. NOPSEMA </w:t>
            </w:r>
            <w:r w:rsidR="00B954B1">
              <w:rPr>
                <w:bCs/>
                <w:szCs w:val="18"/>
              </w:rPr>
              <w:t>personnel</w:t>
            </w:r>
            <w:r>
              <w:rPr>
                <w:bCs/>
                <w:szCs w:val="18"/>
              </w:rPr>
              <w:t xml:space="preserve"> were alerted and a comprehensive table was published outlining the amendments and linking to policy and procedures. Face to face briefings with NOPSEMA staff were also provided. </w:t>
            </w:r>
          </w:p>
        </w:tc>
      </w:tr>
      <w:tr w:rsidR="00951818" w:rsidRPr="00DA1FBA" w14:paraId="18D6239E" w14:textId="77777777" w:rsidTr="005937A4">
        <w:tc>
          <w:tcPr>
            <w:tcW w:w="71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02BD57C5" w14:textId="77777777" w:rsidR="00951818" w:rsidRPr="00F6044E" w:rsidRDefault="00951818" w:rsidP="00951818">
            <w:pPr>
              <w:pStyle w:val="BodyCopyNEW"/>
              <w:rPr>
                <w:b/>
                <w:bCs/>
                <w:szCs w:val="18"/>
              </w:rPr>
            </w:pPr>
            <w:r w:rsidRPr="00F6044E">
              <w:rPr>
                <w:b/>
                <w:bCs/>
                <w:szCs w:val="18"/>
              </w:rPr>
              <w:t xml:space="preserve">Oil Pollution emergency powers project </w:t>
            </w:r>
          </w:p>
        </w:tc>
        <w:tc>
          <w:tcPr>
            <w:tcW w:w="428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34DCE1FB" w14:textId="1639D171" w:rsidR="00951818" w:rsidRDefault="00951818" w:rsidP="00951818">
            <w:pPr>
              <w:pStyle w:val="BodyCopyNEW"/>
              <w:rPr>
                <w:bCs/>
                <w:szCs w:val="18"/>
              </w:rPr>
            </w:pPr>
            <w:r>
              <w:rPr>
                <w:bCs/>
                <w:szCs w:val="18"/>
              </w:rPr>
              <w:t xml:space="preserve">In 2016, NOPSEMA identified a legislative barrier to NOPSEMA inspectors being able to undertake compliance monitoring and enforcement action within a state/territory jurisdiction in the event an oil pollution emergency originated in Commonwealth waters. Legislative and regulatory amendments were developed, including a policy relating to compliance monitoring, enforcement and intervention for offshore oil pollution incidents. This policy was communicated to stakeholders and published by NOPSEMA. </w:t>
            </w:r>
          </w:p>
        </w:tc>
      </w:tr>
    </w:tbl>
    <w:p w14:paraId="0AEB6430" w14:textId="6171D890" w:rsidR="008A5DAB" w:rsidRDefault="00B20E3E" w:rsidP="006B22CB">
      <w:pPr>
        <w:pStyle w:val="Heading2"/>
        <w:spacing w:before="120"/>
      </w:pPr>
      <w:r>
        <w:t xml:space="preserve">Offshore activity, </w:t>
      </w:r>
      <w:r w:rsidR="003A596A">
        <w:t>monitoring, compliance</w:t>
      </w:r>
      <w:r w:rsidR="00C404D4">
        <w:t>, and enforcement data</w:t>
      </w:r>
    </w:p>
    <w:p w14:paraId="77509AC5" w14:textId="77777777" w:rsidR="00DB18A4" w:rsidRDefault="00DB18A4" w:rsidP="00DB18A4">
      <w:pPr>
        <w:pStyle w:val="BodyCopyNEW"/>
        <w:rPr>
          <w:szCs w:val="16"/>
        </w:rPr>
      </w:pPr>
      <w:r>
        <w:rPr>
          <w:szCs w:val="16"/>
        </w:rPr>
        <w:t>This section provides context for:</w:t>
      </w:r>
    </w:p>
    <w:p w14:paraId="6A4E77EB" w14:textId="77777777" w:rsidR="00DB18A4" w:rsidRPr="00222569" w:rsidRDefault="00DB18A4" w:rsidP="000C3CE3">
      <w:pPr>
        <w:pStyle w:val="BodycopyNEW0"/>
        <w:numPr>
          <w:ilvl w:val="0"/>
          <w:numId w:val="23"/>
        </w:numPr>
        <w:ind w:left="378"/>
        <w:rPr>
          <w:szCs w:val="18"/>
        </w:rPr>
      </w:pPr>
      <w:r w:rsidRPr="009211FD">
        <w:rPr>
          <w:szCs w:val="18"/>
        </w:rPr>
        <w:t>T</w:t>
      </w:r>
      <w:r w:rsidRPr="00222569">
        <w:rPr>
          <w:szCs w:val="18"/>
        </w:rPr>
        <w:t>he scale</w:t>
      </w:r>
      <w:r w:rsidRPr="00255275">
        <w:rPr>
          <w:szCs w:val="18"/>
        </w:rPr>
        <w:t xml:space="preserve"> </w:t>
      </w:r>
      <w:r w:rsidRPr="00F71AC3">
        <w:rPr>
          <w:szCs w:val="18"/>
        </w:rPr>
        <w:t>and location of</w:t>
      </w:r>
      <w:r w:rsidRPr="004D39BA">
        <w:rPr>
          <w:szCs w:val="18"/>
        </w:rPr>
        <w:t xml:space="preserve"> offshore petroleum </w:t>
      </w:r>
      <w:r w:rsidRPr="002151D0">
        <w:rPr>
          <w:szCs w:val="18"/>
        </w:rPr>
        <w:t>and GHG storage a</w:t>
      </w:r>
      <w:r w:rsidRPr="00D90AB4">
        <w:rPr>
          <w:szCs w:val="18"/>
        </w:rPr>
        <w:t>ctivities, including their interaction with Australian Marine Parks (</w:t>
      </w:r>
      <w:r w:rsidRPr="0012635D">
        <w:rPr>
          <w:b/>
          <w:bCs/>
          <w:szCs w:val="18"/>
        </w:rPr>
        <w:t>AMPs</w:t>
      </w:r>
      <w:r w:rsidRPr="009211FD">
        <w:rPr>
          <w:szCs w:val="18"/>
        </w:rPr>
        <w:t>)</w:t>
      </w:r>
    </w:p>
    <w:p w14:paraId="5F5B520E" w14:textId="775D80F2" w:rsidR="00DB18A4" w:rsidRPr="009211FD" w:rsidRDefault="00DB18A4" w:rsidP="000C3CE3">
      <w:pPr>
        <w:pStyle w:val="BodycopyNEW0"/>
        <w:numPr>
          <w:ilvl w:val="0"/>
          <w:numId w:val="23"/>
        </w:numPr>
        <w:ind w:left="378"/>
        <w:rPr>
          <w:szCs w:val="18"/>
        </w:rPr>
      </w:pPr>
      <w:r w:rsidRPr="00255275">
        <w:rPr>
          <w:szCs w:val="18"/>
        </w:rPr>
        <w:t>Environment related</w:t>
      </w:r>
      <w:r w:rsidRPr="00F71AC3">
        <w:rPr>
          <w:szCs w:val="18"/>
        </w:rPr>
        <w:t xml:space="preserve"> offshore reportable incidents, including those incidents which ha</w:t>
      </w:r>
      <w:r w:rsidR="00B954B1">
        <w:rPr>
          <w:szCs w:val="18"/>
        </w:rPr>
        <w:t>ve</w:t>
      </w:r>
      <w:r w:rsidRPr="00F71AC3">
        <w:rPr>
          <w:szCs w:val="18"/>
        </w:rPr>
        <w:t xml:space="preserve"> an interaction with a protected matter</w:t>
      </w:r>
      <w:r>
        <w:rPr>
          <w:szCs w:val="18"/>
        </w:rPr>
        <w:t xml:space="preserve"> (other than the Commonwealth Marine Area)</w:t>
      </w:r>
    </w:p>
    <w:p w14:paraId="4D67BB33" w14:textId="77777777" w:rsidR="00DB18A4" w:rsidRPr="004D39BA" w:rsidRDefault="00DB18A4" w:rsidP="000C3CE3">
      <w:pPr>
        <w:pStyle w:val="BodycopyNEW0"/>
        <w:numPr>
          <w:ilvl w:val="0"/>
          <w:numId w:val="23"/>
        </w:numPr>
        <w:ind w:left="378"/>
        <w:rPr>
          <w:szCs w:val="18"/>
        </w:rPr>
      </w:pPr>
      <w:r w:rsidRPr="00222569">
        <w:rPr>
          <w:szCs w:val="18"/>
        </w:rPr>
        <w:t xml:space="preserve">NOPSEMA’s </w:t>
      </w:r>
      <w:r w:rsidRPr="00255275">
        <w:rPr>
          <w:szCs w:val="18"/>
        </w:rPr>
        <w:t xml:space="preserve">environment-related </w:t>
      </w:r>
      <w:r w:rsidRPr="00F71AC3">
        <w:rPr>
          <w:szCs w:val="18"/>
        </w:rPr>
        <w:t>monitoring, compliance, and enforcement activi</w:t>
      </w:r>
      <w:r w:rsidRPr="004D39BA">
        <w:rPr>
          <w:szCs w:val="18"/>
        </w:rPr>
        <w:t>ties.</w:t>
      </w:r>
    </w:p>
    <w:p w14:paraId="1F8584BF" w14:textId="0D7EDBFF" w:rsidR="00DB18A4" w:rsidRDefault="00DB18A4" w:rsidP="00DB18A4">
      <w:pPr>
        <w:pStyle w:val="BodyCopyNEW"/>
        <w:rPr>
          <w:szCs w:val="16"/>
        </w:rPr>
      </w:pPr>
      <w:r>
        <w:rPr>
          <w:szCs w:val="16"/>
        </w:rPr>
        <w:t xml:space="preserve">This section does not provide an analysis of this data. Please refer to </w:t>
      </w:r>
      <w:r w:rsidRPr="008D407C">
        <w:rPr>
          <w:b/>
          <w:bCs/>
          <w:szCs w:val="16"/>
        </w:rPr>
        <w:t xml:space="preserve">subsection </w:t>
      </w:r>
      <w:r w:rsidR="003F5DC8">
        <w:rPr>
          <w:b/>
          <w:bCs/>
          <w:szCs w:val="16"/>
        </w:rPr>
        <w:fldChar w:fldCharType="begin"/>
      </w:r>
      <w:r w:rsidR="003F5DC8">
        <w:rPr>
          <w:b/>
          <w:bCs/>
          <w:szCs w:val="16"/>
        </w:rPr>
        <w:instrText xml:space="preserve"> REF _Ref63977136 \r \h </w:instrText>
      </w:r>
      <w:r w:rsidR="003F5DC8">
        <w:rPr>
          <w:b/>
          <w:bCs/>
          <w:szCs w:val="16"/>
        </w:rPr>
      </w:r>
      <w:r w:rsidR="003F5DC8">
        <w:rPr>
          <w:b/>
          <w:bCs/>
          <w:szCs w:val="16"/>
        </w:rPr>
        <w:fldChar w:fldCharType="separate"/>
      </w:r>
      <w:r w:rsidR="00E816B8">
        <w:rPr>
          <w:b/>
          <w:bCs/>
          <w:szCs w:val="16"/>
        </w:rPr>
        <w:t>11.4</w:t>
      </w:r>
      <w:r w:rsidR="003F5DC8">
        <w:rPr>
          <w:b/>
          <w:bCs/>
          <w:szCs w:val="16"/>
        </w:rPr>
        <w:fldChar w:fldCharType="end"/>
      </w:r>
      <w:r w:rsidRPr="008D407C">
        <w:rPr>
          <w:szCs w:val="16"/>
        </w:rPr>
        <w:t xml:space="preserve"> for an analysis</w:t>
      </w:r>
      <w:r>
        <w:rPr>
          <w:szCs w:val="16"/>
        </w:rPr>
        <w:t xml:space="preserve"> of the relevant data.</w:t>
      </w:r>
    </w:p>
    <w:p w14:paraId="5FA8B12E" w14:textId="77777777" w:rsidR="007C5B68" w:rsidRDefault="007C5B68" w:rsidP="00E84D97">
      <w:pPr>
        <w:pStyle w:val="Heading3"/>
      </w:pPr>
      <w:r>
        <w:lastRenderedPageBreak/>
        <w:t>Offshore petroleum and GHG storage facilities and activities</w:t>
      </w:r>
    </w:p>
    <w:p w14:paraId="65A21C08" w14:textId="553F057D" w:rsidR="007C5B68" w:rsidRDefault="007C5B68" w:rsidP="007C5B68">
      <w:pPr>
        <w:pStyle w:val="BodyCopyNEW"/>
      </w:pPr>
      <w:r w:rsidRPr="0012635D">
        <w:rPr>
          <w:szCs w:val="16"/>
        </w:rPr>
        <w:t>Australia</w:t>
      </w:r>
      <w:r>
        <w:rPr>
          <w:szCs w:val="16"/>
        </w:rPr>
        <w:t>’s active offshore facilities</w:t>
      </w:r>
      <w:r w:rsidRPr="0012635D">
        <w:rPr>
          <w:szCs w:val="16"/>
        </w:rPr>
        <w:t xml:space="preserve"> </w:t>
      </w:r>
      <w:r>
        <w:rPr>
          <w:szCs w:val="16"/>
        </w:rPr>
        <w:t>are highly dispersed (</w:t>
      </w:r>
      <w:r w:rsidRPr="00AB424F">
        <w:rPr>
          <w:szCs w:val="18"/>
        </w:rPr>
        <w:t>refer to</w:t>
      </w:r>
      <w:r w:rsidRPr="00AB424F">
        <w:rPr>
          <w:b/>
          <w:bCs/>
          <w:szCs w:val="18"/>
        </w:rPr>
        <w:t xml:space="preserve"> </w:t>
      </w:r>
      <w:r w:rsidRPr="00AB424F">
        <w:rPr>
          <w:b/>
          <w:bCs/>
          <w:szCs w:val="18"/>
        </w:rPr>
        <w:fldChar w:fldCharType="begin"/>
      </w:r>
      <w:r w:rsidRPr="00AB424F">
        <w:rPr>
          <w:b/>
          <w:bCs/>
          <w:szCs w:val="18"/>
        </w:rPr>
        <w:instrText xml:space="preserve"> REF _Ref63104619 \h  \* MERGEFORMAT </w:instrText>
      </w:r>
      <w:r w:rsidRPr="00AB424F">
        <w:rPr>
          <w:b/>
          <w:bCs/>
          <w:szCs w:val="18"/>
        </w:rPr>
      </w:r>
      <w:r w:rsidRPr="00AB424F">
        <w:rPr>
          <w:b/>
          <w:bCs/>
          <w:szCs w:val="18"/>
        </w:rPr>
        <w:fldChar w:fldCharType="separate"/>
      </w:r>
      <w:r w:rsidR="00E816B8" w:rsidRPr="00E816B8">
        <w:rPr>
          <w:b/>
          <w:bCs/>
          <w:szCs w:val="18"/>
        </w:rPr>
        <w:t xml:space="preserve">Figure </w:t>
      </w:r>
      <w:r w:rsidR="00E816B8" w:rsidRPr="00E816B8">
        <w:rPr>
          <w:b/>
          <w:bCs/>
          <w:noProof/>
          <w:szCs w:val="18"/>
        </w:rPr>
        <w:t>11.1</w:t>
      </w:r>
      <w:r w:rsidRPr="00AB424F">
        <w:rPr>
          <w:b/>
          <w:bCs/>
          <w:szCs w:val="18"/>
        </w:rPr>
        <w:fldChar w:fldCharType="end"/>
      </w:r>
      <w:r w:rsidRPr="00AB424F">
        <w:rPr>
          <w:szCs w:val="18"/>
        </w:rPr>
        <w:t>)</w:t>
      </w:r>
      <w:r w:rsidRPr="0012635D">
        <w:rPr>
          <w:szCs w:val="18"/>
        </w:rPr>
        <w:t>.</w:t>
      </w:r>
      <w:r>
        <w:rPr>
          <w:szCs w:val="16"/>
        </w:rPr>
        <w:t xml:space="preserve"> </w:t>
      </w:r>
      <w:r w:rsidRPr="0064451C">
        <w:rPr>
          <w:szCs w:val="18"/>
        </w:rPr>
        <w:t>Across the review period there was an increase of 10 active facilities</w:t>
      </w:r>
      <w:r w:rsidR="00580F77" w:rsidRPr="0064451C">
        <w:rPr>
          <w:rStyle w:val="FootnoteReference"/>
          <w:sz w:val="18"/>
          <w:szCs w:val="18"/>
        </w:rPr>
        <w:footnoteReference w:id="59"/>
      </w:r>
      <w:r>
        <w:rPr>
          <w:szCs w:val="18"/>
        </w:rPr>
        <w:t>,</w:t>
      </w:r>
      <w:r w:rsidRPr="0064451C">
        <w:rPr>
          <w:szCs w:val="18"/>
        </w:rPr>
        <w:t xml:space="preserve"> from 148 in 2015 to 158 in 2019 (see</w:t>
      </w:r>
      <w:r>
        <w:rPr>
          <w:b/>
          <w:bCs/>
          <w:szCs w:val="18"/>
        </w:rPr>
        <w:t xml:space="preserve"> </w:t>
      </w:r>
      <w:r w:rsidRPr="00FC67A6">
        <w:rPr>
          <w:b/>
          <w:bCs/>
          <w:szCs w:val="18"/>
          <w:highlight w:val="yellow"/>
        </w:rPr>
        <w:fldChar w:fldCharType="begin"/>
      </w:r>
      <w:r w:rsidRPr="00FC67A6">
        <w:rPr>
          <w:b/>
          <w:bCs/>
          <w:szCs w:val="18"/>
        </w:rPr>
        <w:instrText xml:space="preserve"> REF _Ref63104881 \h </w:instrText>
      </w:r>
      <w:r w:rsidRPr="00FC67A6">
        <w:rPr>
          <w:b/>
          <w:bCs/>
          <w:szCs w:val="18"/>
          <w:highlight w:val="yellow"/>
        </w:rPr>
        <w:instrText xml:space="preserve"> \* MERGEFORMAT </w:instrText>
      </w:r>
      <w:r w:rsidRPr="00FC67A6">
        <w:rPr>
          <w:b/>
          <w:bCs/>
          <w:szCs w:val="18"/>
          <w:highlight w:val="yellow"/>
        </w:rPr>
      </w:r>
      <w:r w:rsidRPr="00FC67A6">
        <w:rPr>
          <w:b/>
          <w:bCs/>
          <w:szCs w:val="18"/>
          <w:highlight w:val="yellow"/>
        </w:rPr>
        <w:fldChar w:fldCharType="separate"/>
      </w:r>
      <w:r w:rsidR="00E816B8" w:rsidRPr="00E816B8">
        <w:rPr>
          <w:b/>
          <w:bCs/>
          <w:szCs w:val="18"/>
        </w:rPr>
        <w:t xml:space="preserve">Figure </w:t>
      </w:r>
      <w:r w:rsidR="00E816B8" w:rsidRPr="00E816B8">
        <w:rPr>
          <w:b/>
          <w:bCs/>
          <w:noProof/>
          <w:szCs w:val="18"/>
        </w:rPr>
        <w:t>11.2</w:t>
      </w:r>
      <w:r w:rsidRPr="00FC67A6">
        <w:rPr>
          <w:b/>
          <w:bCs/>
          <w:szCs w:val="18"/>
          <w:highlight w:val="yellow"/>
        </w:rPr>
        <w:fldChar w:fldCharType="end"/>
      </w:r>
      <w:r w:rsidRPr="0064451C">
        <w:rPr>
          <w:szCs w:val="18"/>
        </w:rPr>
        <w:t>)</w:t>
      </w:r>
      <w:r>
        <w:rPr>
          <w:szCs w:val="18"/>
        </w:rPr>
        <w:t>, although</w:t>
      </w:r>
      <w:r w:rsidRPr="0064451C">
        <w:rPr>
          <w:szCs w:val="18"/>
        </w:rPr>
        <w:t xml:space="preserve"> the total number of </w:t>
      </w:r>
      <w:r>
        <w:rPr>
          <w:szCs w:val="18"/>
        </w:rPr>
        <w:t xml:space="preserve">petroleum </w:t>
      </w:r>
      <w:r w:rsidRPr="0064451C">
        <w:rPr>
          <w:szCs w:val="18"/>
        </w:rPr>
        <w:t>activitie</w:t>
      </w:r>
      <w:r>
        <w:rPr>
          <w:szCs w:val="18"/>
        </w:rPr>
        <w:t>s (excluding seismic surveys, which are discussed further below)</w:t>
      </w:r>
      <w:r w:rsidRPr="0064451C">
        <w:rPr>
          <w:szCs w:val="18"/>
        </w:rPr>
        <w:t xml:space="preserve"> decreased by 12</w:t>
      </w:r>
      <w:r>
        <w:rPr>
          <w:szCs w:val="18"/>
        </w:rPr>
        <w:t>,</w:t>
      </w:r>
      <w:r w:rsidRPr="0064451C">
        <w:rPr>
          <w:szCs w:val="18"/>
        </w:rPr>
        <w:t xml:space="preserve"> from 52 in 2015 to 40 in </w:t>
      </w:r>
      <w:r w:rsidRPr="00EC0045">
        <w:rPr>
          <w:szCs w:val="18"/>
        </w:rPr>
        <w:t>2019 (see</w:t>
      </w:r>
      <w:r w:rsidRPr="00EC0045">
        <w:rPr>
          <w:b/>
          <w:bCs/>
          <w:szCs w:val="18"/>
        </w:rPr>
        <w:t xml:space="preserve"> </w:t>
      </w:r>
      <w:r w:rsidRPr="00EC0045">
        <w:rPr>
          <w:b/>
          <w:bCs/>
          <w:szCs w:val="18"/>
          <w:highlight w:val="yellow"/>
        </w:rPr>
        <w:fldChar w:fldCharType="begin"/>
      </w:r>
      <w:r w:rsidRPr="00EC0045">
        <w:rPr>
          <w:b/>
          <w:bCs/>
          <w:szCs w:val="18"/>
        </w:rPr>
        <w:instrText xml:space="preserve"> REF _Ref63104913 \h </w:instrText>
      </w:r>
      <w:r w:rsidRPr="00EC0045">
        <w:rPr>
          <w:b/>
          <w:bCs/>
          <w:szCs w:val="18"/>
          <w:highlight w:val="yellow"/>
        </w:rPr>
        <w:instrText xml:space="preserve"> \* MERGEFORMAT </w:instrText>
      </w:r>
      <w:r w:rsidRPr="00EC0045">
        <w:rPr>
          <w:b/>
          <w:bCs/>
          <w:szCs w:val="18"/>
          <w:highlight w:val="yellow"/>
        </w:rPr>
      </w:r>
      <w:r w:rsidRPr="00EC0045">
        <w:rPr>
          <w:b/>
          <w:bCs/>
          <w:szCs w:val="18"/>
          <w:highlight w:val="yellow"/>
        </w:rPr>
        <w:fldChar w:fldCharType="separate"/>
      </w:r>
      <w:r w:rsidR="00E816B8" w:rsidRPr="00E816B8">
        <w:rPr>
          <w:b/>
          <w:bCs/>
          <w:szCs w:val="18"/>
        </w:rPr>
        <w:t xml:space="preserve">Figure </w:t>
      </w:r>
      <w:r w:rsidR="00E816B8" w:rsidRPr="00E816B8">
        <w:rPr>
          <w:b/>
          <w:bCs/>
          <w:noProof/>
          <w:szCs w:val="18"/>
        </w:rPr>
        <w:t>11.3</w:t>
      </w:r>
      <w:r w:rsidRPr="00EC0045">
        <w:rPr>
          <w:b/>
          <w:bCs/>
          <w:szCs w:val="18"/>
          <w:highlight w:val="yellow"/>
        </w:rPr>
        <w:fldChar w:fldCharType="end"/>
      </w:r>
      <w:r w:rsidRPr="00EC0045">
        <w:rPr>
          <w:szCs w:val="18"/>
        </w:rPr>
        <w:t>).</w:t>
      </w:r>
      <w:r>
        <w:t xml:space="preserve"> </w:t>
      </w:r>
    </w:p>
    <w:p w14:paraId="171A5572" w14:textId="297236AE" w:rsidR="007C5B68" w:rsidRDefault="007C5B68" w:rsidP="007C5B68">
      <w:pPr>
        <w:pStyle w:val="BodyCopyNEW"/>
        <w:rPr>
          <w:szCs w:val="16"/>
        </w:rPr>
      </w:pPr>
      <w:r>
        <w:rPr>
          <w:szCs w:val="16"/>
        </w:rPr>
        <w:t>Of note, NOPSEMA highlighted to the review team that</w:t>
      </w:r>
      <w:r w:rsidR="00580F77">
        <w:rPr>
          <w:rStyle w:val="FootnoteReference"/>
          <w:szCs w:val="16"/>
        </w:rPr>
        <w:footnoteReference w:id="60"/>
      </w:r>
      <w:r>
        <w:rPr>
          <w:szCs w:val="16"/>
        </w:rPr>
        <w:t>:</w:t>
      </w:r>
    </w:p>
    <w:p w14:paraId="684CB786" w14:textId="77777777" w:rsidR="007C5B68" w:rsidRPr="0012635D" w:rsidRDefault="007C5B68" w:rsidP="000C3CE3">
      <w:pPr>
        <w:pStyle w:val="BodycopyNEW0"/>
        <w:numPr>
          <w:ilvl w:val="0"/>
          <w:numId w:val="23"/>
        </w:numPr>
        <w:ind w:left="378"/>
        <w:rPr>
          <w:szCs w:val="18"/>
        </w:rPr>
      </w:pPr>
      <w:r w:rsidRPr="0012635D">
        <w:rPr>
          <w:szCs w:val="18"/>
        </w:rPr>
        <w:t>All offshore petroleum</w:t>
      </w:r>
      <w:r>
        <w:rPr>
          <w:szCs w:val="18"/>
        </w:rPr>
        <w:t xml:space="preserve"> and GHG storage</w:t>
      </w:r>
      <w:r w:rsidRPr="0012635D">
        <w:rPr>
          <w:szCs w:val="18"/>
        </w:rPr>
        <w:t xml:space="preserve"> activities will interact with EPBC Part 3 protected matters as the Commonwealth Marine Area itself is a protected matter. </w:t>
      </w:r>
      <w:r>
        <w:rPr>
          <w:szCs w:val="18"/>
        </w:rPr>
        <w:t>However, a</w:t>
      </w:r>
      <w:r w:rsidRPr="0012635D">
        <w:rPr>
          <w:szCs w:val="18"/>
        </w:rPr>
        <w:t>n interaction does not mean there will be a</w:t>
      </w:r>
      <w:r>
        <w:rPr>
          <w:szCs w:val="18"/>
        </w:rPr>
        <w:t xml:space="preserve"> resultant</w:t>
      </w:r>
      <w:r w:rsidRPr="0012635D">
        <w:rPr>
          <w:szCs w:val="18"/>
        </w:rPr>
        <w:t xml:space="preserve"> unacceptable environmental impact</w:t>
      </w:r>
      <w:r>
        <w:rPr>
          <w:szCs w:val="18"/>
        </w:rPr>
        <w:t xml:space="preserve"> </w:t>
      </w:r>
    </w:p>
    <w:p w14:paraId="622989F6" w14:textId="77777777" w:rsidR="007C5B68" w:rsidRPr="0012635D" w:rsidRDefault="007C5B68" w:rsidP="000C3CE3">
      <w:pPr>
        <w:pStyle w:val="BodycopyNEW0"/>
        <w:numPr>
          <w:ilvl w:val="0"/>
          <w:numId w:val="23"/>
        </w:numPr>
        <w:ind w:left="378"/>
        <w:rPr>
          <w:szCs w:val="18"/>
        </w:rPr>
      </w:pPr>
      <w:r>
        <w:rPr>
          <w:szCs w:val="18"/>
        </w:rPr>
        <w:t>During the review period, t</w:t>
      </w:r>
      <w:r w:rsidRPr="0012635D">
        <w:rPr>
          <w:szCs w:val="18"/>
        </w:rPr>
        <w:t xml:space="preserve">here appeared to be no overlap with </w:t>
      </w:r>
      <w:r>
        <w:rPr>
          <w:szCs w:val="18"/>
        </w:rPr>
        <w:t>AMPs</w:t>
      </w:r>
      <w:r w:rsidRPr="0012635D">
        <w:rPr>
          <w:szCs w:val="18"/>
        </w:rPr>
        <w:t xml:space="preserve"> where petroleum</w:t>
      </w:r>
      <w:r>
        <w:rPr>
          <w:szCs w:val="18"/>
        </w:rPr>
        <w:t xml:space="preserve"> or GHG storage</w:t>
      </w:r>
      <w:r w:rsidRPr="0012635D">
        <w:rPr>
          <w:szCs w:val="18"/>
        </w:rPr>
        <w:t xml:space="preserve"> activities </w:t>
      </w:r>
      <w:r>
        <w:rPr>
          <w:szCs w:val="18"/>
        </w:rPr>
        <w:t>have been</w:t>
      </w:r>
      <w:r w:rsidRPr="0012635D">
        <w:rPr>
          <w:szCs w:val="18"/>
        </w:rPr>
        <w:t xml:space="preserve"> </w:t>
      </w:r>
      <w:r>
        <w:rPr>
          <w:szCs w:val="18"/>
        </w:rPr>
        <w:t>deemed ‘unallowable</w:t>
      </w:r>
      <w:r w:rsidRPr="0012635D">
        <w:rPr>
          <w:szCs w:val="18"/>
        </w:rPr>
        <w:t xml:space="preserve"> activities</w:t>
      </w:r>
      <w:r>
        <w:rPr>
          <w:szCs w:val="18"/>
        </w:rPr>
        <w:t>’</w:t>
      </w:r>
    </w:p>
    <w:p w14:paraId="6E9E8CFD" w14:textId="77777777" w:rsidR="007C5B68" w:rsidRPr="0012635D" w:rsidRDefault="007C5B68" w:rsidP="000C3CE3">
      <w:pPr>
        <w:pStyle w:val="BodycopyNEW0"/>
        <w:numPr>
          <w:ilvl w:val="0"/>
          <w:numId w:val="23"/>
        </w:numPr>
        <w:ind w:left="378"/>
        <w:rPr>
          <w:szCs w:val="18"/>
        </w:rPr>
      </w:pPr>
      <w:r w:rsidRPr="0012635D">
        <w:rPr>
          <w:szCs w:val="18"/>
        </w:rPr>
        <w:t>Under the relevant Management Plans for the AMPs, petroleum activities are generally allowable in Multiple Use Zones and Special Purpose Zones (</w:t>
      </w:r>
      <w:r w:rsidRPr="00BC7700">
        <w:rPr>
          <w:szCs w:val="18"/>
        </w:rPr>
        <w:t xml:space="preserve">International Union for Conservation of Nature </w:t>
      </w:r>
      <w:r>
        <w:rPr>
          <w:szCs w:val="18"/>
        </w:rPr>
        <w:t>(</w:t>
      </w:r>
      <w:r w:rsidRPr="0012635D">
        <w:rPr>
          <w:b/>
          <w:bCs/>
          <w:szCs w:val="18"/>
        </w:rPr>
        <w:t>IUCN</w:t>
      </w:r>
      <w:r>
        <w:rPr>
          <w:szCs w:val="18"/>
        </w:rPr>
        <w:t>)</w:t>
      </w:r>
      <w:r w:rsidRPr="0012635D">
        <w:rPr>
          <w:szCs w:val="18"/>
        </w:rPr>
        <w:t xml:space="preserve"> category VI), with the exception of Special Purpose (mining exclusion) zones. The D</w:t>
      </w:r>
      <w:r>
        <w:rPr>
          <w:szCs w:val="18"/>
        </w:rPr>
        <w:t xml:space="preserve">irector of </w:t>
      </w:r>
      <w:r w:rsidRPr="0012635D">
        <w:rPr>
          <w:szCs w:val="18"/>
        </w:rPr>
        <w:t>N</w:t>
      </w:r>
      <w:r>
        <w:rPr>
          <w:szCs w:val="18"/>
        </w:rPr>
        <w:t xml:space="preserve">ational </w:t>
      </w:r>
      <w:r w:rsidRPr="0012635D">
        <w:rPr>
          <w:szCs w:val="18"/>
        </w:rPr>
        <w:t>P</w:t>
      </w:r>
      <w:r>
        <w:rPr>
          <w:szCs w:val="18"/>
        </w:rPr>
        <w:t>arks</w:t>
      </w:r>
      <w:r w:rsidRPr="0012635D">
        <w:rPr>
          <w:szCs w:val="18"/>
        </w:rPr>
        <w:t xml:space="preserve"> has authorised offshore petroleum and greenhouse gas exploration activities to occur in certain marine park blue (IUCN category VI) zones by issuing class approvals. The class approvals themselves specify the relevant marine park zones where activities are authorised subject to conditions, which include that activities must be carried out in accordance with an EP accepted under the Environment Regulations. Pipelines may be permitted by </w:t>
      </w:r>
      <w:r>
        <w:rPr>
          <w:szCs w:val="18"/>
        </w:rPr>
        <w:t xml:space="preserve">the </w:t>
      </w:r>
      <w:r w:rsidRPr="0012635D">
        <w:rPr>
          <w:szCs w:val="18"/>
        </w:rPr>
        <w:t>D</w:t>
      </w:r>
      <w:r>
        <w:rPr>
          <w:szCs w:val="18"/>
        </w:rPr>
        <w:t xml:space="preserve">irector of </w:t>
      </w:r>
      <w:r w:rsidRPr="0012635D">
        <w:rPr>
          <w:szCs w:val="18"/>
        </w:rPr>
        <w:t>N</w:t>
      </w:r>
      <w:r>
        <w:rPr>
          <w:szCs w:val="18"/>
        </w:rPr>
        <w:t xml:space="preserve">ational </w:t>
      </w:r>
      <w:r w:rsidRPr="0012635D">
        <w:rPr>
          <w:szCs w:val="18"/>
        </w:rPr>
        <w:t>P</w:t>
      </w:r>
      <w:r>
        <w:rPr>
          <w:szCs w:val="18"/>
        </w:rPr>
        <w:t>arks</w:t>
      </w:r>
      <w:r w:rsidRPr="0012635D">
        <w:rPr>
          <w:szCs w:val="18"/>
        </w:rPr>
        <w:t xml:space="preserve"> authorisation in IUCN category II and IV zones.</w:t>
      </w:r>
    </w:p>
    <w:p w14:paraId="63EB2C00" w14:textId="47F2B1C4" w:rsidR="008638D4" w:rsidRPr="009211FD" w:rsidRDefault="008638D4" w:rsidP="008638D4">
      <w:pPr>
        <w:pStyle w:val="Caption"/>
        <w:keepNext/>
      </w:pPr>
      <w:bookmarkStart w:id="189" w:name="_Ref63104619"/>
      <w:r>
        <w:t xml:space="preserve">Figure </w:t>
      </w:r>
      <w:r>
        <w:fldChar w:fldCharType="begin"/>
      </w:r>
      <w:r>
        <w:instrText xml:space="preserve"> STYLEREF 1 \s </w:instrText>
      </w:r>
      <w:r>
        <w:fldChar w:fldCharType="separate"/>
      </w:r>
      <w:r w:rsidR="00E816B8">
        <w:rPr>
          <w:noProof/>
        </w:rPr>
        <w:t>11</w:t>
      </w:r>
      <w:r>
        <w:fldChar w:fldCharType="end"/>
      </w:r>
      <w:r>
        <w:t>.</w:t>
      </w:r>
      <w:r>
        <w:fldChar w:fldCharType="begin"/>
      </w:r>
      <w:r>
        <w:instrText xml:space="preserve"> SEQ Figure \* ARABIC \s 1 </w:instrText>
      </w:r>
      <w:r>
        <w:fldChar w:fldCharType="separate"/>
      </w:r>
      <w:r w:rsidR="00E816B8">
        <w:rPr>
          <w:noProof/>
        </w:rPr>
        <w:t>1</w:t>
      </w:r>
      <w:r>
        <w:fldChar w:fldCharType="end"/>
      </w:r>
      <w:bookmarkEnd w:id="189"/>
      <w:r>
        <w:t xml:space="preserve">: </w:t>
      </w:r>
      <w:r w:rsidRPr="009211FD">
        <w:t xml:space="preserve">Overview of offshore </w:t>
      </w:r>
      <w:r w:rsidRPr="00D743D6">
        <w:t>fixed platform facilities, pipelines, and Australian Marine Parks</w:t>
      </w:r>
      <w:r>
        <w:rPr>
          <w:iCs w:val="0"/>
        </w:rPr>
        <w:t xml:space="preserve"> for 2015 to 2019</w:t>
      </w:r>
      <w:r>
        <w:rPr>
          <w:rStyle w:val="FootnoteReference"/>
          <w:iCs w:val="0"/>
        </w:rPr>
        <w:footnoteReference w:id="61"/>
      </w:r>
    </w:p>
    <w:p w14:paraId="5003D670" w14:textId="77777777" w:rsidR="008638D4" w:rsidRDefault="008638D4" w:rsidP="008638D4">
      <w:pPr>
        <w:pStyle w:val="BodyCopyNEW"/>
        <w:jc w:val="center"/>
      </w:pPr>
      <w:r w:rsidRPr="006F533A">
        <w:rPr>
          <w:noProof/>
          <w:lang w:eastAsia="en-AU"/>
        </w:rPr>
        <w:drawing>
          <wp:inline distT="0" distB="0" distL="0" distR="0" wp14:anchorId="5F4A9B7A" wp14:editId="2113548A">
            <wp:extent cx="5733902" cy="3935895"/>
            <wp:effectExtent l="0" t="0" r="635" b="7620"/>
            <wp:docPr id="1179951910" name="Picture 117995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hqprint">
                      <a:extLst>
                        <a:ext uri="{28A0092B-C50C-407E-A947-70E740481C1C}">
                          <a14:useLocalDpi xmlns:a14="http://schemas.microsoft.com/office/drawing/2010/main"/>
                        </a:ext>
                      </a:extLst>
                    </a:blip>
                    <a:srcRect/>
                    <a:stretch/>
                  </pic:blipFill>
                  <pic:spPr bwMode="auto">
                    <a:xfrm>
                      <a:off x="0" y="0"/>
                      <a:ext cx="5746123" cy="3944284"/>
                    </a:xfrm>
                    <a:prstGeom prst="rect">
                      <a:avLst/>
                    </a:prstGeom>
                    <a:ln>
                      <a:noFill/>
                    </a:ln>
                    <a:extLst>
                      <a:ext uri="{53640926-AAD7-44D8-BBD7-CCE9431645EC}">
                        <a14:shadowObscured xmlns:a14="http://schemas.microsoft.com/office/drawing/2010/main"/>
                      </a:ext>
                    </a:extLst>
                  </pic:spPr>
                </pic:pic>
              </a:graphicData>
            </a:graphic>
          </wp:inline>
        </w:drawing>
      </w:r>
    </w:p>
    <w:p w14:paraId="3E4669BE" w14:textId="251D65F9" w:rsidR="008638D4" w:rsidRPr="006B22CB" w:rsidRDefault="008638D4" w:rsidP="008638D4">
      <w:pPr>
        <w:pStyle w:val="Caption"/>
        <w:rPr>
          <w:b w:val="0"/>
          <w:bCs/>
          <w:i/>
          <w:iCs w:val="0"/>
          <w:color w:val="75787B" w:themeColor="accent6"/>
        </w:rPr>
      </w:pPr>
      <w:r w:rsidRPr="006B22CB">
        <w:rPr>
          <w:b w:val="0"/>
          <w:bCs/>
          <w:i/>
          <w:iCs w:val="0"/>
          <w:color w:val="75787B" w:themeColor="accent6"/>
        </w:rPr>
        <w:t>Source: NOPTA, data extracted from National Offshore Petroleum Information Management System (</w:t>
      </w:r>
      <w:r w:rsidRPr="007A0158">
        <w:rPr>
          <w:i/>
          <w:iCs w:val="0"/>
          <w:color w:val="75787B" w:themeColor="accent6"/>
        </w:rPr>
        <w:t>NOPIMS</w:t>
      </w:r>
      <w:r w:rsidRPr="006B22CB">
        <w:rPr>
          <w:b w:val="0"/>
          <w:bCs/>
          <w:i/>
          <w:iCs w:val="0"/>
          <w:color w:val="75787B" w:themeColor="accent6"/>
        </w:rPr>
        <w:t>)</w:t>
      </w:r>
      <w:r w:rsidR="00D91B84">
        <w:rPr>
          <w:b w:val="0"/>
          <w:bCs/>
          <w:i/>
          <w:iCs w:val="0"/>
          <w:color w:val="75787B" w:themeColor="accent6"/>
        </w:rPr>
        <w:t xml:space="preserve"> (provided by NOPSEMA)</w:t>
      </w:r>
    </w:p>
    <w:p w14:paraId="2E537CCF" w14:textId="4B1EC3B8" w:rsidR="008638D4" w:rsidRPr="00CB259F" w:rsidRDefault="008638D4" w:rsidP="008638D4">
      <w:pPr>
        <w:pStyle w:val="Caption"/>
      </w:pPr>
      <w:bookmarkStart w:id="190" w:name="_Ref63104881"/>
      <w:r>
        <w:lastRenderedPageBreak/>
        <w:t xml:space="preserve">Figure </w:t>
      </w:r>
      <w:r>
        <w:fldChar w:fldCharType="begin"/>
      </w:r>
      <w:r>
        <w:instrText xml:space="preserve"> STYLEREF 1 \s </w:instrText>
      </w:r>
      <w:r>
        <w:fldChar w:fldCharType="separate"/>
      </w:r>
      <w:r w:rsidR="00E816B8">
        <w:rPr>
          <w:noProof/>
        </w:rPr>
        <w:t>11</w:t>
      </w:r>
      <w:r>
        <w:fldChar w:fldCharType="end"/>
      </w:r>
      <w:r>
        <w:t>.</w:t>
      </w:r>
      <w:r>
        <w:fldChar w:fldCharType="begin"/>
      </w:r>
      <w:r>
        <w:instrText xml:space="preserve"> SEQ Figure \* ARABIC \s 1 </w:instrText>
      </w:r>
      <w:r>
        <w:fldChar w:fldCharType="separate"/>
      </w:r>
      <w:r w:rsidR="00E816B8">
        <w:rPr>
          <w:noProof/>
        </w:rPr>
        <w:t>2</w:t>
      </w:r>
      <w:r>
        <w:fldChar w:fldCharType="end"/>
      </w:r>
      <w:bookmarkEnd w:id="190"/>
      <w:r>
        <w:t>: Active offshore facilities from 2015 to 2019</w:t>
      </w:r>
    </w:p>
    <w:p w14:paraId="53E7E26C" w14:textId="77777777" w:rsidR="008638D4" w:rsidRDefault="008638D4" w:rsidP="008638D4">
      <w:r>
        <w:rPr>
          <w:noProof/>
          <w:lang w:eastAsia="en-AU"/>
        </w:rPr>
        <w:drawing>
          <wp:inline distT="0" distB="0" distL="0" distR="0" wp14:anchorId="23FA4F52" wp14:editId="4DF8C873">
            <wp:extent cx="6300000" cy="2808000"/>
            <wp:effectExtent l="0" t="0" r="5715" b="11430"/>
            <wp:docPr id="1179951911" name="Chart 11799519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E1B5C4-1FE3-46B1-855D-00C4F7815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1E61F2E" w14:textId="77777777" w:rsidR="008638D4" w:rsidRPr="00F5718F" w:rsidRDefault="008638D4" w:rsidP="008638D4">
      <w:pPr>
        <w:pStyle w:val="FootnoteText"/>
        <w:spacing w:after="120"/>
        <w:rPr>
          <w:sz w:val="14"/>
          <w:szCs w:val="14"/>
        </w:rPr>
      </w:pPr>
      <w:r>
        <w:rPr>
          <w:sz w:val="14"/>
          <w:szCs w:val="14"/>
        </w:rPr>
        <w:t xml:space="preserve">Platforms – M: Manned Platforms; Platforms – NNM: Not Normally Manned Platforms; FPSOs: </w:t>
      </w:r>
      <w:r w:rsidRPr="00A27247">
        <w:rPr>
          <w:sz w:val="14"/>
          <w:szCs w:val="14"/>
        </w:rPr>
        <w:t xml:space="preserve">Floating </w:t>
      </w:r>
      <w:r>
        <w:rPr>
          <w:sz w:val="14"/>
          <w:szCs w:val="14"/>
        </w:rPr>
        <w:t>P</w:t>
      </w:r>
      <w:r w:rsidRPr="00A27247">
        <w:rPr>
          <w:sz w:val="14"/>
          <w:szCs w:val="14"/>
        </w:rPr>
        <w:t xml:space="preserve">roduction </w:t>
      </w:r>
      <w:r>
        <w:rPr>
          <w:sz w:val="14"/>
          <w:szCs w:val="14"/>
        </w:rPr>
        <w:t>S</w:t>
      </w:r>
      <w:r w:rsidRPr="00A27247">
        <w:rPr>
          <w:sz w:val="14"/>
          <w:szCs w:val="14"/>
        </w:rPr>
        <w:t xml:space="preserve">torage and </w:t>
      </w:r>
      <w:r>
        <w:rPr>
          <w:sz w:val="14"/>
          <w:szCs w:val="14"/>
        </w:rPr>
        <w:t>O</w:t>
      </w:r>
      <w:r w:rsidRPr="00A27247">
        <w:rPr>
          <w:sz w:val="14"/>
          <w:szCs w:val="14"/>
        </w:rPr>
        <w:t>ffloading</w:t>
      </w:r>
      <w:r>
        <w:rPr>
          <w:sz w:val="14"/>
          <w:szCs w:val="14"/>
        </w:rPr>
        <w:t xml:space="preserve">; MODUs: </w:t>
      </w:r>
      <w:r w:rsidRPr="00B41BBD">
        <w:rPr>
          <w:sz w:val="14"/>
          <w:szCs w:val="14"/>
        </w:rPr>
        <w:t>Mobile Offshore Drilling Unit</w:t>
      </w:r>
      <w:r>
        <w:rPr>
          <w:sz w:val="14"/>
          <w:szCs w:val="14"/>
        </w:rPr>
        <w:t>.</w:t>
      </w:r>
    </w:p>
    <w:p w14:paraId="7446E84C" w14:textId="77777777" w:rsidR="008638D4" w:rsidRPr="006B22CB" w:rsidRDefault="008638D4" w:rsidP="008638D4">
      <w:pPr>
        <w:pStyle w:val="Caption"/>
        <w:rPr>
          <w:b w:val="0"/>
          <w:bCs/>
          <w:i/>
          <w:iCs w:val="0"/>
          <w:color w:val="75787B" w:themeColor="accent6"/>
        </w:rPr>
      </w:pPr>
      <w:r w:rsidRPr="006B22CB">
        <w:rPr>
          <w:b w:val="0"/>
          <w:bCs/>
          <w:i/>
          <w:iCs w:val="0"/>
          <w:color w:val="75787B" w:themeColor="accent6"/>
        </w:rPr>
        <w:t>Source: Deloitte analysis adapted from NOPSEMA data</w:t>
      </w:r>
    </w:p>
    <w:p w14:paraId="3DB8F9D1" w14:textId="1466B900" w:rsidR="00262053" w:rsidRPr="00CB259F" w:rsidRDefault="00262053" w:rsidP="00262053">
      <w:pPr>
        <w:pStyle w:val="Caption"/>
      </w:pPr>
      <w:bookmarkStart w:id="191" w:name="_Ref63104913"/>
      <w:r>
        <w:t xml:space="preserve">Figure </w:t>
      </w:r>
      <w:r>
        <w:fldChar w:fldCharType="begin"/>
      </w:r>
      <w:r>
        <w:instrText xml:space="preserve"> STYLEREF 1 \s </w:instrText>
      </w:r>
      <w:r>
        <w:fldChar w:fldCharType="separate"/>
      </w:r>
      <w:r w:rsidR="00E816B8">
        <w:rPr>
          <w:noProof/>
        </w:rPr>
        <w:t>11</w:t>
      </w:r>
      <w:r>
        <w:fldChar w:fldCharType="end"/>
      </w:r>
      <w:r>
        <w:t>.</w:t>
      </w:r>
      <w:r>
        <w:fldChar w:fldCharType="begin"/>
      </w:r>
      <w:r>
        <w:instrText xml:space="preserve"> SEQ Figure \* ARABIC \s 1 </w:instrText>
      </w:r>
      <w:r>
        <w:fldChar w:fldCharType="separate"/>
      </w:r>
      <w:r w:rsidR="00E816B8">
        <w:rPr>
          <w:noProof/>
        </w:rPr>
        <w:t>3</w:t>
      </w:r>
      <w:r>
        <w:fldChar w:fldCharType="end"/>
      </w:r>
      <w:bookmarkEnd w:id="191"/>
      <w:r>
        <w:t>: Active petroleum activities (excluding seismic activities) from 2015 to 2019</w:t>
      </w:r>
      <w:r>
        <w:rPr>
          <w:rStyle w:val="FootnoteReference"/>
        </w:rPr>
        <w:footnoteReference w:id="62"/>
      </w:r>
    </w:p>
    <w:p w14:paraId="7C5495F9" w14:textId="77777777" w:rsidR="00262053" w:rsidRDefault="00262053" w:rsidP="00262053">
      <w:r>
        <w:rPr>
          <w:noProof/>
          <w:lang w:eastAsia="en-AU"/>
        </w:rPr>
        <w:drawing>
          <wp:inline distT="0" distB="0" distL="0" distR="0" wp14:anchorId="381221F9" wp14:editId="220FD2B8">
            <wp:extent cx="6300000" cy="2808000"/>
            <wp:effectExtent l="0" t="0" r="5715" b="11430"/>
            <wp:docPr id="1179951912" name="Chart 117995191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68E1B5C4-1FE3-46B1-855D-00C4F78157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40A637F" w14:textId="77777777" w:rsidR="00262053" w:rsidRPr="006B22CB" w:rsidRDefault="00262053" w:rsidP="00262053">
      <w:pPr>
        <w:pStyle w:val="Caption"/>
        <w:rPr>
          <w:b w:val="0"/>
          <w:bCs/>
          <w:i/>
          <w:iCs w:val="0"/>
          <w:color w:val="75787B" w:themeColor="accent6"/>
        </w:rPr>
      </w:pPr>
      <w:r w:rsidRPr="006B22CB">
        <w:rPr>
          <w:b w:val="0"/>
          <w:bCs/>
          <w:i/>
          <w:iCs w:val="0"/>
          <w:color w:val="75787B" w:themeColor="accent6"/>
        </w:rPr>
        <w:t>Source: Deloitte analysis adapted from NOPSEMA data</w:t>
      </w:r>
    </w:p>
    <w:p w14:paraId="2D97EAA9" w14:textId="580C44B8" w:rsidR="00262053" w:rsidRPr="0012635D" w:rsidRDefault="00262053" w:rsidP="00262053">
      <w:pPr>
        <w:rPr>
          <w:rFonts w:ascii="Calibri Light" w:hAnsi="Calibri Light" w:cs="Calibri Light"/>
        </w:rPr>
      </w:pPr>
      <w:r w:rsidRPr="00E50702">
        <w:rPr>
          <w:rFonts w:ascii="Calibri Light" w:hAnsi="Calibri Light" w:cs="Calibri Light"/>
          <w:b/>
          <w:bCs/>
        </w:rPr>
        <w:fldChar w:fldCharType="begin"/>
      </w:r>
      <w:r w:rsidRPr="00E50702">
        <w:rPr>
          <w:rFonts w:ascii="Calibri Light" w:hAnsi="Calibri Light" w:cs="Calibri Light"/>
          <w:b/>
          <w:bCs/>
        </w:rPr>
        <w:instrText xml:space="preserve"> REF _Ref63105064 \h  \* MERGEFORMAT </w:instrText>
      </w:r>
      <w:r w:rsidRPr="00E50702">
        <w:rPr>
          <w:rFonts w:ascii="Calibri Light" w:hAnsi="Calibri Light" w:cs="Calibri Light"/>
          <w:b/>
          <w:bCs/>
        </w:rPr>
      </w:r>
      <w:r w:rsidRPr="00E50702">
        <w:rPr>
          <w:rFonts w:ascii="Calibri Light" w:hAnsi="Calibri Light" w:cs="Calibri Light"/>
          <w:b/>
          <w:bCs/>
        </w:rPr>
        <w:fldChar w:fldCharType="separate"/>
      </w:r>
      <w:r w:rsidR="00E816B8" w:rsidRPr="00E816B8">
        <w:rPr>
          <w:rFonts w:ascii="Calibri Light" w:hAnsi="Calibri Light" w:cs="Calibri Light"/>
          <w:b/>
          <w:bCs/>
        </w:rPr>
        <w:t xml:space="preserve">Table </w:t>
      </w:r>
      <w:r w:rsidR="00E816B8" w:rsidRPr="00E816B8">
        <w:rPr>
          <w:rFonts w:ascii="Calibri Light" w:hAnsi="Calibri Light" w:cs="Calibri Light"/>
          <w:b/>
          <w:bCs/>
          <w:noProof/>
        </w:rPr>
        <w:t>11.5</w:t>
      </w:r>
      <w:r w:rsidRPr="00E50702">
        <w:rPr>
          <w:rFonts w:ascii="Calibri Light" w:hAnsi="Calibri Light" w:cs="Calibri Light"/>
          <w:b/>
          <w:bCs/>
        </w:rPr>
        <w:fldChar w:fldCharType="end"/>
      </w:r>
      <w:r w:rsidRPr="00E50702">
        <w:rPr>
          <w:rFonts w:ascii="Calibri Light" w:hAnsi="Calibri Light" w:cs="Calibri Light"/>
        </w:rPr>
        <w:t xml:space="preserve"> </w:t>
      </w:r>
      <w:r w:rsidRPr="0012635D">
        <w:rPr>
          <w:rFonts w:ascii="Calibri Light" w:hAnsi="Calibri Light" w:cs="Calibri Light"/>
        </w:rPr>
        <w:t xml:space="preserve">outlines offshore seismic survey activity, showing a </w:t>
      </w:r>
      <w:r>
        <w:rPr>
          <w:rFonts w:ascii="Calibri Light" w:hAnsi="Calibri Light" w:cs="Calibri Light"/>
        </w:rPr>
        <w:t xml:space="preserve">general </w:t>
      </w:r>
      <w:r w:rsidRPr="0012635D">
        <w:rPr>
          <w:rFonts w:ascii="Calibri Light" w:hAnsi="Calibri Light" w:cs="Calibri Light"/>
        </w:rPr>
        <w:t xml:space="preserve">reduction in activity </w:t>
      </w:r>
      <w:r>
        <w:rPr>
          <w:rFonts w:ascii="Calibri Light" w:hAnsi="Calibri Light" w:cs="Calibri Light"/>
        </w:rPr>
        <w:t xml:space="preserve">for both 2D and 3D seismic surveying </w:t>
      </w:r>
      <w:r w:rsidRPr="0012635D">
        <w:rPr>
          <w:rFonts w:ascii="Calibri Light" w:hAnsi="Calibri Light" w:cs="Calibri Light"/>
        </w:rPr>
        <w:t>across the period</w:t>
      </w:r>
      <w:r>
        <w:rPr>
          <w:rFonts w:ascii="Calibri Light" w:hAnsi="Calibri Light" w:cs="Calibri Light"/>
        </w:rPr>
        <w:t xml:space="preserve"> both in terms of the number of surveys undertaken and the size of those surveys</w:t>
      </w:r>
      <w:r w:rsidR="00580F77">
        <w:rPr>
          <w:rStyle w:val="FootnoteReference"/>
          <w:rFonts w:cs="Calibri Light"/>
        </w:rPr>
        <w:footnoteReference w:id="63"/>
      </w:r>
      <w:r w:rsidRPr="0012635D">
        <w:rPr>
          <w:rFonts w:ascii="Calibri Light" w:hAnsi="Calibri Light" w:cs="Calibri Light"/>
        </w:rPr>
        <w:t>.</w:t>
      </w:r>
      <w:r>
        <w:rPr>
          <w:rFonts w:ascii="Calibri Light" w:hAnsi="Calibri Light" w:cs="Calibri Light"/>
        </w:rPr>
        <w:t xml:space="preserve"> There ha</w:t>
      </w:r>
      <w:r w:rsidR="0041631C">
        <w:rPr>
          <w:rFonts w:ascii="Calibri Light" w:hAnsi="Calibri Light" w:cs="Calibri Light"/>
        </w:rPr>
        <w:t>s</w:t>
      </w:r>
      <w:r>
        <w:rPr>
          <w:rFonts w:ascii="Calibri Light" w:hAnsi="Calibri Light" w:cs="Calibri Light"/>
        </w:rPr>
        <w:t xml:space="preserve"> been an increase in the total survey area for 3D surveys since </w:t>
      </w:r>
      <w:r w:rsidRPr="00C702E6">
        <w:rPr>
          <w:rFonts w:ascii="Calibri Light" w:hAnsi="Calibri Light" w:cs="Calibri Light"/>
        </w:rPr>
        <w:t xml:space="preserve">2017. </w:t>
      </w:r>
      <w:r w:rsidRPr="00C702E6">
        <w:rPr>
          <w:rFonts w:ascii="Calibri Light" w:hAnsi="Calibri Light" w:cs="Calibri Light"/>
          <w:b/>
          <w:bCs/>
        </w:rPr>
        <w:fldChar w:fldCharType="begin"/>
      </w:r>
      <w:r w:rsidRPr="00C702E6">
        <w:rPr>
          <w:rFonts w:ascii="Calibri Light" w:hAnsi="Calibri Light" w:cs="Calibri Light"/>
          <w:b/>
          <w:bCs/>
        </w:rPr>
        <w:instrText xml:space="preserve"> REF _Ref63105175 \h  \* MERGEFORMAT </w:instrText>
      </w:r>
      <w:r w:rsidRPr="00C702E6">
        <w:rPr>
          <w:rFonts w:ascii="Calibri Light" w:hAnsi="Calibri Light" w:cs="Calibri Light"/>
          <w:b/>
          <w:bCs/>
        </w:rPr>
      </w:r>
      <w:r w:rsidRPr="00C702E6">
        <w:rPr>
          <w:rFonts w:ascii="Calibri Light" w:hAnsi="Calibri Light" w:cs="Calibri Light"/>
          <w:b/>
          <w:bCs/>
        </w:rPr>
        <w:fldChar w:fldCharType="separate"/>
      </w:r>
      <w:r w:rsidR="00E816B8" w:rsidRPr="00E816B8">
        <w:rPr>
          <w:rFonts w:ascii="Calibri Light" w:hAnsi="Calibri Light" w:cs="Calibri Light"/>
          <w:b/>
          <w:bCs/>
        </w:rPr>
        <w:t xml:space="preserve">Figure </w:t>
      </w:r>
      <w:r w:rsidR="00E816B8" w:rsidRPr="00E816B8">
        <w:rPr>
          <w:rFonts w:ascii="Calibri Light" w:hAnsi="Calibri Light" w:cs="Calibri Light"/>
          <w:b/>
          <w:bCs/>
          <w:noProof/>
        </w:rPr>
        <w:t>11.4</w:t>
      </w:r>
      <w:r w:rsidRPr="00C702E6">
        <w:rPr>
          <w:rFonts w:ascii="Calibri Light" w:hAnsi="Calibri Light" w:cs="Calibri Light"/>
          <w:b/>
          <w:bCs/>
        </w:rPr>
        <w:fldChar w:fldCharType="end"/>
      </w:r>
      <w:r w:rsidRPr="00C702E6">
        <w:rPr>
          <w:rFonts w:ascii="Calibri Light" w:hAnsi="Calibri Light" w:cs="Calibri Light"/>
        </w:rPr>
        <w:t xml:space="preserve"> illustrates</w:t>
      </w:r>
      <w:r>
        <w:rPr>
          <w:rFonts w:ascii="Calibri Light" w:hAnsi="Calibri Light" w:cs="Calibri Light"/>
        </w:rPr>
        <w:t xml:space="preserve"> the geographic spread of these surveys, relative to AMPs, across the period.</w:t>
      </w:r>
    </w:p>
    <w:p w14:paraId="3C65E6ED" w14:textId="240657AD" w:rsidR="005D0B96" w:rsidRPr="00CB259F" w:rsidRDefault="005D0B96" w:rsidP="005D0B96">
      <w:pPr>
        <w:pStyle w:val="Caption"/>
      </w:pPr>
      <w:bookmarkStart w:id="192" w:name="_Ref63105064"/>
      <w:r>
        <w:lastRenderedPageBreak/>
        <w:t xml:space="preserve">Table </w:t>
      </w:r>
      <w:r w:rsidR="00624D4F">
        <w:fldChar w:fldCharType="begin"/>
      </w:r>
      <w:r w:rsidR="00624D4F">
        <w:instrText xml:space="preserve"> STYLEREF 1 \s </w:instrText>
      </w:r>
      <w:r w:rsidR="00624D4F">
        <w:fldChar w:fldCharType="separate"/>
      </w:r>
      <w:r w:rsidR="00E816B8">
        <w:rPr>
          <w:noProof/>
        </w:rPr>
        <w:t>11</w:t>
      </w:r>
      <w:r w:rsidR="00624D4F">
        <w:fldChar w:fldCharType="end"/>
      </w:r>
      <w:r w:rsidR="00624D4F">
        <w:t>.</w:t>
      </w:r>
      <w:r w:rsidR="00624D4F">
        <w:fldChar w:fldCharType="begin"/>
      </w:r>
      <w:r w:rsidR="00624D4F">
        <w:instrText xml:space="preserve"> SEQ Table \* ARABIC \s 1 </w:instrText>
      </w:r>
      <w:r w:rsidR="00624D4F">
        <w:fldChar w:fldCharType="separate"/>
      </w:r>
      <w:r w:rsidR="00E816B8">
        <w:rPr>
          <w:noProof/>
        </w:rPr>
        <w:t>5</w:t>
      </w:r>
      <w:r w:rsidR="00624D4F">
        <w:fldChar w:fldCharType="end"/>
      </w:r>
      <w:bookmarkEnd w:id="192"/>
      <w:r>
        <w:t xml:space="preserve">: </w:t>
      </w:r>
      <w:r w:rsidRPr="00867854">
        <w:t xml:space="preserve">Total number of 2D and 3D seismic surveys that occurred by year as well as the total line kilometres (2D surveys) and square kilometres (3D surveys) </w:t>
      </w:r>
      <w:r>
        <w:t>from 2015 to 2019</w:t>
      </w:r>
    </w:p>
    <w:tbl>
      <w:tblPr>
        <w:tblStyle w:val="TableGrid"/>
        <w:tblW w:w="5000" w:type="pct"/>
        <w:tblLook w:val="04A0" w:firstRow="1" w:lastRow="0" w:firstColumn="1" w:lastColumn="0" w:noHBand="0" w:noVBand="1"/>
      </w:tblPr>
      <w:tblGrid>
        <w:gridCol w:w="2128"/>
        <w:gridCol w:w="1288"/>
        <w:gridCol w:w="1290"/>
        <w:gridCol w:w="1290"/>
        <w:gridCol w:w="1288"/>
        <w:gridCol w:w="1290"/>
        <w:gridCol w:w="1290"/>
      </w:tblGrid>
      <w:tr w:rsidR="005D0B96" w:rsidRPr="00E40ADC" w14:paraId="09592B2D" w14:textId="77777777" w:rsidTr="00144BA2">
        <w:trPr>
          <w:cnfStyle w:val="100000000000" w:firstRow="1" w:lastRow="0" w:firstColumn="0" w:lastColumn="0" w:oddVBand="0" w:evenVBand="0" w:oddHBand="0" w:evenHBand="0" w:firstRowFirstColumn="0" w:firstRowLastColumn="0" w:lastRowFirstColumn="0" w:lastRowLastColumn="0"/>
          <w:trHeight w:val="40"/>
        </w:trPr>
        <w:tc>
          <w:tcPr>
            <w:tcW w:w="1078" w:type="pct"/>
            <w:tcBorders>
              <w:top w:val="single" w:sz="8" w:space="0" w:color="00707E" w:themeColor="accent5" w:themeShade="BF"/>
              <w:bottom w:val="single" w:sz="8" w:space="0" w:color="00707E" w:themeColor="accent5" w:themeShade="BF"/>
            </w:tcBorders>
            <w:noWrap/>
            <w:hideMark/>
          </w:tcPr>
          <w:p w14:paraId="2C58F3A8" w14:textId="77777777" w:rsidR="005D0B96" w:rsidRPr="0012635D" w:rsidRDefault="005D0B96" w:rsidP="00144BA2">
            <w:pPr>
              <w:spacing w:after="0"/>
              <w:rPr>
                <w:rFonts w:ascii="Calibri Light" w:hAnsi="Calibri Light" w:cs="Calibri Light"/>
                <w:b/>
                <w:bCs/>
                <w:color w:val="007680"/>
              </w:rPr>
            </w:pPr>
            <w:r w:rsidRPr="0012635D">
              <w:rPr>
                <w:rFonts w:ascii="Calibri Light" w:hAnsi="Calibri Light" w:cs="Calibri Light"/>
                <w:b/>
                <w:bCs/>
                <w:color w:val="007680"/>
              </w:rPr>
              <w:t>Seismic Survey type</w:t>
            </w:r>
          </w:p>
        </w:tc>
        <w:tc>
          <w:tcPr>
            <w:tcW w:w="653" w:type="pct"/>
            <w:tcBorders>
              <w:top w:val="single" w:sz="8" w:space="0" w:color="00707E" w:themeColor="accent5" w:themeShade="BF"/>
              <w:bottom w:val="single" w:sz="8" w:space="0" w:color="00707E" w:themeColor="accent5" w:themeShade="BF"/>
            </w:tcBorders>
            <w:noWrap/>
            <w:hideMark/>
          </w:tcPr>
          <w:p w14:paraId="6B883A89" w14:textId="77777777" w:rsidR="005D0B96" w:rsidRPr="0012635D" w:rsidRDefault="005D0B96"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2015</w:t>
            </w:r>
          </w:p>
        </w:tc>
        <w:tc>
          <w:tcPr>
            <w:tcW w:w="654" w:type="pct"/>
            <w:tcBorders>
              <w:top w:val="single" w:sz="8" w:space="0" w:color="00707E" w:themeColor="accent5" w:themeShade="BF"/>
              <w:bottom w:val="single" w:sz="8" w:space="0" w:color="00707E" w:themeColor="accent5" w:themeShade="BF"/>
            </w:tcBorders>
            <w:noWrap/>
            <w:hideMark/>
          </w:tcPr>
          <w:p w14:paraId="643A970C" w14:textId="77777777" w:rsidR="005D0B96" w:rsidRPr="0012635D" w:rsidRDefault="005D0B96"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2016</w:t>
            </w:r>
          </w:p>
        </w:tc>
        <w:tc>
          <w:tcPr>
            <w:tcW w:w="654" w:type="pct"/>
            <w:tcBorders>
              <w:top w:val="single" w:sz="8" w:space="0" w:color="00707E" w:themeColor="accent5" w:themeShade="BF"/>
              <w:bottom w:val="single" w:sz="8" w:space="0" w:color="00707E" w:themeColor="accent5" w:themeShade="BF"/>
            </w:tcBorders>
            <w:noWrap/>
            <w:hideMark/>
          </w:tcPr>
          <w:p w14:paraId="36C19C2C" w14:textId="77777777" w:rsidR="005D0B96" w:rsidRPr="0012635D" w:rsidRDefault="005D0B96"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2017</w:t>
            </w:r>
          </w:p>
        </w:tc>
        <w:tc>
          <w:tcPr>
            <w:tcW w:w="653" w:type="pct"/>
            <w:tcBorders>
              <w:top w:val="single" w:sz="8" w:space="0" w:color="00707E" w:themeColor="accent5" w:themeShade="BF"/>
              <w:bottom w:val="single" w:sz="8" w:space="0" w:color="00707E" w:themeColor="accent5" w:themeShade="BF"/>
            </w:tcBorders>
            <w:noWrap/>
            <w:hideMark/>
          </w:tcPr>
          <w:p w14:paraId="3C9124A4" w14:textId="77777777" w:rsidR="005D0B96" w:rsidRPr="0012635D" w:rsidRDefault="005D0B96"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2018</w:t>
            </w:r>
          </w:p>
        </w:tc>
        <w:tc>
          <w:tcPr>
            <w:tcW w:w="654" w:type="pct"/>
            <w:tcBorders>
              <w:top w:val="single" w:sz="8" w:space="0" w:color="00707E" w:themeColor="accent5" w:themeShade="BF"/>
              <w:bottom w:val="single" w:sz="8" w:space="0" w:color="00707E" w:themeColor="accent5" w:themeShade="BF"/>
            </w:tcBorders>
            <w:noWrap/>
            <w:hideMark/>
          </w:tcPr>
          <w:p w14:paraId="27378D8F" w14:textId="77777777" w:rsidR="005D0B96" w:rsidRPr="0012635D" w:rsidRDefault="005D0B96"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2019</w:t>
            </w:r>
          </w:p>
        </w:tc>
        <w:tc>
          <w:tcPr>
            <w:tcW w:w="654" w:type="pct"/>
            <w:tcBorders>
              <w:top w:val="single" w:sz="8" w:space="0" w:color="00707E" w:themeColor="accent5" w:themeShade="BF"/>
              <w:bottom w:val="single" w:sz="8" w:space="0" w:color="00707E" w:themeColor="accent5" w:themeShade="BF"/>
            </w:tcBorders>
            <w:noWrap/>
            <w:hideMark/>
          </w:tcPr>
          <w:p w14:paraId="193E6298" w14:textId="77777777" w:rsidR="005D0B96" w:rsidRPr="0012635D" w:rsidRDefault="005D0B96"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Totals</w:t>
            </w:r>
          </w:p>
        </w:tc>
      </w:tr>
      <w:tr w:rsidR="005D0B96" w:rsidRPr="00E40ADC" w14:paraId="21D31780" w14:textId="77777777" w:rsidTr="00144BA2">
        <w:trPr>
          <w:trHeight w:val="300"/>
        </w:trPr>
        <w:tc>
          <w:tcPr>
            <w:tcW w:w="1078" w:type="pct"/>
            <w:tcBorders>
              <w:top w:val="single" w:sz="8" w:space="0" w:color="00707E" w:themeColor="accent5" w:themeShade="BF"/>
              <w:bottom w:val="single" w:sz="8" w:space="0" w:color="D9D9D9" w:themeColor="background1" w:themeShade="D9"/>
            </w:tcBorders>
            <w:noWrap/>
            <w:hideMark/>
          </w:tcPr>
          <w:p w14:paraId="3CDA1B8A" w14:textId="77777777" w:rsidR="005D0B96" w:rsidRPr="0012635D" w:rsidRDefault="005D0B96" w:rsidP="00144BA2">
            <w:pPr>
              <w:spacing w:after="0"/>
              <w:rPr>
                <w:rFonts w:ascii="Calibri Light" w:hAnsi="Calibri Light" w:cs="Calibri Light"/>
              </w:rPr>
            </w:pPr>
            <w:r w:rsidRPr="0012635D">
              <w:rPr>
                <w:rFonts w:ascii="Calibri Light" w:hAnsi="Calibri Light" w:cs="Calibri Light"/>
              </w:rPr>
              <w:t>2D</w:t>
            </w:r>
          </w:p>
        </w:tc>
        <w:tc>
          <w:tcPr>
            <w:tcW w:w="653" w:type="pct"/>
            <w:tcBorders>
              <w:top w:val="single" w:sz="8" w:space="0" w:color="00707E" w:themeColor="accent5" w:themeShade="BF"/>
              <w:bottom w:val="single" w:sz="8" w:space="0" w:color="D9D9D9" w:themeColor="background1" w:themeShade="D9"/>
            </w:tcBorders>
            <w:noWrap/>
            <w:hideMark/>
          </w:tcPr>
          <w:p w14:paraId="165F4DD5"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7</w:t>
            </w:r>
          </w:p>
        </w:tc>
        <w:tc>
          <w:tcPr>
            <w:tcW w:w="654" w:type="pct"/>
            <w:tcBorders>
              <w:top w:val="single" w:sz="8" w:space="0" w:color="00707E" w:themeColor="accent5" w:themeShade="BF"/>
              <w:bottom w:val="single" w:sz="8" w:space="0" w:color="D9D9D9" w:themeColor="background1" w:themeShade="D9"/>
            </w:tcBorders>
            <w:noWrap/>
            <w:hideMark/>
          </w:tcPr>
          <w:p w14:paraId="6139AFE8"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2</w:t>
            </w:r>
          </w:p>
        </w:tc>
        <w:tc>
          <w:tcPr>
            <w:tcW w:w="654" w:type="pct"/>
            <w:tcBorders>
              <w:top w:val="single" w:sz="8" w:space="0" w:color="00707E" w:themeColor="accent5" w:themeShade="BF"/>
              <w:bottom w:val="single" w:sz="8" w:space="0" w:color="D9D9D9" w:themeColor="background1" w:themeShade="D9"/>
            </w:tcBorders>
            <w:noWrap/>
            <w:hideMark/>
          </w:tcPr>
          <w:p w14:paraId="7D1E34B7"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1</w:t>
            </w:r>
          </w:p>
        </w:tc>
        <w:tc>
          <w:tcPr>
            <w:tcW w:w="653" w:type="pct"/>
            <w:tcBorders>
              <w:top w:val="single" w:sz="8" w:space="0" w:color="00707E" w:themeColor="accent5" w:themeShade="BF"/>
              <w:bottom w:val="single" w:sz="8" w:space="0" w:color="D9D9D9" w:themeColor="background1" w:themeShade="D9"/>
            </w:tcBorders>
            <w:noWrap/>
            <w:hideMark/>
          </w:tcPr>
          <w:p w14:paraId="0AD93DBB"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1</w:t>
            </w:r>
          </w:p>
        </w:tc>
        <w:tc>
          <w:tcPr>
            <w:tcW w:w="654" w:type="pct"/>
            <w:tcBorders>
              <w:top w:val="single" w:sz="8" w:space="0" w:color="00707E" w:themeColor="accent5" w:themeShade="BF"/>
              <w:bottom w:val="single" w:sz="8" w:space="0" w:color="D9D9D9" w:themeColor="background1" w:themeShade="D9"/>
            </w:tcBorders>
            <w:noWrap/>
            <w:hideMark/>
          </w:tcPr>
          <w:p w14:paraId="4B21DC1D"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0</w:t>
            </w:r>
          </w:p>
        </w:tc>
        <w:tc>
          <w:tcPr>
            <w:tcW w:w="654" w:type="pct"/>
            <w:tcBorders>
              <w:top w:val="single" w:sz="8" w:space="0" w:color="00707E" w:themeColor="accent5" w:themeShade="BF"/>
              <w:bottom w:val="single" w:sz="8" w:space="0" w:color="D9D9D9" w:themeColor="background1" w:themeShade="D9"/>
            </w:tcBorders>
            <w:shd w:val="clear" w:color="auto" w:fill="F2F2F2" w:themeFill="background1" w:themeFillShade="F2"/>
            <w:noWrap/>
            <w:hideMark/>
          </w:tcPr>
          <w:p w14:paraId="6D0632AD" w14:textId="77777777" w:rsidR="005D0B96" w:rsidRPr="0012635D" w:rsidRDefault="005D0B96" w:rsidP="00144BA2">
            <w:pPr>
              <w:spacing w:after="0"/>
              <w:jc w:val="center"/>
              <w:rPr>
                <w:rFonts w:ascii="Calibri Light" w:hAnsi="Calibri Light" w:cs="Calibri Light"/>
                <w:b/>
                <w:bCs/>
              </w:rPr>
            </w:pPr>
            <w:r w:rsidRPr="0012635D">
              <w:rPr>
                <w:rFonts w:ascii="Calibri Light" w:hAnsi="Calibri Light" w:cs="Calibri Light"/>
                <w:b/>
                <w:bCs/>
              </w:rPr>
              <w:t>11</w:t>
            </w:r>
          </w:p>
        </w:tc>
      </w:tr>
      <w:tr w:rsidR="005D0B96" w:rsidRPr="00E40ADC" w14:paraId="3147B534" w14:textId="77777777" w:rsidTr="00144BA2">
        <w:trPr>
          <w:trHeight w:val="300"/>
        </w:trPr>
        <w:tc>
          <w:tcPr>
            <w:tcW w:w="1078" w:type="pct"/>
            <w:tcBorders>
              <w:top w:val="single" w:sz="8" w:space="0" w:color="D9D9D9" w:themeColor="background1" w:themeShade="D9"/>
              <w:bottom w:val="single" w:sz="8" w:space="0" w:color="D9D9D9" w:themeColor="background1" w:themeShade="D9"/>
            </w:tcBorders>
            <w:noWrap/>
            <w:hideMark/>
          </w:tcPr>
          <w:p w14:paraId="3A395EB2" w14:textId="77777777" w:rsidR="005D0B96" w:rsidRPr="0012635D" w:rsidRDefault="005D0B96" w:rsidP="00144BA2">
            <w:pPr>
              <w:spacing w:after="0"/>
              <w:rPr>
                <w:rFonts w:ascii="Calibri Light" w:hAnsi="Calibri Light" w:cs="Calibri Light"/>
              </w:rPr>
            </w:pPr>
            <w:r w:rsidRPr="0012635D">
              <w:rPr>
                <w:rFonts w:ascii="Calibri Light" w:hAnsi="Calibri Light" w:cs="Calibri Light"/>
              </w:rPr>
              <w:t>3D</w:t>
            </w:r>
          </w:p>
        </w:tc>
        <w:tc>
          <w:tcPr>
            <w:tcW w:w="653" w:type="pct"/>
            <w:tcBorders>
              <w:top w:val="single" w:sz="8" w:space="0" w:color="D9D9D9" w:themeColor="background1" w:themeShade="D9"/>
              <w:bottom w:val="single" w:sz="8" w:space="0" w:color="D9D9D9" w:themeColor="background1" w:themeShade="D9"/>
            </w:tcBorders>
            <w:noWrap/>
            <w:hideMark/>
          </w:tcPr>
          <w:p w14:paraId="45F29A4C"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17</w:t>
            </w:r>
          </w:p>
        </w:tc>
        <w:tc>
          <w:tcPr>
            <w:tcW w:w="654" w:type="pct"/>
            <w:tcBorders>
              <w:top w:val="single" w:sz="8" w:space="0" w:color="D9D9D9" w:themeColor="background1" w:themeShade="D9"/>
              <w:bottom w:val="single" w:sz="8" w:space="0" w:color="D9D9D9" w:themeColor="background1" w:themeShade="D9"/>
            </w:tcBorders>
            <w:noWrap/>
            <w:hideMark/>
          </w:tcPr>
          <w:p w14:paraId="071621F7"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3</w:t>
            </w:r>
          </w:p>
        </w:tc>
        <w:tc>
          <w:tcPr>
            <w:tcW w:w="654" w:type="pct"/>
            <w:tcBorders>
              <w:top w:val="single" w:sz="8" w:space="0" w:color="D9D9D9" w:themeColor="background1" w:themeShade="D9"/>
              <w:bottom w:val="single" w:sz="8" w:space="0" w:color="D9D9D9" w:themeColor="background1" w:themeShade="D9"/>
            </w:tcBorders>
            <w:noWrap/>
            <w:hideMark/>
          </w:tcPr>
          <w:p w14:paraId="7721B7BA"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3</w:t>
            </w:r>
          </w:p>
        </w:tc>
        <w:tc>
          <w:tcPr>
            <w:tcW w:w="653" w:type="pct"/>
            <w:tcBorders>
              <w:top w:val="single" w:sz="8" w:space="0" w:color="D9D9D9" w:themeColor="background1" w:themeShade="D9"/>
              <w:bottom w:val="single" w:sz="8" w:space="0" w:color="D9D9D9" w:themeColor="background1" w:themeShade="D9"/>
            </w:tcBorders>
            <w:noWrap/>
            <w:hideMark/>
          </w:tcPr>
          <w:p w14:paraId="639240D8"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5</w:t>
            </w:r>
          </w:p>
        </w:tc>
        <w:tc>
          <w:tcPr>
            <w:tcW w:w="654" w:type="pct"/>
            <w:tcBorders>
              <w:top w:val="single" w:sz="8" w:space="0" w:color="D9D9D9" w:themeColor="background1" w:themeShade="D9"/>
              <w:bottom w:val="single" w:sz="8" w:space="0" w:color="D9D9D9" w:themeColor="background1" w:themeShade="D9"/>
            </w:tcBorders>
            <w:noWrap/>
            <w:hideMark/>
          </w:tcPr>
          <w:p w14:paraId="7CCE9C6B"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4</w:t>
            </w:r>
          </w:p>
        </w:tc>
        <w:tc>
          <w:tcPr>
            <w:tcW w:w="654"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1D53C20A" w14:textId="77777777" w:rsidR="005D0B96" w:rsidRPr="0012635D" w:rsidRDefault="005D0B96" w:rsidP="00144BA2">
            <w:pPr>
              <w:spacing w:after="0"/>
              <w:jc w:val="center"/>
              <w:rPr>
                <w:rFonts w:ascii="Calibri Light" w:hAnsi="Calibri Light" w:cs="Calibri Light"/>
                <w:b/>
                <w:bCs/>
              </w:rPr>
            </w:pPr>
            <w:r w:rsidRPr="0012635D">
              <w:rPr>
                <w:rFonts w:ascii="Calibri Light" w:hAnsi="Calibri Light" w:cs="Calibri Light"/>
                <w:b/>
                <w:bCs/>
              </w:rPr>
              <w:t>32</w:t>
            </w:r>
          </w:p>
        </w:tc>
      </w:tr>
      <w:tr w:rsidR="005D0B96" w:rsidRPr="00E40ADC" w14:paraId="401E1512" w14:textId="77777777" w:rsidTr="00144BA2">
        <w:trPr>
          <w:trHeight w:val="300"/>
        </w:trPr>
        <w:tc>
          <w:tcPr>
            <w:tcW w:w="1078"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26FF4EE1" w14:textId="77777777" w:rsidR="005D0B96" w:rsidRPr="0012635D" w:rsidRDefault="005D0B96" w:rsidP="00144BA2">
            <w:pPr>
              <w:spacing w:after="0"/>
              <w:rPr>
                <w:rFonts w:ascii="Calibri Light" w:hAnsi="Calibri Light" w:cs="Calibri Light"/>
                <w:b/>
                <w:bCs/>
              </w:rPr>
            </w:pPr>
            <w:r w:rsidRPr="0012635D">
              <w:rPr>
                <w:rFonts w:ascii="Calibri Light" w:hAnsi="Calibri Light" w:cs="Calibri Light"/>
                <w:b/>
                <w:bCs/>
              </w:rPr>
              <w:t>Total number</w:t>
            </w:r>
          </w:p>
        </w:tc>
        <w:tc>
          <w:tcPr>
            <w:tcW w:w="653"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2B81D00D" w14:textId="77777777" w:rsidR="005D0B96" w:rsidRPr="0012635D" w:rsidRDefault="005D0B96" w:rsidP="00144BA2">
            <w:pPr>
              <w:spacing w:after="0"/>
              <w:jc w:val="center"/>
              <w:rPr>
                <w:rFonts w:ascii="Calibri Light" w:hAnsi="Calibri Light" w:cs="Calibri Light"/>
                <w:b/>
                <w:bCs/>
              </w:rPr>
            </w:pPr>
            <w:r w:rsidRPr="0012635D">
              <w:rPr>
                <w:rFonts w:ascii="Calibri Light" w:hAnsi="Calibri Light" w:cs="Calibri Light"/>
                <w:b/>
                <w:bCs/>
              </w:rPr>
              <w:t>24</w:t>
            </w:r>
          </w:p>
        </w:tc>
        <w:tc>
          <w:tcPr>
            <w:tcW w:w="654"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2E17530C" w14:textId="77777777" w:rsidR="005D0B96" w:rsidRPr="0012635D" w:rsidRDefault="005D0B96" w:rsidP="00144BA2">
            <w:pPr>
              <w:spacing w:after="0"/>
              <w:jc w:val="center"/>
              <w:rPr>
                <w:rFonts w:ascii="Calibri Light" w:hAnsi="Calibri Light" w:cs="Calibri Light"/>
                <w:b/>
                <w:bCs/>
              </w:rPr>
            </w:pPr>
            <w:r w:rsidRPr="0012635D">
              <w:rPr>
                <w:rFonts w:ascii="Calibri Light" w:hAnsi="Calibri Light" w:cs="Calibri Light"/>
                <w:b/>
                <w:bCs/>
              </w:rPr>
              <w:t>5</w:t>
            </w:r>
          </w:p>
        </w:tc>
        <w:tc>
          <w:tcPr>
            <w:tcW w:w="654"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4FD9C268" w14:textId="77777777" w:rsidR="005D0B96" w:rsidRPr="0012635D" w:rsidRDefault="005D0B96" w:rsidP="00144BA2">
            <w:pPr>
              <w:spacing w:after="0"/>
              <w:jc w:val="center"/>
              <w:rPr>
                <w:rFonts w:ascii="Calibri Light" w:hAnsi="Calibri Light" w:cs="Calibri Light"/>
                <w:b/>
                <w:bCs/>
              </w:rPr>
            </w:pPr>
            <w:r w:rsidRPr="0012635D">
              <w:rPr>
                <w:rFonts w:ascii="Calibri Light" w:hAnsi="Calibri Light" w:cs="Calibri Light"/>
                <w:b/>
                <w:bCs/>
              </w:rPr>
              <w:t>4</w:t>
            </w:r>
          </w:p>
        </w:tc>
        <w:tc>
          <w:tcPr>
            <w:tcW w:w="653"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700401D2" w14:textId="77777777" w:rsidR="005D0B96" w:rsidRPr="0012635D" w:rsidRDefault="005D0B96" w:rsidP="00144BA2">
            <w:pPr>
              <w:spacing w:after="0"/>
              <w:jc w:val="center"/>
              <w:rPr>
                <w:rFonts w:ascii="Calibri Light" w:hAnsi="Calibri Light" w:cs="Calibri Light"/>
                <w:b/>
                <w:bCs/>
              </w:rPr>
            </w:pPr>
            <w:r w:rsidRPr="0012635D">
              <w:rPr>
                <w:rFonts w:ascii="Calibri Light" w:hAnsi="Calibri Light" w:cs="Calibri Light"/>
                <w:b/>
                <w:bCs/>
              </w:rPr>
              <w:t>6</w:t>
            </w:r>
          </w:p>
        </w:tc>
        <w:tc>
          <w:tcPr>
            <w:tcW w:w="654"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64C6C0A9" w14:textId="77777777" w:rsidR="005D0B96" w:rsidRPr="0012635D" w:rsidRDefault="005D0B96" w:rsidP="00144BA2">
            <w:pPr>
              <w:spacing w:after="0"/>
              <w:jc w:val="center"/>
              <w:rPr>
                <w:rFonts w:ascii="Calibri Light" w:hAnsi="Calibri Light" w:cs="Calibri Light"/>
                <w:b/>
                <w:bCs/>
              </w:rPr>
            </w:pPr>
            <w:r w:rsidRPr="0012635D">
              <w:rPr>
                <w:rFonts w:ascii="Calibri Light" w:hAnsi="Calibri Light" w:cs="Calibri Light"/>
                <w:b/>
                <w:bCs/>
              </w:rPr>
              <w:t>4</w:t>
            </w:r>
          </w:p>
        </w:tc>
        <w:tc>
          <w:tcPr>
            <w:tcW w:w="654"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37D9F879" w14:textId="77777777" w:rsidR="005D0B96" w:rsidRPr="0012635D" w:rsidRDefault="005D0B96" w:rsidP="00144BA2">
            <w:pPr>
              <w:spacing w:after="0"/>
              <w:jc w:val="center"/>
              <w:rPr>
                <w:rFonts w:ascii="Calibri Light" w:hAnsi="Calibri Light" w:cs="Calibri Light"/>
                <w:b/>
                <w:bCs/>
              </w:rPr>
            </w:pPr>
            <w:r w:rsidRPr="0012635D">
              <w:rPr>
                <w:rFonts w:ascii="Calibri Light" w:hAnsi="Calibri Light" w:cs="Calibri Light"/>
                <w:b/>
                <w:bCs/>
              </w:rPr>
              <w:t>43</w:t>
            </w:r>
          </w:p>
        </w:tc>
      </w:tr>
      <w:tr w:rsidR="005D0B96" w:rsidRPr="00E40ADC" w14:paraId="5FD3E9F3" w14:textId="77777777" w:rsidTr="00144BA2">
        <w:trPr>
          <w:trHeight w:val="300"/>
        </w:trPr>
        <w:tc>
          <w:tcPr>
            <w:tcW w:w="1078" w:type="pct"/>
            <w:tcBorders>
              <w:top w:val="single" w:sz="8" w:space="0" w:color="D9D9D9" w:themeColor="background1" w:themeShade="D9"/>
              <w:bottom w:val="single" w:sz="8" w:space="0" w:color="D9D9D9" w:themeColor="background1" w:themeShade="D9"/>
            </w:tcBorders>
            <w:noWrap/>
            <w:hideMark/>
          </w:tcPr>
          <w:p w14:paraId="5D1B2895" w14:textId="77777777" w:rsidR="005D0B96" w:rsidRPr="0012635D" w:rsidRDefault="005D0B96" w:rsidP="00144BA2">
            <w:pPr>
              <w:spacing w:after="0"/>
              <w:rPr>
                <w:rFonts w:ascii="Calibri Light" w:hAnsi="Calibri Light" w:cs="Calibri Light"/>
              </w:rPr>
            </w:pPr>
            <w:r w:rsidRPr="0012635D">
              <w:rPr>
                <w:rFonts w:ascii="Calibri Light" w:hAnsi="Calibri Light" w:cs="Calibri Light"/>
              </w:rPr>
              <w:t>Total survey area km</w:t>
            </w:r>
            <w:r w:rsidRPr="0012635D">
              <w:rPr>
                <w:rFonts w:ascii="Calibri Light" w:hAnsi="Calibri Light" w:cs="Calibri Light"/>
                <w:vertAlign w:val="superscript"/>
              </w:rPr>
              <w:t>2</w:t>
            </w:r>
            <w:r w:rsidRPr="0012635D">
              <w:rPr>
                <w:rFonts w:ascii="Calibri Light" w:hAnsi="Calibri Light" w:cs="Calibri Light"/>
              </w:rPr>
              <w:t xml:space="preserve"> (3D)</w:t>
            </w:r>
          </w:p>
        </w:tc>
        <w:tc>
          <w:tcPr>
            <w:tcW w:w="653" w:type="pct"/>
            <w:tcBorders>
              <w:top w:val="single" w:sz="8" w:space="0" w:color="D9D9D9" w:themeColor="background1" w:themeShade="D9"/>
              <w:bottom w:val="single" w:sz="8" w:space="0" w:color="D9D9D9" w:themeColor="background1" w:themeShade="D9"/>
            </w:tcBorders>
            <w:noWrap/>
            <w:hideMark/>
          </w:tcPr>
          <w:p w14:paraId="75F0BC2F"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64</w:t>
            </w:r>
            <w:r>
              <w:rPr>
                <w:rFonts w:ascii="Calibri Light" w:hAnsi="Calibri Light" w:cs="Calibri Light"/>
              </w:rPr>
              <w:t>,</w:t>
            </w:r>
            <w:r w:rsidRPr="0012635D">
              <w:rPr>
                <w:rFonts w:ascii="Calibri Light" w:hAnsi="Calibri Light" w:cs="Calibri Light"/>
              </w:rPr>
              <w:t>352</w:t>
            </w:r>
          </w:p>
        </w:tc>
        <w:tc>
          <w:tcPr>
            <w:tcW w:w="654" w:type="pct"/>
            <w:tcBorders>
              <w:top w:val="single" w:sz="8" w:space="0" w:color="D9D9D9" w:themeColor="background1" w:themeShade="D9"/>
              <w:bottom w:val="single" w:sz="8" w:space="0" w:color="D9D9D9" w:themeColor="background1" w:themeShade="D9"/>
            </w:tcBorders>
            <w:noWrap/>
            <w:hideMark/>
          </w:tcPr>
          <w:p w14:paraId="2F705208"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18</w:t>
            </w:r>
            <w:r>
              <w:rPr>
                <w:rFonts w:ascii="Calibri Light" w:hAnsi="Calibri Light" w:cs="Calibri Light"/>
              </w:rPr>
              <w:t>,</w:t>
            </w:r>
            <w:r w:rsidRPr="0012635D">
              <w:rPr>
                <w:rFonts w:ascii="Calibri Light" w:hAnsi="Calibri Light" w:cs="Calibri Light"/>
              </w:rPr>
              <w:t>197</w:t>
            </w:r>
          </w:p>
        </w:tc>
        <w:tc>
          <w:tcPr>
            <w:tcW w:w="654" w:type="pct"/>
            <w:tcBorders>
              <w:top w:val="single" w:sz="8" w:space="0" w:color="D9D9D9" w:themeColor="background1" w:themeShade="D9"/>
              <w:bottom w:val="single" w:sz="8" w:space="0" w:color="D9D9D9" w:themeColor="background1" w:themeShade="D9"/>
            </w:tcBorders>
            <w:noWrap/>
            <w:hideMark/>
          </w:tcPr>
          <w:p w14:paraId="0307D999"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3</w:t>
            </w:r>
            <w:r>
              <w:rPr>
                <w:rFonts w:ascii="Calibri Light" w:hAnsi="Calibri Light" w:cs="Calibri Light"/>
              </w:rPr>
              <w:t>,</w:t>
            </w:r>
            <w:r w:rsidRPr="0012635D">
              <w:rPr>
                <w:rFonts w:ascii="Calibri Light" w:hAnsi="Calibri Light" w:cs="Calibri Light"/>
              </w:rPr>
              <w:t>743</w:t>
            </w:r>
          </w:p>
        </w:tc>
        <w:tc>
          <w:tcPr>
            <w:tcW w:w="653" w:type="pct"/>
            <w:tcBorders>
              <w:top w:val="single" w:sz="8" w:space="0" w:color="D9D9D9" w:themeColor="background1" w:themeShade="D9"/>
              <w:bottom w:val="single" w:sz="8" w:space="0" w:color="D9D9D9" w:themeColor="background1" w:themeShade="D9"/>
            </w:tcBorders>
            <w:noWrap/>
            <w:hideMark/>
          </w:tcPr>
          <w:p w14:paraId="5F336A25"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10</w:t>
            </w:r>
            <w:r>
              <w:rPr>
                <w:rFonts w:ascii="Calibri Light" w:hAnsi="Calibri Light" w:cs="Calibri Light"/>
              </w:rPr>
              <w:t>,</w:t>
            </w:r>
            <w:r w:rsidRPr="0012635D">
              <w:rPr>
                <w:rFonts w:ascii="Calibri Light" w:hAnsi="Calibri Light" w:cs="Calibri Light"/>
              </w:rPr>
              <w:t>176</w:t>
            </w:r>
          </w:p>
        </w:tc>
        <w:tc>
          <w:tcPr>
            <w:tcW w:w="654" w:type="pct"/>
            <w:tcBorders>
              <w:top w:val="single" w:sz="8" w:space="0" w:color="D9D9D9" w:themeColor="background1" w:themeShade="D9"/>
              <w:bottom w:val="single" w:sz="8" w:space="0" w:color="D9D9D9" w:themeColor="background1" w:themeShade="D9"/>
            </w:tcBorders>
            <w:noWrap/>
            <w:hideMark/>
          </w:tcPr>
          <w:p w14:paraId="527BE3AF"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14</w:t>
            </w:r>
            <w:r>
              <w:rPr>
                <w:rFonts w:ascii="Calibri Light" w:hAnsi="Calibri Light" w:cs="Calibri Light"/>
              </w:rPr>
              <w:t>,</w:t>
            </w:r>
            <w:r w:rsidRPr="0012635D">
              <w:rPr>
                <w:rFonts w:ascii="Calibri Light" w:hAnsi="Calibri Light" w:cs="Calibri Light"/>
              </w:rPr>
              <w:t>358</w:t>
            </w:r>
          </w:p>
        </w:tc>
        <w:tc>
          <w:tcPr>
            <w:tcW w:w="654"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75DAA409" w14:textId="0CF65C06" w:rsidR="005D0B96" w:rsidRPr="0012635D" w:rsidRDefault="005D0B96" w:rsidP="00144BA2">
            <w:pPr>
              <w:spacing w:after="0"/>
              <w:jc w:val="center"/>
              <w:rPr>
                <w:rFonts w:ascii="Calibri Light" w:hAnsi="Calibri Light" w:cs="Calibri Light"/>
                <w:b/>
                <w:bCs/>
              </w:rPr>
            </w:pPr>
            <w:r w:rsidRPr="0012635D">
              <w:rPr>
                <w:rFonts w:ascii="Calibri Light" w:hAnsi="Calibri Light" w:cs="Calibri Light"/>
                <w:b/>
                <w:bCs/>
              </w:rPr>
              <w:t>110</w:t>
            </w:r>
            <w:r w:rsidR="00834714">
              <w:rPr>
                <w:rFonts w:ascii="Calibri Light" w:hAnsi="Calibri Light" w:cs="Calibri Light"/>
                <w:b/>
                <w:bCs/>
              </w:rPr>
              <w:t>,</w:t>
            </w:r>
            <w:r w:rsidRPr="0012635D">
              <w:rPr>
                <w:rFonts w:ascii="Calibri Light" w:hAnsi="Calibri Light" w:cs="Calibri Light"/>
                <w:b/>
                <w:bCs/>
              </w:rPr>
              <w:t>826</w:t>
            </w:r>
          </w:p>
        </w:tc>
      </w:tr>
      <w:tr w:rsidR="005D0B96" w:rsidRPr="00E40ADC" w14:paraId="3FB40519" w14:textId="77777777" w:rsidTr="00144BA2">
        <w:trPr>
          <w:trHeight w:val="300"/>
        </w:trPr>
        <w:tc>
          <w:tcPr>
            <w:tcW w:w="1078" w:type="pct"/>
            <w:tcBorders>
              <w:top w:val="single" w:sz="8" w:space="0" w:color="D9D9D9" w:themeColor="background1" w:themeShade="D9"/>
              <w:bottom w:val="single" w:sz="8" w:space="0" w:color="D9D9D9" w:themeColor="background1" w:themeShade="D9"/>
            </w:tcBorders>
            <w:noWrap/>
            <w:hideMark/>
          </w:tcPr>
          <w:p w14:paraId="5FC2F2B5" w14:textId="77777777" w:rsidR="005D0B96" w:rsidRPr="0012635D" w:rsidRDefault="005D0B96" w:rsidP="00144BA2">
            <w:pPr>
              <w:spacing w:after="0"/>
              <w:rPr>
                <w:rFonts w:ascii="Calibri Light" w:hAnsi="Calibri Light" w:cs="Calibri Light"/>
              </w:rPr>
            </w:pPr>
            <w:r w:rsidRPr="0012635D">
              <w:rPr>
                <w:rFonts w:ascii="Calibri Light" w:hAnsi="Calibri Light" w:cs="Calibri Light"/>
              </w:rPr>
              <w:t>Total line km (2D)</w:t>
            </w:r>
          </w:p>
        </w:tc>
        <w:tc>
          <w:tcPr>
            <w:tcW w:w="653" w:type="pct"/>
            <w:tcBorders>
              <w:top w:val="single" w:sz="8" w:space="0" w:color="D9D9D9" w:themeColor="background1" w:themeShade="D9"/>
              <w:bottom w:val="single" w:sz="8" w:space="0" w:color="D9D9D9" w:themeColor="background1" w:themeShade="D9"/>
            </w:tcBorders>
            <w:noWrap/>
            <w:hideMark/>
          </w:tcPr>
          <w:p w14:paraId="54E5E504"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22</w:t>
            </w:r>
            <w:r>
              <w:rPr>
                <w:rFonts w:ascii="Calibri Light" w:hAnsi="Calibri Light" w:cs="Calibri Light"/>
              </w:rPr>
              <w:t>,</w:t>
            </w:r>
            <w:r w:rsidRPr="0012635D">
              <w:rPr>
                <w:rFonts w:ascii="Calibri Light" w:hAnsi="Calibri Light" w:cs="Calibri Light"/>
              </w:rPr>
              <w:t>039</w:t>
            </w:r>
          </w:p>
        </w:tc>
        <w:tc>
          <w:tcPr>
            <w:tcW w:w="654" w:type="pct"/>
            <w:tcBorders>
              <w:top w:val="single" w:sz="8" w:space="0" w:color="D9D9D9" w:themeColor="background1" w:themeShade="D9"/>
              <w:bottom w:val="single" w:sz="8" w:space="0" w:color="D9D9D9" w:themeColor="background1" w:themeShade="D9"/>
            </w:tcBorders>
            <w:noWrap/>
            <w:hideMark/>
          </w:tcPr>
          <w:p w14:paraId="128FAD70"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12</w:t>
            </w:r>
            <w:r>
              <w:rPr>
                <w:rFonts w:ascii="Calibri Light" w:hAnsi="Calibri Light" w:cs="Calibri Light"/>
              </w:rPr>
              <w:t>,</w:t>
            </w:r>
            <w:r w:rsidRPr="0012635D">
              <w:rPr>
                <w:rFonts w:ascii="Calibri Light" w:hAnsi="Calibri Light" w:cs="Calibri Light"/>
              </w:rPr>
              <w:t>335</w:t>
            </w:r>
          </w:p>
        </w:tc>
        <w:tc>
          <w:tcPr>
            <w:tcW w:w="654" w:type="pct"/>
            <w:tcBorders>
              <w:top w:val="single" w:sz="8" w:space="0" w:color="D9D9D9" w:themeColor="background1" w:themeShade="D9"/>
              <w:bottom w:val="single" w:sz="8" w:space="0" w:color="D9D9D9" w:themeColor="background1" w:themeShade="D9"/>
            </w:tcBorders>
            <w:noWrap/>
            <w:hideMark/>
          </w:tcPr>
          <w:p w14:paraId="2CFD5324"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1</w:t>
            </w:r>
            <w:r>
              <w:rPr>
                <w:rFonts w:ascii="Calibri Light" w:hAnsi="Calibri Light" w:cs="Calibri Light"/>
              </w:rPr>
              <w:t>,</w:t>
            </w:r>
            <w:r w:rsidRPr="0012635D">
              <w:rPr>
                <w:rFonts w:ascii="Calibri Light" w:hAnsi="Calibri Light" w:cs="Calibri Light"/>
              </w:rPr>
              <w:t>065</w:t>
            </w:r>
          </w:p>
        </w:tc>
        <w:tc>
          <w:tcPr>
            <w:tcW w:w="653" w:type="pct"/>
            <w:tcBorders>
              <w:top w:val="single" w:sz="8" w:space="0" w:color="D9D9D9" w:themeColor="background1" w:themeShade="D9"/>
              <w:bottom w:val="single" w:sz="8" w:space="0" w:color="D9D9D9" w:themeColor="background1" w:themeShade="D9"/>
            </w:tcBorders>
            <w:noWrap/>
            <w:hideMark/>
          </w:tcPr>
          <w:p w14:paraId="0D6B616D"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205</w:t>
            </w:r>
          </w:p>
        </w:tc>
        <w:tc>
          <w:tcPr>
            <w:tcW w:w="654" w:type="pct"/>
            <w:tcBorders>
              <w:top w:val="single" w:sz="8" w:space="0" w:color="D9D9D9" w:themeColor="background1" w:themeShade="D9"/>
              <w:bottom w:val="single" w:sz="8" w:space="0" w:color="D9D9D9" w:themeColor="background1" w:themeShade="D9"/>
            </w:tcBorders>
            <w:noWrap/>
            <w:hideMark/>
          </w:tcPr>
          <w:p w14:paraId="6B8541CD" w14:textId="77777777" w:rsidR="005D0B96" w:rsidRPr="0012635D" w:rsidRDefault="005D0B96" w:rsidP="00144BA2">
            <w:pPr>
              <w:spacing w:after="0"/>
              <w:jc w:val="center"/>
              <w:rPr>
                <w:rFonts w:ascii="Calibri Light" w:hAnsi="Calibri Light" w:cs="Calibri Light"/>
              </w:rPr>
            </w:pPr>
            <w:r w:rsidRPr="0012635D">
              <w:rPr>
                <w:rFonts w:ascii="Calibri Light" w:hAnsi="Calibri Light" w:cs="Calibri Light"/>
              </w:rPr>
              <w:t>0</w:t>
            </w:r>
          </w:p>
        </w:tc>
        <w:tc>
          <w:tcPr>
            <w:tcW w:w="654"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723A3FF1" w14:textId="77777777" w:rsidR="005D0B96" w:rsidRPr="0012635D" w:rsidRDefault="005D0B96" w:rsidP="00144BA2">
            <w:pPr>
              <w:spacing w:after="0"/>
              <w:jc w:val="center"/>
              <w:rPr>
                <w:rFonts w:ascii="Calibri Light" w:hAnsi="Calibri Light" w:cs="Calibri Light"/>
                <w:b/>
                <w:bCs/>
              </w:rPr>
            </w:pPr>
            <w:r w:rsidRPr="0012635D">
              <w:rPr>
                <w:rFonts w:ascii="Calibri Light" w:hAnsi="Calibri Light" w:cs="Calibri Light"/>
                <w:b/>
                <w:bCs/>
              </w:rPr>
              <w:t>35</w:t>
            </w:r>
            <w:r>
              <w:rPr>
                <w:rFonts w:ascii="Calibri Light" w:hAnsi="Calibri Light" w:cs="Calibri Light"/>
                <w:b/>
                <w:bCs/>
              </w:rPr>
              <w:t>,</w:t>
            </w:r>
            <w:r w:rsidRPr="0012635D">
              <w:rPr>
                <w:rFonts w:ascii="Calibri Light" w:hAnsi="Calibri Light" w:cs="Calibri Light"/>
                <w:b/>
                <w:bCs/>
              </w:rPr>
              <w:t>644</w:t>
            </w:r>
          </w:p>
        </w:tc>
      </w:tr>
    </w:tbl>
    <w:p w14:paraId="7834765B" w14:textId="46E0E914" w:rsidR="005D0B96" w:rsidRPr="006B22CB" w:rsidRDefault="005D0B96" w:rsidP="005D0B96">
      <w:pPr>
        <w:pStyle w:val="Caption"/>
        <w:rPr>
          <w:b w:val="0"/>
          <w:bCs/>
          <w:i/>
          <w:iCs w:val="0"/>
          <w:color w:val="75787B" w:themeColor="accent6"/>
        </w:rPr>
      </w:pPr>
      <w:r w:rsidRPr="006B22CB">
        <w:rPr>
          <w:b w:val="0"/>
          <w:bCs/>
          <w:i/>
          <w:iCs w:val="0"/>
          <w:color w:val="75787B" w:themeColor="accent6"/>
        </w:rPr>
        <w:t>Source: NOPTA, data extracted from NOPIMS</w:t>
      </w:r>
      <w:r w:rsidR="00BF15DD">
        <w:rPr>
          <w:b w:val="0"/>
          <w:bCs/>
          <w:i/>
          <w:iCs w:val="0"/>
          <w:color w:val="75787B" w:themeColor="accent6"/>
        </w:rPr>
        <w:t xml:space="preserve"> (provided by NOPSEMA)</w:t>
      </w:r>
    </w:p>
    <w:p w14:paraId="7ED02C67" w14:textId="1D8A4266" w:rsidR="006B22CB" w:rsidRPr="0064451C" w:rsidRDefault="006B22CB" w:rsidP="006B22CB">
      <w:pPr>
        <w:pStyle w:val="Caption"/>
        <w:keepNext/>
        <w:rPr>
          <w:i/>
          <w:iCs w:val="0"/>
        </w:rPr>
      </w:pPr>
      <w:bookmarkStart w:id="193" w:name="_Ref63105175"/>
      <w:bookmarkStart w:id="194" w:name="_Hlk63066868"/>
      <w:r>
        <w:t xml:space="preserve">Figure </w:t>
      </w:r>
      <w:r>
        <w:fldChar w:fldCharType="begin"/>
      </w:r>
      <w:r>
        <w:instrText xml:space="preserve"> STYLEREF 1 \s </w:instrText>
      </w:r>
      <w:r>
        <w:fldChar w:fldCharType="separate"/>
      </w:r>
      <w:r w:rsidR="00E816B8">
        <w:rPr>
          <w:noProof/>
        </w:rPr>
        <w:t>11</w:t>
      </w:r>
      <w:r>
        <w:fldChar w:fldCharType="end"/>
      </w:r>
      <w:r>
        <w:t>.</w:t>
      </w:r>
      <w:r>
        <w:fldChar w:fldCharType="begin"/>
      </w:r>
      <w:r>
        <w:instrText xml:space="preserve"> SEQ Figure \* ARABIC \s 1 </w:instrText>
      </w:r>
      <w:r>
        <w:fldChar w:fldCharType="separate"/>
      </w:r>
      <w:r w:rsidR="00E816B8">
        <w:rPr>
          <w:noProof/>
        </w:rPr>
        <w:t>4</w:t>
      </w:r>
      <w:r>
        <w:fldChar w:fldCharType="end"/>
      </w:r>
      <w:bookmarkEnd w:id="193"/>
      <w:r>
        <w:t xml:space="preserve">: </w:t>
      </w:r>
      <w:r w:rsidRPr="0064451C">
        <w:rPr>
          <w:iCs w:val="0"/>
        </w:rPr>
        <w:t xml:space="preserve">Overview of </w:t>
      </w:r>
      <w:r>
        <w:rPr>
          <w:iCs w:val="0"/>
        </w:rPr>
        <w:t>seismic surveys (2D and 3D)</w:t>
      </w:r>
      <w:r w:rsidRPr="0064451C">
        <w:rPr>
          <w:iCs w:val="0"/>
        </w:rPr>
        <w:t xml:space="preserve"> and Australian Marine Parks</w:t>
      </w:r>
      <w:r>
        <w:rPr>
          <w:iCs w:val="0"/>
        </w:rPr>
        <w:t xml:space="preserve"> for 2015 to 2019</w:t>
      </w:r>
      <w:bookmarkEnd w:id="194"/>
      <w:r>
        <w:rPr>
          <w:rStyle w:val="FootnoteReference"/>
          <w:iCs w:val="0"/>
        </w:rPr>
        <w:footnoteReference w:id="64"/>
      </w:r>
    </w:p>
    <w:p w14:paraId="134463FB" w14:textId="77777777" w:rsidR="006B22CB" w:rsidRDefault="006B22CB" w:rsidP="006B22CB">
      <w:pPr>
        <w:jc w:val="center"/>
      </w:pPr>
      <w:r>
        <w:rPr>
          <w:noProof/>
          <w:lang w:eastAsia="en-AU"/>
        </w:rPr>
        <w:drawing>
          <wp:inline distT="0" distB="0" distL="0" distR="0" wp14:anchorId="70971EBC" wp14:editId="1A0B771E">
            <wp:extent cx="5728154" cy="4031311"/>
            <wp:effectExtent l="0" t="0" r="6350" b="7620"/>
            <wp:docPr id="1179951913" name="Picture 117995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951913"/>
                    <pic:cNvPicPr/>
                  </pic:nvPicPr>
                  <pic:blipFill>
                    <a:blip r:embed="rId76">
                      <a:extLst>
                        <a:ext uri="{28A0092B-C50C-407E-A947-70E740481C1C}">
                          <a14:useLocalDpi xmlns:a14="http://schemas.microsoft.com/office/drawing/2010/main"/>
                        </a:ext>
                      </a:extLst>
                    </a:blip>
                    <a:stretch>
                      <a:fillRect/>
                    </a:stretch>
                  </pic:blipFill>
                  <pic:spPr>
                    <a:xfrm>
                      <a:off x="0" y="0"/>
                      <a:ext cx="5736369" cy="4037092"/>
                    </a:xfrm>
                    <a:prstGeom prst="rect">
                      <a:avLst/>
                    </a:prstGeom>
                  </pic:spPr>
                </pic:pic>
              </a:graphicData>
            </a:graphic>
          </wp:inline>
        </w:drawing>
      </w:r>
    </w:p>
    <w:p w14:paraId="41BC51B3" w14:textId="5E6CA56F" w:rsidR="006B22CB" w:rsidRPr="006B22CB" w:rsidRDefault="006B22CB" w:rsidP="006B22CB">
      <w:pPr>
        <w:pStyle w:val="Caption"/>
        <w:rPr>
          <w:b w:val="0"/>
          <w:bCs/>
          <w:i/>
          <w:iCs w:val="0"/>
          <w:color w:val="75787B" w:themeColor="accent6"/>
        </w:rPr>
      </w:pPr>
      <w:r w:rsidRPr="006B22CB">
        <w:rPr>
          <w:b w:val="0"/>
          <w:bCs/>
          <w:i/>
          <w:iCs w:val="0"/>
          <w:color w:val="75787B" w:themeColor="accent6"/>
        </w:rPr>
        <w:t>Source: NOPTA, data extracted from NOPIMS</w:t>
      </w:r>
      <w:r w:rsidR="00D91B84">
        <w:rPr>
          <w:b w:val="0"/>
          <w:bCs/>
          <w:i/>
          <w:iCs w:val="0"/>
          <w:color w:val="75787B" w:themeColor="accent6"/>
        </w:rPr>
        <w:t xml:space="preserve"> (provided by NOPSEMA)</w:t>
      </w:r>
    </w:p>
    <w:p w14:paraId="25DD9F6A" w14:textId="1F0C9083" w:rsidR="00C70AE2" w:rsidRDefault="00C70AE2" w:rsidP="001D4E79">
      <w:pPr>
        <w:pStyle w:val="Heading3"/>
      </w:pPr>
      <w:r>
        <w:t xml:space="preserve">NOPSEMA assessment of Environment Plans, </w:t>
      </w:r>
      <w:r w:rsidR="00712781">
        <w:t xml:space="preserve">reportable </w:t>
      </w:r>
      <w:r>
        <w:t xml:space="preserve">incidents, </w:t>
      </w:r>
      <w:r w:rsidR="00712781">
        <w:t xml:space="preserve">NOPSEMA </w:t>
      </w:r>
      <w:r>
        <w:t xml:space="preserve">inspection and investigation activities, and </w:t>
      </w:r>
      <w:r w:rsidR="00712781">
        <w:t xml:space="preserve">NOPSEMA </w:t>
      </w:r>
      <w:r>
        <w:t>enforcements</w:t>
      </w:r>
    </w:p>
    <w:p w14:paraId="42397BE6" w14:textId="7268B7AE" w:rsidR="00C70AE2" w:rsidRPr="0012635D" w:rsidRDefault="00C70AE2" w:rsidP="00C70AE2">
      <w:pPr>
        <w:rPr>
          <w:rFonts w:ascii="Calibri Light" w:hAnsi="Calibri Light" w:cs="Calibri Light"/>
        </w:rPr>
      </w:pPr>
      <w:r w:rsidRPr="005C53AF">
        <w:rPr>
          <w:rFonts w:ascii="Calibri Light" w:hAnsi="Calibri Light" w:cs="Calibri Light"/>
          <w:b/>
          <w:bCs/>
          <w:highlight w:val="yellow"/>
        </w:rPr>
        <w:fldChar w:fldCharType="begin"/>
      </w:r>
      <w:r w:rsidRPr="005C53AF">
        <w:rPr>
          <w:rFonts w:ascii="Calibri Light" w:hAnsi="Calibri Light" w:cs="Calibri Light"/>
          <w:b/>
          <w:bCs/>
        </w:rPr>
        <w:instrText xml:space="preserve"> REF _Ref63105207 \h </w:instrText>
      </w:r>
      <w:r w:rsidRPr="005C53AF">
        <w:rPr>
          <w:rFonts w:ascii="Calibri Light" w:hAnsi="Calibri Light" w:cs="Calibri Light"/>
          <w:b/>
          <w:bCs/>
          <w:highlight w:val="yellow"/>
        </w:rPr>
        <w:instrText xml:space="preserve"> \* MERGEFORMAT </w:instrText>
      </w:r>
      <w:r w:rsidRPr="005C53AF">
        <w:rPr>
          <w:rFonts w:ascii="Calibri Light" w:hAnsi="Calibri Light" w:cs="Calibri Light"/>
          <w:b/>
          <w:bCs/>
          <w:highlight w:val="yellow"/>
        </w:rPr>
      </w:r>
      <w:r w:rsidRPr="005C53AF">
        <w:rPr>
          <w:rFonts w:ascii="Calibri Light" w:hAnsi="Calibri Light" w:cs="Calibri Light"/>
          <w:b/>
          <w:bCs/>
          <w:highlight w:val="yellow"/>
        </w:rPr>
        <w:fldChar w:fldCharType="separate"/>
      </w:r>
      <w:r w:rsidR="00E816B8" w:rsidRPr="00E816B8">
        <w:rPr>
          <w:rFonts w:ascii="Calibri Light" w:hAnsi="Calibri Light" w:cs="Calibri Light"/>
          <w:b/>
          <w:bCs/>
        </w:rPr>
        <w:t xml:space="preserve">Figure </w:t>
      </w:r>
      <w:r w:rsidR="00E816B8" w:rsidRPr="00E816B8">
        <w:rPr>
          <w:rFonts w:ascii="Calibri Light" w:hAnsi="Calibri Light" w:cs="Calibri Light"/>
          <w:b/>
          <w:bCs/>
          <w:noProof/>
        </w:rPr>
        <w:t>11.5</w:t>
      </w:r>
      <w:r w:rsidRPr="005C53AF">
        <w:rPr>
          <w:rFonts w:ascii="Calibri Light" w:hAnsi="Calibri Light" w:cs="Calibri Light"/>
          <w:b/>
          <w:bCs/>
          <w:highlight w:val="yellow"/>
        </w:rPr>
        <w:fldChar w:fldCharType="end"/>
      </w:r>
      <w:r w:rsidRPr="005C53AF">
        <w:rPr>
          <w:rFonts w:ascii="Calibri Light" w:hAnsi="Calibri Light" w:cs="Calibri Light"/>
          <w:b/>
          <w:bCs/>
        </w:rPr>
        <w:t xml:space="preserve"> </w:t>
      </w:r>
      <w:r w:rsidRPr="005C53AF">
        <w:rPr>
          <w:rFonts w:ascii="Calibri Light" w:hAnsi="Calibri Light" w:cs="Calibri Light"/>
        </w:rPr>
        <w:t>outline</w:t>
      </w:r>
      <w:r>
        <w:rPr>
          <w:rFonts w:ascii="Calibri Light" w:hAnsi="Calibri Light" w:cs="Calibri Light"/>
        </w:rPr>
        <w:t>s the total number of new EP assessments from 2015 to 2019. Of the total number of new EPs submitted, approximately 3% were not accepted</w:t>
      </w:r>
      <w:r w:rsidR="004F0A87">
        <w:rPr>
          <w:rFonts w:ascii="Calibri Light" w:hAnsi="Calibri Light" w:cs="Calibri Light"/>
        </w:rPr>
        <w:t>,</w:t>
      </w:r>
      <w:r>
        <w:rPr>
          <w:rFonts w:ascii="Calibri Light" w:hAnsi="Calibri Light" w:cs="Calibri Light"/>
        </w:rPr>
        <w:t xml:space="preserve"> excluding </w:t>
      </w:r>
      <w:r w:rsidR="004F0A87">
        <w:rPr>
          <w:rFonts w:ascii="Calibri Light" w:hAnsi="Calibri Light" w:cs="Calibri Light"/>
        </w:rPr>
        <w:t>those</w:t>
      </w:r>
      <w:r>
        <w:rPr>
          <w:rFonts w:ascii="Calibri Light" w:hAnsi="Calibri Light" w:cs="Calibri Light"/>
        </w:rPr>
        <w:t xml:space="preserve"> EPs recalled, returned, or in </w:t>
      </w:r>
      <w:r w:rsidR="004F0A87">
        <w:rPr>
          <w:rFonts w:ascii="Calibri Light" w:hAnsi="Calibri Light" w:cs="Calibri Light"/>
        </w:rPr>
        <w:t>the process</w:t>
      </w:r>
      <w:r>
        <w:rPr>
          <w:rFonts w:ascii="Calibri Light" w:hAnsi="Calibri Light" w:cs="Calibri Light"/>
        </w:rPr>
        <w:t xml:space="preserve"> of </w:t>
      </w:r>
      <w:r w:rsidR="004F0A87">
        <w:rPr>
          <w:rFonts w:ascii="Calibri Light" w:hAnsi="Calibri Light" w:cs="Calibri Light"/>
        </w:rPr>
        <w:t xml:space="preserve">being </w:t>
      </w:r>
      <w:r>
        <w:rPr>
          <w:rFonts w:ascii="Calibri Light" w:hAnsi="Calibri Light" w:cs="Calibri Light"/>
        </w:rPr>
        <w:t>assess</w:t>
      </w:r>
      <w:r w:rsidR="004F0A87">
        <w:rPr>
          <w:rFonts w:ascii="Calibri Light" w:hAnsi="Calibri Light" w:cs="Calibri Light"/>
        </w:rPr>
        <w:t>ed</w:t>
      </w:r>
      <w:r>
        <w:rPr>
          <w:rFonts w:ascii="Calibri Light" w:hAnsi="Calibri Light" w:cs="Calibri Light"/>
        </w:rPr>
        <w:t>.</w:t>
      </w:r>
    </w:p>
    <w:p w14:paraId="482C928C" w14:textId="4CCD06B3" w:rsidR="00683D7E" w:rsidRPr="009211FD" w:rsidRDefault="00683D7E" w:rsidP="00683D7E">
      <w:pPr>
        <w:pStyle w:val="Caption"/>
        <w:keepNext/>
      </w:pPr>
      <w:bookmarkStart w:id="195" w:name="_Ref63105207"/>
      <w:r>
        <w:lastRenderedPageBreak/>
        <w:t xml:space="preserve">Figure </w:t>
      </w:r>
      <w:r>
        <w:fldChar w:fldCharType="begin"/>
      </w:r>
      <w:r>
        <w:instrText xml:space="preserve"> STYLEREF 1 \s </w:instrText>
      </w:r>
      <w:r>
        <w:fldChar w:fldCharType="separate"/>
      </w:r>
      <w:r w:rsidR="00E816B8">
        <w:rPr>
          <w:noProof/>
        </w:rPr>
        <w:t>11</w:t>
      </w:r>
      <w:r>
        <w:fldChar w:fldCharType="end"/>
      </w:r>
      <w:r>
        <w:t>.</w:t>
      </w:r>
      <w:r>
        <w:fldChar w:fldCharType="begin"/>
      </w:r>
      <w:r>
        <w:instrText xml:space="preserve"> SEQ Figure \* ARABIC \s 1 </w:instrText>
      </w:r>
      <w:r>
        <w:fldChar w:fldCharType="separate"/>
      </w:r>
      <w:r w:rsidR="00E816B8">
        <w:rPr>
          <w:noProof/>
        </w:rPr>
        <w:t>5</w:t>
      </w:r>
      <w:r>
        <w:fldChar w:fldCharType="end"/>
      </w:r>
      <w:bookmarkEnd w:id="195"/>
      <w:r>
        <w:t xml:space="preserve">: </w:t>
      </w:r>
      <w:r>
        <w:rPr>
          <w:iCs w:val="0"/>
        </w:rPr>
        <w:t>Outcome of new Environment Plan assessments from 2015 to 2019</w:t>
      </w:r>
    </w:p>
    <w:p w14:paraId="70FEF2B4" w14:textId="77777777" w:rsidR="00683D7E" w:rsidRDefault="00683D7E" w:rsidP="00683D7E">
      <w:r>
        <w:rPr>
          <w:noProof/>
          <w:lang w:eastAsia="en-AU"/>
        </w:rPr>
        <w:drawing>
          <wp:inline distT="0" distB="0" distL="0" distR="0" wp14:anchorId="6258FF4C" wp14:editId="1A06D052">
            <wp:extent cx="6300000" cy="2808000"/>
            <wp:effectExtent l="0" t="0" r="5715" b="11430"/>
            <wp:docPr id="1179951914" name="Chart 117995191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7F78469-597F-40F3-86B0-B84612208B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FB1C82A" w14:textId="77777777" w:rsidR="00683D7E" w:rsidRPr="00656E8A" w:rsidRDefault="00683D7E" w:rsidP="00683D7E">
      <w:pPr>
        <w:pStyle w:val="Caption"/>
        <w:rPr>
          <w:b w:val="0"/>
          <w:bCs/>
          <w:i/>
          <w:iCs w:val="0"/>
          <w:color w:val="75787B" w:themeColor="accent6"/>
        </w:rPr>
      </w:pPr>
      <w:r w:rsidRPr="00656E8A">
        <w:rPr>
          <w:b w:val="0"/>
          <w:bCs/>
          <w:i/>
          <w:iCs w:val="0"/>
          <w:color w:val="75787B" w:themeColor="accent6"/>
        </w:rPr>
        <w:t>Source: Deloitte analysis adapted from NOPSEMA data</w:t>
      </w:r>
    </w:p>
    <w:p w14:paraId="682C940D" w14:textId="2FFE0BBE" w:rsidR="006547B3" w:rsidRDefault="006547B3" w:rsidP="006547B3">
      <w:pPr>
        <w:rPr>
          <w:rFonts w:ascii="Calibri Light" w:hAnsi="Calibri Light" w:cs="Calibri Light"/>
        </w:rPr>
      </w:pPr>
      <w:r w:rsidRPr="005C53AF">
        <w:rPr>
          <w:rFonts w:ascii="Calibri Light" w:hAnsi="Calibri Light" w:cs="Calibri Light"/>
          <w:b/>
          <w:bCs/>
          <w:highlight w:val="yellow"/>
        </w:rPr>
        <w:fldChar w:fldCharType="begin"/>
      </w:r>
      <w:r w:rsidRPr="005C53AF">
        <w:rPr>
          <w:rFonts w:ascii="Calibri Light" w:hAnsi="Calibri Light" w:cs="Calibri Light"/>
          <w:b/>
          <w:bCs/>
        </w:rPr>
        <w:instrText xml:space="preserve"> REF _Ref63105283 \h </w:instrText>
      </w:r>
      <w:r w:rsidRPr="005C53AF">
        <w:rPr>
          <w:rFonts w:ascii="Calibri Light" w:hAnsi="Calibri Light" w:cs="Calibri Light"/>
          <w:b/>
          <w:bCs/>
          <w:highlight w:val="yellow"/>
        </w:rPr>
        <w:instrText xml:space="preserve"> \* MERGEFORMAT </w:instrText>
      </w:r>
      <w:r w:rsidRPr="005C53AF">
        <w:rPr>
          <w:rFonts w:ascii="Calibri Light" w:hAnsi="Calibri Light" w:cs="Calibri Light"/>
          <w:b/>
          <w:bCs/>
          <w:highlight w:val="yellow"/>
        </w:rPr>
      </w:r>
      <w:r w:rsidRPr="005C53AF">
        <w:rPr>
          <w:rFonts w:ascii="Calibri Light" w:hAnsi="Calibri Light" w:cs="Calibri Light"/>
          <w:b/>
          <w:bCs/>
          <w:highlight w:val="yellow"/>
        </w:rPr>
        <w:fldChar w:fldCharType="separate"/>
      </w:r>
      <w:r w:rsidR="00E816B8" w:rsidRPr="00E816B8">
        <w:rPr>
          <w:rFonts w:ascii="Calibri Light" w:hAnsi="Calibri Light" w:cs="Calibri Light"/>
          <w:b/>
          <w:bCs/>
        </w:rPr>
        <w:t xml:space="preserve">Table </w:t>
      </w:r>
      <w:r w:rsidR="00E816B8" w:rsidRPr="00E816B8">
        <w:rPr>
          <w:rFonts w:ascii="Calibri Light" w:hAnsi="Calibri Light" w:cs="Calibri Light"/>
          <w:b/>
          <w:bCs/>
          <w:noProof/>
        </w:rPr>
        <w:t>11.6</w:t>
      </w:r>
      <w:r w:rsidRPr="005C53AF">
        <w:rPr>
          <w:rFonts w:ascii="Calibri Light" w:hAnsi="Calibri Light" w:cs="Calibri Light"/>
          <w:b/>
          <w:bCs/>
          <w:highlight w:val="yellow"/>
        </w:rPr>
        <w:fldChar w:fldCharType="end"/>
      </w:r>
      <w:r w:rsidRPr="005C53AF">
        <w:rPr>
          <w:rFonts w:ascii="Calibri Light" w:hAnsi="Calibri Light" w:cs="Calibri Light"/>
          <w:b/>
          <w:bCs/>
        </w:rPr>
        <w:t xml:space="preserve"> </w:t>
      </w:r>
      <w:r w:rsidRPr="005C53AF">
        <w:rPr>
          <w:rFonts w:ascii="Calibri Light" w:hAnsi="Calibri Light" w:cs="Calibri Light"/>
        </w:rPr>
        <w:t>outlines</w:t>
      </w:r>
      <w:r>
        <w:rPr>
          <w:rFonts w:ascii="Calibri Light" w:hAnsi="Calibri Light" w:cs="Calibri Light"/>
        </w:rPr>
        <w:t xml:space="preserve"> a relatively stable number of environmental-related reportable incidents reported to NOPSEMA from 2015 to 2019</w:t>
      </w:r>
      <w:r w:rsidR="000B5DF5">
        <w:rPr>
          <w:rStyle w:val="FootnoteReference"/>
          <w:rFonts w:cs="Calibri Light"/>
        </w:rPr>
        <w:footnoteReference w:id="65"/>
      </w:r>
      <w:r>
        <w:rPr>
          <w:rFonts w:ascii="Calibri Light" w:hAnsi="Calibri Light" w:cs="Calibri Light"/>
        </w:rPr>
        <w:t xml:space="preserve">. Of these incidents, 6 had an impact on EPBC Act Part 3 protected </w:t>
      </w:r>
      <w:r w:rsidRPr="006A3717">
        <w:rPr>
          <w:rFonts w:ascii="Calibri Light" w:hAnsi="Calibri Light" w:cs="Calibri Light"/>
        </w:rPr>
        <w:t>matters (see</w:t>
      </w:r>
      <w:r w:rsidR="00656E8A">
        <w:rPr>
          <w:rFonts w:ascii="Calibri Light" w:hAnsi="Calibri Light" w:cs="Calibri Light"/>
        </w:rPr>
        <w:t xml:space="preserve"> </w:t>
      </w:r>
      <w:r w:rsidR="00656E8A" w:rsidRPr="00656E8A">
        <w:rPr>
          <w:rFonts w:ascii="Calibri Light" w:hAnsi="Calibri Light" w:cs="Calibri Light"/>
          <w:b/>
          <w:bCs/>
        </w:rPr>
        <w:fldChar w:fldCharType="begin"/>
      </w:r>
      <w:r w:rsidR="00656E8A" w:rsidRPr="00656E8A">
        <w:rPr>
          <w:rFonts w:ascii="Calibri Light" w:hAnsi="Calibri Light" w:cs="Calibri Light"/>
          <w:b/>
          <w:bCs/>
        </w:rPr>
        <w:instrText xml:space="preserve"> REF _Ref63194673 \h  \* MERGEFORMAT </w:instrText>
      </w:r>
      <w:r w:rsidR="00656E8A" w:rsidRPr="00656E8A">
        <w:rPr>
          <w:rFonts w:ascii="Calibri Light" w:hAnsi="Calibri Light" w:cs="Calibri Light"/>
          <w:b/>
          <w:bCs/>
        </w:rPr>
      </w:r>
      <w:r w:rsidR="00656E8A" w:rsidRPr="00656E8A">
        <w:rPr>
          <w:rFonts w:ascii="Calibri Light" w:hAnsi="Calibri Light" w:cs="Calibri Light"/>
          <w:b/>
          <w:bCs/>
        </w:rPr>
        <w:fldChar w:fldCharType="separate"/>
      </w:r>
      <w:r w:rsidR="00E816B8" w:rsidRPr="00E816B8">
        <w:rPr>
          <w:rFonts w:ascii="Calibri Light" w:hAnsi="Calibri Light" w:cs="Calibri Light"/>
          <w:b/>
          <w:bCs/>
        </w:rPr>
        <w:t xml:space="preserve">Table </w:t>
      </w:r>
      <w:r w:rsidR="00E816B8" w:rsidRPr="00E816B8">
        <w:rPr>
          <w:rFonts w:ascii="Calibri Light" w:hAnsi="Calibri Light" w:cs="Calibri Light"/>
          <w:b/>
          <w:bCs/>
          <w:noProof/>
        </w:rPr>
        <w:t>11.7</w:t>
      </w:r>
      <w:r w:rsidR="00656E8A" w:rsidRPr="00656E8A">
        <w:rPr>
          <w:rFonts w:ascii="Calibri Light" w:hAnsi="Calibri Light" w:cs="Calibri Light"/>
          <w:b/>
          <w:bCs/>
        </w:rPr>
        <w:fldChar w:fldCharType="end"/>
      </w:r>
      <w:r w:rsidRPr="006A3717">
        <w:rPr>
          <w:rFonts w:ascii="Calibri Light" w:hAnsi="Calibri Light" w:cs="Calibri Light"/>
        </w:rPr>
        <w:t>). NOP</w:t>
      </w:r>
      <w:r>
        <w:rPr>
          <w:rFonts w:ascii="Calibri Light" w:hAnsi="Calibri Light" w:cs="Calibri Light"/>
        </w:rPr>
        <w:t xml:space="preserve">SEMA investigated a total of 29 environmental incidents based on incident severity (46% of total reportable environmental incidents). </w:t>
      </w:r>
    </w:p>
    <w:p w14:paraId="1138A3E5" w14:textId="6AF0EA8F" w:rsidR="006547B3" w:rsidRPr="0064451C" w:rsidRDefault="006547B3" w:rsidP="006547B3">
      <w:pPr>
        <w:pStyle w:val="Caption"/>
        <w:keepNext/>
      </w:pPr>
      <w:bookmarkStart w:id="196" w:name="_Ref63105283"/>
      <w:r>
        <w:t xml:space="preserve">Table </w:t>
      </w:r>
      <w:r w:rsidR="00624D4F">
        <w:fldChar w:fldCharType="begin"/>
      </w:r>
      <w:r w:rsidR="00624D4F">
        <w:instrText xml:space="preserve"> STYLEREF 1 \s </w:instrText>
      </w:r>
      <w:r w:rsidR="00624D4F">
        <w:fldChar w:fldCharType="separate"/>
      </w:r>
      <w:r w:rsidR="00E816B8">
        <w:rPr>
          <w:noProof/>
        </w:rPr>
        <w:t>11</w:t>
      </w:r>
      <w:r w:rsidR="00624D4F">
        <w:fldChar w:fldCharType="end"/>
      </w:r>
      <w:r w:rsidR="00624D4F">
        <w:t>.</w:t>
      </w:r>
      <w:r w:rsidR="00624D4F">
        <w:fldChar w:fldCharType="begin"/>
      </w:r>
      <w:r w:rsidR="00624D4F">
        <w:instrText xml:space="preserve"> SEQ Table \* ARABIC \s 1 </w:instrText>
      </w:r>
      <w:r w:rsidR="00624D4F">
        <w:fldChar w:fldCharType="separate"/>
      </w:r>
      <w:r w:rsidR="00E816B8">
        <w:rPr>
          <w:noProof/>
        </w:rPr>
        <w:t>6</w:t>
      </w:r>
      <w:r w:rsidR="00624D4F">
        <w:fldChar w:fldCharType="end"/>
      </w:r>
      <w:bookmarkEnd w:id="196"/>
      <w:r>
        <w:t xml:space="preserve">: </w:t>
      </w:r>
      <w:r w:rsidRPr="00867854">
        <w:t xml:space="preserve">Total </w:t>
      </w:r>
      <w:r>
        <w:t>reportable incidents reported to NOPSEMA by activity type from 2015 to 2019</w:t>
      </w:r>
    </w:p>
    <w:tbl>
      <w:tblPr>
        <w:tblW w:w="5026" w:type="pct"/>
        <w:tblLayout w:type="fixed"/>
        <w:tblLook w:val="04A0" w:firstRow="1" w:lastRow="0" w:firstColumn="1" w:lastColumn="0" w:noHBand="0" w:noVBand="1"/>
      </w:tblPr>
      <w:tblGrid>
        <w:gridCol w:w="2430"/>
        <w:gridCol w:w="2433"/>
        <w:gridCol w:w="843"/>
        <w:gridCol w:w="843"/>
        <w:gridCol w:w="843"/>
        <w:gridCol w:w="843"/>
        <w:gridCol w:w="843"/>
        <w:gridCol w:w="837"/>
      </w:tblGrid>
      <w:tr w:rsidR="006547B3" w:rsidRPr="005D1578" w14:paraId="19ABA3DE" w14:textId="77777777" w:rsidTr="00144BA2">
        <w:trPr>
          <w:trHeight w:val="242"/>
        </w:trPr>
        <w:tc>
          <w:tcPr>
            <w:tcW w:w="1225" w:type="pct"/>
            <w:tcBorders>
              <w:top w:val="single" w:sz="8" w:space="0" w:color="00707E" w:themeColor="accent5" w:themeShade="BF"/>
              <w:bottom w:val="single" w:sz="8" w:space="0" w:color="00707E" w:themeColor="accent5" w:themeShade="BF"/>
            </w:tcBorders>
            <w:shd w:val="clear" w:color="auto" w:fill="auto"/>
            <w:noWrap/>
            <w:vAlign w:val="bottom"/>
            <w:hideMark/>
          </w:tcPr>
          <w:p w14:paraId="44F4549E" w14:textId="77777777" w:rsidR="006547B3" w:rsidRPr="0012635D" w:rsidRDefault="006547B3" w:rsidP="00144BA2">
            <w:pPr>
              <w:spacing w:after="0" w:line="240" w:lineRule="auto"/>
              <w:rPr>
                <w:rFonts w:ascii="Calibri Light" w:eastAsia="Times New Roman" w:hAnsi="Calibri Light" w:cs="Calibri Light"/>
                <w:b/>
                <w:bCs/>
                <w:color w:val="007680"/>
                <w:lang w:eastAsia="en-AU"/>
              </w:rPr>
            </w:pPr>
            <w:r>
              <w:rPr>
                <w:rFonts w:ascii="Calibri Light" w:eastAsia="Times New Roman" w:hAnsi="Calibri Light" w:cs="Calibri Light"/>
                <w:b/>
                <w:bCs/>
                <w:color w:val="007680"/>
                <w:lang w:eastAsia="en-AU"/>
              </w:rPr>
              <w:t>Incident c</w:t>
            </w:r>
            <w:r w:rsidRPr="0012635D">
              <w:rPr>
                <w:rFonts w:ascii="Calibri Light" w:eastAsia="Times New Roman" w:hAnsi="Calibri Light" w:cs="Calibri Light"/>
                <w:b/>
                <w:bCs/>
                <w:color w:val="007680"/>
                <w:lang w:eastAsia="en-AU"/>
              </w:rPr>
              <w:t>ategory</w:t>
            </w:r>
          </w:p>
        </w:tc>
        <w:tc>
          <w:tcPr>
            <w:tcW w:w="1227" w:type="pct"/>
            <w:tcBorders>
              <w:top w:val="single" w:sz="8" w:space="0" w:color="00707E" w:themeColor="accent5" w:themeShade="BF"/>
              <w:bottom w:val="single" w:sz="8" w:space="0" w:color="00707E" w:themeColor="accent5" w:themeShade="BF"/>
            </w:tcBorders>
            <w:shd w:val="clear" w:color="auto" w:fill="auto"/>
            <w:noWrap/>
            <w:vAlign w:val="bottom"/>
            <w:hideMark/>
          </w:tcPr>
          <w:p w14:paraId="6C5F15BA" w14:textId="77777777" w:rsidR="006547B3" w:rsidRPr="0012635D" w:rsidRDefault="006547B3" w:rsidP="00144BA2">
            <w:pPr>
              <w:spacing w:after="0" w:line="240" w:lineRule="auto"/>
              <w:rPr>
                <w:rFonts w:ascii="Calibri Light" w:eastAsia="Times New Roman" w:hAnsi="Calibri Light" w:cs="Calibri Light"/>
                <w:b/>
                <w:bCs/>
                <w:color w:val="007680"/>
                <w:lang w:eastAsia="en-AU"/>
              </w:rPr>
            </w:pPr>
            <w:r w:rsidRPr="0012635D">
              <w:rPr>
                <w:rFonts w:ascii="Calibri Light" w:eastAsia="Times New Roman" w:hAnsi="Calibri Light" w:cs="Calibri Light"/>
                <w:b/>
                <w:bCs/>
                <w:color w:val="007680"/>
                <w:lang w:eastAsia="en-AU"/>
              </w:rPr>
              <w:t>Activity type</w:t>
            </w:r>
          </w:p>
        </w:tc>
        <w:tc>
          <w:tcPr>
            <w:tcW w:w="425" w:type="pct"/>
            <w:tcBorders>
              <w:top w:val="single" w:sz="8" w:space="0" w:color="00707E" w:themeColor="accent5" w:themeShade="BF"/>
              <w:bottom w:val="single" w:sz="8" w:space="0" w:color="00707E" w:themeColor="accent5" w:themeShade="BF"/>
            </w:tcBorders>
            <w:shd w:val="clear" w:color="auto" w:fill="auto"/>
            <w:noWrap/>
            <w:vAlign w:val="bottom"/>
            <w:hideMark/>
          </w:tcPr>
          <w:p w14:paraId="16D162BB" w14:textId="77777777" w:rsidR="006547B3" w:rsidRPr="0012635D" w:rsidRDefault="006547B3" w:rsidP="00144BA2">
            <w:pPr>
              <w:spacing w:after="0" w:line="240" w:lineRule="auto"/>
              <w:jc w:val="center"/>
              <w:rPr>
                <w:rFonts w:ascii="Calibri Light" w:eastAsia="Times New Roman" w:hAnsi="Calibri Light" w:cs="Calibri Light"/>
                <w:b/>
                <w:bCs/>
                <w:color w:val="007680"/>
                <w:lang w:eastAsia="en-AU"/>
              </w:rPr>
            </w:pPr>
            <w:r w:rsidRPr="0012635D">
              <w:rPr>
                <w:rFonts w:ascii="Calibri Light" w:eastAsia="Times New Roman" w:hAnsi="Calibri Light" w:cs="Calibri Light"/>
                <w:b/>
                <w:bCs/>
                <w:color w:val="007680"/>
                <w:lang w:eastAsia="en-AU"/>
              </w:rPr>
              <w:t>2015</w:t>
            </w:r>
          </w:p>
        </w:tc>
        <w:tc>
          <w:tcPr>
            <w:tcW w:w="425" w:type="pct"/>
            <w:tcBorders>
              <w:top w:val="single" w:sz="8" w:space="0" w:color="00707E" w:themeColor="accent5" w:themeShade="BF"/>
              <w:bottom w:val="single" w:sz="8" w:space="0" w:color="00707E" w:themeColor="accent5" w:themeShade="BF"/>
            </w:tcBorders>
            <w:shd w:val="clear" w:color="auto" w:fill="auto"/>
            <w:noWrap/>
            <w:vAlign w:val="bottom"/>
            <w:hideMark/>
          </w:tcPr>
          <w:p w14:paraId="79C5519C" w14:textId="77777777" w:rsidR="006547B3" w:rsidRPr="0012635D" w:rsidRDefault="006547B3" w:rsidP="00144BA2">
            <w:pPr>
              <w:spacing w:after="0" w:line="240" w:lineRule="auto"/>
              <w:jc w:val="center"/>
              <w:rPr>
                <w:rFonts w:ascii="Calibri Light" w:eastAsia="Times New Roman" w:hAnsi="Calibri Light" w:cs="Calibri Light"/>
                <w:b/>
                <w:bCs/>
                <w:color w:val="007680"/>
                <w:lang w:eastAsia="en-AU"/>
              </w:rPr>
            </w:pPr>
            <w:r w:rsidRPr="0012635D">
              <w:rPr>
                <w:rFonts w:ascii="Calibri Light" w:eastAsia="Times New Roman" w:hAnsi="Calibri Light" w:cs="Calibri Light"/>
                <w:b/>
                <w:bCs/>
                <w:color w:val="007680"/>
                <w:lang w:eastAsia="en-AU"/>
              </w:rPr>
              <w:t>2016</w:t>
            </w:r>
          </w:p>
        </w:tc>
        <w:tc>
          <w:tcPr>
            <w:tcW w:w="425" w:type="pct"/>
            <w:tcBorders>
              <w:top w:val="single" w:sz="8" w:space="0" w:color="00707E" w:themeColor="accent5" w:themeShade="BF"/>
              <w:bottom w:val="single" w:sz="8" w:space="0" w:color="00707E" w:themeColor="accent5" w:themeShade="BF"/>
            </w:tcBorders>
            <w:shd w:val="clear" w:color="auto" w:fill="auto"/>
            <w:noWrap/>
            <w:vAlign w:val="bottom"/>
            <w:hideMark/>
          </w:tcPr>
          <w:p w14:paraId="21D8B7EC" w14:textId="77777777" w:rsidR="006547B3" w:rsidRPr="0012635D" w:rsidRDefault="006547B3" w:rsidP="00144BA2">
            <w:pPr>
              <w:spacing w:after="0" w:line="240" w:lineRule="auto"/>
              <w:jc w:val="center"/>
              <w:rPr>
                <w:rFonts w:ascii="Calibri Light" w:eastAsia="Times New Roman" w:hAnsi="Calibri Light" w:cs="Calibri Light"/>
                <w:b/>
                <w:bCs/>
                <w:color w:val="007680"/>
                <w:lang w:eastAsia="en-AU"/>
              </w:rPr>
            </w:pPr>
            <w:r w:rsidRPr="0012635D">
              <w:rPr>
                <w:rFonts w:ascii="Calibri Light" w:eastAsia="Times New Roman" w:hAnsi="Calibri Light" w:cs="Calibri Light"/>
                <w:b/>
                <w:bCs/>
                <w:color w:val="007680"/>
                <w:lang w:eastAsia="en-AU"/>
              </w:rPr>
              <w:t>2017</w:t>
            </w:r>
          </w:p>
        </w:tc>
        <w:tc>
          <w:tcPr>
            <w:tcW w:w="425" w:type="pct"/>
            <w:tcBorders>
              <w:top w:val="single" w:sz="8" w:space="0" w:color="00707E" w:themeColor="accent5" w:themeShade="BF"/>
              <w:bottom w:val="single" w:sz="8" w:space="0" w:color="00707E" w:themeColor="accent5" w:themeShade="BF"/>
            </w:tcBorders>
            <w:shd w:val="clear" w:color="auto" w:fill="auto"/>
            <w:noWrap/>
            <w:vAlign w:val="bottom"/>
            <w:hideMark/>
          </w:tcPr>
          <w:p w14:paraId="1214A218" w14:textId="77777777" w:rsidR="006547B3" w:rsidRPr="0012635D" w:rsidRDefault="006547B3" w:rsidP="00144BA2">
            <w:pPr>
              <w:spacing w:after="0" w:line="240" w:lineRule="auto"/>
              <w:jc w:val="center"/>
              <w:rPr>
                <w:rFonts w:ascii="Calibri Light" w:eastAsia="Times New Roman" w:hAnsi="Calibri Light" w:cs="Calibri Light"/>
                <w:b/>
                <w:bCs/>
                <w:color w:val="007680"/>
                <w:lang w:eastAsia="en-AU"/>
              </w:rPr>
            </w:pPr>
            <w:r w:rsidRPr="0012635D">
              <w:rPr>
                <w:rFonts w:ascii="Calibri Light" w:eastAsia="Times New Roman" w:hAnsi="Calibri Light" w:cs="Calibri Light"/>
                <w:b/>
                <w:bCs/>
                <w:color w:val="007680"/>
                <w:lang w:eastAsia="en-AU"/>
              </w:rPr>
              <w:t>2018</w:t>
            </w:r>
          </w:p>
        </w:tc>
        <w:tc>
          <w:tcPr>
            <w:tcW w:w="425" w:type="pct"/>
            <w:tcBorders>
              <w:top w:val="single" w:sz="8" w:space="0" w:color="00707E" w:themeColor="accent5" w:themeShade="BF"/>
              <w:bottom w:val="single" w:sz="8" w:space="0" w:color="00707E" w:themeColor="accent5" w:themeShade="BF"/>
            </w:tcBorders>
            <w:shd w:val="clear" w:color="auto" w:fill="auto"/>
            <w:noWrap/>
            <w:vAlign w:val="bottom"/>
            <w:hideMark/>
          </w:tcPr>
          <w:p w14:paraId="3C9B1F87" w14:textId="77777777" w:rsidR="006547B3" w:rsidRPr="0012635D" w:rsidRDefault="006547B3" w:rsidP="00144BA2">
            <w:pPr>
              <w:spacing w:after="0" w:line="240" w:lineRule="auto"/>
              <w:jc w:val="center"/>
              <w:rPr>
                <w:rFonts w:ascii="Calibri Light" w:eastAsia="Times New Roman" w:hAnsi="Calibri Light" w:cs="Calibri Light"/>
                <w:b/>
                <w:bCs/>
                <w:color w:val="007680"/>
                <w:lang w:eastAsia="en-AU"/>
              </w:rPr>
            </w:pPr>
            <w:r w:rsidRPr="0012635D">
              <w:rPr>
                <w:rFonts w:ascii="Calibri Light" w:eastAsia="Times New Roman" w:hAnsi="Calibri Light" w:cs="Calibri Light"/>
                <w:b/>
                <w:bCs/>
                <w:color w:val="007680"/>
                <w:lang w:eastAsia="en-AU"/>
              </w:rPr>
              <w:t>2019</w:t>
            </w:r>
          </w:p>
        </w:tc>
        <w:tc>
          <w:tcPr>
            <w:tcW w:w="422" w:type="pct"/>
            <w:tcBorders>
              <w:top w:val="single" w:sz="8" w:space="0" w:color="00707E" w:themeColor="accent5" w:themeShade="BF"/>
              <w:bottom w:val="single" w:sz="8" w:space="0" w:color="00707E" w:themeColor="accent5" w:themeShade="BF"/>
            </w:tcBorders>
            <w:shd w:val="clear" w:color="auto" w:fill="auto"/>
            <w:noWrap/>
            <w:vAlign w:val="bottom"/>
            <w:hideMark/>
          </w:tcPr>
          <w:p w14:paraId="26154959" w14:textId="77777777" w:rsidR="006547B3" w:rsidRPr="0012635D" w:rsidRDefault="006547B3" w:rsidP="00144BA2">
            <w:pPr>
              <w:spacing w:after="0" w:line="240" w:lineRule="auto"/>
              <w:jc w:val="center"/>
              <w:rPr>
                <w:rFonts w:ascii="Calibri Light" w:eastAsia="Times New Roman" w:hAnsi="Calibri Light" w:cs="Calibri Light"/>
                <w:b/>
                <w:bCs/>
                <w:color w:val="007680"/>
                <w:lang w:eastAsia="en-AU"/>
              </w:rPr>
            </w:pPr>
            <w:r w:rsidRPr="0012635D">
              <w:rPr>
                <w:rFonts w:ascii="Calibri Light" w:eastAsia="Times New Roman" w:hAnsi="Calibri Light" w:cs="Calibri Light"/>
                <w:b/>
                <w:bCs/>
                <w:color w:val="007680"/>
                <w:lang w:eastAsia="en-AU"/>
              </w:rPr>
              <w:t>Total</w:t>
            </w:r>
          </w:p>
        </w:tc>
      </w:tr>
      <w:tr w:rsidR="006547B3" w:rsidRPr="005D1578" w14:paraId="45166957" w14:textId="77777777" w:rsidTr="00144BA2">
        <w:trPr>
          <w:trHeight w:val="242"/>
        </w:trPr>
        <w:tc>
          <w:tcPr>
            <w:tcW w:w="1225" w:type="pct"/>
            <w:vMerge w:val="restart"/>
            <w:tcBorders>
              <w:top w:val="single" w:sz="8" w:space="0" w:color="00707E" w:themeColor="accent5" w:themeShade="BF"/>
            </w:tcBorders>
            <w:shd w:val="clear" w:color="auto" w:fill="auto"/>
            <w:noWrap/>
            <w:hideMark/>
          </w:tcPr>
          <w:p w14:paraId="68BA2887"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Chemical release</w:t>
            </w:r>
          </w:p>
        </w:tc>
        <w:tc>
          <w:tcPr>
            <w:tcW w:w="1227" w:type="pct"/>
            <w:tcBorders>
              <w:top w:val="single" w:sz="8" w:space="0" w:color="00707E" w:themeColor="accent5" w:themeShade="BF"/>
              <w:bottom w:val="single" w:sz="8" w:space="0" w:color="D9D9D9" w:themeColor="background1" w:themeShade="D9"/>
            </w:tcBorders>
            <w:shd w:val="clear" w:color="auto" w:fill="auto"/>
            <w:noWrap/>
            <w:hideMark/>
          </w:tcPr>
          <w:p w14:paraId="48B1BBAD"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Drilling</w:t>
            </w:r>
          </w:p>
        </w:tc>
        <w:tc>
          <w:tcPr>
            <w:tcW w:w="425" w:type="pct"/>
            <w:tcBorders>
              <w:top w:val="single" w:sz="8" w:space="0" w:color="00707E" w:themeColor="accent5" w:themeShade="BF"/>
              <w:bottom w:val="single" w:sz="8" w:space="0" w:color="D9D9D9" w:themeColor="background1" w:themeShade="D9"/>
            </w:tcBorders>
            <w:shd w:val="clear" w:color="auto" w:fill="auto"/>
            <w:noWrap/>
            <w:hideMark/>
          </w:tcPr>
          <w:p w14:paraId="6579C69E"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00707E" w:themeColor="accent5" w:themeShade="BF"/>
              <w:bottom w:val="single" w:sz="8" w:space="0" w:color="D9D9D9" w:themeColor="background1" w:themeShade="D9"/>
            </w:tcBorders>
            <w:shd w:val="clear" w:color="auto" w:fill="auto"/>
            <w:noWrap/>
            <w:hideMark/>
          </w:tcPr>
          <w:p w14:paraId="0BC59563"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00707E" w:themeColor="accent5" w:themeShade="BF"/>
              <w:bottom w:val="single" w:sz="8" w:space="0" w:color="D9D9D9" w:themeColor="background1" w:themeShade="D9"/>
            </w:tcBorders>
            <w:shd w:val="clear" w:color="auto" w:fill="auto"/>
            <w:noWrap/>
            <w:hideMark/>
          </w:tcPr>
          <w:p w14:paraId="36009F5A"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00707E" w:themeColor="accent5" w:themeShade="BF"/>
              <w:bottom w:val="single" w:sz="8" w:space="0" w:color="D9D9D9" w:themeColor="background1" w:themeShade="D9"/>
            </w:tcBorders>
            <w:shd w:val="clear" w:color="auto" w:fill="auto"/>
            <w:noWrap/>
            <w:hideMark/>
          </w:tcPr>
          <w:p w14:paraId="50EE15DD"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00707E" w:themeColor="accent5" w:themeShade="BF"/>
              <w:bottom w:val="single" w:sz="8" w:space="0" w:color="D9D9D9" w:themeColor="background1" w:themeShade="D9"/>
            </w:tcBorders>
            <w:shd w:val="clear" w:color="auto" w:fill="auto"/>
            <w:noWrap/>
            <w:hideMark/>
          </w:tcPr>
          <w:p w14:paraId="58C994C7"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2" w:type="pct"/>
            <w:tcBorders>
              <w:top w:val="single" w:sz="8" w:space="0" w:color="00707E" w:themeColor="accent5" w:themeShade="BF"/>
              <w:bottom w:val="single" w:sz="8" w:space="0" w:color="D9D9D9" w:themeColor="background1" w:themeShade="D9"/>
            </w:tcBorders>
            <w:shd w:val="clear" w:color="auto" w:fill="F2F2F2" w:themeFill="background1" w:themeFillShade="F2"/>
            <w:noWrap/>
            <w:hideMark/>
          </w:tcPr>
          <w:p w14:paraId="485D79CC"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w:t>
            </w:r>
          </w:p>
        </w:tc>
      </w:tr>
      <w:tr w:rsidR="006547B3" w:rsidRPr="005D1578" w14:paraId="5F766893" w14:textId="77777777" w:rsidTr="00144BA2">
        <w:trPr>
          <w:trHeight w:val="242"/>
        </w:trPr>
        <w:tc>
          <w:tcPr>
            <w:tcW w:w="1225" w:type="pct"/>
            <w:vMerge/>
            <w:tcBorders>
              <w:bottom w:val="single" w:sz="12" w:space="0" w:color="BFBFBF" w:themeColor="background1" w:themeShade="BF"/>
            </w:tcBorders>
            <w:shd w:val="clear" w:color="auto" w:fill="auto"/>
            <w:noWrap/>
            <w:hideMark/>
          </w:tcPr>
          <w:p w14:paraId="07D40D78" w14:textId="77777777" w:rsidR="006547B3" w:rsidRPr="0012635D" w:rsidRDefault="006547B3" w:rsidP="00144BA2">
            <w:pPr>
              <w:spacing w:after="0" w:line="240" w:lineRule="auto"/>
              <w:rPr>
                <w:rFonts w:ascii="Calibri Light" w:eastAsia="Times New Roman" w:hAnsi="Calibri Light" w:cs="Calibri Light"/>
                <w:lang w:eastAsia="en-AU"/>
              </w:rPr>
            </w:pPr>
          </w:p>
        </w:tc>
        <w:tc>
          <w:tcPr>
            <w:tcW w:w="1227" w:type="pct"/>
            <w:tcBorders>
              <w:top w:val="single" w:sz="8" w:space="0" w:color="D9D9D9" w:themeColor="background1" w:themeShade="D9"/>
              <w:bottom w:val="single" w:sz="12" w:space="0" w:color="BFBFBF" w:themeColor="background1" w:themeShade="BF"/>
            </w:tcBorders>
            <w:shd w:val="clear" w:color="auto" w:fill="auto"/>
            <w:noWrap/>
            <w:hideMark/>
          </w:tcPr>
          <w:p w14:paraId="6D15666B"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Operations</w:t>
            </w: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69070F0E"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2</w:t>
            </w: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4ED97369"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072D6F7F"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3</w:t>
            </w: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751B0146"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280CC5BB"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4</w:t>
            </w:r>
          </w:p>
        </w:tc>
        <w:tc>
          <w:tcPr>
            <w:tcW w:w="422" w:type="pct"/>
            <w:tcBorders>
              <w:top w:val="single" w:sz="8" w:space="0" w:color="D9D9D9" w:themeColor="background1" w:themeShade="D9"/>
              <w:bottom w:val="single" w:sz="12" w:space="0" w:color="BFBFBF" w:themeColor="background1" w:themeShade="BF"/>
            </w:tcBorders>
            <w:shd w:val="clear" w:color="auto" w:fill="F2F2F2" w:themeFill="background1" w:themeFillShade="F2"/>
            <w:noWrap/>
            <w:hideMark/>
          </w:tcPr>
          <w:p w14:paraId="0D0A4E9C"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10</w:t>
            </w:r>
          </w:p>
        </w:tc>
      </w:tr>
      <w:tr w:rsidR="006547B3" w:rsidRPr="005D1578" w14:paraId="4B10F33F" w14:textId="77777777" w:rsidTr="00144BA2">
        <w:trPr>
          <w:trHeight w:val="242"/>
        </w:trPr>
        <w:tc>
          <w:tcPr>
            <w:tcW w:w="1225" w:type="pct"/>
            <w:tcBorders>
              <w:top w:val="single" w:sz="12" w:space="0" w:color="BFBFBF" w:themeColor="background1" w:themeShade="BF"/>
              <w:bottom w:val="single" w:sz="12" w:space="0" w:color="BFBFBF" w:themeColor="background1" w:themeShade="BF"/>
            </w:tcBorders>
            <w:shd w:val="clear" w:color="auto" w:fill="auto"/>
            <w:noWrap/>
            <w:hideMark/>
          </w:tcPr>
          <w:p w14:paraId="5C96A831"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Drilling fluid/mud release</w:t>
            </w:r>
          </w:p>
        </w:tc>
        <w:tc>
          <w:tcPr>
            <w:tcW w:w="1227" w:type="pct"/>
            <w:tcBorders>
              <w:top w:val="single" w:sz="12" w:space="0" w:color="BFBFBF" w:themeColor="background1" w:themeShade="BF"/>
              <w:bottom w:val="single" w:sz="12" w:space="0" w:color="BFBFBF" w:themeColor="background1" w:themeShade="BF"/>
            </w:tcBorders>
            <w:shd w:val="clear" w:color="auto" w:fill="auto"/>
            <w:noWrap/>
            <w:hideMark/>
          </w:tcPr>
          <w:p w14:paraId="1ABF4302"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Drilling</w:t>
            </w:r>
          </w:p>
        </w:tc>
        <w:tc>
          <w:tcPr>
            <w:tcW w:w="425" w:type="pct"/>
            <w:tcBorders>
              <w:top w:val="single" w:sz="12" w:space="0" w:color="BFBFBF" w:themeColor="background1" w:themeShade="BF"/>
              <w:bottom w:val="single" w:sz="12" w:space="0" w:color="BFBFBF" w:themeColor="background1" w:themeShade="BF"/>
            </w:tcBorders>
            <w:shd w:val="clear" w:color="auto" w:fill="auto"/>
            <w:noWrap/>
            <w:hideMark/>
          </w:tcPr>
          <w:p w14:paraId="367A6A16"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12" w:space="0" w:color="BFBFBF" w:themeColor="background1" w:themeShade="BF"/>
            </w:tcBorders>
            <w:shd w:val="clear" w:color="auto" w:fill="auto"/>
            <w:noWrap/>
            <w:hideMark/>
          </w:tcPr>
          <w:p w14:paraId="114496FA"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12" w:space="0" w:color="BFBFBF" w:themeColor="background1" w:themeShade="BF"/>
            </w:tcBorders>
            <w:shd w:val="clear" w:color="auto" w:fill="auto"/>
            <w:noWrap/>
            <w:hideMark/>
          </w:tcPr>
          <w:p w14:paraId="0F60A527"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12" w:space="0" w:color="BFBFBF" w:themeColor="background1" w:themeShade="BF"/>
            </w:tcBorders>
            <w:shd w:val="clear" w:color="auto" w:fill="auto"/>
            <w:noWrap/>
            <w:hideMark/>
          </w:tcPr>
          <w:p w14:paraId="09AC82B7"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12" w:space="0" w:color="BFBFBF" w:themeColor="background1" w:themeShade="BF"/>
            </w:tcBorders>
            <w:shd w:val="clear" w:color="auto" w:fill="auto"/>
            <w:noWrap/>
            <w:hideMark/>
          </w:tcPr>
          <w:p w14:paraId="3A1F6D23"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2" w:type="pct"/>
            <w:tcBorders>
              <w:top w:val="single" w:sz="12" w:space="0" w:color="BFBFBF" w:themeColor="background1" w:themeShade="BF"/>
              <w:bottom w:val="single" w:sz="12" w:space="0" w:color="BFBFBF" w:themeColor="background1" w:themeShade="BF"/>
            </w:tcBorders>
            <w:shd w:val="clear" w:color="auto" w:fill="F2F2F2" w:themeFill="background1" w:themeFillShade="F2"/>
            <w:noWrap/>
            <w:hideMark/>
          </w:tcPr>
          <w:p w14:paraId="62AABC91"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w:t>
            </w:r>
          </w:p>
        </w:tc>
      </w:tr>
      <w:tr w:rsidR="006547B3" w:rsidRPr="005D1578" w14:paraId="3EDE4A43" w14:textId="77777777" w:rsidTr="00144BA2">
        <w:trPr>
          <w:trHeight w:val="242"/>
        </w:trPr>
        <w:tc>
          <w:tcPr>
            <w:tcW w:w="1225" w:type="pct"/>
            <w:vMerge w:val="restart"/>
            <w:tcBorders>
              <w:top w:val="single" w:sz="12" w:space="0" w:color="BFBFBF" w:themeColor="background1" w:themeShade="BF"/>
            </w:tcBorders>
            <w:shd w:val="clear" w:color="auto" w:fill="auto"/>
            <w:noWrap/>
            <w:hideMark/>
          </w:tcPr>
          <w:p w14:paraId="6450994B"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Fauna incident</w:t>
            </w:r>
          </w:p>
        </w:tc>
        <w:tc>
          <w:tcPr>
            <w:tcW w:w="1227" w:type="pct"/>
            <w:tcBorders>
              <w:top w:val="single" w:sz="12" w:space="0" w:color="BFBFBF" w:themeColor="background1" w:themeShade="BF"/>
              <w:bottom w:val="single" w:sz="8" w:space="0" w:color="D9D9D9" w:themeColor="background1" w:themeShade="D9"/>
            </w:tcBorders>
            <w:shd w:val="clear" w:color="auto" w:fill="auto"/>
            <w:noWrap/>
            <w:hideMark/>
          </w:tcPr>
          <w:p w14:paraId="0315B12F"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Drilling</w:t>
            </w: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723B10DE"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5F0308B7"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12722CD3"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412E540C"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295B2F72"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2"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2A37EF26"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w:t>
            </w:r>
          </w:p>
        </w:tc>
      </w:tr>
      <w:tr w:rsidR="006547B3" w:rsidRPr="005D1578" w14:paraId="2D858A97" w14:textId="77777777" w:rsidTr="00144BA2">
        <w:trPr>
          <w:trHeight w:val="242"/>
        </w:trPr>
        <w:tc>
          <w:tcPr>
            <w:tcW w:w="1225" w:type="pct"/>
            <w:vMerge/>
            <w:tcBorders>
              <w:bottom w:val="single" w:sz="12" w:space="0" w:color="BFBFBF" w:themeColor="background1" w:themeShade="BF"/>
            </w:tcBorders>
            <w:shd w:val="clear" w:color="auto" w:fill="auto"/>
            <w:noWrap/>
            <w:hideMark/>
          </w:tcPr>
          <w:p w14:paraId="70D3D4CA" w14:textId="77777777" w:rsidR="006547B3" w:rsidRPr="0012635D" w:rsidRDefault="006547B3" w:rsidP="00144BA2">
            <w:pPr>
              <w:spacing w:after="0" w:line="240" w:lineRule="auto"/>
              <w:rPr>
                <w:rFonts w:ascii="Calibri Light" w:eastAsia="Times New Roman" w:hAnsi="Calibri Light" w:cs="Calibri Light"/>
                <w:lang w:eastAsia="en-AU"/>
              </w:rPr>
            </w:pPr>
          </w:p>
        </w:tc>
        <w:tc>
          <w:tcPr>
            <w:tcW w:w="1227" w:type="pct"/>
            <w:tcBorders>
              <w:top w:val="single" w:sz="8" w:space="0" w:color="D9D9D9" w:themeColor="background1" w:themeShade="D9"/>
              <w:bottom w:val="single" w:sz="12" w:space="0" w:color="BFBFBF" w:themeColor="background1" w:themeShade="BF"/>
            </w:tcBorders>
            <w:shd w:val="clear" w:color="auto" w:fill="auto"/>
            <w:noWrap/>
            <w:hideMark/>
          </w:tcPr>
          <w:p w14:paraId="09972B2B"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Operations</w:t>
            </w: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075FC5C0"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003201EA"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2</w:t>
            </w: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1980131A"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61697C8D"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5</w:t>
            </w: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26DC0698"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3</w:t>
            </w:r>
          </w:p>
        </w:tc>
        <w:tc>
          <w:tcPr>
            <w:tcW w:w="422" w:type="pct"/>
            <w:tcBorders>
              <w:top w:val="single" w:sz="8" w:space="0" w:color="D9D9D9" w:themeColor="background1" w:themeShade="D9"/>
              <w:bottom w:val="single" w:sz="12" w:space="0" w:color="BFBFBF" w:themeColor="background1" w:themeShade="BF"/>
            </w:tcBorders>
            <w:shd w:val="clear" w:color="auto" w:fill="F2F2F2" w:themeFill="background1" w:themeFillShade="F2"/>
            <w:noWrap/>
            <w:hideMark/>
          </w:tcPr>
          <w:p w14:paraId="61F5CB4F"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11</w:t>
            </w:r>
          </w:p>
        </w:tc>
      </w:tr>
      <w:tr w:rsidR="006547B3" w:rsidRPr="005D1578" w14:paraId="7D74C0AD" w14:textId="77777777" w:rsidTr="00144BA2">
        <w:trPr>
          <w:trHeight w:val="242"/>
        </w:trPr>
        <w:tc>
          <w:tcPr>
            <w:tcW w:w="1225" w:type="pct"/>
            <w:vMerge w:val="restart"/>
            <w:tcBorders>
              <w:top w:val="single" w:sz="12" w:space="0" w:color="BFBFBF" w:themeColor="background1" w:themeShade="BF"/>
            </w:tcBorders>
            <w:shd w:val="clear" w:color="auto" w:fill="auto"/>
            <w:noWrap/>
            <w:hideMark/>
          </w:tcPr>
          <w:p w14:paraId="7722841D" w14:textId="2A7598DB"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Hydrocarbon vapour/petroleum liquid release</w:t>
            </w:r>
          </w:p>
        </w:tc>
        <w:tc>
          <w:tcPr>
            <w:tcW w:w="1227" w:type="pct"/>
            <w:tcBorders>
              <w:top w:val="single" w:sz="12" w:space="0" w:color="BFBFBF" w:themeColor="background1" w:themeShade="BF"/>
              <w:bottom w:val="single" w:sz="8" w:space="0" w:color="D9D9D9" w:themeColor="background1" w:themeShade="D9"/>
            </w:tcBorders>
            <w:shd w:val="clear" w:color="auto" w:fill="auto"/>
            <w:noWrap/>
            <w:hideMark/>
          </w:tcPr>
          <w:p w14:paraId="023354C2"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Drilling</w:t>
            </w: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064752A6"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793A584F"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4E5AD3C3"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0D7AC153"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39574CB1"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2"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6525FD56"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w:t>
            </w:r>
          </w:p>
        </w:tc>
      </w:tr>
      <w:tr w:rsidR="006547B3" w:rsidRPr="005D1578" w14:paraId="69D55AE6" w14:textId="77777777" w:rsidTr="00144BA2">
        <w:trPr>
          <w:trHeight w:val="242"/>
        </w:trPr>
        <w:tc>
          <w:tcPr>
            <w:tcW w:w="1225" w:type="pct"/>
            <w:vMerge/>
            <w:shd w:val="clear" w:color="auto" w:fill="auto"/>
            <w:noWrap/>
            <w:hideMark/>
          </w:tcPr>
          <w:p w14:paraId="0310B765" w14:textId="77777777" w:rsidR="006547B3" w:rsidRPr="0012635D" w:rsidRDefault="006547B3" w:rsidP="00144BA2">
            <w:pPr>
              <w:spacing w:after="0" w:line="240" w:lineRule="auto"/>
              <w:rPr>
                <w:rFonts w:ascii="Calibri Light" w:eastAsia="Times New Roman" w:hAnsi="Calibri Light" w:cs="Calibri Light"/>
                <w:lang w:eastAsia="en-AU"/>
              </w:rPr>
            </w:pPr>
          </w:p>
        </w:tc>
        <w:tc>
          <w:tcPr>
            <w:tcW w:w="1227" w:type="pct"/>
            <w:tcBorders>
              <w:top w:val="single" w:sz="8" w:space="0" w:color="D9D9D9" w:themeColor="background1" w:themeShade="D9"/>
              <w:bottom w:val="single" w:sz="8" w:space="0" w:color="D9D9D9" w:themeColor="background1" w:themeShade="D9"/>
            </w:tcBorders>
            <w:shd w:val="clear" w:color="auto" w:fill="auto"/>
            <w:noWrap/>
            <w:hideMark/>
          </w:tcPr>
          <w:p w14:paraId="33584BA0"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Operations</w:t>
            </w: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5D59F9DD"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9</w:t>
            </w: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5FD381BA"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3</w:t>
            </w: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5024B2BB"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7</w:t>
            </w: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2AE99AEF"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7</w:t>
            </w: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5EE984FC"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2</w:t>
            </w:r>
          </w:p>
        </w:tc>
        <w:tc>
          <w:tcPr>
            <w:tcW w:w="422"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3F9FA04C"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28</w:t>
            </w:r>
          </w:p>
        </w:tc>
      </w:tr>
      <w:tr w:rsidR="006547B3" w:rsidRPr="005D1578" w14:paraId="7CC915A9" w14:textId="77777777" w:rsidTr="00144BA2">
        <w:trPr>
          <w:trHeight w:val="242"/>
        </w:trPr>
        <w:tc>
          <w:tcPr>
            <w:tcW w:w="1225" w:type="pct"/>
            <w:vMerge/>
            <w:shd w:val="clear" w:color="auto" w:fill="auto"/>
            <w:noWrap/>
            <w:hideMark/>
          </w:tcPr>
          <w:p w14:paraId="390D1AD9" w14:textId="77777777" w:rsidR="006547B3" w:rsidRPr="0012635D" w:rsidRDefault="006547B3" w:rsidP="00144BA2">
            <w:pPr>
              <w:spacing w:after="0" w:line="240" w:lineRule="auto"/>
              <w:rPr>
                <w:rFonts w:ascii="Calibri Light" w:eastAsia="Times New Roman" w:hAnsi="Calibri Light" w:cs="Calibri Light"/>
                <w:lang w:eastAsia="en-AU"/>
              </w:rPr>
            </w:pPr>
          </w:p>
        </w:tc>
        <w:tc>
          <w:tcPr>
            <w:tcW w:w="1227" w:type="pct"/>
            <w:tcBorders>
              <w:top w:val="single" w:sz="8" w:space="0" w:color="D9D9D9" w:themeColor="background1" w:themeShade="D9"/>
              <w:bottom w:val="single" w:sz="8" w:space="0" w:color="D9D9D9" w:themeColor="background1" w:themeShade="D9"/>
            </w:tcBorders>
            <w:shd w:val="clear" w:color="auto" w:fill="auto"/>
            <w:noWrap/>
            <w:hideMark/>
          </w:tcPr>
          <w:p w14:paraId="46CBC2E2"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Construction</w:t>
            </w: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12003FF5"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2EA2440A"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221909A7"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3594133A"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0CB25D75"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2"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31B80CA0"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w:t>
            </w:r>
          </w:p>
        </w:tc>
      </w:tr>
      <w:tr w:rsidR="006547B3" w:rsidRPr="005D1578" w14:paraId="3964BA56" w14:textId="77777777" w:rsidTr="00144BA2">
        <w:trPr>
          <w:trHeight w:val="242"/>
        </w:trPr>
        <w:tc>
          <w:tcPr>
            <w:tcW w:w="1225" w:type="pct"/>
            <w:vMerge/>
            <w:tcBorders>
              <w:bottom w:val="single" w:sz="12" w:space="0" w:color="BFBFBF" w:themeColor="background1" w:themeShade="BF"/>
            </w:tcBorders>
            <w:shd w:val="clear" w:color="auto" w:fill="auto"/>
            <w:noWrap/>
            <w:hideMark/>
          </w:tcPr>
          <w:p w14:paraId="4950F5CC" w14:textId="77777777" w:rsidR="006547B3" w:rsidRPr="0012635D" w:rsidRDefault="006547B3" w:rsidP="00144BA2">
            <w:pPr>
              <w:spacing w:after="0" w:line="240" w:lineRule="auto"/>
              <w:rPr>
                <w:rFonts w:ascii="Calibri Light" w:eastAsia="Times New Roman" w:hAnsi="Calibri Light" w:cs="Calibri Light"/>
                <w:lang w:eastAsia="en-AU"/>
              </w:rPr>
            </w:pPr>
          </w:p>
        </w:tc>
        <w:tc>
          <w:tcPr>
            <w:tcW w:w="1227" w:type="pct"/>
            <w:tcBorders>
              <w:top w:val="single" w:sz="8" w:space="0" w:color="D9D9D9" w:themeColor="background1" w:themeShade="D9"/>
              <w:bottom w:val="single" w:sz="12" w:space="0" w:color="BFBFBF" w:themeColor="background1" w:themeShade="BF"/>
            </w:tcBorders>
            <w:shd w:val="clear" w:color="auto" w:fill="auto"/>
            <w:noWrap/>
            <w:hideMark/>
          </w:tcPr>
          <w:p w14:paraId="41F26143" w14:textId="77777777" w:rsidR="006547B3" w:rsidRPr="0012635D" w:rsidRDefault="006547B3" w:rsidP="00144BA2">
            <w:pPr>
              <w:spacing w:after="0" w:line="240" w:lineRule="auto"/>
              <w:rPr>
                <w:rFonts w:ascii="Calibri Light" w:eastAsia="Times New Roman" w:hAnsi="Calibri Light" w:cs="Calibri Light"/>
                <w:lang w:eastAsia="en-AU"/>
              </w:rPr>
            </w:pPr>
            <w:r>
              <w:rPr>
                <w:rFonts w:ascii="Calibri Light" w:eastAsia="Times New Roman" w:hAnsi="Calibri Light" w:cs="Calibri Light"/>
                <w:lang w:eastAsia="en-AU"/>
              </w:rPr>
              <w:t>Not specified</w:t>
            </w: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0A8A0C21"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6CFFF7B9"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32CF54B7"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56F1C885"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12" w:space="0" w:color="BFBFBF" w:themeColor="background1" w:themeShade="BF"/>
            </w:tcBorders>
            <w:shd w:val="clear" w:color="auto" w:fill="auto"/>
            <w:noWrap/>
            <w:hideMark/>
          </w:tcPr>
          <w:p w14:paraId="14A68091"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2" w:type="pct"/>
            <w:tcBorders>
              <w:top w:val="single" w:sz="8" w:space="0" w:color="D9D9D9" w:themeColor="background1" w:themeShade="D9"/>
              <w:bottom w:val="single" w:sz="12" w:space="0" w:color="BFBFBF" w:themeColor="background1" w:themeShade="BF"/>
            </w:tcBorders>
            <w:shd w:val="clear" w:color="auto" w:fill="F2F2F2" w:themeFill="background1" w:themeFillShade="F2"/>
            <w:noWrap/>
            <w:hideMark/>
          </w:tcPr>
          <w:p w14:paraId="529F03E1"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w:t>
            </w:r>
          </w:p>
        </w:tc>
      </w:tr>
      <w:tr w:rsidR="006547B3" w:rsidRPr="005D1578" w14:paraId="14A0D444" w14:textId="77777777" w:rsidTr="00144BA2">
        <w:trPr>
          <w:trHeight w:val="242"/>
        </w:trPr>
        <w:tc>
          <w:tcPr>
            <w:tcW w:w="1225" w:type="pct"/>
            <w:vMerge w:val="restart"/>
            <w:tcBorders>
              <w:top w:val="single" w:sz="12" w:space="0" w:color="BFBFBF" w:themeColor="background1" w:themeShade="BF"/>
            </w:tcBorders>
            <w:shd w:val="clear" w:color="auto" w:fill="auto"/>
            <w:noWrap/>
            <w:hideMark/>
          </w:tcPr>
          <w:p w14:paraId="684D48C9"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Other</w:t>
            </w:r>
          </w:p>
        </w:tc>
        <w:tc>
          <w:tcPr>
            <w:tcW w:w="1227" w:type="pct"/>
            <w:tcBorders>
              <w:top w:val="single" w:sz="12" w:space="0" w:color="BFBFBF" w:themeColor="background1" w:themeShade="BF"/>
              <w:bottom w:val="single" w:sz="8" w:space="0" w:color="D9D9D9" w:themeColor="background1" w:themeShade="D9"/>
            </w:tcBorders>
            <w:shd w:val="clear" w:color="auto" w:fill="auto"/>
            <w:noWrap/>
            <w:hideMark/>
          </w:tcPr>
          <w:p w14:paraId="77EE3529"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Operations</w:t>
            </w: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087A668D"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5ABCDE0D"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1A9F86B8"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75000D31"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2</w:t>
            </w:r>
          </w:p>
        </w:tc>
        <w:tc>
          <w:tcPr>
            <w:tcW w:w="425" w:type="pct"/>
            <w:tcBorders>
              <w:top w:val="single" w:sz="12" w:space="0" w:color="BFBFBF" w:themeColor="background1" w:themeShade="BF"/>
              <w:bottom w:val="single" w:sz="8" w:space="0" w:color="D9D9D9" w:themeColor="background1" w:themeShade="D9"/>
            </w:tcBorders>
            <w:shd w:val="clear" w:color="auto" w:fill="auto"/>
            <w:noWrap/>
            <w:hideMark/>
          </w:tcPr>
          <w:p w14:paraId="1E071487"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2"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10AB3F1C"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6</w:t>
            </w:r>
          </w:p>
        </w:tc>
      </w:tr>
      <w:tr w:rsidR="006547B3" w:rsidRPr="005D1578" w14:paraId="3C641C93" w14:textId="77777777" w:rsidTr="00144BA2">
        <w:trPr>
          <w:trHeight w:val="242"/>
        </w:trPr>
        <w:tc>
          <w:tcPr>
            <w:tcW w:w="1225" w:type="pct"/>
            <w:vMerge/>
            <w:tcBorders>
              <w:bottom w:val="single" w:sz="8" w:space="0" w:color="D9D9D9" w:themeColor="background1" w:themeShade="D9"/>
            </w:tcBorders>
            <w:shd w:val="clear" w:color="auto" w:fill="auto"/>
            <w:noWrap/>
            <w:hideMark/>
          </w:tcPr>
          <w:p w14:paraId="78FBE5EE" w14:textId="77777777" w:rsidR="006547B3" w:rsidRPr="0012635D" w:rsidRDefault="006547B3" w:rsidP="00144BA2">
            <w:pPr>
              <w:spacing w:after="0" w:line="240" w:lineRule="auto"/>
              <w:rPr>
                <w:rFonts w:ascii="Calibri Light" w:eastAsia="Times New Roman" w:hAnsi="Calibri Light" w:cs="Calibri Light"/>
                <w:lang w:eastAsia="en-AU"/>
              </w:rPr>
            </w:pPr>
          </w:p>
        </w:tc>
        <w:tc>
          <w:tcPr>
            <w:tcW w:w="1227" w:type="pct"/>
            <w:tcBorders>
              <w:top w:val="single" w:sz="8" w:space="0" w:color="D9D9D9" w:themeColor="background1" w:themeShade="D9"/>
              <w:bottom w:val="single" w:sz="8" w:space="0" w:color="D9D9D9" w:themeColor="background1" w:themeShade="D9"/>
            </w:tcBorders>
            <w:shd w:val="clear" w:color="auto" w:fill="auto"/>
            <w:noWrap/>
            <w:hideMark/>
          </w:tcPr>
          <w:p w14:paraId="72B0C243" w14:textId="77777777" w:rsidR="006547B3" w:rsidRPr="0012635D" w:rsidRDefault="006547B3" w:rsidP="00144BA2">
            <w:pPr>
              <w:spacing w:after="0" w:line="240" w:lineRule="auto"/>
              <w:rPr>
                <w:rFonts w:ascii="Calibri Light" w:eastAsia="Times New Roman" w:hAnsi="Calibri Light" w:cs="Calibri Light"/>
                <w:lang w:eastAsia="en-AU"/>
              </w:rPr>
            </w:pPr>
            <w:r w:rsidRPr="0012635D">
              <w:rPr>
                <w:rFonts w:ascii="Calibri Light" w:eastAsia="Times New Roman" w:hAnsi="Calibri Light" w:cs="Calibri Light"/>
                <w:lang w:eastAsia="en-AU"/>
              </w:rPr>
              <w:t>Other</w:t>
            </w: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02196646"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23754E7E"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6651010E"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4CA2594A" w14:textId="77777777" w:rsidR="006547B3" w:rsidRPr="0012635D" w:rsidRDefault="006547B3"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8" w:space="0" w:color="D9D9D9" w:themeColor="background1" w:themeShade="D9"/>
            </w:tcBorders>
            <w:shd w:val="clear" w:color="auto" w:fill="auto"/>
            <w:noWrap/>
            <w:hideMark/>
          </w:tcPr>
          <w:p w14:paraId="0B48589B" w14:textId="77777777" w:rsidR="006547B3" w:rsidRPr="0012635D" w:rsidRDefault="006547B3" w:rsidP="00144BA2">
            <w:pPr>
              <w:spacing w:after="0" w:line="240" w:lineRule="auto"/>
              <w:jc w:val="center"/>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422"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717BFB49"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2</w:t>
            </w:r>
          </w:p>
        </w:tc>
      </w:tr>
      <w:tr w:rsidR="006547B3" w:rsidRPr="005D1578" w14:paraId="16A6865C" w14:textId="77777777" w:rsidTr="00144BA2">
        <w:trPr>
          <w:trHeight w:val="242"/>
        </w:trPr>
        <w:tc>
          <w:tcPr>
            <w:tcW w:w="12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67A91362"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Total</w:t>
            </w:r>
          </w:p>
        </w:tc>
        <w:tc>
          <w:tcPr>
            <w:tcW w:w="1227"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5C598A97"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p>
        </w:tc>
        <w:tc>
          <w:tcPr>
            <w:tcW w:w="4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7226A396"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13</w:t>
            </w:r>
          </w:p>
        </w:tc>
        <w:tc>
          <w:tcPr>
            <w:tcW w:w="4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4F5E9E70"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8</w:t>
            </w:r>
          </w:p>
        </w:tc>
        <w:tc>
          <w:tcPr>
            <w:tcW w:w="4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7BF10CB8"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12</w:t>
            </w:r>
          </w:p>
        </w:tc>
        <w:tc>
          <w:tcPr>
            <w:tcW w:w="4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6981ED78"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16</w:t>
            </w:r>
          </w:p>
        </w:tc>
        <w:tc>
          <w:tcPr>
            <w:tcW w:w="4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388013E6"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14</w:t>
            </w:r>
          </w:p>
        </w:tc>
        <w:tc>
          <w:tcPr>
            <w:tcW w:w="422"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24882956" w14:textId="77777777" w:rsidR="006547B3" w:rsidRPr="0012635D" w:rsidRDefault="006547B3" w:rsidP="00144BA2">
            <w:pPr>
              <w:spacing w:after="0" w:line="240" w:lineRule="auto"/>
              <w:jc w:val="center"/>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63</w:t>
            </w:r>
          </w:p>
        </w:tc>
      </w:tr>
    </w:tbl>
    <w:p w14:paraId="2F8A8FBD" w14:textId="77777777" w:rsidR="00E835D3" w:rsidRDefault="006547B3" w:rsidP="006547B3">
      <w:pPr>
        <w:pStyle w:val="Caption"/>
        <w:rPr>
          <w:b w:val="0"/>
          <w:bCs/>
          <w:i/>
          <w:iCs w:val="0"/>
          <w:color w:val="75787B" w:themeColor="accent6"/>
        </w:rPr>
        <w:sectPr w:rsidR="00E835D3" w:rsidSect="00173871">
          <w:pgSz w:w="11906" w:h="16838"/>
          <w:pgMar w:top="1985" w:right="1021" w:bottom="1134" w:left="1021" w:header="680" w:footer="425" w:gutter="0"/>
          <w:cols w:space="720"/>
          <w:docGrid w:linePitch="245"/>
        </w:sectPr>
      </w:pPr>
      <w:r w:rsidRPr="00656E8A">
        <w:rPr>
          <w:b w:val="0"/>
          <w:bCs/>
          <w:i/>
          <w:iCs w:val="0"/>
          <w:color w:val="75787B" w:themeColor="accent6"/>
        </w:rPr>
        <w:t>Source: NOPSEMA data</w:t>
      </w:r>
    </w:p>
    <w:p w14:paraId="59373BB6" w14:textId="61A210B0" w:rsidR="006F7D47" w:rsidRPr="0064451C" w:rsidRDefault="006F7D47" w:rsidP="006F7D47">
      <w:pPr>
        <w:pStyle w:val="Caption"/>
        <w:keepNext/>
      </w:pPr>
      <w:bookmarkStart w:id="197" w:name="_Ref63194673"/>
      <w:r>
        <w:lastRenderedPageBreak/>
        <w:t xml:space="preserve">Table </w:t>
      </w:r>
      <w:r w:rsidR="00624D4F">
        <w:fldChar w:fldCharType="begin"/>
      </w:r>
      <w:r w:rsidR="00624D4F">
        <w:instrText xml:space="preserve"> STYLEREF 1 \s </w:instrText>
      </w:r>
      <w:r w:rsidR="00624D4F">
        <w:fldChar w:fldCharType="separate"/>
      </w:r>
      <w:r w:rsidR="00E816B8">
        <w:rPr>
          <w:noProof/>
        </w:rPr>
        <w:t>11</w:t>
      </w:r>
      <w:r w:rsidR="00624D4F">
        <w:fldChar w:fldCharType="end"/>
      </w:r>
      <w:r w:rsidR="00624D4F">
        <w:t>.</w:t>
      </w:r>
      <w:r w:rsidR="00624D4F">
        <w:fldChar w:fldCharType="begin"/>
      </w:r>
      <w:r w:rsidR="00624D4F">
        <w:instrText xml:space="preserve"> SEQ Table \* ARABIC \s 1 </w:instrText>
      </w:r>
      <w:r w:rsidR="00624D4F">
        <w:fldChar w:fldCharType="separate"/>
      </w:r>
      <w:r w:rsidR="00E816B8">
        <w:rPr>
          <w:noProof/>
        </w:rPr>
        <w:t>7</w:t>
      </w:r>
      <w:r w:rsidR="00624D4F">
        <w:fldChar w:fldCharType="end"/>
      </w:r>
      <w:bookmarkEnd w:id="197"/>
      <w:r>
        <w:t xml:space="preserve">: </w:t>
      </w:r>
      <w:r w:rsidRPr="00867854">
        <w:t xml:space="preserve">Total </w:t>
      </w:r>
      <w:r>
        <w:t>reportable incidents impacting EPBC protected matters</w:t>
      </w:r>
      <w:r w:rsidR="000F4198">
        <w:t>*</w:t>
      </w:r>
      <w:r>
        <w:t xml:space="preserve"> reported to NOPSEMA by activity type from 2015 to 2019</w:t>
      </w:r>
    </w:p>
    <w:tbl>
      <w:tblPr>
        <w:tblW w:w="5026" w:type="pct"/>
        <w:tblLayout w:type="fixed"/>
        <w:tblLook w:val="04A0" w:firstRow="1" w:lastRow="0" w:firstColumn="1" w:lastColumn="0" w:noHBand="0" w:noVBand="1"/>
      </w:tblPr>
      <w:tblGrid>
        <w:gridCol w:w="2430"/>
        <w:gridCol w:w="2433"/>
        <w:gridCol w:w="843"/>
        <w:gridCol w:w="843"/>
        <w:gridCol w:w="843"/>
        <w:gridCol w:w="843"/>
        <w:gridCol w:w="843"/>
        <w:gridCol w:w="837"/>
      </w:tblGrid>
      <w:tr w:rsidR="006F7D47" w:rsidRPr="0064451C" w14:paraId="3336AFA1" w14:textId="77777777" w:rsidTr="00144BA2">
        <w:trPr>
          <w:trHeight w:val="57"/>
        </w:trPr>
        <w:tc>
          <w:tcPr>
            <w:tcW w:w="1225" w:type="pct"/>
            <w:tcBorders>
              <w:top w:val="single" w:sz="8" w:space="0" w:color="00707E" w:themeColor="accent5" w:themeShade="BF"/>
              <w:bottom w:val="single" w:sz="8" w:space="0" w:color="00707E" w:themeColor="accent5" w:themeShade="BF"/>
            </w:tcBorders>
            <w:shd w:val="clear" w:color="auto" w:fill="auto"/>
            <w:noWrap/>
            <w:vAlign w:val="bottom"/>
            <w:hideMark/>
          </w:tcPr>
          <w:p w14:paraId="36FA9B18" w14:textId="77777777" w:rsidR="006F7D47" w:rsidRPr="0064451C" w:rsidRDefault="006F7D47" w:rsidP="00144BA2">
            <w:pPr>
              <w:spacing w:after="0" w:line="240" w:lineRule="auto"/>
              <w:rPr>
                <w:rFonts w:ascii="Calibri Light" w:eastAsia="Times New Roman" w:hAnsi="Calibri Light" w:cs="Calibri Light"/>
                <w:b/>
                <w:bCs/>
                <w:color w:val="007680"/>
                <w:lang w:eastAsia="en-AU"/>
              </w:rPr>
            </w:pPr>
            <w:r>
              <w:rPr>
                <w:rFonts w:ascii="Calibri Light" w:eastAsia="Times New Roman" w:hAnsi="Calibri Light" w:cs="Calibri Light"/>
                <w:b/>
                <w:bCs/>
                <w:color w:val="007680"/>
                <w:lang w:eastAsia="en-AU"/>
              </w:rPr>
              <w:t>Protected matter</w:t>
            </w:r>
          </w:p>
        </w:tc>
        <w:tc>
          <w:tcPr>
            <w:tcW w:w="1227" w:type="pct"/>
            <w:tcBorders>
              <w:top w:val="single" w:sz="8" w:space="0" w:color="00707E" w:themeColor="accent5" w:themeShade="BF"/>
              <w:bottom w:val="single" w:sz="8" w:space="0" w:color="00707E" w:themeColor="accent5" w:themeShade="BF"/>
            </w:tcBorders>
            <w:shd w:val="clear" w:color="auto" w:fill="auto"/>
            <w:noWrap/>
            <w:vAlign w:val="bottom"/>
            <w:hideMark/>
          </w:tcPr>
          <w:p w14:paraId="471CC9BA" w14:textId="77777777" w:rsidR="006F7D47" w:rsidRPr="0064451C" w:rsidRDefault="006F7D47" w:rsidP="00144BA2">
            <w:pPr>
              <w:spacing w:after="0" w:line="240" w:lineRule="auto"/>
              <w:rPr>
                <w:rFonts w:ascii="Calibri Light" w:eastAsia="Times New Roman" w:hAnsi="Calibri Light" w:cs="Calibri Light"/>
                <w:b/>
                <w:bCs/>
                <w:color w:val="007680"/>
                <w:lang w:eastAsia="en-AU"/>
              </w:rPr>
            </w:pPr>
            <w:r w:rsidRPr="0064451C">
              <w:rPr>
                <w:rFonts w:ascii="Calibri Light" w:eastAsia="Times New Roman" w:hAnsi="Calibri Light" w:cs="Calibri Light"/>
                <w:b/>
                <w:bCs/>
                <w:color w:val="007680"/>
                <w:lang w:eastAsia="en-AU"/>
              </w:rPr>
              <w:t>Activity type</w:t>
            </w:r>
          </w:p>
        </w:tc>
        <w:tc>
          <w:tcPr>
            <w:tcW w:w="425" w:type="pct"/>
            <w:tcBorders>
              <w:top w:val="single" w:sz="8" w:space="0" w:color="00707E" w:themeColor="accent5" w:themeShade="BF"/>
              <w:bottom w:val="single" w:sz="8" w:space="0" w:color="00707E" w:themeColor="accent5" w:themeShade="BF"/>
            </w:tcBorders>
            <w:shd w:val="clear" w:color="auto" w:fill="auto"/>
            <w:noWrap/>
            <w:vAlign w:val="bottom"/>
            <w:hideMark/>
          </w:tcPr>
          <w:p w14:paraId="3673AE87" w14:textId="77777777" w:rsidR="006F7D47" w:rsidRPr="0064451C" w:rsidRDefault="006F7D47" w:rsidP="00144BA2">
            <w:pPr>
              <w:spacing w:after="0" w:line="240" w:lineRule="auto"/>
              <w:jc w:val="center"/>
              <w:rPr>
                <w:rFonts w:ascii="Calibri Light" w:eastAsia="Times New Roman" w:hAnsi="Calibri Light" w:cs="Calibri Light"/>
                <w:b/>
                <w:bCs/>
                <w:color w:val="007680"/>
                <w:lang w:eastAsia="en-AU"/>
              </w:rPr>
            </w:pPr>
            <w:r w:rsidRPr="0064451C">
              <w:rPr>
                <w:rFonts w:ascii="Calibri Light" w:eastAsia="Times New Roman" w:hAnsi="Calibri Light" w:cs="Calibri Light"/>
                <w:b/>
                <w:bCs/>
                <w:color w:val="007680"/>
                <w:lang w:eastAsia="en-AU"/>
              </w:rPr>
              <w:t>2015</w:t>
            </w:r>
          </w:p>
        </w:tc>
        <w:tc>
          <w:tcPr>
            <w:tcW w:w="425" w:type="pct"/>
            <w:tcBorders>
              <w:top w:val="single" w:sz="8" w:space="0" w:color="00707E" w:themeColor="accent5" w:themeShade="BF"/>
              <w:bottom w:val="single" w:sz="8" w:space="0" w:color="00707E" w:themeColor="accent5" w:themeShade="BF"/>
            </w:tcBorders>
            <w:shd w:val="clear" w:color="auto" w:fill="auto"/>
            <w:noWrap/>
            <w:vAlign w:val="bottom"/>
            <w:hideMark/>
          </w:tcPr>
          <w:p w14:paraId="0EFB2F3D" w14:textId="77777777" w:rsidR="006F7D47" w:rsidRPr="0064451C" w:rsidRDefault="006F7D47" w:rsidP="00144BA2">
            <w:pPr>
              <w:spacing w:after="0" w:line="240" w:lineRule="auto"/>
              <w:jc w:val="center"/>
              <w:rPr>
                <w:rFonts w:ascii="Calibri Light" w:eastAsia="Times New Roman" w:hAnsi="Calibri Light" w:cs="Calibri Light"/>
                <w:b/>
                <w:bCs/>
                <w:color w:val="007680"/>
                <w:lang w:eastAsia="en-AU"/>
              </w:rPr>
            </w:pPr>
            <w:r w:rsidRPr="0064451C">
              <w:rPr>
                <w:rFonts w:ascii="Calibri Light" w:eastAsia="Times New Roman" w:hAnsi="Calibri Light" w:cs="Calibri Light"/>
                <w:b/>
                <w:bCs/>
                <w:color w:val="007680"/>
                <w:lang w:eastAsia="en-AU"/>
              </w:rPr>
              <w:t>2016</w:t>
            </w:r>
          </w:p>
        </w:tc>
        <w:tc>
          <w:tcPr>
            <w:tcW w:w="425" w:type="pct"/>
            <w:tcBorders>
              <w:top w:val="single" w:sz="8" w:space="0" w:color="00707E" w:themeColor="accent5" w:themeShade="BF"/>
              <w:bottom w:val="single" w:sz="8" w:space="0" w:color="00707E" w:themeColor="accent5" w:themeShade="BF"/>
            </w:tcBorders>
            <w:shd w:val="clear" w:color="auto" w:fill="auto"/>
            <w:noWrap/>
            <w:vAlign w:val="bottom"/>
            <w:hideMark/>
          </w:tcPr>
          <w:p w14:paraId="554FE17E" w14:textId="77777777" w:rsidR="006F7D47" w:rsidRPr="0064451C" w:rsidRDefault="006F7D47" w:rsidP="00144BA2">
            <w:pPr>
              <w:spacing w:after="0" w:line="240" w:lineRule="auto"/>
              <w:jc w:val="center"/>
              <w:rPr>
                <w:rFonts w:ascii="Calibri Light" w:eastAsia="Times New Roman" w:hAnsi="Calibri Light" w:cs="Calibri Light"/>
                <w:b/>
                <w:bCs/>
                <w:color w:val="007680"/>
                <w:lang w:eastAsia="en-AU"/>
              </w:rPr>
            </w:pPr>
            <w:r w:rsidRPr="0064451C">
              <w:rPr>
                <w:rFonts w:ascii="Calibri Light" w:eastAsia="Times New Roman" w:hAnsi="Calibri Light" w:cs="Calibri Light"/>
                <w:b/>
                <w:bCs/>
                <w:color w:val="007680"/>
                <w:lang w:eastAsia="en-AU"/>
              </w:rPr>
              <w:t>2017</w:t>
            </w:r>
          </w:p>
        </w:tc>
        <w:tc>
          <w:tcPr>
            <w:tcW w:w="425" w:type="pct"/>
            <w:tcBorders>
              <w:top w:val="single" w:sz="8" w:space="0" w:color="00707E" w:themeColor="accent5" w:themeShade="BF"/>
              <w:bottom w:val="single" w:sz="8" w:space="0" w:color="00707E" w:themeColor="accent5" w:themeShade="BF"/>
            </w:tcBorders>
            <w:shd w:val="clear" w:color="auto" w:fill="auto"/>
            <w:noWrap/>
            <w:vAlign w:val="bottom"/>
            <w:hideMark/>
          </w:tcPr>
          <w:p w14:paraId="748A90A9" w14:textId="77777777" w:rsidR="006F7D47" w:rsidRPr="0064451C" w:rsidRDefault="006F7D47" w:rsidP="00144BA2">
            <w:pPr>
              <w:spacing w:after="0" w:line="240" w:lineRule="auto"/>
              <w:jc w:val="center"/>
              <w:rPr>
                <w:rFonts w:ascii="Calibri Light" w:eastAsia="Times New Roman" w:hAnsi="Calibri Light" w:cs="Calibri Light"/>
                <w:b/>
                <w:bCs/>
                <w:color w:val="007680"/>
                <w:lang w:eastAsia="en-AU"/>
              </w:rPr>
            </w:pPr>
            <w:r w:rsidRPr="0064451C">
              <w:rPr>
                <w:rFonts w:ascii="Calibri Light" w:eastAsia="Times New Roman" w:hAnsi="Calibri Light" w:cs="Calibri Light"/>
                <w:b/>
                <w:bCs/>
                <w:color w:val="007680"/>
                <w:lang w:eastAsia="en-AU"/>
              </w:rPr>
              <w:t>2018</w:t>
            </w:r>
          </w:p>
        </w:tc>
        <w:tc>
          <w:tcPr>
            <w:tcW w:w="425" w:type="pct"/>
            <w:tcBorders>
              <w:top w:val="single" w:sz="8" w:space="0" w:color="00707E" w:themeColor="accent5" w:themeShade="BF"/>
              <w:bottom w:val="single" w:sz="8" w:space="0" w:color="00707E" w:themeColor="accent5" w:themeShade="BF"/>
            </w:tcBorders>
            <w:shd w:val="clear" w:color="auto" w:fill="auto"/>
            <w:noWrap/>
            <w:vAlign w:val="bottom"/>
            <w:hideMark/>
          </w:tcPr>
          <w:p w14:paraId="02DCA733" w14:textId="77777777" w:rsidR="006F7D47" w:rsidRPr="0064451C" w:rsidRDefault="006F7D47" w:rsidP="00144BA2">
            <w:pPr>
              <w:spacing w:after="0" w:line="240" w:lineRule="auto"/>
              <w:jc w:val="center"/>
              <w:rPr>
                <w:rFonts w:ascii="Calibri Light" w:eastAsia="Times New Roman" w:hAnsi="Calibri Light" w:cs="Calibri Light"/>
                <w:b/>
                <w:bCs/>
                <w:color w:val="007680"/>
                <w:lang w:eastAsia="en-AU"/>
              </w:rPr>
            </w:pPr>
            <w:r w:rsidRPr="0064451C">
              <w:rPr>
                <w:rFonts w:ascii="Calibri Light" w:eastAsia="Times New Roman" w:hAnsi="Calibri Light" w:cs="Calibri Light"/>
                <w:b/>
                <w:bCs/>
                <w:color w:val="007680"/>
                <w:lang w:eastAsia="en-AU"/>
              </w:rPr>
              <w:t>2019</w:t>
            </w:r>
          </w:p>
        </w:tc>
        <w:tc>
          <w:tcPr>
            <w:tcW w:w="422" w:type="pct"/>
            <w:tcBorders>
              <w:top w:val="single" w:sz="8" w:space="0" w:color="00707E" w:themeColor="accent5" w:themeShade="BF"/>
              <w:bottom w:val="single" w:sz="8" w:space="0" w:color="00707E" w:themeColor="accent5" w:themeShade="BF"/>
            </w:tcBorders>
            <w:shd w:val="clear" w:color="auto" w:fill="auto"/>
            <w:noWrap/>
            <w:vAlign w:val="bottom"/>
            <w:hideMark/>
          </w:tcPr>
          <w:p w14:paraId="6606F01F" w14:textId="77777777" w:rsidR="006F7D47" w:rsidRPr="0064451C" w:rsidRDefault="006F7D47" w:rsidP="00144BA2">
            <w:pPr>
              <w:spacing w:after="0" w:line="240" w:lineRule="auto"/>
              <w:jc w:val="center"/>
              <w:rPr>
                <w:rFonts w:ascii="Calibri Light" w:eastAsia="Times New Roman" w:hAnsi="Calibri Light" w:cs="Calibri Light"/>
                <w:b/>
                <w:bCs/>
                <w:color w:val="007680"/>
                <w:lang w:eastAsia="en-AU"/>
              </w:rPr>
            </w:pPr>
            <w:r w:rsidRPr="0064451C">
              <w:rPr>
                <w:rFonts w:ascii="Calibri Light" w:eastAsia="Times New Roman" w:hAnsi="Calibri Light" w:cs="Calibri Light"/>
                <w:b/>
                <w:bCs/>
                <w:color w:val="007680"/>
                <w:lang w:eastAsia="en-AU"/>
              </w:rPr>
              <w:t>Total</w:t>
            </w:r>
          </w:p>
        </w:tc>
      </w:tr>
      <w:tr w:rsidR="006F7D47" w:rsidRPr="0064451C" w14:paraId="7607E0F6" w14:textId="77777777" w:rsidTr="00144BA2">
        <w:trPr>
          <w:trHeight w:val="57"/>
        </w:trPr>
        <w:tc>
          <w:tcPr>
            <w:tcW w:w="1225" w:type="pct"/>
            <w:tcBorders>
              <w:top w:val="single" w:sz="8" w:space="0" w:color="00707E" w:themeColor="accent5" w:themeShade="BF"/>
              <w:bottom w:val="single" w:sz="12" w:space="0" w:color="BFBFBF" w:themeColor="background1" w:themeShade="BF"/>
            </w:tcBorders>
            <w:shd w:val="clear" w:color="auto" w:fill="auto"/>
            <w:noWrap/>
          </w:tcPr>
          <w:p w14:paraId="53FC8037" w14:textId="77777777" w:rsidR="006F7D47" w:rsidRPr="0064451C" w:rsidRDefault="006F7D47" w:rsidP="00144BA2">
            <w:pPr>
              <w:spacing w:after="0" w:line="240" w:lineRule="auto"/>
              <w:rPr>
                <w:rFonts w:ascii="Calibri Light" w:eastAsia="Times New Roman" w:hAnsi="Calibri Light" w:cs="Calibri Light"/>
                <w:lang w:eastAsia="en-AU"/>
              </w:rPr>
            </w:pPr>
            <w:r w:rsidRPr="000E3250">
              <w:rPr>
                <w:rFonts w:ascii="Calibri Light" w:eastAsia="Times New Roman" w:hAnsi="Calibri Light" w:cs="Calibri Light"/>
                <w:lang w:eastAsia="en-AU"/>
              </w:rPr>
              <w:t>Commonwealth marine area</w:t>
            </w:r>
            <w:r w:rsidRPr="000E3250">
              <w:rPr>
                <w:rFonts w:ascii="Calibri Light" w:eastAsia="Times New Roman" w:hAnsi="Calibri Light" w:cs="Calibri Light"/>
                <w:lang w:eastAsia="en-AU"/>
              </w:rPr>
              <w:tab/>
            </w:r>
          </w:p>
        </w:tc>
        <w:tc>
          <w:tcPr>
            <w:tcW w:w="1227" w:type="pct"/>
            <w:tcBorders>
              <w:top w:val="single" w:sz="8" w:space="0" w:color="00707E" w:themeColor="accent5" w:themeShade="BF"/>
              <w:bottom w:val="single" w:sz="12" w:space="0" w:color="BFBFBF" w:themeColor="background1" w:themeShade="BF"/>
            </w:tcBorders>
            <w:shd w:val="clear" w:color="auto" w:fill="auto"/>
            <w:noWrap/>
          </w:tcPr>
          <w:p w14:paraId="18CF97D2" w14:textId="77777777" w:rsidR="006F7D47" w:rsidRPr="0064451C" w:rsidRDefault="006F7D47" w:rsidP="00144BA2">
            <w:pPr>
              <w:spacing w:after="0" w:line="240" w:lineRule="auto"/>
              <w:rPr>
                <w:rFonts w:ascii="Calibri Light" w:eastAsia="Times New Roman" w:hAnsi="Calibri Light" w:cs="Calibri Light"/>
                <w:lang w:eastAsia="en-AU"/>
              </w:rPr>
            </w:pPr>
            <w:r w:rsidRPr="000E3250">
              <w:rPr>
                <w:rFonts w:ascii="Calibri Light" w:eastAsia="Times New Roman" w:hAnsi="Calibri Light" w:cs="Calibri Light"/>
                <w:lang w:eastAsia="en-AU"/>
              </w:rPr>
              <w:t>Operations</w:t>
            </w:r>
          </w:p>
        </w:tc>
        <w:tc>
          <w:tcPr>
            <w:tcW w:w="425" w:type="pct"/>
            <w:tcBorders>
              <w:top w:val="single" w:sz="8" w:space="0" w:color="00707E" w:themeColor="accent5" w:themeShade="BF"/>
              <w:bottom w:val="single" w:sz="12" w:space="0" w:color="BFBFBF" w:themeColor="background1" w:themeShade="BF"/>
            </w:tcBorders>
            <w:shd w:val="clear" w:color="auto" w:fill="auto"/>
            <w:noWrap/>
          </w:tcPr>
          <w:p w14:paraId="6F0024F5"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00707E" w:themeColor="accent5" w:themeShade="BF"/>
              <w:bottom w:val="single" w:sz="12" w:space="0" w:color="BFBFBF" w:themeColor="background1" w:themeShade="BF"/>
            </w:tcBorders>
            <w:shd w:val="clear" w:color="auto" w:fill="auto"/>
            <w:noWrap/>
          </w:tcPr>
          <w:p w14:paraId="7396CAC1"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00707E" w:themeColor="accent5" w:themeShade="BF"/>
              <w:bottom w:val="single" w:sz="12" w:space="0" w:color="BFBFBF" w:themeColor="background1" w:themeShade="BF"/>
            </w:tcBorders>
            <w:shd w:val="clear" w:color="auto" w:fill="auto"/>
            <w:noWrap/>
          </w:tcPr>
          <w:p w14:paraId="7AED42C6"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00707E" w:themeColor="accent5" w:themeShade="BF"/>
              <w:bottom w:val="single" w:sz="12" w:space="0" w:color="BFBFBF" w:themeColor="background1" w:themeShade="BF"/>
            </w:tcBorders>
            <w:shd w:val="clear" w:color="auto" w:fill="auto"/>
            <w:noWrap/>
          </w:tcPr>
          <w:p w14:paraId="7B279F16"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00707E" w:themeColor="accent5" w:themeShade="BF"/>
              <w:bottom w:val="single" w:sz="12" w:space="0" w:color="BFBFBF" w:themeColor="background1" w:themeShade="BF"/>
            </w:tcBorders>
            <w:shd w:val="clear" w:color="auto" w:fill="auto"/>
            <w:noWrap/>
          </w:tcPr>
          <w:p w14:paraId="3A0F0441" w14:textId="77777777" w:rsidR="006F7D47" w:rsidRPr="0064451C" w:rsidRDefault="006F7D47" w:rsidP="00144BA2">
            <w:pPr>
              <w:spacing w:after="0" w:line="240" w:lineRule="auto"/>
              <w:jc w:val="center"/>
              <w:rPr>
                <w:rFonts w:ascii="Calibri Light" w:eastAsia="Times New Roman" w:hAnsi="Calibri Light" w:cs="Calibri Light"/>
                <w:lang w:eastAsia="en-AU"/>
              </w:rPr>
            </w:pPr>
            <w:r>
              <w:rPr>
                <w:rFonts w:ascii="Calibri Light" w:eastAsia="Times New Roman" w:hAnsi="Calibri Light" w:cs="Calibri Light"/>
                <w:lang w:eastAsia="en-AU"/>
              </w:rPr>
              <w:t>1</w:t>
            </w:r>
          </w:p>
        </w:tc>
        <w:tc>
          <w:tcPr>
            <w:tcW w:w="422" w:type="pct"/>
            <w:tcBorders>
              <w:top w:val="single" w:sz="8" w:space="0" w:color="00707E" w:themeColor="accent5" w:themeShade="BF"/>
              <w:bottom w:val="single" w:sz="12" w:space="0" w:color="BFBFBF" w:themeColor="background1" w:themeShade="BF"/>
            </w:tcBorders>
            <w:shd w:val="clear" w:color="auto" w:fill="F2F2F2" w:themeFill="background1" w:themeFillShade="F2"/>
            <w:noWrap/>
          </w:tcPr>
          <w:p w14:paraId="6D2315CA" w14:textId="77777777" w:rsidR="006F7D47" w:rsidRPr="007E0BB1" w:rsidRDefault="006F7D47" w:rsidP="00144BA2">
            <w:pPr>
              <w:spacing w:after="0" w:line="240" w:lineRule="auto"/>
              <w:jc w:val="center"/>
              <w:rPr>
                <w:rFonts w:ascii="Calibri Light" w:eastAsia="Times New Roman" w:hAnsi="Calibri Light" w:cs="Calibri Light"/>
                <w:b/>
                <w:lang w:eastAsia="en-AU"/>
              </w:rPr>
            </w:pPr>
            <w:r w:rsidRPr="007E0BB1">
              <w:rPr>
                <w:rFonts w:ascii="Calibri Light" w:eastAsia="Times New Roman" w:hAnsi="Calibri Light" w:cs="Calibri Light"/>
                <w:b/>
                <w:lang w:eastAsia="en-AU"/>
              </w:rPr>
              <w:t>1</w:t>
            </w:r>
          </w:p>
        </w:tc>
      </w:tr>
      <w:tr w:rsidR="006F7D47" w:rsidRPr="0064451C" w14:paraId="4953FF16" w14:textId="77777777" w:rsidTr="00144BA2">
        <w:trPr>
          <w:trHeight w:val="57"/>
        </w:trPr>
        <w:tc>
          <w:tcPr>
            <w:tcW w:w="1225" w:type="pct"/>
            <w:vMerge w:val="restart"/>
            <w:tcBorders>
              <w:top w:val="single" w:sz="12" w:space="0" w:color="BFBFBF" w:themeColor="background1" w:themeShade="BF"/>
            </w:tcBorders>
            <w:shd w:val="clear" w:color="auto" w:fill="auto"/>
            <w:noWrap/>
          </w:tcPr>
          <w:p w14:paraId="274E43DE" w14:textId="77777777" w:rsidR="006F7D47" w:rsidRDefault="006F7D47" w:rsidP="00144BA2">
            <w:pPr>
              <w:spacing w:after="0" w:line="240" w:lineRule="auto"/>
              <w:rPr>
                <w:rFonts w:ascii="Calibri Light" w:eastAsia="Times New Roman" w:hAnsi="Calibri Light" w:cs="Calibri Light"/>
                <w:lang w:eastAsia="en-AU"/>
              </w:rPr>
            </w:pPr>
            <w:r w:rsidRPr="000E3250">
              <w:rPr>
                <w:rFonts w:ascii="Calibri Light" w:eastAsia="Times New Roman" w:hAnsi="Calibri Light" w:cs="Calibri Light"/>
                <w:lang w:eastAsia="en-AU"/>
              </w:rPr>
              <w:t>Listed migratory species</w:t>
            </w:r>
          </w:p>
          <w:p w14:paraId="008E50ED" w14:textId="77777777" w:rsidR="006F7D47" w:rsidRPr="0064451C" w:rsidRDefault="006F7D47" w:rsidP="00144BA2">
            <w:pPr>
              <w:spacing w:after="0" w:line="240" w:lineRule="auto"/>
              <w:rPr>
                <w:rFonts w:ascii="Calibri Light" w:eastAsia="Times New Roman" w:hAnsi="Calibri Light" w:cs="Calibri Light"/>
                <w:lang w:eastAsia="en-AU"/>
              </w:rPr>
            </w:pPr>
          </w:p>
        </w:tc>
        <w:tc>
          <w:tcPr>
            <w:tcW w:w="1227" w:type="pct"/>
            <w:tcBorders>
              <w:top w:val="single" w:sz="12" w:space="0" w:color="BFBFBF" w:themeColor="background1" w:themeShade="BF"/>
              <w:bottom w:val="single" w:sz="8" w:space="0" w:color="D9D9D9" w:themeColor="background1" w:themeShade="D9"/>
            </w:tcBorders>
            <w:shd w:val="clear" w:color="auto" w:fill="auto"/>
            <w:noWrap/>
          </w:tcPr>
          <w:p w14:paraId="6EC34D31" w14:textId="77777777" w:rsidR="006F7D47" w:rsidRPr="0064451C" w:rsidRDefault="006F7D47" w:rsidP="00144BA2">
            <w:pPr>
              <w:spacing w:after="0" w:line="240" w:lineRule="auto"/>
              <w:rPr>
                <w:rFonts w:ascii="Calibri Light" w:eastAsia="Times New Roman" w:hAnsi="Calibri Light" w:cs="Calibri Light"/>
                <w:lang w:eastAsia="en-AU"/>
              </w:rPr>
            </w:pPr>
            <w:r>
              <w:rPr>
                <w:rFonts w:ascii="Calibri Light" w:eastAsia="Times New Roman" w:hAnsi="Calibri Light" w:cs="Calibri Light"/>
                <w:lang w:eastAsia="en-AU"/>
              </w:rPr>
              <w:t>Drilling</w:t>
            </w:r>
          </w:p>
        </w:tc>
        <w:tc>
          <w:tcPr>
            <w:tcW w:w="425" w:type="pct"/>
            <w:tcBorders>
              <w:top w:val="single" w:sz="12" w:space="0" w:color="BFBFBF" w:themeColor="background1" w:themeShade="BF"/>
              <w:bottom w:val="single" w:sz="8" w:space="0" w:color="D9D9D9" w:themeColor="background1" w:themeShade="D9"/>
            </w:tcBorders>
            <w:shd w:val="clear" w:color="auto" w:fill="auto"/>
            <w:noWrap/>
          </w:tcPr>
          <w:p w14:paraId="55753A60"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tcPr>
          <w:p w14:paraId="0D4D57B5"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tcPr>
          <w:p w14:paraId="6B2A84A2"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tcPr>
          <w:p w14:paraId="592F1870"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tcPr>
          <w:p w14:paraId="7EC95594" w14:textId="77777777" w:rsidR="006F7D47" w:rsidRPr="0064451C" w:rsidRDefault="006F7D47" w:rsidP="00144BA2">
            <w:pPr>
              <w:spacing w:after="0" w:line="240" w:lineRule="auto"/>
              <w:jc w:val="center"/>
              <w:rPr>
                <w:rFonts w:ascii="Calibri Light" w:eastAsia="Times New Roman" w:hAnsi="Calibri Light" w:cs="Calibri Light"/>
                <w:lang w:eastAsia="en-AU"/>
              </w:rPr>
            </w:pPr>
            <w:r>
              <w:rPr>
                <w:rFonts w:ascii="Calibri Light" w:eastAsia="Times New Roman" w:hAnsi="Calibri Light" w:cs="Calibri Light"/>
                <w:lang w:eastAsia="en-AU"/>
              </w:rPr>
              <w:t>1</w:t>
            </w:r>
          </w:p>
        </w:tc>
        <w:tc>
          <w:tcPr>
            <w:tcW w:w="422"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tcPr>
          <w:p w14:paraId="0CE50741" w14:textId="77777777" w:rsidR="006F7D47" w:rsidRPr="007E0BB1" w:rsidRDefault="006F7D47" w:rsidP="00144BA2">
            <w:pPr>
              <w:spacing w:after="0" w:line="240" w:lineRule="auto"/>
              <w:jc w:val="center"/>
              <w:rPr>
                <w:rFonts w:ascii="Calibri Light" w:eastAsia="Times New Roman" w:hAnsi="Calibri Light" w:cs="Calibri Light"/>
                <w:b/>
                <w:lang w:eastAsia="en-AU"/>
              </w:rPr>
            </w:pPr>
            <w:r w:rsidRPr="007E0BB1">
              <w:rPr>
                <w:rFonts w:ascii="Calibri Light" w:eastAsia="Times New Roman" w:hAnsi="Calibri Light" w:cs="Calibri Light"/>
                <w:b/>
                <w:lang w:eastAsia="en-AU"/>
              </w:rPr>
              <w:t>1</w:t>
            </w:r>
          </w:p>
        </w:tc>
      </w:tr>
      <w:tr w:rsidR="006F7D47" w:rsidRPr="0064451C" w14:paraId="67A970D0" w14:textId="77777777" w:rsidTr="00144BA2">
        <w:trPr>
          <w:trHeight w:val="57"/>
        </w:trPr>
        <w:tc>
          <w:tcPr>
            <w:tcW w:w="1225" w:type="pct"/>
            <w:vMerge/>
            <w:tcBorders>
              <w:bottom w:val="single" w:sz="12" w:space="0" w:color="BFBFBF" w:themeColor="background1" w:themeShade="BF"/>
            </w:tcBorders>
            <w:shd w:val="clear" w:color="auto" w:fill="auto"/>
            <w:noWrap/>
          </w:tcPr>
          <w:p w14:paraId="366DCADB" w14:textId="77777777" w:rsidR="006F7D47" w:rsidRPr="0064451C" w:rsidRDefault="006F7D47" w:rsidP="00144BA2">
            <w:pPr>
              <w:spacing w:after="0" w:line="240" w:lineRule="auto"/>
              <w:rPr>
                <w:rFonts w:ascii="Calibri Light" w:eastAsia="Times New Roman" w:hAnsi="Calibri Light" w:cs="Calibri Light"/>
                <w:lang w:eastAsia="en-AU"/>
              </w:rPr>
            </w:pPr>
          </w:p>
        </w:tc>
        <w:tc>
          <w:tcPr>
            <w:tcW w:w="1227" w:type="pct"/>
            <w:tcBorders>
              <w:top w:val="single" w:sz="8" w:space="0" w:color="D9D9D9" w:themeColor="background1" w:themeShade="D9"/>
              <w:bottom w:val="single" w:sz="12" w:space="0" w:color="BFBFBF" w:themeColor="background1" w:themeShade="BF"/>
            </w:tcBorders>
            <w:shd w:val="clear" w:color="auto" w:fill="auto"/>
            <w:noWrap/>
          </w:tcPr>
          <w:p w14:paraId="2D0C018F" w14:textId="77777777" w:rsidR="006F7D47" w:rsidRPr="0064451C" w:rsidRDefault="006F7D47" w:rsidP="00144BA2">
            <w:pPr>
              <w:spacing w:after="0" w:line="240" w:lineRule="auto"/>
              <w:rPr>
                <w:rFonts w:ascii="Calibri Light" w:eastAsia="Times New Roman" w:hAnsi="Calibri Light" w:cs="Calibri Light"/>
                <w:lang w:eastAsia="en-AU"/>
              </w:rPr>
            </w:pPr>
            <w:r>
              <w:rPr>
                <w:rFonts w:ascii="Calibri Light" w:eastAsia="Times New Roman" w:hAnsi="Calibri Light" w:cs="Calibri Light"/>
                <w:lang w:eastAsia="en-AU"/>
              </w:rPr>
              <w:t>Operations</w:t>
            </w:r>
          </w:p>
        </w:tc>
        <w:tc>
          <w:tcPr>
            <w:tcW w:w="425" w:type="pct"/>
            <w:tcBorders>
              <w:top w:val="single" w:sz="8" w:space="0" w:color="D9D9D9" w:themeColor="background1" w:themeShade="D9"/>
              <w:bottom w:val="single" w:sz="12" w:space="0" w:color="BFBFBF" w:themeColor="background1" w:themeShade="BF"/>
            </w:tcBorders>
            <w:shd w:val="clear" w:color="auto" w:fill="auto"/>
            <w:noWrap/>
          </w:tcPr>
          <w:p w14:paraId="40A4A829"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12" w:space="0" w:color="BFBFBF" w:themeColor="background1" w:themeShade="BF"/>
            </w:tcBorders>
            <w:shd w:val="clear" w:color="auto" w:fill="auto"/>
            <w:noWrap/>
          </w:tcPr>
          <w:p w14:paraId="07D4053D"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8" w:space="0" w:color="D9D9D9" w:themeColor="background1" w:themeShade="D9"/>
              <w:bottom w:val="single" w:sz="12" w:space="0" w:color="BFBFBF" w:themeColor="background1" w:themeShade="BF"/>
            </w:tcBorders>
            <w:shd w:val="clear" w:color="auto" w:fill="auto"/>
            <w:noWrap/>
          </w:tcPr>
          <w:p w14:paraId="6BD9AE8E" w14:textId="77777777" w:rsidR="006F7D47" w:rsidRPr="0064451C" w:rsidRDefault="006F7D47" w:rsidP="00144BA2">
            <w:pPr>
              <w:spacing w:after="0" w:line="240" w:lineRule="auto"/>
              <w:jc w:val="center"/>
              <w:rPr>
                <w:rFonts w:ascii="Calibri Light" w:eastAsia="Times New Roman" w:hAnsi="Calibri Light" w:cs="Calibri Light"/>
                <w:lang w:eastAsia="en-AU"/>
              </w:rPr>
            </w:pPr>
            <w:r>
              <w:rPr>
                <w:rFonts w:ascii="Calibri Light" w:eastAsia="Times New Roman" w:hAnsi="Calibri Light" w:cs="Calibri Light"/>
                <w:lang w:eastAsia="en-AU"/>
              </w:rPr>
              <w:t>1</w:t>
            </w:r>
          </w:p>
        </w:tc>
        <w:tc>
          <w:tcPr>
            <w:tcW w:w="425" w:type="pct"/>
            <w:tcBorders>
              <w:top w:val="single" w:sz="8" w:space="0" w:color="D9D9D9" w:themeColor="background1" w:themeShade="D9"/>
              <w:bottom w:val="single" w:sz="12" w:space="0" w:color="BFBFBF" w:themeColor="background1" w:themeShade="BF"/>
            </w:tcBorders>
            <w:shd w:val="clear" w:color="auto" w:fill="auto"/>
            <w:noWrap/>
          </w:tcPr>
          <w:p w14:paraId="190A5CAC" w14:textId="77777777" w:rsidR="006F7D47" w:rsidRPr="0064451C" w:rsidRDefault="006F7D47" w:rsidP="00144BA2">
            <w:pPr>
              <w:spacing w:after="0" w:line="240" w:lineRule="auto"/>
              <w:jc w:val="center"/>
              <w:rPr>
                <w:rFonts w:ascii="Calibri Light" w:eastAsia="Times New Roman" w:hAnsi="Calibri Light" w:cs="Calibri Light"/>
                <w:lang w:eastAsia="en-AU"/>
              </w:rPr>
            </w:pPr>
            <w:r>
              <w:rPr>
                <w:rFonts w:ascii="Calibri Light" w:eastAsia="Times New Roman" w:hAnsi="Calibri Light" w:cs="Calibri Light"/>
                <w:lang w:eastAsia="en-AU"/>
              </w:rPr>
              <w:t>2</w:t>
            </w:r>
          </w:p>
        </w:tc>
        <w:tc>
          <w:tcPr>
            <w:tcW w:w="425" w:type="pct"/>
            <w:tcBorders>
              <w:top w:val="single" w:sz="8" w:space="0" w:color="D9D9D9" w:themeColor="background1" w:themeShade="D9"/>
              <w:bottom w:val="single" w:sz="12" w:space="0" w:color="BFBFBF" w:themeColor="background1" w:themeShade="BF"/>
            </w:tcBorders>
            <w:shd w:val="clear" w:color="auto" w:fill="auto"/>
            <w:noWrap/>
          </w:tcPr>
          <w:p w14:paraId="3D91F94B"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2" w:type="pct"/>
            <w:tcBorders>
              <w:top w:val="single" w:sz="8" w:space="0" w:color="D9D9D9" w:themeColor="background1" w:themeShade="D9"/>
              <w:bottom w:val="single" w:sz="12" w:space="0" w:color="BFBFBF" w:themeColor="background1" w:themeShade="BF"/>
            </w:tcBorders>
            <w:shd w:val="clear" w:color="auto" w:fill="F2F2F2" w:themeFill="background1" w:themeFillShade="F2"/>
            <w:noWrap/>
          </w:tcPr>
          <w:p w14:paraId="24157EAD" w14:textId="77777777" w:rsidR="006F7D47" w:rsidRPr="007E0BB1" w:rsidRDefault="006F7D47" w:rsidP="00144BA2">
            <w:pPr>
              <w:spacing w:after="0" w:line="240" w:lineRule="auto"/>
              <w:jc w:val="center"/>
              <w:rPr>
                <w:rFonts w:ascii="Calibri Light" w:eastAsia="Times New Roman" w:hAnsi="Calibri Light" w:cs="Calibri Light"/>
                <w:b/>
                <w:lang w:eastAsia="en-AU"/>
              </w:rPr>
            </w:pPr>
            <w:r>
              <w:rPr>
                <w:rFonts w:ascii="Calibri Light" w:eastAsia="Times New Roman" w:hAnsi="Calibri Light" w:cs="Calibri Light"/>
                <w:b/>
                <w:bCs/>
                <w:lang w:eastAsia="en-AU"/>
              </w:rPr>
              <w:t>3</w:t>
            </w:r>
          </w:p>
        </w:tc>
      </w:tr>
      <w:tr w:rsidR="006F7D47" w:rsidRPr="0064451C" w14:paraId="09E1CFA8" w14:textId="77777777" w:rsidTr="00144BA2">
        <w:trPr>
          <w:trHeight w:val="57"/>
        </w:trPr>
        <w:tc>
          <w:tcPr>
            <w:tcW w:w="1225" w:type="pct"/>
            <w:tcBorders>
              <w:top w:val="single" w:sz="12" w:space="0" w:color="BFBFBF" w:themeColor="background1" w:themeShade="BF"/>
              <w:bottom w:val="single" w:sz="8" w:space="0" w:color="D9D9D9" w:themeColor="background1" w:themeShade="D9"/>
            </w:tcBorders>
            <w:shd w:val="clear" w:color="auto" w:fill="auto"/>
            <w:noWrap/>
          </w:tcPr>
          <w:p w14:paraId="6A59BDB7" w14:textId="77777777" w:rsidR="006F7D47" w:rsidRPr="0064451C" w:rsidRDefault="006F7D47" w:rsidP="00144BA2">
            <w:pPr>
              <w:spacing w:after="0" w:line="240" w:lineRule="auto"/>
              <w:rPr>
                <w:rFonts w:ascii="Calibri Light" w:eastAsia="Times New Roman" w:hAnsi="Calibri Light" w:cs="Calibri Light"/>
                <w:lang w:eastAsia="en-AU"/>
              </w:rPr>
            </w:pPr>
            <w:r w:rsidRPr="000E3250">
              <w:rPr>
                <w:rFonts w:ascii="Calibri Light" w:eastAsia="Times New Roman" w:hAnsi="Calibri Light" w:cs="Calibri Light"/>
                <w:lang w:eastAsia="en-AU"/>
              </w:rPr>
              <w:t>Listed threatened species and communities</w:t>
            </w:r>
          </w:p>
        </w:tc>
        <w:tc>
          <w:tcPr>
            <w:tcW w:w="1227" w:type="pct"/>
            <w:tcBorders>
              <w:top w:val="single" w:sz="12" w:space="0" w:color="BFBFBF" w:themeColor="background1" w:themeShade="BF"/>
              <w:bottom w:val="single" w:sz="8" w:space="0" w:color="D9D9D9" w:themeColor="background1" w:themeShade="D9"/>
            </w:tcBorders>
            <w:shd w:val="clear" w:color="auto" w:fill="auto"/>
            <w:noWrap/>
          </w:tcPr>
          <w:p w14:paraId="0FD013BD" w14:textId="77777777" w:rsidR="006F7D47" w:rsidRPr="0064451C" w:rsidRDefault="006F7D47" w:rsidP="00144BA2">
            <w:pPr>
              <w:spacing w:after="0" w:line="240" w:lineRule="auto"/>
              <w:rPr>
                <w:rFonts w:ascii="Calibri Light" w:eastAsia="Times New Roman" w:hAnsi="Calibri Light" w:cs="Calibri Light"/>
                <w:lang w:eastAsia="en-AU"/>
              </w:rPr>
            </w:pPr>
            <w:r>
              <w:rPr>
                <w:rFonts w:ascii="Calibri Light" w:eastAsia="Times New Roman" w:hAnsi="Calibri Light" w:cs="Calibri Light"/>
                <w:lang w:eastAsia="en-AU"/>
              </w:rPr>
              <w:t>Operations</w:t>
            </w:r>
          </w:p>
        </w:tc>
        <w:tc>
          <w:tcPr>
            <w:tcW w:w="425" w:type="pct"/>
            <w:tcBorders>
              <w:top w:val="single" w:sz="12" w:space="0" w:color="BFBFBF" w:themeColor="background1" w:themeShade="BF"/>
              <w:bottom w:val="single" w:sz="8" w:space="0" w:color="D9D9D9" w:themeColor="background1" w:themeShade="D9"/>
            </w:tcBorders>
            <w:shd w:val="clear" w:color="auto" w:fill="auto"/>
            <w:noWrap/>
          </w:tcPr>
          <w:p w14:paraId="3C91EF9C"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tcPr>
          <w:p w14:paraId="45A2051E"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tcPr>
          <w:p w14:paraId="73AB3ABE"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5" w:type="pct"/>
            <w:tcBorders>
              <w:top w:val="single" w:sz="12" w:space="0" w:color="BFBFBF" w:themeColor="background1" w:themeShade="BF"/>
              <w:bottom w:val="single" w:sz="8" w:space="0" w:color="D9D9D9" w:themeColor="background1" w:themeShade="D9"/>
            </w:tcBorders>
            <w:shd w:val="clear" w:color="auto" w:fill="auto"/>
            <w:noWrap/>
          </w:tcPr>
          <w:p w14:paraId="0AF98BFB" w14:textId="77777777" w:rsidR="006F7D47" w:rsidRPr="0064451C" w:rsidRDefault="006F7D47" w:rsidP="00144BA2">
            <w:pPr>
              <w:spacing w:after="0" w:line="240" w:lineRule="auto"/>
              <w:jc w:val="center"/>
              <w:rPr>
                <w:rFonts w:ascii="Calibri Light" w:eastAsia="Times New Roman" w:hAnsi="Calibri Light" w:cs="Calibri Light"/>
                <w:lang w:eastAsia="en-AU"/>
              </w:rPr>
            </w:pPr>
            <w:r>
              <w:rPr>
                <w:rFonts w:ascii="Calibri Light" w:eastAsia="Times New Roman" w:hAnsi="Calibri Light" w:cs="Calibri Light"/>
                <w:lang w:eastAsia="en-AU"/>
              </w:rPr>
              <w:t>1</w:t>
            </w:r>
          </w:p>
        </w:tc>
        <w:tc>
          <w:tcPr>
            <w:tcW w:w="425" w:type="pct"/>
            <w:tcBorders>
              <w:top w:val="single" w:sz="12" w:space="0" w:color="BFBFBF" w:themeColor="background1" w:themeShade="BF"/>
              <w:bottom w:val="single" w:sz="8" w:space="0" w:color="D9D9D9" w:themeColor="background1" w:themeShade="D9"/>
            </w:tcBorders>
            <w:shd w:val="clear" w:color="auto" w:fill="auto"/>
            <w:noWrap/>
          </w:tcPr>
          <w:p w14:paraId="227BC087" w14:textId="77777777" w:rsidR="006F7D47" w:rsidRPr="0064451C" w:rsidRDefault="006F7D47" w:rsidP="00144BA2">
            <w:pPr>
              <w:spacing w:after="0" w:line="240" w:lineRule="auto"/>
              <w:jc w:val="center"/>
              <w:rPr>
                <w:rFonts w:ascii="Calibri Light" w:eastAsia="Times New Roman" w:hAnsi="Calibri Light" w:cs="Calibri Light"/>
                <w:lang w:eastAsia="en-AU"/>
              </w:rPr>
            </w:pPr>
          </w:p>
        </w:tc>
        <w:tc>
          <w:tcPr>
            <w:tcW w:w="422"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tcPr>
          <w:p w14:paraId="0095B232" w14:textId="77777777" w:rsidR="006F7D47" w:rsidRPr="007E0BB1" w:rsidRDefault="006F7D47" w:rsidP="00144BA2">
            <w:pPr>
              <w:spacing w:after="0" w:line="240" w:lineRule="auto"/>
              <w:jc w:val="center"/>
              <w:rPr>
                <w:rFonts w:ascii="Calibri Light" w:eastAsia="Times New Roman" w:hAnsi="Calibri Light" w:cs="Calibri Light"/>
                <w:b/>
                <w:lang w:eastAsia="en-AU"/>
              </w:rPr>
            </w:pPr>
            <w:r>
              <w:rPr>
                <w:rFonts w:ascii="Calibri Light" w:eastAsia="Times New Roman" w:hAnsi="Calibri Light" w:cs="Calibri Light"/>
                <w:b/>
                <w:bCs/>
                <w:lang w:eastAsia="en-AU"/>
              </w:rPr>
              <w:t>1</w:t>
            </w:r>
          </w:p>
        </w:tc>
      </w:tr>
      <w:tr w:rsidR="006F7D47" w:rsidRPr="0064451C" w14:paraId="4F33215A" w14:textId="77777777" w:rsidTr="00144BA2">
        <w:trPr>
          <w:trHeight w:val="57"/>
        </w:trPr>
        <w:tc>
          <w:tcPr>
            <w:tcW w:w="12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tcPr>
          <w:p w14:paraId="36E808F2" w14:textId="77777777" w:rsidR="006F7D47" w:rsidRPr="0064451C" w:rsidRDefault="006F7D47" w:rsidP="00144BA2">
            <w:pPr>
              <w:spacing w:after="0" w:line="240" w:lineRule="auto"/>
              <w:jc w:val="center"/>
              <w:rPr>
                <w:rFonts w:ascii="Calibri Light" w:eastAsia="Times New Roman" w:hAnsi="Calibri Light" w:cs="Calibri Light"/>
                <w:b/>
                <w:bCs/>
                <w:lang w:eastAsia="en-AU"/>
              </w:rPr>
            </w:pPr>
            <w:r>
              <w:rPr>
                <w:rFonts w:ascii="Calibri Light" w:eastAsia="Times New Roman" w:hAnsi="Calibri Light" w:cs="Calibri Light"/>
                <w:b/>
                <w:bCs/>
                <w:lang w:eastAsia="en-AU"/>
              </w:rPr>
              <w:t>Total</w:t>
            </w:r>
          </w:p>
        </w:tc>
        <w:tc>
          <w:tcPr>
            <w:tcW w:w="1227"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tcPr>
          <w:p w14:paraId="7EABF1A2" w14:textId="77777777" w:rsidR="006F7D47" w:rsidRPr="0064451C" w:rsidRDefault="006F7D47" w:rsidP="00144BA2">
            <w:pPr>
              <w:spacing w:after="0" w:line="240" w:lineRule="auto"/>
              <w:jc w:val="center"/>
              <w:rPr>
                <w:rFonts w:ascii="Calibri Light" w:eastAsia="Times New Roman" w:hAnsi="Calibri Light" w:cs="Calibri Light"/>
                <w:b/>
                <w:bCs/>
                <w:lang w:eastAsia="en-AU"/>
              </w:rPr>
            </w:pPr>
          </w:p>
        </w:tc>
        <w:tc>
          <w:tcPr>
            <w:tcW w:w="4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tcPr>
          <w:p w14:paraId="2561C18C" w14:textId="77777777" w:rsidR="006F7D47" w:rsidRPr="0064451C" w:rsidRDefault="006F7D47" w:rsidP="00144BA2">
            <w:pPr>
              <w:spacing w:after="0" w:line="240" w:lineRule="auto"/>
              <w:jc w:val="center"/>
              <w:rPr>
                <w:rFonts w:ascii="Calibri Light" w:eastAsia="Times New Roman" w:hAnsi="Calibri Light" w:cs="Calibri Light"/>
                <w:b/>
                <w:bCs/>
                <w:lang w:eastAsia="en-AU"/>
              </w:rPr>
            </w:pPr>
          </w:p>
        </w:tc>
        <w:tc>
          <w:tcPr>
            <w:tcW w:w="4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tcPr>
          <w:p w14:paraId="324AEEB4" w14:textId="77777777" w:rsidR="006F7D47" w:rsidRPr="0064451C" w:rsidRDefault="006F7D47" w:rsidP="00144BA2">
            <w:pPr>
              <w:spacing w:after="0" w:line="240" w:lineRule="auto"/>
              <w:jc w:val="center"/>
              <w:rPr>
                <w:rFonts w:ascii="Calibri Light" w:eastAsia="Times New Roman" w:hAnsi="Calibri Light" w:cs="Calibri Light"/>
                <w:b/>
                <w:bCs/>
                <w:lang w:eastAsia="en-AU"/>
              </w:rPr>
            </w:pPr>
          </w:p>
        </w:tc>
        <w:tc>
          <w:tcPr>
            <w:tcW w:w="4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tcPr>
          <w:p w14:paraId="7FB436DE" w14:textId="77777777" w:rsidR="006F7D47" w:rsidRPr="0064451C" w:rsidRDefault="006F7D47" w:rsidP="00144BA2">
            <w:pPr>
              <w:spacing w:after="0" w:line="240" w:lineRule="auto"/>
              <w:jc w:val="center"/>
              <w:rPr>
                <w:rFonts w:ascii="Calibri Light" w:eastAsia="Times New Roman" w:hAnsi="Calibri Light" w:cs="Calibri Light"/>
                <w:b/>
                <w:bCs/>
                <w:lang w:eastAsia="en-AU"/>
              </w:rPr>
            </w:pPr>
            <w:r>
              <w:rPr>
                <w:rFonts w:ascii="Calibri Light" w:eastAsia="Times New Roman" w:hAnsi="Calibri Light" w:cs="Calibri Light"/>
                <w:b/>
                <w:bCs/>
                <w:lang w:eastAsia="en-AU"/>
              </w:rPr>
              <w:t>1</w:t>
            </w:r>
          </w:p>
        </w:tc>
        <w:tc>
          <w:tcPr>
            <w:tcW w:w="4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tcPr>
          <w:p w14:paraId="3FA9EDCA" w14:textId="77777777" w:rsidR="006F7D47" w:rsidRPr="0064451C" w:rsidRDefault="006F7D47" w:rsidP="00144BA2">
            <w:pPr>
              <w:spacing w:after="0" w:line="240" w:lineRule="auto"/>
              <w:jc w:val="center"/>
              <w:rPr>
                <w:rFonts w:ascii="Calibri Light" w:eastAsia="Times New Roman" w:hAnsi="Calibri Light" w:cs="Calibri Light"/>
                <w:b/>
                <w:bCs/>
                <w:lang w:eastAsia="en-AU"/>
              </w:rPr>
            </w:pPr>
            <w:r>
              <w:rPr>
                <w:rFonts w:ascii="Calibri Light" w:eastAsia="Times New Roman" w:hAnsi="Calibri Light" w:cs="Calibri Light"/>
                <w:b/>
                <w:bCs/>
                <w:lang w:eastAsia="en-AU"/>
              </w:rPr>
              <w:t>3</w:t>
            </w:r>
          </w:p>
        </w:tc>
        <w:tc>
          <w:tcPr>
            <w:tcW w:w="425"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tcPr>
          <w:p w14:paraId="7514440F" w14:textId="77777777" w:rsidR="006F7D47" w:rsidRPr="0064451C" w:rsidRDefault="006F7D47" w:rsidP="00144BA2">
            <w:pPr>
              <w:spacing w:after="0" w:line="240" w:lineRule="auto"/>
              <w:jc w:val="center"/>
              <w:rPr>
                <w:rFonts w:ascii="Calibri Light" w:eastAsia="Times New Roman" w:hAnsi="Calibri Light" w:cs="Calibri Light"/>
                <w:b/>
                <w:bCs/>
                <w:lang w:eastAsia="en-AU"/>
              </w:rPr>
            </w:pPr>
            <w:r>
              <w:rPr>
                <w:rFonts w:ascii="Calibri Light" w:eastAsia="Times New Roman" w:hAnsi="Calibri Light" w:cs="Calibri Light"/>
                <w:b/>
                <w:bCs/>
                <w:lang w:eastAsia="en-AU"/>
              </w:rPr>
              <w:t>2</w:t>
            </w:r>
          </w:p>
        </w:tc>
        <w:tc>
          <w:tcPr>
            <w:tcW w:w="422"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tcPr>
          <w:p w14:paraId="2583DFF3" w14:textId="77777777" w:rsidR="006F7D47" w:rsidRPr="007E0BB1" w:rsidRDefault="006F7D47" w:rsidP="00144BA2">
            <w:pPr>
              <w:spacing w:after="0" w:line="240" w:lineRule="auto"/>
              <w:jc w:val="center"/>
              <w:rPr>
                <w:rFonts w:ascii="Calibri Light" w:eastAsia="Times New Roman" w:hAnsi="Calibri Light" w:cs="Calibri Light"/>
                <w:b/>
                <w:lang w:eastAsia="en-AU"/>
              </w:rPr>
            </w:pPr>
            <w:r>
              <w:rPr>
                <w:rFonts w:ascii="Calibri Light" w:eastAsia="Times New Roman" w:hAnsi="Calibri Light" w:cs="Calibri Light"/>
                <w:b/>
                <w:bCs/>
                <w:lang w:eastAsia="en-AU"/>
              </w:rPr>
              <w:t>6</w:t>
            </w:r>
          </w:p>
        </w:tc>
      </w:tr>
    </w:tbl>
    <w:p w14:paraId="4D839A35" w14:textId="05564497" w:rsidR="00A03A03" w:rsidRPr="000F4198" w:rsidRDefault="000F4198" w:rsidP="000F4198">
      <w:pPr>
        <w:pStyle w:val="Caption"/>
        <w:spacing w:before="0"/>
        <w:rPr>
          <w:rFonts w:ascii="Calibri Light" w:hAnsi="Calibri Light"/>
          <w:b w:val="0"/>
          <w:bCs/>
          <w:sz w:val="14"/>
          <w:szCs w:val="14"/>
        </w:rPr>
      </w:pPr>
      <w:r>
        <w:rPr>
          <w:rFonts w:ascii="Calibri Light" w:hAnsi="Calibri Light"/>
          <w:sz w:val="14"/>
          <w:szCs w:val="14"/>
        </w:rPr>
        <w:t>*</w:t>
      </w:r>
      <w:r>
        <w:rPr>
          <w:rFonts w:ascii="Calibri Light" w:hAnsi="Calibri Light"/>
          <w:b w:val="0"/>
          <w:bCs/>
          <w:sz w:val="14"/>
          <w:szCs w:val="14"/>
        </w:rPr>
        <w:t>I</w:t>
      </w:r>
      <w:r w:rsidR="00A03A03" w:rsidRPr="000F4198">
        <w:rPr>
          <w:rFonts w:ascii="Calibri Light" w:hAnsi="Calibri Light"/>
          <w:b w:val="0"/>
          <w:bCs/>
          <w:sz w:val="14"/>
          <w:szCs w:val="14"/>
        </w:rPr>
        <w:t>n each case</w:t>
      </w:r>
      <w:r>
        <w:rPr>
          <w:rFonts w:ascii="Calibri Light" w:hAnsi="Calibri Light"/>
          <w:b w:val="0"/>
          <w:bCs/>
          <w:sz w:val="14"/>
          <w:szCs w:val="14"/>
        </w:rPr>
        <w:t>,</w:t>
      </w:r>
      <w:r w:rsidR="00A03A03" w:rsidRPr="000F4198">
        <w:rPr>
          <w:rFonts w:ascii="Calibri Light" w:hAnsi="Calibri Light"/>
          <w:b w:val="0"/>
          <w:bCs/>
          <w:sz w:val="14"/>
          <w:szCs w:val="14"/>
        </w:rPr>
        <w:t xml:space="preserve"> the reportable incident involved</w:t>
      </w:r>
      <w:r w:rsidR="0074493D">
        <w:rPr>
          <w:rFonts w:ascii="Calibri Light" w:hAnsi="Calibri Light"/>
          <w:b w:val="0"/>
          <w:bCs/>
          <w:sz w:val="14"/>
          <w:szCs w:val="14"/>
        </w:rPr>
        <w:t xml:space="preserve"> a</w:t>
      </w:r>
      <w:r w:rsidR="00A03A03" w:rsidRPr="000F4198">
        <w:rPr>
          <w:rFonts w:ascii="Calibri Light" w:hAnsi="Calibri Light"/>
          <w:b w:val="0"/>
          <w:bCs/>
          <w:sz w:val="14"/>
          <w:szCs w:val="14"/>
        </w:rPr>
        <w:t xml:space="preserve"> single animal</w:t>
      </w:r>
      <w:r>
        <w:rPr>
          <w:rFonts w:ascii="Calibri Light" w:hAnsi="Calibri Light"/>
          <w:b w:val="0"/>
          <w:bCs/>
          <w:sz w:val="14"/>
          <w:szCs w:val="14"/>
        </w:rPr>
        <w:t>.</w:t>
      </w:r>
    </w:p>
    <w:p w14:paraId="77935CBF" w14:textId="2F50E590" w:rsidR="006F7D47" w:rsidRPr="00656E8A" w:rsidRDefault="006F7D47" w:rsidP="006F7D47">
      <w:pPr>
        <w:pStyle w:val="Caption"/>
        <w:rPr>
          <w:b w:val="0"/>
          <w:bCs/>
          <w:i/>
          <w:iCs w:val="0"/>
          <w:color w:val="75787B" w:themeColor="accent6"/>
        </w:rPr>
      </w:pPr>
      <w:r w:rsidRPr="00656E8A">
        <w:rPr>
          <w:b w:val="0"/>
          <w:bCs/>
          <w:i/>
          <w:iCs w:val="0"/>
          <w:color w:val="75787B" w:themeColor="accent6"/>
        </w:rPr>
        <w:t>Source: NOPSEMA data</w:t>
      </w:r>
    </w:p>
    <w:p w14:paraId="6B5A1088" w14:textId="3C72C762" w:rsidR="006F7D47" w:rsidRDefault="006F7D47" w:rsidP="006F7D47">
      <w:pPr>
        <w:rPr>
          <w:rFonts w:ascii="Calibri Light" w:hAnsi="Calibri Light" w:cs="Calibri Light"/>
        </w:rPr>
      </w:pPr>
      <w:r w:rsidRPr="00FC1657">
        <w:rPr>
          <w:rFonts w:ascii="Calibri Light" w:hAnsi="Calibri Light" w:cs="Calibri Light"/>
          <w:b/>
          <w:bCs/>
          <w:highlight w:val="yellow"/>
        </w:rPr>
        <w:fldChar w:fldCharType="begin"/>
      </w:r>
      <w:r w:rsidRPr="00FC1657">
        <w:rPr>
          <w:rFonts w:ascii="Calibri Light" w:hAnsi="Calibri Light" w:cs="Calibri Light"/>
          <w:b/>
          <w:bCs/>
        </w:rPr>
        <w:instrText xml:space="preserve"> REF _Ref63105384 \h </w:instrText>
      </w:r>
      <w:r w:rsidRPr="00FC1657">
        <w:rPr>
          <w:rFonts w:ascii="Calibri Light" w:hAnsi="Calibri Light" w:cs="Calibri Light"/>
          <w:b/>
          <w:bCs/>
          <w:highlight w:val="yellow"/>
        </w:rPr>
        <w:instrText xml:space="preserve"> \* MERGEFORMAT </w:instrText>
      </w:r>
      <w:r w:rsidRPr="00FC1657">
        <w:rPr>
          <w:rFonts w:ascii="Calibri Light" w:hAnsi="Calibri Light" w:cs="Calibri Light"/>
          <w:b/>
          <w:bCs/>
          <w:highlight w:val="yellow"/>
        </w:rPr>
      </w:r>
      <w:r w:rsidRPr="00FC1657">
        <w:rPr>
          <w:rFonts w:ascii="Calibri Light" w:hAnsi="Calibri Light" w:cs="Calibri Light"/>
          <w:b/>
          <w:bCs/>
          <w:highlight w:val="yellow"/>
        </w:rPr>
        <w:fldChar w:fldCharType="separate"/>
      </w:r>
      <w:r w:rsidR="00E816B8" w:rsidRPr="00E816B8">
        <w:rPr>
          <w:rFonts w:ascii="Calibri Light" w:hAnsi="Calibri Light" w:cs="Calibri Light"/>
          <w:b/>
          <w:bCs/>
        </w:rPr>
        <w:t xml:space="preserve">Table </w:t>
      </w:r>
      <w:r w:rsidR="00E816B8" w:rsidRPr="00E816B8">
        <w:rPr>
          <w:rFonts w:ascii="Calibri Light" w:hAnsi="Calibri Light" w:cs="Calibri Light"/>
          <w:b/>
          <w:bCs/>
          <w:noProof/>
        </w:rPr>
        <w:t>11.8</w:t>
      </w:r>
      <w:r w:rsidRPr="00FC1657">
        <w:rPr>
          <w:rFonts w:ascii="Calibri Light" w:hAnsi="Calibri Light" w:cs="Calibri Light"/>
          <w:b/>
          <w:bCs/>
          <w:highlight w:val="yellow"/>
        </w:rPr>
        <w:fldChar w:fldCharType="end"/>
      </w:r>
      <w:r w:rsidRPr="00FC1657">
        <w:rPr>
          <w:rFonts w:ascii="Calibri Light" w:hAnsi="Calibri Light" w:cs="Calibri Light"/>
          <w:b/>
          <w:bCs/>
        </w:rPr>
        <w:t xml:space="preserve"> </w:t>
      </w:r>
      <w:r w:rsidRPr="00FC1657">
        <w:rPr>
          <w:rFonts w:ascii="Calibri Light" w:hAnsi="Calibri Light" w:cs="Calibri Light"/>
        </w:rPr>
        <w:t>outlines</w:t>
      </w:r>
      <w:r>
        <w:rPr>
          <w:rFonts w:ascii="Calibri Light" w:hAnsi="Calibri Light" w:cs="Calibri Light"/>
        </w:rPr>
        <w:t xml:space="preserve"> a relatively stable number of environmental-related inspection activities undertaken by NOPSEMA from 2015 to 2019.</w:t>
      </w:r>
    </w:p>
    <w:p w14:paraId="79392910" w14:textId="6FC80874" w:rsidR="006F7D47" w:rsidRPr="0064451C" w:rsidRDefault="006F7D47" w:rsidP="006F7D47">
      <w:pPr>
        <w:pStyle w:val="Caption"/>
      </w:pPr>
      <w:bookmarkStart w:id="198" w:name="_Ref63105384"/>
      <w:r>
        <w:t xml:space="preserve">Table </w:t>
      </w:r>
      <w:r w:rsidR="00624D4F">
        <w:fldChar w:fldCharType="begin"/>
      </w:r>
      <w:r w:rsidR="00624D4F">
        <w:instrText xml:space="preserve"> STYLEREF 1 \s </w:instrText>
      </w:r>
      <w:r w:rsidR="00624D4F">
        <w:fldChar w:fldCharType="separate"/>
      </w:r>
      <w:r w:rsidR="00E816B8">
        <w:rPr>
          <w:noProof/>
        </w:rPr>
        <w:t>11</w:t>
      </w:r>
      <w:r w:rsidR="00624D4F">
        <w:fldChar w:fldCharType="end"/>
      </w:r>
      <w:r w:rsidR="00624D4F">
        <w:t>.</w:t>
      </w:r>
      <w:r w:rsidR="00624D4F">
        <w:fldChar w:fldCharType="begin"/>
      </w:r>
      <w:r w:rsidR="00624D4F">
        <w:instrText xml:space="preserve"> SEQ Table \* ARABIC \s 1 </w:instrText>
      </w:r>
      <w:r w:rsidR="00624D4F">
        <w:fldChar w:fldCharType="separate"/>
      </w:r>
      <w:r w:rsidR="00E816B8">
        <w:rPr>
          <w:noProof/>
        </w:rPr>
        <w:t>8</w:t>
      </w:r>
      <w:r w:rsidR="00624D4F">
        <w:fldChar w:fldCharType="end"/>
      </w:r>
      <w:bookmarkEnd w:id="198"/>
      <w:r>
        <w:t xml:space="preserve">: </w:t>
      </w:r>
      <w:r w:rsidRPr="00867854">
        <w:t xml:space="preserve">Total </w:t>
      </w:r>
      <w:r w:rsidR="008C35C7">
        <w:t xml:space="preserve">environment </w:t>
      </w:r>
      <w:r>
        <w:t>inspections undertaken by NOPSEMA by activity type from 2015 to 2019</w:t>
      </w:r>
    </w:p>
    <w:tbl>
      <w:tblPr>
        <w:tblStyle w:val="ListTable3-Accent51"/>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373"/>
        <w:gridCol w:w="582"/>
        <w:gridCol w:w="582"/>
        <w:gridCol w:w="582"/>
        <w:gridCol w:w="582"/>
        <w:gridCol w:w="582"/>
        <w:gridCol w:w="581"/>
      </w:tblGrid>
      <w:tr w:rsidR="006F7D47" w:rsidRPr="006533FB" w14:paraId="7CE0AFA8" w14:textId="77777777" w:rsidTr="00144BA2">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411" w:type="pct"/>
            <w:tcBorders>
              <w:top w:val="single" w:sz="8" w:space="0" w:color="00707E" w:themeColor="accent5" w:themeShade="BF"/>
              <w:bottom w:val="single" w:sz="8" w:space="0" w:color="00707E" w:themeColor="accent5" w:themeShade="BF"/>
              <w:right w:val="none" w:sz="0" w:space="0" w:color="auto"/>
            </w:tcBorders>
            <w:shd w:val="clear" w:color="auto" w:fill="auto"/>
            <w:noWrap/>
            <w:hideMark/>
          </w:tcPr>
          <w:p w14:paraId="20E94E2A" w14:textId="77777777" w:rsidR="006F7D47" w:rsidRPr="0012635D" w:rsidRDefault="006F7D47" w:rsidP="00144BA2">
            <w:pPr>
              <w:spacing w:after="0"/>
              <w:rPr>
                <w:rFonts w:ascii="Calibri Light" w:eastAsia="Times New Roman" w:hAnsi="Calibri Light" w:cs="Calibri Light"/>
                <w:color w:val="007680"/>
                <w:lang w:eastAsia="en-AU"/>
              </w:rPr>
            </w:pPr>
            <w:r w:rsidRPr="0012635D">
              <w:rPr>
                <w:rFonts w:ascii="Calibri Light" w:eastAsia="Times New Roman" w:hAnsi="Calibri Light" w:cs="Calibri Light"/>
                <w:color w:val="007680"/>
                <w:lang w:eastAsia="en-AU"/>
              </w:rPr>
              <w:t>Activity type</w:t>
            </w:r>
          </w:p>
        </w:tc>
        <w:tc>
          <w:tcPr>
            <w:tcW w:w="0" w:type="pct"/>
            <w:tcBorders>
              <w:top w:val="single" w:sz="8" w:space="0" w:color="00707E" w:themeColor="accent5" w:themeShade="BF"/>
              <w:bottom w:val="single" w:sz="8" w:space="0" w:color="00707E" w:themeColor="accent5" w:themeShade="BF"/>
            </w:tcBorders>
            <w:shd w:val="clear" w:color="auto" w:fill="auto"/>
            <w:hideMark/>
          </w:tcPr>
          <w:p w14:paraId="316864C5" w14:textId="77777777" w:rsidR="006F7D47" w:rsidRPr="0012635D" w:rsidRDefault="006F7D47" w:rsidP="00144BA2">
            <w:pPr>
              <w:spacing w:after="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7680"/>
                <w:lang w:eastAsia="en-AU"/>
              </w:rPr>
            </w:pPr>
            <w:r w:rsidRPr="0012635D">
              <w:rPr>
                <w:rFonts w:ascii="Calibri Light" w:eastAsia="Times New Roman" w:hAnsi="Calibri Light" w:cs="Calibri Light"/>
                <w:color w:val="007680"/>
                <w:lang w:eastAsia="en-AU"/>
              </w:rPr>
              <w:t>2015</w:t>
            </w:r>
          </w:p>
        </w:tc>
        <w:tc>
          <w:tcPr>
            <w:tcW w:w="0" w:type="pct"/>
            <w:tcBorders>
              <w:top w:val="single" w:sz="8" w:space="0" w:color="00707E" w:themeColor="accent5" w:themeShade="BF"/>
              <w:bottom w:val="single" w:sz="8" w:space="0" w:color="00707E" w:themeColor="accent5" w:themeShade="BF"/>
            </w:tcBorders>
            <w:shd w:val="clear" w:color="auto" w:fill="auto"/>
            <w:hideMark/>
          </w:tcPr>
          <w:p w14:paraId="0CEEA64C" w14:textId="77777777" w:rsidR="006F7D47" w:rsidRPr="0012635D" w:rsidRDefault="006F7D47" w:rsidP="00144BA2">
            <w:pPr>
              <w:spacing w:after="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7680"/>
                <w:lang w:eastAsia="en-AU"/>
              </w:rPr>
            </w:pPr>
            <w:r w:rsidRPr="0012635D">
              <w:rPr>
                <w:rFonts w:ascii="Calibri Light" w:eastAsia="Times New Roman" w:hAnsi="Calibri Light" w:cs="Calibri Light"/>
                <w:color w:val="007680"/>
                <w:lang w:eastAsia="en-AU"/>
              </w:rPr>
              <w:t>2016</w:t>
            </w:r>
          </w:p>
        </w:tc>
        <w:tc>
          <w:tcPr>
            <w:tcW w:w="0" w:type="pct"/>
            <w:tcBorders>
              <w:top w:val="single" w:sz="8" w:space="0" w:color="00707E" w:themeColor="accent5" w:themeShade="BF"/>
              <w:bottom w:val="single" w:sz="8" w:space="0" w:color="00707E" w:themeColor="accent5" w:themeShade="BF"/>
            </w:tcBorders>
            <w:shd w:val="clear" w:color="auto" w:fill="auto"/>
            <w:hideMark/>
          </w:tcPr>
          <w:p w14:paraId="3A6E6516" w14:textId="77777777" w:rsidR="006F7D47" w:rsidRPr="0012635D" w:rsidRDefault="006F7D47" w:rsidP="00144BA2">
            <w:pPr>
              <w:spacing w:after="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7680"/>
                <w:lang w:eastAsia="en-AU"/>
              </w:rPr>
            </w:pPr>
            <w:r w:rsidRPr="0012635D">
              <w:rPr>
                <w:rFonts w:ascii="Calibri Light" w:eastAsia="Times New Roman" w:hAnsi="Calibri Light" w:cs="Calibri Light"/>
                <w:color w:val="007680"/>
                <w:lang w:eastAsia="en-AU"/>
              </w:rPr>
              <w:t>2017</w:t>
            </w:r>
          </w:p>
        </w:tc>
        <w:tc>
          <w:tcPr>
            <w:tcW w:w="0" w:type="pct"/>
            <w:tcBorders>
              <w:top w:val="single" w:sz="8" w:space="0" w:color="00707E" w:themeColor="accent5" w:themeShade="BF"/>
              <w:bottom w:val="single" w:sz="8" w:space="0" w:color="00707E" w:themeColor="accent5" w:themeShade="BF"/>
            </w:tcBorders>
            <w:shd w:val="clear" w:color="auto" w:fill="auto"/>
            <w:hideMark/>
          </w:tcPr>
          <w:p w14:paraId="3828CEAA" w14:textId="77777777" w:rsidR="006F7D47" w:rsidRPr="0012635D" w:rsidRDefault="006F7D47" w:rsidP="00144BA2">
            <w:pPr>
              <w:spacing w:after="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7680"/>
                <w:lang w:eastAsia="en-AU"/>
              </w:rPr>
            </w:pPr>
            <w:r w:rsidRPr="0012635D">
              <w:rPr>
                <w:rFonts w:ascii="Calibri Light" w:eastAsia="Times New Roman" w:hAnsi="Calibri Light" w:cs="Calibri Light"/>
                <w:color w:val="007680"/>
                <w:lang w:eastAsia="en-AU"/>
              </w:rPr>
              <w:t>2018</w:t>
            </w:r>
          </w:p>
        </w:tc>
        <w:tc>
          <w:tcPr>
            <w:tcW w:w="0" w:type="pct"/>
            <w:tcBorders>
              <w:top w:val="single" w:sz="8" w:space="0" w:color="00707E" w:themeColor="accent5" w:themeShade="BF"/>
              <w:bottom w:val="single" w:sz="8" w:space="0" w:color="00707E" w:themeColor="accent5" w:themeShade="BF"/>
            </w:tcBorders>
            <w:shd w:val="clear" w:color="auto" w:fill="auto"/>
            <w:hideMark/>
          </w:tcPr>
          <w:p w14:paraId="108D2927" w14:textId="77777777" w:rsidR="006F7D47" w:rsidRPr="0012635D" w:rsidRDefault="006F7D47" w:rsidP="00144BA2">
            <w:pPr>
              <w:spacing w:after="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7680"/>
                <w:lang w:eastAsia="en-AU"/>
              </w:rPr>
            </w:pPr>
            <w:r w:rsidRPr="0012635D">
              <w:rPr>
                <w:rFonts w:ascii="Calibri Light" w:eastAsia="Times New Roman" w:hAnsi="Calibri Light" w:cs="Calibri Light"/>
                <w:color w:val="007680"/>
                <w:lang w:eastAsia="en-AU"/>
              </w:rPr>
              <w:t>2019</w:t>
            </w:r>
          </w:p>
        </w:tc>
        <w:tc>
          <w:tcPr>
            <w:tcW w:w="0" w:type="pct"/>
            <w:tcBorders>
              <w:top w:val="single" w:sz="8" w:space="0" w:color="00707E" w:themeColor="accent5" w:themeShade="BF"/>
              <w:bottom w:val="single" w:sz="8" w:space="0" w:color="00707E" w:themeColor="accent5" w:themeShade="BF"/>
            </w:tcBorders>
            <w:shd w:val="clear" w:color="auto" w:fill="auto"/>
            <w:hideMark/>
          </w:tcPr>
          <w:p w14:paraId="12706508" w14:textId="77777777" w:rsidR="006F7D47" w:rsidRPr="0012635D" w:rsidRDefault="006F7D47" w:rsidP="00144BA2">
            <w:pPr>
              <w:spacing w:after="0"/>
              <w:jc w:val="center"/>
              <w:cnfStyle w:val="100000000000" w:firstRow="1" w:lastRow="0" w:firstColumn="0" w:lastColumn="0" w:oddVBand="0" w:evenVBand="0" w:oddHBand="0" w:evenHBand="0" w:firstRowFirstColumn="0" w:firstRowLastColumn="0" w:lastRowFirstColumn="0" w:lastRowLastColumn="0"/>
              <w:rPr>
                <w:rFonts w:ascii="Calibri Light" w:eastAsia="Times New Roman" w:hAnsi="Calibri Light" w:cs="Calibri Light"/>
                <w:color w:val="007680"/>
                <w:lang w:eastAsia="en-AU"/>
              </w:rPr>
            </w:pPr>
            <w:r w:rsidRPr="0012635D">
              <w:rPr>
                <w:rFonts w:ascii="Calibri Light" w:eastAsia="Times New Roman" w:hAnsi="Calibri Light" w:cs="Calibri Light"/>
                <w:color w:val="007680"/>
                <w:lang w:eastAsia="en-AU"/>
              </w:rPr>
              <w:t>Total</w:t>
            </w:r>
          </w:p>
        </w:tc>
      </w:tr>
      <w:tr w:rsidR="006F7D47" w:rsidRPr="006533FB" w14:paraId="41D2FFDD" w14:textId="77777777" w:rsidTr="00144B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tcBorders>
              <w:top w:val="single" w:sz="8" w:space="0" w:color="00707E" w:themeColor="accent5" w:themeShade="BF"/>
              <w:bottom w:val="single" w:sz="8" w:space="0" w:color="D9D9D9" w:themeColor="background1" w:themeShade="D9"/>
              <w:right w:val="none" w:sz="0" w:space="0" w:color="auto"/>
            </w:tcBorders>
            <w:shd w:val="clear" w:color="auto" w:fill="auto"/>
            <w:noWrap/>
            <w:hideMark/>
          </w:tcPr>
          <w:p w14:paraId="52BFB25F" w14:textId="77777777" w:rsidR="006F7D47" w:rsidRPr="0012635D" w:rsidRDefault="006F7D47" w:rsidP="00144BA2">
            <w:pPr>
              <w:spacing w:after="0"/>
              <w:rPr>
                <w:rFonts w:ascii="Calibri Light" w:eastAsia="Times New Roman" w:hAnsi="Calibri Light" w:cs="Calibri Light"/>
                <w:b w:val="0"/>
                <w:bCs w:val="0"/>
                <w:lang w:eastAsia="en-AU"/>
              </w:rPr>
            </w:pPr>
            <w:r w:rsidRPr="0012635D">
              <w:rPr>
                <w:rFonts w:ascii="Calibri Light" w:eastAsia="Times New Roman" w:hAnsi="Calibri Light" w:cs="Calibri Light"/>
                <w:lang w:eastAsia="en-AU"/>
              </w:rPr>
              <w:t>Operations</w:t>
            </w:r>
          </w:p>
        </w:tc>
        <w:tc>
          <w:tcPr>
            <w:tcW w:w="0" w:type="pct"/>
            <w:tcBorders>
              <w:top w:val="single" w:sz="8" w:space="0" w:color="00707E" w:themeColor="accent5" w:themeShade="BF"/>
              <w:bottom w:val="single" w:sz="8" w:space="0" w:color="D9D9D9" w:themeColor="background1" w:themeShade="D9"/>
            </w:tcBorders>
            <w:shd w:val="clear" w:color="auto" w:fill="auto"/>
            <w:noWrap/>
            <w:hideMark/>
          </w:tcPr>
          <w:p w14:paraId="1F2AC78C"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23</w:t>
            </w:r>
          </w:p>
        </w:tc>
        <w:tc>
          <w:tcPr>
            <w:tcW w:w="0" w:type="pct"/>
            <w:tcBorders>
              <w:top w:val="single" w:sz="8" w:space="0" w:color="00707E" w:themeColor="accent5" w:themeShade="BF"/>
              <w:bottom w:val="single" w:sz="8" w:space="0" w:color="D9D9D9" w:themeColor="background1" w:themeShade="D9"/>
            </w:tcBorders>
            <w:shd w:val="clear" w:color="auto" w:fill="auto"/>
            <w:noWrap/>
            <w:hideMark/>
          </w:tcPr>
          <w:p w14:paraId="473601F4"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24</w:t>
            </w:r>
          </w:p>
        </w:tc>
        <w:tc>
          <w:tcPr>
            <w:tcW w:w="0" w:type="pct"/>
            <w:tcBorders>
              <w:top w:val="single" w:sz="8" w:space="0" w:color="00707E" w:themeColor="accent5" w:themeShade="BF"/>
              <w:bottom w:val="single" w:sz="8" w:space="0" w:color="D9D9D9" w:themeColor="background1" w:themeShade="D9"/>
            </w:tcBorders>
            <w:shd w:val="clear" w:color="auto" w:fill="auto"/>
            <w:noWrap/>
            <w:hideMark/>
          </w:tcPr>
          <w:p w14:paraId="7DF5BB0A"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31</w:t>
            </w:r>
          </w:p>
        </w:tc>
        <w:tc>
          <w:tcPr>
            <w:tcW w:w="0" w:type="pct"/>
            <w:tcBorders>
              <w:top w:val="single" w:sz="8" w:space="0" w:color="00707E" w:themeColor="accent5" w:themeShade="BF"/>
              <w:bottom w:val="single" w:sz="8" w:space="0" w:color="D9D9D9" w:themeColor="background1" w:themeShade="D9"/>
            </w:tcBorders>
            <w:shd w:val="clear" w:color="auto" w:fill="auto"/>
            <w:noWrap/>
            <w:hideMark/>
          </w:tcPr>
          <w:p w14:paraId="571560D3"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34</w:t>
            </w:r>
          </w:p>
        </w:tc>
        <w:tc>
          <w:tcPr>
            <w:tcW w:w="0" w:type="pct"/>
            <w:tcBorders>
              <w:top w:val="single" w:sz="8" w:space="0" w:color="00707E" w:themeColor="accent5" w:themeShade="BF"/>
              <w:bottom w:val="single" w:sz="8" w:space="0" w:color="D9D9D9" w:themeColor="background1" w:themeShade="D9"/>
            </w:tcBorders>
            <w:shd w:val="clear" w:color="auto" w:fill="auto"/>
            <w:noWrap/>
            <w:hideMark/>
          </w:tcPr>
          <w:p w14:paraId="6A305199"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32</w:t>
            </w:r>
          </w:p>
        </w:tc>
        <w:tc>
          <w:tcPr>
            <w:tcW w:w="0" w:type="pct"/>
            <w:tcBorders>
              <w:top w:val="single" w:sz="8" w:space="0" w:color="00707E" w:themeColor="accent5" w:themeShade="BF"/>
              <w:bottom w:val="single" w:sz="8" w:space="0" w:color="D9D9D9" w:themeColor="background1" w:themeShade="D9"/>
            </w:tcBorders>
            <w:shd w:val="clear" w:color="auto" w:fill="F2F2F2" w:themeFill="background1" w:themeFillShade="F2"/>
            <w:noWrap/>
            <w:hideMark/>
          </w:tcPr>
          <w:p w14:paraId="5AB73758"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144</w:t>
            </w:r>
          </w:p>
        </w:tc>
      </w:tr>
      <w:tr w:rsidR="006F7D47" w:rsidRPr="006533FB" w14:paraId="37A0ABF6" w14:textId="77777777" w:rsidTr="00144BA2">
        <w:trPr>
          <w:trHeight w:val="20"/>
        </w:trPr>
        <w:tc>
          <w:tcPr>
            <w:cnfStyle w:val="001000000000" w:firstRow="0" w:lastRow="0" w:firstColumn="1" w:lastColumn="0" w:oddVBand="0" w:evenVBand="0" w:oddHBand="0" w:evenHBand="0" w:firstRowFirstColumn="0" w:firstRowLastColumn="0" w:lastRowFirstColumn="0" w:lastRowLastColumn="0"/>
            <w:tcW w:w="1411" w:type="pct"/>
            <w:tcBorders>
              <w:top w:val="single" w:sz="8" w:space="0" w:color="D9D9D9" w:themeColor="background1" w:themeShade="D9"/>
              <w:bottom w:val="single" w:sz="8" w:space="0" w:color="D9D9D9" w:themeColor="background1" w:themeShade="D9"/>
              <w:right w:val="none" w:sz="0" w:space="0" w:color="auto"/>
            </w:tcBorders>
            <w:shd w:val="clear" w:color="auto" w:fill="auto"/>
            <w:noWrap/>
            <w:hideMark/>
          </w:tcPr>
          <w:p w14:paraId="56AE9368" w14:textId="77777777" w:rsidR="006F7D47" w:rsidRPr="0012635D" w:rsidRDefault="006F7D47" w:rsidP="00144BA2">
            <w:pPr>
              <w:spacing w:after="0"/>
              <w:rPr>
                <w:rFonts w:ascii="Calibri Light" w:eastAsia="Times New Roman" w:hAnsi="Calibri Light" w:cs="Calibri Light"/>
                <w:b w:val="0"/>
                <w:bCs w:val="0"/>
                <w:lang w:eastAsia="en-AU"/>
              </w:rPr>
            </w:pPr>
            <w:r w:rsidRPr="0012635D">
              <w:rPr>
                <w:rFonts w:ascii="Calibri Light" w:eastAsia="Times New Roman" w:hAnsi="Calibri Light" w:cs="Calibri Light"/>
                <w:lang w:eastAsia="en-AU"/>
              </w:rPr>
              <w:t>Drilling</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0259D99F"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19</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4BFE5E43"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10</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7872FE57"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8</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6E9443D1"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9</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48FA9EA3"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7</w:t>
            </w:r>
          </w:p>
        </w:tc>
        <w:tc>
          <w:tcPr>
            <w:tcW w:w="0"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51A4BAD7"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53</w:t>
            </w:r>
          </w:p>
        </w:tc>
      </w:tr>
      <w:tr w:rsidR="006F7D47" w:rsidRPr="006533FB" w14:paraId="705C1BFC" w14:textId="77777777" w:rsidTr="00144B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tcBorders>
              <w:top w:val="single" w:sz="8" w:space="0" w:color="D9D9D9" w:themeColor="background1" w:themeShade="D9"/>
              <w:bottom w:val="single" w:sz="8" w:space="0" w:color="D9D9D9" w:themeColor="background1" w:themeShade="D9"/>
              <w:right w:val="none" w:sz="0" w:space="0" w:color="auto"/>
            </w:tcBorders>
            <w:shd w:val="clear" w:color="auto" w:fill="auto"/>
            <w:noWrap/>
            <w:hideMark/>
          </w:tcPr>
          <w:p w14:paraId="29F1DEC0" w14:textId="77777777" w:rsidR="006F7D47" w:rsidRPr="0012635D" w:rsidRDefault="006F7D47" w:rsidP="00144BA2">
            <w:pPr>
              <w:spacing w:after="0"/>
              <w:rPr>
                <w:rFonts w:ascii="Calibri Light" w:eastAsia="Times New Roman" w:hAnsi="Calibri Light" w:cs="Calibri Light"/>
                <w:b w:val="0"/>
                <w:bCs w:val="0"/>
                <w:lang w:eastAsia="en-AU"/>
              </w:rPr>
            </w:pPr>
            <w:r w:rsidRPr="0012635D">
              <w:rPr>
                <w:rFonts w:ascii="Calibri Light" w:eastAsia="Times New Roman" w:hAnsi="Calibri Light" w:cs="Calibri Light"/>
                <w:lang w:eastAsia="en-AU"/>
              </w:rPr>
              <w:t>Seismic</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3EFB322F"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15</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45C10506"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3</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18EA89C1"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4</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78B36B08"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7</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161DFB68"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5</w:t>
            </w:r>
          </w:p>
        </w:tc>
        <w:tc>
          <w:tcPr>
            <w:tcW w:w="0"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17429508"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34</w:t>
            </w:r>
          </w:p>
        </w:tc>
      </w:tr>
      <w:tr w:rsidR="006F7D47" w:rsidRPr="006533FB" w14:paraId="5417B39D" w14:textId="77777777" w:rsidTr="00144BA2">
        <w:trPr>
          <w:trHeight w:val="20"/>
        </w:trPr>
        <w:tc>
          <w:tcPr>
            <w:cnfStyle w:val="001000000000" w:firstRow="0" w:lastRow="0" w:firstColumn="1" w:lastColumn="0" w:oddVBand="0" w:evenVBand="0" w:oddHBand="0" w:evenHBand="0" w:firstRowFirstColumn="0" w:firstRowLastColumn="0" w:lastRowFirstColumn="0" w:lastRowLastColumn="0"/>
            <w:tcW w:w="1411" w:type="pct"/>
            <w:tcBorders>
              <w:top w:val="single" w:sz="8" w:space="0" w:color="D9D9D9" w:themeColor="background1" w:themeShade="D9"/>
              <w:bottom w:val="single" w:sz="8" w:space="0" w:color="D9D9D9" w:themeColor="background1" w:themeShade="D9"/>
              <w:right w:val="none" w:sz="0" w:space="0" w:color="auto"/>
            </w:tcBorders>
            <w:shd w:val="clear" w:color="auto" w:fill="auto"/>
            <w:noWrap/>
            <w:hideMark/>
          </w:tcPr>
          <w:p w14:paraId="18AA88B6" w14:textId="77777777" w:rsidR="006F7D47" w:rsidRPr="0012635D" w:rsidRDefault="006F7D47" w:rsidP="00144BA2">
            <w:pPr>
              <w:spacing w:after="0"/>
              <w:rPr>
                <w:rFonts w:ascii="Calibri Light" w:eastAsia="Times New Roman" w:hAnsi="Calibri Light" w:cs="Calibri Light"/>
                <w:b w:val="0"/>
                <w:bCs w:val="0"/>
                <w:lang w:eastAsia="en-AU"/>
              </w:rPr>
            </w:pPr>
            <w:r w:rsidRPr="0012635D">
              <w:rPr>
                <w:rFonts w:ascii="Calibri Light" w:eastAsia="Times New Roman" w:hAnsi="Calibri Light" w:cs="Calibri Light"/>
                <w:lang w:eastAsia="en-AU"/>
              </w:rPr>
              <w:t>Other</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614B72D3"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8</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2680F826"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6</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3CBC8812"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 </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27BCF235"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3</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16A4A2AA"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2</w:t>
            </w:r>
          </w:p>
        </w:tc>
        <w:tc>
          <w:tcPr>
            <w:tcW w:w="0"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45010B34"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19</w:t>
            </w:r>
          </w:p>
        </w:tc>
      </w:tr>
      <w:tr w:rsidR="006F7D47" w:rsidRPr="006533FB" w14:paraId="00FFD22C" w14:textId="77777777" w:rsidTr="00144B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tcBorders>
              <w:top w:val="single" w:sz="8" w:space="0" w:color="D9D9D9" w:themeColor="background1" w:themeShade="D9"/>
              <w:bottom w:val="single" w:sz="8" w:space="0" w:color="D9D9D9" w:themeColor="background1" w:themeShade="D9"/>
              <w:right w:val="none" w:sz="0" w:space="0" w:color="auto"/>
            </w:tcBorders>
            <w:shd w:val="clear" w:color="auto" w:fill="auto"/>
            <w:noWrap/>
            <w:hideMark/>
          </w:tcPr>
          <w:p w14:paraId="2C527331" w14:textId="77777777" w:rsidR="006F7D47" w:rsidRPr="0012635D" w:rsidRDefault="006F7D47" w:rsidP="00144BA2">
            <w:pPr>
              <w:spacing w:after="0"/>
              <w:rPr>
                <w:rFonts w:ascii="Calibri Light" w:eastAsia="Times New Roman" w:hAnsi="Calibri Light" w:cs="Calibri Light"/>
                <w:b w:val="0"/>
                <w:bCs w:val="0"/>
                <w:lang w:eastAsia="en-AU"/>
              </w:rPr>
            </w:pPr>
            <w:r w:rsidRPr="0012635D">
              <w:rPr>
                <w:rFonts w:ascii="Calibri Light" w:eastAsia="Times New Roman" w:hAnsi="Calibri Light" w:cs="Calibri Light"/>
                <w:lang w:eastAsia="en-AU"/>
              </w:rPr>
              <w:t>Construction</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7219DA84"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4</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64E0F13D"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 </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24939198"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4C45454A"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18801641"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 </w:t>
            </w:r>
          </w:p>
        </w:tc>
        <w:tc>
          <w:tcPr>
            <w:tcW w:w="0"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04E28473"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6</w:t>
            </w:r>
          </w:p>
        </w:tc>
      </w:tr>
      <w:tr w:rsidR="006F7D47" w:rsidRPr="006533FB" w14:paraId="7A7E60F8" w14:textId="77777777" w:rsidTr="00144BA2">
        <w:trPr>
          <w:trHeight w:val="20"/>
        </w:trPr>
        <w:tc>
          <w:tcPr>
            <w:cnfStyle w:val="001000000000" w:firstRow="0" w:lastRow="0" w:firstColumn="1" w:lastColumn="0" w:oddVBand="0" w:evenVBand="0" w:oddHBand="0" w:evenHBand="0" w:firstRowFirstColumn="0" w:firstRowLastColumn="0" w:lastRowFirstColumn="0" w:lastRowLastColumn="0"/>
            <w:tcW w:w="1411" w:type="pct"/>
            <w:tcBorders>
              <w:top w:val="single" w:sz="8" w:space="0" w:color="D9D9D9" w:themeColor="background1" w:themeShade="D9"/>
              <w:bottom w:val="single" w:sz="8" w:space="0" w:color="D9D9D9" w:themeColor="background1" w:themeShade="D9"/>
              <w:right w:val="none" w:sz="0" w:space="0" w:color="auto"/>
            </w:tcBorders>
            <w:shd w:val="clear" w:color="auto" w:fill="auto"/>
            <w:noWrap/>
            <w:hideMark/>
          </w:tcPr>
          <w:p w14:paraId="712EA3C5" w14:textId="77777777" w:rsidR="006F7D47" w:rsidRPr="0012635D" w:rsidRDefault="006F7D47" w:rsidP="00144BA2">
            <w:pPr>
              <w:spacing w:after="0"/>
              <w:rPr>
                <w:rFonts w:ascii="Calibri Light" w:eastAsia="Times New Roman" w:hAnsi="Calibri Light" w:cs="Calibri Light"/>
                <w:b w:val="0"/>
                <w:bCs w:val="0"/>
                <w:lang w:eastAsia="en-AU"/>
              </w:rPr>
            </w:pPr>
            <w:r w:rsidRPr="0012635D">
              <w:rPr>
                <w:rFonts w:ascii="Calibri Light" w:eastAsia="Times New Roman" w:hAnsi="Calibri Light" w:cs="Calibri Light"/>
                <w:lang w:eastAsia="en-AU"/>
              </w:rPr>
              <w:t>Decommissioning</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254DA8D7"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 </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2F531141"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20C9B997"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 </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75E19A90"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 </w:t>
            </w:r>
          </w:p>
        </w:tc>
        <w:tc>
          <w:tcPr>
            <w:tcW w:w="0" w:type="pct"/>
            <w:tcBorders>
              <w:top w:val="single" w:sz="8" w:space="0" w:color="D9D9D9" w:themeColor="background1" w:themeShade="D9"/>
              <w:bottom w:val="single" w:sz="8" w:space="0" w:color="D9D9D9" w:themeColor="background1" w:themeShade="D9"/>
            </w:tcBorders>
            <w:shd w:val="clear" w:color="auto" w:fill="auto"/>
            <w:noWrap/>
            <w:hideMark/>
          </w:tcPr>
          <w:p w14:paraId="6AF375CE"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lang w:eastAsia="en-AU"/>
              </w:rPr>
            </w:pPr>
            <w:r w:rsidRPr="0012635D">
              <w:rPr>
                <w:rFonts w:ascii="Calibri Light" w:eastAsia="Times New Roman" w:hAnsi="Calibri Light" w:cs="Calibri Light"/>
                <w:lang w:eastAsia="en-AU"/>
              </w:rPr>
              <w:t>1</w:t>
            </w:r>
          </w:p>
        </w:tc>
        <w:tc>
          <w:tcPr>
            <w:tcW w:w="0"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18FB4478" w14:textId="77777777" w:rsidR="006F7D47" w:rsidRPr="0012635D" w:rsidRDefault="006F7D47" w:rsidP="00144BA2">
            <w:pPr>
              <w:spacing w:after="0"/>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2</w:t>
            </w:r>
          </w:p>
        </w:tc>
      </w:tr>
      <w:tr w:rsidR="006F7D47" w:rsidRPr="006533FB" w14:paraId="0660A0B8" w14:textId="77777777" w:rsidTr="00144BA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1" w:type="pct"/>
            <w:tcBorders>
              <w:top w:val="single" w:sz="8" w:space="0" w:color="D9D9D9" w:themeColor="background1" w:themeShade="D9"/>
              <w:bottom w:val="single" w:sz="8" w:space="0" w:color="D9D9D9" w:themeColor="background1" w:themeShade="D9"/>
              <w:right w:val="none" w:sz="0" w:space="0" w:color="auto"/>
            </w:tcBorders>
            <w:shd w:val="clear" w:color="auto" w:fill="F2F2F2" w:themeFill="background1" w:themeFillShade="F2"/>
            <w:noWrap/>
            <w:hideMark/>
          </w:tcPr>
          <w:p w14:paraId="5D5AFED5" w14:textId="77777777" w:rsidR="006F7D47" w:rsidRPr="0012635D" w:rsidRDefault="006F7D47" w:rsidP="00144BA2">
            <w:pPr>
              <w:spacing w:after="0"/>
              <w:rPr>
                <w:rFonts w:ascii="Calibri Light" w:eastAsia="Times New Roman" w:hAnsi="Calibri Light" w:cs="Calibri Light"/>
                <w:lang w:eastAsia="en-AU"/>
              </w:rPr>
            </w:pPr>
            <w:r w:rsidRPr="0012635D">
              <w:rPr>
                <w:rFonts w:ascii="Calibri Light" w:eastAsia="Times New Roman" w:hAnsi="Calibri Light" w:cs="Calibri Light"/>
                <w:lang w:eastAsia="en-AU"/>
              </w:rPr>
              <w:t>Total</w:t>
            </w:r>
          </w:p>
        </w:tc>
        <w:tc>
          <w:tcPr>
            <w:tcW w:w="0"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06EF0B39"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69</w:t>
            </w:r>
          </w:p>
        </w:tc>
        <w:tc>
          <w:tcPr>
            <w:tcW w:w="0"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1B8E3505"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44</w:t>
            </w:r>
          </w:p>
        </w:tc>
        <w:tc>
          <w:tcPr>
            <w:tcW w:w="0"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3994B3D8"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44</w:t>
            </w:r>
          </w:p>
        </w:tc>
        <w:tc>
          <w:tcPr>
            <w:tcW w:w="0"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18C433B2"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54</w:t>
            </w:r>
          </w:p>
        </w:tc>
        <w:tc>
          <w:tcPr>
            <w:tcW w:w="0"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39FFFF6B"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47</w:t>
            </w:r>
          </w:p>
        </w:tc>
        <w:tc>
          <w:tcPr>
            <w:tcW w:w="0"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2CF677DA" w14:textId="77777777" w:rsidR="006F7D47" w:rsidRPr="0012635D" w:rsidRDefault="006F7D47" w:rsidP="00144BA2">
            <w:pPr>
              <w:spacing w:after="0"/>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bCs/>
                <w:lang w:eastAsia="en-AU"/>
              </w:rPr>
            </w:pPr>
            <w:r w:rsidRPr="0012635D">
              <w:rPr>
                <w:rFonts w:ascii="Calibri Light" w:eastAsia="Times New Roman" w:hAnsi="Calibri Light" w:cs="Calibri Light"/>
                <w:b/>
                <w:bCs/>
                <w:lang w:eastAsia="en-AU"/>
              </w:rPr>
              <w:t>258</w:t>
            </w:r>
          </w:p>
        </w:tc>
      </w:tr>
    </w:tbl>
    <w:p w14:paraId="44026100" w14:textId="77777777" w:rsidR="006F7D47" w:rsidRPr="00656E8A" w:rsidRDefault="006F7D47" w:rsidP="006F7D47">
      <w:pPr>
        <w:pStyle w:val="Caption"/>
        <w:rPr>
          <w:b w:val="0"/>
          <w:bCs/>
          <w:i/>
          <w:iCs w:val="0"/>
          <w:color w:val="75787B" w:themeColor="accent6"/>
        </w:rPr>
      </w:pPr>
      <w:r w:rsidRPr="00656E8A">
        <w:rPr>
          <w:b w:val="0"/>
          <w:bCs/>
          <w:i/>
          <w:iCs w:val="0"/>
          <w:color w:val="75787B" w:themeColor="accent6"/>
        </w:rPr>
        <w:t>Source: NOPSEMA data</w:t>
      </w:r>
    </w:p>
    <w:p w14:paraId="5FB6B87B" w14:textId="64F9C526" w:rsidR="002C0600" w:rsidRPr="0012635D" w:rsidRDefault="002C0600" w:rsidP="002C0600">
      <w:pPr>
        <w:rPr>
          <w:rFonts w:ascii="Calibri Light" w:hAnsi="Calibri Light" w:cs="Calibri Light"/>
        </w:rPr>
      </w:pPr>
      <w:r w:rsidRPr="0012635D">
        <w:rPr>
          <w:rFonts w:ascii="Calibri Light" w:hAnsi="Calibri Light" w:cs="Calibri Light"/>
        </w:rPr>
        <w:t xml:space="preserve">Finally, </w:t>
      </w:r>
      <w:r w:rsidRPr="00FC1657">
        <w:rPr>
          <w:rFonts w:ascii="Calibri Light" w:hAnsi="Calibri Light" w:cs="Calibri Light"/>
          <w:b/>
          <w:bCs/>
          <w:highlight w:val="yellow"/>
        </w:rPr>
        <w:fldChar w:fldCharType="begin"/>
      </w:r>
      <w:r w:rsidRPr="00FC1657">
        <w:rPr>
          <w:rFonts w:ascii="Calibri Light" w:hAnsi="Calibri Light" w:cs="Calibri Light"/>
          <w:b/>
          <w:bCs/>
        </w:rPr>
        <w:instrText xml:space="preserve"> REF _Ref63105410 \h </w:instrText>
      </w:r>
      <w:r w:rsidRPr="00FC1657">
        <w:rPr>
          <w:rFonts w:ascii="Calibri Light" w:hAnsi="Calibri Light" w:cs="Calibri Light"/>
          <w:b/>
          <w:bCs/>
          <w:highlight w:val="yellow"/>
        </w:rPr>
        <w:instrText xml:space="preserve"> \* MERGEFORMAT </w:instrText>
      </w:r>
      <w:r w:rsidRPr="00FC1657">
        <w:rPr>
          <w:rFonts w:ascii="Calibri Light" w:hAnsi="Calibri Light" w:cs="Calibri Light"/>
          <w:b/>
          <w:bCs/>
          <w:highlight w:val="yellow"/>
        </w:rPr>
      </w:r>
      <w:r w:rsidRPr="00FC1657">
        <w:rPr>
          <w:rFonts w:ascii="Calibri Light" w:hAnsi="Calibri Light" w:cs="Calibri Light"/>
          <w:b/>
          <w:bCs/>
          <w:highlight w:val="yellow"/>
        </w:rPr>
        <w:fldChar w:fldCharType="separate"/>
      </w:r>
      <w:r w:rsidR="00E816B8" w:rsidRPr="00E816B8">
        <w:rPr>
          <w:rFonts w:ascii="Calibri Light" w:hAnsi="Calibri Light" w:cs="Calibri Light"/>
          <w:b/>
          <w:bCs/>
        </w:rPr>
        <w:t xml:space="preserve">Table </w:t>
      </w:r>
      <w:r w:rsidR="00E816B8" w:rsidRPr="00E816B8">
        <w:rPr>
          <w:rFonts w:ascii="Calibri Light" w:hAnsi="Calibri Light" w:cs="Calibri Light"/>
          <w:b/>
          <w:bCs/>
          <w:noProof/>
        </w:rPr>
        <w:t>11.9</w:t>
      </w:r>
      <w:r w:rsidRPr="00FC1657">
        <w:rPr>
          <w:rFonts w:ascii="Calibri Light" w:hAnsi="Calibri Light" w:cs="Calibri Light"/>
          <w:b/>
          <w:bCs/>
          <w:highlight w:val="yellow"/>
        </w:rPr>
        <w:fldChar w:fldCharType="end"/>
      </w:r>
      <w:r w:rsidRPr="00FC1657">
        <w:rPr>
          <w:rFonts w:ascii="Calibri Light" w:hAnsi="Calibri Light" w:cs="Calibri Light"/>
          <w:b/>
          <w:bCs/>
        </w:rPr>
        <w:t xml:space="preserve"> </w:t>
      </w:r>
      <w:r w:rsidRPr="0012635D">
        <w:rPr>
          <w:rFonts w:ascii="Calibri Light" w:hAnsi="Calibri Light" w:cs="Calibri Light"/>
        </w:rPr>
        <w:t xml:space="preserve">outlines the range of enforcement actions undertaken by NOPSEMA during the review period for environmental related activities. </w:t>
      </w:r>
      <w:r>
        <w:rPr>
          <w:rFonts w:ascii="Calibri Light" w:hAnsi="Calibri Light" w:cs="Calibri Light"/>
        </w:rPr>
        <w:t xml:space="preserve">Enforcement actions </w:t>
      </w:r>
      <w:r w:rsidR="005C45C3">
        <w:rPr>
          <w:rFonts w:ascii="Calibri Light" w:hAnsi="Calibri Light" w:cs="Calibri Light"/>
        </w:rPr>
        <w:t>were</w:t>
      </w:r>
      <w:r>
        <w:rPr>
          <w:rFonts w:ascii="Calibri Light" w:hAnsi="Calibri Light" w:cs="Calibri Light"/>
        </w:rPr>
        <w:t xml:space="preserve"> undertaken where NOPSEMA identifie</w:t>
      </w:r>
      <w:r w:rsidR="005C45C3">
        <w:rPr>
          <w:rFonts w:ascii="Calibri Light" w:hAnsi="Calibri Light" w:cs="Calibri Light"/>
        </w:rPr>
        <w:t>d</w:t>
      </w:r>
      <w:r>
        <w:rPr>
          <w:rFonts w:ascii="Calibri Light" w:hAnsi="Calibri Light" w:cs="Calibri Light"/>
        </w:rPr>
        <w:t xml:space="preserve"> a significant threat to the environment through an inspection or investigation. NOPSEMA issued general directions in order to prevent or limit further environmental harm from occurring. NOPSEMA issue</w:t>
      </w:r>
      <w:r w:rsidR="005C45C3">
        <w:rPr>
          <w:rFonts w:ascii="Calibri Light" w:hAnsi="Calibri Light" w:cs="Calibri Light"/>
        </w:rPr>
        <w:t>d</w:t>
      </w:r>
      <w:r>
        <w:rPr>
          <w:rFonts w:ascii="Calibri Light" w:hAnsi="Calibri Light" w:cs="Calibri Light"/>
        </w:rPr>
        <w:t xml:space="preserve"> requests for revisions to EP to improve </w:t>
      </w:r>
      <w:r w:rsidR="005C45C3">
        <w:rPr>
          <w:rFonts w:ascii="Calibri Light" w:hAnsi="Calibri Light" w:cs="Calibri Light"/>
        </w:rPr>
        <w:t xml:space="preserve">future </w:t>
      </w:r>
      <w:r>
        <w:rPr>
          <w:rFonts w:ascii="Calibri Light" w:hAnsi="Calibri Light" w:cs="Calibri Light"/>
        </w:rPr>
        <w:t>environmental management arrangements of titleholders. Written advice or warnings were issued in response to environmental management issues where NOPSEMA identified that the issue did not warrant escalated enforcement action.</w:t>
      </w:r>
    </w:p>
    <w:p w14:paraId="261FF36C" w14:textId="53A877A9" w:rsidR="001D68A4" w:rsidRPr="00A764B7" w:rsidRDefault="001D68A4" w:rsidP="001D68A4">
      <w:pPr>
        <w:pStyle w:val="Caption"/>
        <w:keepNext/>
      </w:pPr>
      <w:bookmarkStart w:id="199" w:name="_Ref63105410"/>
      <w:r>
        <w:t xml:space="preserve">Table </w:t>
      </w:r>
      <w:r w:rsidR="00624D4F">
        <w:fldChar w:fldCharType="begin"/>
      </w:r>
      <w:r w:rsidR="00624D4F">
        <w:instrText xml:space="preserve"> STYLEREF 1 \s </w:instrText>
      </w:r>
      <w:r w:rsidR="00624D4F">
        <w:fldChar w:fldCharType="separate"/>
      </w:r>
      <w:r w:rsidR="00E816B8">
        <w:rPr>
          <w:noProof/>
        </w:rPr>
        <w:t>11</w:t>
      </w:r>
      <w:r w:rsidR="00624D4F">
        <w:fldChar w:fldCharType="end"/>
      </w:r>
      <w:r w:rsidR="00624D4F">
        <w:t>.</w:t>
      </w:r>
      <w:r w:rsidR="00624D4F">
        <w:fldChar w:fldCharType="begin"/>
      </w:r>
      <w:r w:rsidR="00624D4F">
        <w:instrText xml:space="preserve"> SEQ Table \* ARABIC \s 1 </w:instrText>
      </w:r>
      <w:r w:rsidR="00624D4F">
        <w:fldChar w:fldCharType="separate"/>
      </w:r>
      <w:r w:rsidR="00E816B8">
        <w:rPr>
          <w:noProof/>
        </w:rPr>
        <w:t>9</w:t>
      </w:r>
      <w:r w:rsidR="00624D4F">
        <w:fldChar w:fldCharType="end"/>
      </w:r>
      <w:bookmarkEnd w:id="199"/>
      <w:r>
        <w:t xml:space="preserve">: </w:t>
      </w:r>
      <w:r w:rsidRPr="00A764B7">
        <w:t>Total environmental enforcements and non-statutory compliance actions undertaken by NOPSEMA from 2015 to 2019</w:t>
      </w:r>
    </w:p>
    <w:tbl>
      <w:tblPr>
        <w:tblStyle w:val="TableGrid"/>
        <w:tblW w:w="5000" w:type="pct"/>
        <w:tblLayout w:type="fixed"/>
        <w:tblLook w:val="04A0" w:firstRow="1" w:lastRow="0" w:firstColumn="1" w:lastColumn="0" w:noHBand="0" w:noVBand="1"/>
      </w:tblPr>
      <w:tblGrid>
        <w:gridCol w:w="2411"/>
        <w:gridCol w:w="2269"/>
        <w:gridCol w:w="864"/>
        <w:gridCol w:w="864"/>
        <w:gridCol w:w="864"/>
        <w:gridCol w:w="864"/>
        <w:gridCol w:w="864"/>
        <w:gridCol w:w="864"/>
      </w:tblGrid>
      <w:tr w:rsidR="001D68A4" w:rsidRPr="00A764B7" w14:paraId="01D7ED2D" w14:textId="77777777" w:rsidTr="00144BA2">
        <w:trPr>
          <w:cnfStyle w:val="100000000000" w:firstRow="1" w:lastRow="0" w:firstColumn="0" w:lastColumn="0" w:oddVBand="0" w:evenVBand="0" w:oddHBand="0" w:evenHBand="0" w:firstRowFirstColumn="0" w:firstRowLastColumn="0" w:lastRowFirstColumn="0" w:lastRowLastColumn="0"/>
          <w:trHeight w:val="57"/>
        </w:trPr>
        <w:tc>
          <w:tcPr>
            <w:tcW w:w="1222" w:type="pct"/>
            <w:tcBorders>
              <w:top w:val="single" w:sz="8" w:space="0" w:color="00707E" w:themeColor="accent5" w:themeShade="BF"/>
              <w:bottom w:val="single" w:sz="8" w:space="0" w:color="00707E" w:themeColor="accent5" w:themeShade="BF"/>
            </w:tcBorders>
            <w:noWrap/>
            <w:hideMark/>
          </w:tcPr>
          <w:p w14:paraId="32CA321A" w14:textId="77777777" w:rsidR="001D68A4" w:rsidRPr="0012635D" w:rsidRDefault="001D68A4" w:rsidP="00144BA2">
            <w:pPr>
              <w:spacing w:after="0"/>
              <w:rPr>
                <w:rFonts w:ascii="Calibri Light" w:hAnsi="Calibri Light" w:cs="Calibri Light"/>
                <w:b/>
                <w:bCs/>
                <w:color w:val="007680"/>
              </w:rPr>
            </w:pPr>
            <w:r w:rsidRPr="0012635D">
              <w:rPr>
                <w:rFonts w:ascii="Calibri Light" w:hAnsi="Calibri Light" w:cs="Calibri Light"/>
                <w:b/>
                <w:bCs/>
                <w:color w:val="007680"/>
              </w:rPr>
              <w:t>Enforcement type</w:t>
            </w:r>
          </w:p>
        </w:tc>
        <w:tc>
          <w:tcPr>
            <w:tcW w:w="1150" w:type="pct"/>
            <w:tcBorders>
              <w:top w:val="single" w:sz="8" w:space="0" w:color="00707E" w:themeColor="accent5" w:themeShade="BF"/>
              <w:bottom w:val="single" w:sz="8" w:space="0" w:color="00707E" w:themeColor="accent5" w:themeShade="BF"/>
            </w:tcBorders>
            <w:noWrap/>
            <w:hideMark/>
          </w:tcPr>
          <w:p w14:paraId="11F0EE4F" w14:textId="77777777" w:rsidR="001D68A4" w:rsidRPr="0012635D" w:rsidRDefault="001D68A4" w:rsidP="00144BA2">
            <w:pPr>
              <w:spacing w:after="0"/>
              <w:rPr>
                <w:rFonts w:ascii="Calibri Light" w:hAnsi="Calibri Light" w:cs="Calibri Light"/>
                <w:b/>
                <w:bCs/>
                <w:color w:val="007680"/>
              </w:rPr>
            </w:pPr>
            <w:r w:rsidRPr="0012635D">
              <w:rPr>
                <w:rFonts w:ascii="Calibri Light" w:hAnsi="Calibri Light" w:cs="Calibri Light"/>
                <w:b/>
                <w:bCs/>
                <w:color w:val="007680"/>
              </w:rPr>
              <w:t>Activity type</w:t>
            </w:r>
          </w:p>
        </w:tc>
        <w:tc>
          <w:tcPr>
            <w:tcW w:w="438" w:type="pct"/>
            <w:tcBorders>
              <w:top w:val="single" w:sz="8" w:space="0" w:color="00707E" w:themeColor="accent5" w:themeShade="BF"/>
              <w:bottom w:val="single" w:sz="8" w:space="0" w:color="00707E" w:themeColor="accent5" w:themeShade="BF"/>
            </w:tcBorders>
            <w:noWrap/>
            <w:hideMark/>
          </w:tcPr>
          <w:p w14:paraId="62F2FE86" w14:textId="77777777" w:rsidR="001D68A4" w:rsidRPr="0012635D" w:rsidRDefault="001D68A4"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2015</w:t>
            </w:r>
          </w:p>
        </w:tc>
        <w:tc>
          <w:tcPr>
            <w:tcW w:w="438" w:type="pct"/>
            <w:tcBorders>
              <w:top w:val="single" w:sz="8" w:space="0" w:color="00707E" w:themeColor="accent5" w:themeShade="BF"/>
              <w:bottom w:val="single" w:sz="8" w:space="0" w:color="00707E" w:themeColor="accent5" w:themeShade="BF"/>
            </w:tcBorders>
            <w:noWrap/>
            <w:hideMark/>
          </w:tcPr>
          <w:p w14:paraId="1F1B52DE" w14:textId="77777777" w:rsidR="001D68A4" w:rsidRPr="0012635D" w:rsidRDefault="001D68A4"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2016</w:t>
            </w:r>
          </w:p>
        </w:tc>
        <w:tc>
          <w:tcPr>
            <w:tcW w:w="438" w:type="pct"/>
            <w:tcBorders>
              <w:top w:val="single" w:sz="8" w:space="0" w:color="00707E" w:themeColor="accent5" w:themeShade="BF"/>
              <w:bottom w:val="single" w:sz="8" w:space="0" w:color="00707E" w:themeColor="accent5" w:themeShade="BF"/>
            </w:tcBorders>
            <w:noWrap/>
            <w:hideMark/>
          </w:tcPr>
          <w:p w14:paraId="7646CF9C" w14:textId="77777777" w:rsidR="001D68A4" w:rsidRPr="0012635D" w:rsidRDefault="001D68A4"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2017</w:t>
            </w:r>
          </w:p>
        </w:tc>
        <w:tc>
          <w:tcPr>
            <w:tcW w:w="438" w:type="pct"/>
            <w:tcBorders>
              <w:top w:val="single" w:sz="8" w:space="0" w:color="00707E" w:themeColor="accent5" w:themeShade="BF"/>
              <w:bottom w:val="single" w:sz="8" w:space="0" w:color="00707E" w:themeColor="accent5" w:themeShade="BF"/>
            </w:tcBorders>
            <w:noWrap/>
            <w:hideMark/>
          </w:tcPr>
          <w:p w14:paraId="15978005" w14:textId="77777777" w:rsidR="001D68A4" w:rsidRPr="0012635D" w:rsidRDefault="001D68A4"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2018</w:t>
            </w:r>
          </w:p>
        </w:tc>
        <w:tc>
          <w:tcPr>
            <w:tcW w:w="438" w:type="pct"/>
            <w:tcBorders>
              <w:top w:val="single" w:sz="8" w:space="0" w:color="00707E" w:themeColor="accent5" w:themeShade="BF"/>
              <w:bottom w:val="single" w:sz="8" w:space="0" w:color="00707E" w:themeColor="accent5" w:themeShade="BF"/>
            </w:tcBorders>
            <w:noWrap/>
            <w:hideMark/>
          </w:tcPr>
          <w:p w14:paraId="70170C77" w14:textId="77777777" w:rsidR="001D68A4" w:rsidRPr="0012635D" w:rsidRDefault="001D68A4"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2019</w:t>
            </w:r>
          </w:p>
        </w:tc>
        <w:tc>
          <w:tcPr>
            <w:tcW w:w="438" w:type="pct"/>
            <w:tcBorders>
              <w:top w:val="single" w:sz="8" w:space="0" w:color="00707E" w:themeColor="accent5" w:themeShade="BF"/>
              <w:bottom w:val="single" w:sz="8" w:space="0" w:color="00707E" w:themeColor="accent5" w:themeShade="BF"/>
            </w:tcBorders>
            <w:noWrap/>
            <w:hideMark/>
          </w:tcPr>
          <w:p w14:paraId="3F462A77" w14:textId="77777777" w:rsidR="001D68A4" w:rsidRPr="0012635D" w:rsidRDefault="001D68A4" w:rsidP="00144BA2">
            <w:pPr>
              <w:spacing w:after="0"/>
              <w:jc w:val="center"/>
              <w:rPr>
                <w:rFonts w:ascii="Calibri Light" w:hAnsi="Calibri Light" w:cs="Calibri Light"/>
                <w:b/>
                <w:bCs/>
                <w:color w:val="007680"/>
              </w:rPr>
            </w:pPr>
            <w:r w:rsidRPr="0012635D">
              <w:rPr>
                <w:rFonts w:ascii="Calibri Light" w:hAnsi="Calibri Light" w:cs="Calibri Light"/>
                <w:b/>
                <w:bCs/>
                <w:color w:val="007680"/>
              </w:rPr>
              <w:t>Total</w:t>
            </w:r>
          </w:p>
        </w:tc>
      </w:tr>
      <w:tr w:rsidR="001D68A4" w:rsidRPr="00A764B7" w14:paraId="55764FE6" w14:textId="77777777" w:rsidTr="00144BA2">
        <w:trPr>
          <w:trHeight w:val="57"/>
        </w:trPr>
        <w:tc>
          <w:tcPr>
            <w:tcW w:w="1222" w:type="pct"/>
            <w:vMerge w:val="restart"/>
            <w:tcBorders>
              <w:top w:val="single" w:sz="8" w:space="0" w:color="00707E" w:themeColor="accent5" w:themeShade="BF"/>
            </w:tcBorders>
            <w:noWrap/>
            <w:hideMark/>
          </w:tcPr>
          <w:p w14:paraId="53B297EF" w14:textId="77777777" w:rsidR="001D68A4" w:rsidRPr="0012635D" w:rsidRDefault="001D68A4" w:rsidP="00144BA2">
            <w:pPr>
              <w:spacing w:after="0"/>
              <w:rPr>
                <w:rFonts w:ascii="Calibri Light" w:hAnsi="Calibri Light" w:cs="Calibri Light"/>
              </w:rPr>
            </w:pPr>
            <w:r w:rsidRPr="0012635D">
              <w:rPr>
                <w:rFonts w:ascii="Calibri Light" w:hAnsi="Calibri Light" w:cs="Calibri Light"/>
              </w:rPr>
              <w:t>General</w:t>
            </w:r>
            <w:r>
              <w:rPr>
                <w:rFonts w:ascii="Calibri Light" w:hAnsi="Calibri Light" w:cs="Calibri Light"/>
              </w:rPr>
              <w:t xml:space="preserve"> directions</w:t>
            </w:r>
          </w:p>
        </w:tc>
        <w:tc>
          <w:tcPr>
            <w:tcW w:w="1150" w:type="pct"/>
            <w:tcBorders>
              <w:top w:val="single" w:sz="8" w:space="0" w:color="00707E" w:themeColor="accent5" w:themeShade="BF"/>
              <w:bottom w:val="single" w:sz="8" w:space="0" w:color="D9D9D9" w:themeColor="background1" w:themeShade="D9"/>
            </w:tcBorders>
            <w:noWrap/>
            <w:hideMark/>
          </w:tcPr>
          <w:p w14:paraId="057B9BB3" w14:textId="77777777" w:rsidR="001D68A4" w:rsidRPr="0012635D" w:rsidRDefault="001D68A4" w:rsidP="00144BA2">
            <w:pPr>
              <w:spacing w:after="0"/>
              <w:rPr>
                <w:rFonts w:ascii="Calibri Light" w:hAnsi="Calibri Light" w:cs="Calibri Light"/>
              </w:rPr>
            </w:pPr>
            <w:r>
              <w:rPr>
                <w:rFonts w:ascii="Calibri Light" w:hAnsi="Calibri Light" w:cs="Calibri Light"/>
              </w:rPr>
              <w:t>Not specified</w:t>
            </w:r>
          </w:p>
        </w:tc>
        <w:tc>
          <w:tcPr>
            <w:tcW w:w="438" w:type="pct"/>
            <w:tcBorders>
              <w:top w:val="single" w:sz="8" w:space="0" w:color="00707E" w:themeColor="accent5" w:themeShade="BF"/>
              <w:bottom w:val="single" w:sz="8" w:space="0" w:color="D9D9D9" w:themeColor="background1" w:themeShade="D9"/>
            </w:tcBorders>
            <w:noWrap/>
            <w:hideMark/>
          </w:tcPr>
          <w:p w14:paraId="7210CD68" w14:textId="77777777" w:rsidR="001D68A4" w:rsidRPr="0012635D" w:rsidRDefault="001D68A4" w:rsidP="00144BA2">
            <w:pPr>
              <w:spacing w:after="0"/>
              <w:jc w:val="center"/>
              <w:rPr>
                <w:rFonts w:ascii="Calibri Light" w:hAnsi="Calibri Light" w:cs="Calibri Light"/>
              </w:rPr>
            </w:pPr>
          </w:p>
        </w:tc>
        <w:tc>
          <w:tcPr>
            <w:tcW w:w="438" w:type="pct"/>
            <w:tcBorders>
              <w:top w:val="single" w:sz="8" w:space="0" w:color="00707E" w:themeColor="accent5" w:themeShade="BF"/>
              <w:bottom w:val="single" w:sz="8" w:space="0" w:color="D9D9D9" w:themeColor="background1" w:themeShade="D9"/>
            </w:tcBorders>
            <w:noWrap/>
            <w:hideMark/>
          </w:tcPr>
          <w:p w14:paraId="09A51582" w14:textId="77777777" w:rsidR="001D68A4" w:rsidRPr="0012635D" w:rsidRDefault="001D68A4" w:rsidP="00144BA2">
            <w:pPr>
              <w:spacing w:after="0"/>
              <w:jc w:val="center"/>
              <w:rPr>
                <w:rFonts w:ascii="Calibri Light" w:hAnsi="Calibri Light" w:cs="Calibri Light"/>
              </w:rPr>
            </w:pPr>
          </w:p>
        </w:tc>
        <w:tc>
          <w:tcPr>
            <w:tcW w:w="438" w:type="pct"/>
            <w:tcBorders>
              <w:top w:val="single" w:sz="8" w:space="0" w:color="00707E" w:themeColor="accent5" w:themeShade="BF"/>
              <w:bottom w:val="single" w:sz="8" w:space="0" w:color="D9D9D9" w:themeColor="background1" w:themeShade="D9"/>
            </w:tcBorders>
            <w:noWrap/>
            <w:hideMark/>
          </w:tcPr>
          <w:p w14:paraId="1D36C01F" w14:textId="77777777" w:rsidR="001D68A4" w:rsidRPr="0012635D" w:rsidRDefault="001D68A4" w:rsidP="00144BA2">
            <w:pPr>
              <w:spacing w:after="0"/>
              <w:jc w:val="center"/>
              <w:rPr>
                <w:rFonts w:ascii="Calibri Light" w:hAnsi="Calibri Light" w:cs="Calibri Light"/>
              </w:rPr>
            </w:pPr>
          </w:p>
        </w:tc>
        <w:tc>
          <w:tcPr>
            <w:tcW w:w="438" w:type="pct"/>
            <w:tcBorders>
              <w:top w:val="single" w:sz="8" w:space="0" w:color="00707E" w:themeColor="accent5" w:themeShade="BF"/>
              <w:bottom w:val="single" w:sz="8" w:space="0" w:color="D9D9D9" w:themeColor="background1" w:themeShade="D9"/>
            </w:tcBorders>
            <w:noWrap/>
            <w:hideMark/>
          </w:tcPr>
          <w:p w14:paraId="587518F6" w14:textId="77777777" w:rsidR="001D68A4" w:rsidRPr="0012635D" w:rsidRDefault="001D68A4" w:rsidP="00144BA2">
            <w:pPr>
              <w:spacing w:after="0"/>
              <w:jc w:val="center"/>
              <w:rPr>
                <w:rFonts w:ascii="Calibri Light" w:hAnsi="Calibri Light" w:cs="Calibri Light"/>
              </w:rPr>
            </w:pPr>
            <w:r w:rsidRPr="0012635D">
              <w:rPr>
                <w:rFonts w:ascii="Calibri Light" w:hAnsi="Calibri Light" w:cs="Calibri Light"/>
              </w:rPr>
              <w:t>1</w:t>
            </w:r>
          </w:p>
        </w:tc>
        <w:tc>
          <w:tcPr>
            <w:tcW w:w="438" w:type="pct"/>
            <w:tcBorders>
              <w:top w:val="single" w:sz="8" w:space="0" w:color="00707E" w:themeColor="accent5" w:themeShade="BF"/>
              <w:bottom w:val="single" w:sz="8" w:space="0" w:color="D9D9D9" w:themeColor="background1" w:themeShade="D9"/>
            </w:tcBorders>
            <w:noWrap/>
            <w:hideMark/>
          </w:tcPr>
          <w:p w14:paraId="1F4B7BF2" w14:textId="77777777" w:rsidR="001D68A4" w:rsidRPr="0012635D" w:rsidRDefault="001D68A4" w:rsidP="00144BA2">
            <w:pPr>
              <w:spacing w:after="0"/>
              <w:jc w:val="center"/>
              <w:rPr>
                <w:rFonts w:ascii="Calibri Light" w:hAnsi="Calibri Light" w:cs="Calibri Light"/>
              </w:rPr>
            </w:pPr>
          </w:p>
        </w:tc>
        <w:tc>
          <w:tcPr>
            <w:tcW w:w="438" w:type="pct"/>
            <w:tcBorders>
              <w:top w:val="single" w:sz="8" w:space="0" w:color="00707E" w:themeColor="accent5" w:themeShade="BF"/>
              <w:bottom w:val="single" w:sz="8" w:space="0" w:color="D9D9D9" w:themeColor="background1" w:themeShade="D9"/>
            </w:tcBorders>
            <w:shd w:val="clear" w:color="auto" w:fill="F2F2F2" w:themeFill="background1" w:themeFillShade="F2"/>
            <w:noWrap/>
            <w:hideMark/>
          </w:tcPr>
          <w:p w14:paraId="2DDEBFF1" w14:textId="77777777" w:rsidR="001D68A4" w:rsidRPr="0012635D" w:rsidRDefault="001D68A4" w:rsidP="00144BA2">
            <w:pPr>
              <w:spacing w:after="0"/>
              <w:jc w:val="center"/>
              <w:rPr>
                <w:rFonts w:ascii="Calibri Light" w:hAnsi="Calibri Light" w:cs="Calibri Light"/>
                <w:b/>
                <w:bCs/>
              </w:rPr>
            </w:pPr>
            <w:r w:rsidRPr="0012635D">
              <w:rPr>
                <w:rFonts w:ascii="Calibri Light" w:hAnsi="Calibri Light" w:cs="Calibri Light"/>
                <w:b/>
                <w:bCs/>
              </w:rPr>
              <w:t>1</w:t>
            </w:r>
          </w:p>
        </w:tc>
      </w:tr>
      <w:tr w:rsidR="001D68A4" w:rsidRPr="00A764B7" w14:paraId="03AC04F3" w14:textId="77777777" w:rsidTr="00144BA2">
        <w:trPr>
          <w:trHeight w:val="57"/>
        </w:trPr>
        <w:tc>
          <w:tcPr>
            <w:tcW w:w="1222" w:type="pct"/>
            <w:vMerge/>
            <w:noWrap/>
            <w:hideMark/>
          </w:tcPr>
          <w:p w14:paraId="36E4121B" w14:textId="77777777" w:rsidR="001D68A4" w:rsidRPr="0012635D" w:rsidRDefault="001D68A4" w:rsidP="00144BA2">
            <w:pPr>
              <w:spacing w:after="0"/>
              <w:rPr>
                <w:rFonts w:ascii="Calibri Light" w:hAnsi="Calibri Light" w:cs="Calibri Light"/>
              </w:rPr>
            </w:pPr>
          </w:p>
        </w:tc>
        <w:tc>
          <w:tcPr>
            <w:tcW w:w="1150" w:type="pct"/>
            <w:tcBorders>
              <w:top w:val="single" w:sz="8" w:space="0" w:color="D9D9D9" w:themeColor="background1" w:themeShade="D9"/>
              <w:bottom w:val="single" w:sz="8" w:space="0" w:color="D9D9D9" w:themeColor="background1" w:themeShade="D9"/>
            </w:tcBorders>
            <w:noWrap/>
            <w:hideMark/>
          </w:tcPr>
          <w:p w14:paraId="669770B2" w14:textId="77777777" w:rsidR="001D68A4" w:rsidRPr="0012635D" w:rsidRDefault="001D68A4" w:rsidP="00144BA2">
            <w:pPr>
              <w:spacing w:after="0"/>
              <w:rPr>
                <w:rFonts w:ascii="Calibri Light" w:hAnsi="Calibri Light" w:cs="Calibri Light"/>
              </w:rPr>
            </w:pPr>
            <w:r w:rsidRPr="0012635D">
              <w:rPr>
                <w:rFonts w:ascii="Calibri Light" w:hAnsi="Calibri Light" w:cs="Calibri Light"/>
              </w:rPr>
              <w:t>Operations</w:t>
            </w:r>
          </w:p>
        </w:tc>
        <w:tc>
          <w:tcPr>
            <w:tcW w:w="438" w:type="pct"/>
            <w:tcBorders>
              <w:top w:val="single" w:sz="8" w:space="0" w:color="D9D9D9" w:themeColor="background1" w:themeShade="D9"/>
              <w:bottom w:val="single" w:sz="8" w:space="0" w:color="D9D9D9" w:themeColor="background1" w:themeShade="D9"/>
            </w:tcBorders>
            <w:noWrap/>
            <w:hideMark/>
          </w:tcPr>
          <w:p w14:paraId="5ACB432A" w14:textId="77777777" w:rsidR="001D68A4" w:rsidRPr="0012635D" w:rsidRDefault="001D68A4" w:rsidP="00144BA2">
            <w:pPr>
              <w:spacing w:after="0"/>
              <w:jc w:val="center"/>
              <w:rPr>
                <w:rFonts w:ascii="Calibri Light" w:hAnsi="Calibri Light" w:cs="Calibri Light"/>
              </w:rPr>
            </w:pPr>
          </w:p>
        </w:tc>
        <w:tc>
          <w:tcPr>
            <w:tcW w:w="438" w:type="pct"/>
            <w:tcBorders>
              <w:top w:val="single" w:sz="8" w:space="0" w:color="D9D9D9" w:themeColor="background1" w:themeShade="D9"/>
              <w:bottom w:val="single" w:sz="8" w:space="0" w:color="D9D9D9" w:themeColor="background1" w:themeShade="D9"/>
            </w:tcBorders>
            <w:noWrap/>
            <w:hideMark/>
          </w:tcPr>
          <w:p w14:paraId="42DC8EAE" w14:textId="77777777" w:rsidR="001D68A4" w:rsidRPr="0012635D" w:rsidRDefault="001D68A4" w:rsidP="00144BA2">
            <w:pPr>
              <w:spacing w:after="0"/>
              <w:jc w:val="center"/>
              <w:rPr>
                <w:rFonts w:ascii="Calibri Light" w:hAnsi="Calibri Light" w:cs="Calibri Light"/>
              </w:rPr>
            </w:pPr>
            <w:r w:rsidRPr="0012635D">
              <w:rPr>
                <w:rFonts w:ascii="Calibri Light" w:hAnsi="Calibri Light" w:cs="Calibri Light"/>
              </w:rPr>
              <w:t>1</w:t>
            </w:r>
          </w:p>
        </w:tc>
        <w:tc>
          <w:tcPr>
            <w:tcW w:w="438" w:type="pct"/>
            <w:tcBorders>
              <w:top w:val="single" w:sz="8" w:space="0" w:color="D9D9D9" w:themeColor="background1" w:themeShade="D9"/>
              <w:bottom w:val="single" w:sz="8" w:space="0" w:color="D9D9D9" w:themeColor="background1" w:themeShade="D9"/>
            </w:tcBorders>
            <w:noWrap/>
            <w:hideMark/>
          </w:tcPr>
          <w:p w14:paraId="225A7CAF" w14:textId="77777777" w:rsidR="001D68A4" w:rsidRPr="0012635D" w:rsidRDefault="001D68A4" w:rsidP="00144BA2">
            <w:pPr>
              <w:spacing w:after="0"/>
              <w:jc w:val="center"/>
              <w:rPr>
                <w:rFonts w:ascii="Calibri Light" w:hAnsi="Calibri Light" w:cs="Calibri Light"/>
              </w:rPr>
            </w:pPr>
          </w:p>
        </w:tc>
        <w:tc>
          <w:tcPr>
            <w:tcW w:w="438" w:type="pct"/>
            <w:tcBorders>
              <w:top w:val="single" w:sz="8" w:space="0" w:color="D9D9D9" w:themeColor="background1" w:themeShade="D9"/>
              <w:bottom w:val="single" w:sz="8" w:space="0" w:color="D9D9D9" w:themeColor="background1" w:themeShade="D9"/>
            </w:tcBorders>
            <w:noWrap/>
            <w:hideMark/>
          </w:tcPr>
          <w:p w14:paraId="046E0664" w14:textId="77777777" w:rsidR="001D68A4" w:rsidRPr="0012635D" w:rsidRDefault="001D68A4" w:rsidP="00144BA2">
            <w:pPr>
              <w:spacing w:after="0"/>
              <w:jc w:val="center"/>
              <w:rPr>
                <w:rFonts w:ascii="Calibri Light" w:hAnsi="Calibri Light" w:cs="Calibri Light"/>
              </w:rPr>
            </w:pPr>
            <w:r w:rsidRPr="0012635D">
              <w:rPr>
                <w:rFonts w:ascii="Calibri Light" w:hAnsi="Calibri Light" w:cs="Calibri Light"/>
              </w:rPr>
              <w:t>1</w:t>
            </w:r>
          </w:p>
        </w:tc>
        <w:tc>
          <w:tcPr>
            <w:tcW w:w="438" w:type="pct"/>
            <w:tcBorders>
              <w:top w:val="single" w:sz="8" w:space="0" w:color="D9D9D9" w:themeColor="background1" w:themeShade="D9"/>
              <w:bottom w:val="single" w:sz="8" w:space="0" w:color="D9D9D9" w:themeColor="background1" w:themeShade="D9"/>
            </w:tcBorders>
            <w:noWrap/>
            <w:hideMark/>
          </w:tcPr>
          <w:p w14:paraId="0BF7E261" w14:textId="77777777" w:rsidR="001D68A4" w:rsidRPr="0012635D" w:rsidRDefault="001D68A4" w:rsidP="00144BA2">
            <w:pPr>
              <w:spacing w:after="0"/>
              <w:jc w:val="center"/>
              <w:rPr>
                <w:rFonts w:ascii="Calibri Light" w:hAnsi="Calibri Light" w:cs="Calibri Light"/>
              </w:rPr>
            </w:pPr>
            <w:r w:rsidRPr="0012635D">
              <w:rPr>
                <w:rFonts w:ascii="Calibri Light" w:hAnsi="Calibri Light" w:cs="Calibri Light"/>
              </w:rPr>
              <w:t>2</w:t>
            </w:r>
          </w:p>
        </w:tc>
        <w:tc>
          <w:tcPr>
            <w:tcW w:w="438"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3FB4519F" w14:textId="77777777" w:rsidR="001D68A4" w:rsidRPr="0012635D" w:rsidRDefault="001D68A4" w:rsidP="00144BA2">
            <w:pPr>
              <w:spacing w:after="0"/>
              <w:jc w:val="center"/>
              <w:rPr>
                <w:rFonts w:ascii="Calibri Light" w:hAnsi="Calibri Light" w:cs="Calibri Light"/>
                <w:b/>
                <w:bCs/>
              </w:rPr>
            </w:pPr>
            <w:r w:rsidRPr="0012635D">
              <w:rPr>
                <w:rFonts w:ascii="Calibri Light" w:hAnsi="Calibri Light" w:cs="Calibri Light"/>
                <w:b/>
                <w:bCs/>
              </w:rPr>
              <w:t>4</w:t>
            </w:r>
          </w:p>
        </w:tc>
      </w:tr>
      <w:tr w:rsidR="001D68A4" w:rsidRPr="00A764B7" w14:paraId="133B3CC2" w14:textId="77777777" w:rsidTr="00144BA2">
        <w:trPr>
          <w:trHeight w:val="57"/>
        </w:trPr>
        <w:tc>
          <w:tcPr>
            <w:tcW w:w="0" w:type="pct"/>
            <w:vMerge/>
            <w:tcBorders>
              <w:bottom w:val="single" w:sz="12" w:space="0" w:color="BFBFBF" w:themeColor="background1" w:themeShade="BF"/>
            </w:tcBorders>
            <w:noWrap/>
            <w:hideMark/>
          </w:tcPr>
          <w:p w14:paraId="79469CFD" w14:textId="77777777" w:rsidR="001D68A4" w:rsidRPr="0012635D" w:rsidRDefault="001D68A4" w:rsidP="00144BA2">
            <w:pPr>
              <w:spacing w:after="0"/>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25019763" w14:textId="77777777" w:rsidR="001D68A4" w:rsidRPr="0012635D" w:rsidRDefault="001D68A4" w:rsidP="00144BA2">
            <w:pPr>
              <w:spacing w:after="0"/>
              <w:rPr>
                <w:rFonts w:ascii="Calibri Light" w:hAnsi="Calibri Light" w:cs="Calibri Light"/>
              </w:rPr>
            </w:pPr>
            <w:r w:rsidRPr="0012635D">
              <w:rPr>
                <w:rFonts w:ascii="Calibri Light" w:hAnsi="Calibri Light" w:cs="Calibri Light"/>
              </w:rPr>
              <w:t>Seismic</w:t>
            </w:r>
          </w:p>
        </w:tc>
        <w:tc>
          <w:tcPr>
            <w:tcW w:w="0" w:type="pct"/>
            <w:tcBorders>
              <w:top w:val="single" w:sz="8" w:space="0" w:color="D9D9D9" w:themeColor="background1" w:themeShade="D9"/>
              <w:bottom w:val="single" w:sz="12" w:space="0" w:color="BFBFBF" w:themeColor="background1" w:themeShade="BF"/>
            </w:tcBorders>
            <w:noWrap/>
            <w:hideMark/>
          </w:tcPr>
          <w:p w14:paraId="49198602" w14:textId="77777777" w:rsidR="001D68A4" w:rsidRPr="0012635D"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7336DAC8" w14:textId="77777777" w:rsidR="001D68A4" w:rsidRPr="0012635D" w:rsidRDefault="001D68A4" w:rsidP="00144BA2">
            <w:pPr>
              <w:spacing w:after="0"/>
              <w:jc w:val="center"/>
              <w:rPr>
                <w:rFonts w:ascii="Calibri Light" w:hAnsi="Calibri Light" w:cs="Calibri Light"/>
              </w:rPr>
            </w:pPr>
            <w:r w:rsidRPr="0012635D">
              <w:rPr>
                <w:rFonts w:ascii="Calibri Light" w:hAnsi="Calibri Light" w:cs="Calibri Light"/>
              </w:rPr>
              <w:t>1</w:t>
            </w:r>
          </w:p>
        </w:tc>
        <w:tc>
          <w:tcPr>
            <w:tcW w:w="0" w:type="pct"/>
            <w:tcBorders>
              <w:top w:val="single" w:sz="8" w:space="0" w:color="D9D9D9" w:themeColor="background1" w:themeShade="D9"/>
              <w:bottom w:val="single" w:sz="12" w:space="0" w:color="BFBFBF" w:themeColor="background1" w:themeShade="BF"/>
            </w:tcBorders>
            <w:noWrap/>
            <w:hideMark/>
          </w:tcPr>
          <w:p w14:paraId="1A74259E" w14:textId="77777777" w:rsidR="001D68A4" w:rsidRPr="0012635D"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74D3D4B8" w14:textId="77777777" w:rsidR="001D68A4" w:rsidRPr="0012635D" w:rsidRDefault="001D68A4" w:rsidP="00144BA2">
            <w:pPr>
              <w:spacing w:after="0"/>
              <w:jc w:val="center"/>
              <w:rPr>
                <w:rFonts w:ascii="Calibri Light" w:hAnsi="Calibri Light" w:cs="Calibri Light"/>
              </w:rPr>
            </w:pPr>
            <w:r w:rsidRPr="0012635D">
              <w:rPr>
                <w:rFonts w:ascii="Calibri Light" w:hAnsi="Calibri Light" w:cs="Calibri Light"/>
              </w:rPr>
              <w:t>1</w:t>
            </w:r>
          </w:p>
        </w:tc>
        <w:tc>
          <w:tcPr>
            <w:tcW w:w="0" w:type="pct"/>
            <w:tcBorders>
              <w:top w:val="single" w:sz="8" w:space="0" w:color="D9D9D9" w:themeColor="background1" w:themeShade="D9"/>
              <w:bottom w:val="single" w:sz="12" w:space="0" w:color="BFBFBF" w:themeColor="background1" w:themeShade="BF"/>
            </w:tcBorders>
            <w:noWrap/>
            <w:hideMark/>
          </w:tcPr>
          <w:p w14:paraId="7D948B21" w14:textId="77777777" w:rsidR="001D68A4" w:rsidRPr="0012635D"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shd w:val="clear" w:color="auto" w:fill="F2F2F2" w:themeFill="background1" w:themeFillShade="F2"/>
            <w:noWrap/>
            <w:hideMark/>
          </w:tcPr>
          <w:p w14:paraId="46AA6D98"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2</w:t>
            </w:r>
          </w:p>
        </w:tc>
      </w:tr>
      <w:tr w:rsidR="001D68A4" w:rsidRPr="00A764B7" w14:paraId="20EC4624" w14:textId="77777777" w:rsidTr="00144BA2">
        <w:trPr>
          <w:trHeight w:val="57"/>
        </w:trPr>
        <w:tc>
          <w:tcPr>
            <w:tcW w:w="0" w:type="pct"/>
            <w:vMerge w:val="restart"/>
            <w:tcBorders>
              <w:top w:val="single" w:sz="12" w:space="0" w:color="BFBFBF" w:themeColor="background1" w:themeShade="BF"/>
            </w:tcBorders>
            <w:noWrap/>
            <w:hideMark/>
          </w:tcPr>
          <w:p w14:paraId="62969E77" w14:textId="77777777" w:rsidR="001D68A4" w:rsidRPr="00470118" w:rsidRDefault="001D68A4" w:rsidP="00144BA2">
            <w:pPr>
              <w:spacing w:after="0"/>
              <w:rPr>
                <w:rFonts w:ascii="Calibri Light" w:hAnsi="Calibri Light" w:cs="Calibri Light"/>
              </w:rPr>
            </w:pPr>
            <w:r>
              <w:rPr>
                <w:rFonts w:ascii="Calibri Light" w:hAnsi="Calibri Light" w:cs="Calibri Light"/>
              </w:rPr>
              <w:t>P</w:t>
            </w:r>
            <w:r w:rsidRPr="00470118">
              <w:rPr>
                <w:rFonts w:ascii="Calibri Light" w:hAnsi="Calibri Light" w:cs="Calibri Light"/>
              </w:rPr>
              <w:t>rohibition notice</w:t>
            </w:r>
          </w:p>
        </w:tc>
        <w:tc>
          <w:tcPr>
            <w:tcW w:w="0" w:type="pct"/>
            <w:tcBorders>
              <w:top w:val="single" w:sz="12" w:space="0" w:color="BFBFBF" w:themeColor="background1" w:themeShade="BF"/>
              <w:bottom w:val="single" w:sz="8" w:space="0" w:color="D9D9D9" w:themeColor="background1" w:themeShade="D9"/>
            </w:tcBorders>
            <w:noWrap/>
            <w:hideMark/>
          </w:tcPr>
          <w:p w14:paraId="474A19B7" w14:textId="77777777" w:rsidR="001D68A4" w:rsidRPr="00470118" w:rsidRDefault="001D68A4" w:rsidP="00144BA2">
            <w:pPr>
              <w:spacing w:after="0"/>
              <w:rPr>
                <w:rFonts w:ascii="Calibri Light" w:hAnsi="Calibri Light" w:cs="Calibri Light"/>
              </w:rPr>
            </w:pPr>
            <w:r w:rsidRPr="00470118">
              <w:rPr>
                <w:rFonts w:ascii="Calibri Light" w:hAnsi="Calibri Light" w:cs="Calibri Light"/>
              </w:rPr>
              <w:t>Operations</w:t>
            </w:r>
          </w:p>
        </w:tc>
        <w:tc>
          <w:tcPr>
            <w:tcW w:w="0" w:type="pct"/>
            <w:tcBorders>
              <w:top w:val="single" w:sz="12" w:space="0" w:color="BFBFBF" w:themeColor="background1" w:themeShade="BF"/>
              <w:bottom w:val="single" w:sz="8" w:space="0" w:color="D9D9D9" w:themeColor="background1" w:themeShade="D9"/>
            </w:tcBorders>
            <w:noWrap/>
            <w:hideMark/>
          </w:tcPr>
          <w:p w14:paraId="00C95D32"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noWrap/>
            <w:hideMark/>
          </w:tcPr>
          <w:p w14:paraId="4809073A"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1</w:t>
            </w:r>
          </w:p>
        </w:tc>
        <w:tc>
          <w:tcPr>
            <w:tcW w:w="0" w:type="pct"/>
            <w:tcBorders>
              <w:top w:val="single" w:sz="12" w:space="0" w:color="BFBFBF" w:themeColor="background1" w:themeShade="BF"/>
              <w:bottom w:val="single" w:sz="8" w:space="0" w:color="D9D9D9" w:themeColor="background1" w:themeShade="D9"/>
            </w:tcBorders>
            <w:noWrap/>
            <w:hideMark/>
          </w:tcPr>
          <w:p w14:paraId="1D672187"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noWrap/>
            <w:hideMark/>
          </w:tcPr>
          <w:p w14:paraId="187DF4BD"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noWrap/>
            <w:hideMark/>
          </w:tcPr>
          <w:p w14:paraId="3322AF15"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54A389DA"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1</w:t>
            </w:r>
          </w:p>
        </w:tc>
      </w:tr>
      <w:tr w:rsidR="001D68A4" w:rsidRPr="00A764B7" w14:paraId="7AF155D9" w14:textId="77777777" w:rsidTr="00144BA2">
        <w:trPr>
          <w:trHeight w:val="57"/>
        </w:trPr>
        <w:tc>
          <w:tcPr>
            <w:tcW w:w="0" w:type="pct"/>
            <w:vMerge/>
            <w:tcBorders>
              <w:bottom w:val="single" w:sz="12" w:space="0" w:color="BFBFBF" w:themeColor="background1" w:themeShade="BF"/>
            </w:tcBorders>
            <w:noWrap/>
            <w:hideMark/>
          </w:tcPr>
          <w:p w14:paraId="234B93AB" w14:textId="77777777" w:rsidR="001D68A4" w:rsidRPr="00470118" w:rsidRDefault="001D68A4" w:rsidP="00144BA2">
            <w:pPr>
              <w:spacing w:after="0"/>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256CD0A1" w14:textId="77777777" w:rsidR="001D68A4" w:rsidRPr="00470118" w:rsidRDefault="001D68A4" w:rsidP="00144BA2">
            <w:pPr>
              <w:spacing w:after="0"/>
              <w:rPr>
                <w:rFonts w:ascii="Calibri Light" w:hAnsi="Calibri Light" w:cs="Calibri Light"/>
              </w:rPr>
            </w:pPr>
            <w:r w:rsidRPr="00470118">
              <w:rPr>
                <w:rFonts w:ascii="Calibri Light" w:hAnsi="Calibri Light" w:cs="Calibri Light"/>
              </w:rPr>
              <w:t>Seismic</w:t>
            </w:r>
          </w:p>
        </w:tc>
        <w:tc>
          <w:tcPr>
            <w:tcW w:w="0" w:type="pct"/>
            <w:tcBorders>
              <w:top w:val="single" w:sz="8" w:space="0" w:color="D9D9D9" w:themeColor="background1" w:themeShade="D9"/>
              <w:bottom w:val="single" w:sz="12" w:space="0" w:color="BFBFBF" w:themeColor="background1" w:themeShade="BF"/>
            </w:tcBorders>
            <w:noWrap/>
            <w:hideMark/>
          </w:tcPr>
          <w:p w14:paraId="5A8C6B3B" w14:textId="77777777" w:rsidR="001D68A4" w:rsidRPr="00470118"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57FA9FDB"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1</w:t>
            </w:r>
          </w:p>
        </w:tc>
        <w:tc>
          <w:tcPr>
            <w:tcW w:w="0" w:type="pct"/>
            <w:tcBorders>
              <w:top w:val="single" w:sz="8" w:space="0" w:color="D9D9D9" w:themeColor="background1" w:themeShade="D9"/>
              <w:bottom w:val="single" w:sz="12" w:space="0" w:color="BFBFBF" w:themeColor="background1" w:themeShade="BF"/>
            </w:tcBorders>
            <w:noWrap/>
            <w:hideMark/>
          </w:tcPr>
          <w:p w14:paraId="44D38434" w14:textId="77777777" w:rsidR="001D68A4" w:rsidRPr="00470118"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01838B19" w14:textId="77777777" w:rsidR="001D68A4" w:rsidRPr="00470118"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2E7BE725" w14:textId="77777777" w:rsidR="001D68A4" w:rsidRPr="00470118"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shd w:val="clear" w:color="auto" w:fill="F2F2F2" w:themeFill="background1" w:themeFillShade="F2"/>
            <w:noWrap/>
            <w:hideMark/>
          </w:tcPr>
          <w:p w14:paraId="625F3E99"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1</w:t>
            </w:r>
          </w:p>
        </w:tc>
      </w:tr>
      <w:tr w:rsidR="001D68A4" w:rsidRPr="00A764B7" w14:paraId="627BEABC" w14:textId="77777777" w:rsidTr="00144BA2">
        <w:trPr>
          <w:trHeight w:val="57"/>
        </w:trPr>
        <w:tc>
          <w:tcPr>
            <w:tcW w:w="0" w:type="pct"/>
            <w:vMerge w:val="restart"/>
            <w:tcBorders>
              <w:top w:val="single" w:sz="12" w:space="0" w:color="BFBFBF" w:themeColor="background1" w:themeShade="BF"/>
            </w:tcBorders>
            <w:noWrap/>
            <w:hideMark/>
          </w:tcPr>
          <w:p w14:paraId="17775B53" w14:textId="77777777" w:rsidR="001D68A4" w:rsidRPr="00470118" w:rsidRDefault="001D68A4" w:rsidP="00144BA2">
            <w:pPr>
              <w:spacing w:after="0"/>
              <w:rPr>
                <w:rFonts w:ascii="Calibri Light" w:hAnsi="Calibri Light" w:cs="Calibri Light"/>
              </w:rPr>
            </w:pPr>
            <w:r w:rsidRPr="00470118">
              <w:rPr>
                <w:rFonts w:ascii="Calibri Light" w:hAnsi="Calibri Light" w:cs="Calibri Light"/>
              </w:rPr>
              <w:t>Request for a revision to an environment plan</w:t>
            </w:r>
          </w:p>
        </w:tc>
        <w:tc>
          <w:tcPr>
            <w:tcW w:w="0" w:type="pct"/>
            <w:tcBorders>
              <w:top w:val="single" w:sz="12" w:space="0" w:color="BFBFBF" w:themeColor="background1" w:themeShade="BF"/>
              <w:bottom w:val="single" w:sz="8" w:space="0" w:color="D9D9D9" w:themeColor="background1" w:themeShade="D9"/>
            </w:tcBorders>
            <w:noWrap/>
            <w:hideMark/>
          </w:tcPr>
          <w:p w14:paraId="58F72B6F" w14:textId="77777777" w:rsidR="001D68A4" w:rsidRPr="00470118" w:rsidRDefault="001D68A4" w:rsidP="00144BA2">
            <w:pPr>
              <w:spacing w:after="0"/>
              <w:rPr>
                <w:rFonts w:ascii="Calibri Light" w:hAnsi="Calibri Light" w:cs="Calibri Light"/>
              </w:rPr>
            </w:pPr>
            <w:r w:rsidRPr="00470118">
              <w:rPr>
                <w:rFonts w:ascii="Calibri Light" w:hAnsi="Calibri Light" w:cs="Calibri Light"/>
              </w:rPr>
              <w:t>Other</w:t>
            </w:r>
          </w:p>
        </w:tc>
        <w:tc>
          <w:tcPr>
            <w:tcW w:w="0" w:type="pct"/>
            <w:tcBorders>
              <w:top w:val="single" w:sz="12" w:space="0" w:color="BFBFBF" w:themeColor="background1" w:themeShade="BF"/>
              <w:bottom w:val="single" w:sz="8" w:space="0" w:color="D9D9D9" w:themeColor="background1" w:themeShade="D9"/>
            </w:tcBorders>
            <w:noWrap/>
            <w:hideMark/>
          </w:tcPr>
          <w:p w14:paraId="1D4A2894"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noWrap/>
            <w:hideMark/>
          </w:tcPr>
          <w:p w14:paraId="410374C8"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1</w:t>
            </w:r>
          </w:p>
        </w:tc>
        <w:tc>
          <w:tcPr>
            <w:tcW w:w="0" w:type="pct"/>
            <w:tcBorders>
              <w:top w:val="single" w:sz="12" w:space="0" w:color="BFBFBF" w:themeColor="background1" w:themeShade="BF"/>
              <w:bottom w:val="single" w:sz="8" w:space="0" w:color="D9D9D9" w:themeColor="background1" w:themeShade="D9"/>
            </w:tcBorders>
            <w:noWrap/>
            <w:hideMark/>
          </w:tcPr>
          <w:p w14:paraId="3CA3ED48"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noWrap/>
            <w:hideMark/>
          </w:tcPr>
          <w:p w14:paraId="77D2A7B6"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noWrap/>
            <w:hideMark/>
          </w:tcPr>
          <w:p w14:paraId="6778F909"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26F6BB4B"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1</w:t>
            </w:r>
          </w:p>
        </w:tc>
      </w:tr>
      <w:tr w:rsidR="001D68A4" w:rsidRPr="00A764B7" w14:paraId="5060EE2B" w14:textId="77777777" w:rsidTr="00144BA2">
        <w:trPr>
          <w:trHeight w:val="57"/>
        </w:trPr>
        <w:tc>
          <w:tcPr>
            <w:tcW w:w="0" w:type="pct"/>
            <w:vMerge/>
            <w:tcBorders>
              <w:bottom w:val="single" w:sz="12" w:space="0" w:color="BFBFBF" w:themeColor="background1" w:themeShade="BF"/>
            </w:tcBorders>
            <w:noWrap/>
            <w:hideMark/>
          </w:tcPr>
          <w:p w14:paraId="46E91ADE" w14:textId="77777777" w:rsidR="001D68A4" w:rsidRPr="00470118" w:rsidRDefault="001D68A4" w:rsidP="00144BA2">
            <w:pPr>
              <w:spacing w:after="0"/>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77B8980D" w14:textId="77777777" w:rsidR="001D68A4" w:rsidRPr="00470118" w:rsidRDefault="001D68A4" w:rsidP="00144BA2">
            <w:pPr>
              <w:spacing w:after="0"/>
              <w:rPr>
                <w:rFonts w:ascii="Calibri Light" w:hAnsi="Calibri Light" w:cs="Calibri Light"/>
              </w:rPr>
            </w:pPr>
            <w:r w:rsidRPr="00470118">
              <w:rPr>
                <w:rFonts w:ascii="Calibri Light" w:hAnsi="Calibri Light" w:cs="Calibri Light"/>
              </w:rPr>
              <w:t>Operations</w:t>
            </w:r>
          </w:p>
        </w:tc>
        <w:tc>
          <w:tcPr>
            <w:tcW w:w="0" w:type="pct"/>
            <w:tcBorders>
              <w:top w:val="single" w:sz="8" w:space="0" w:color="D9D9D9" w:themeColor="background1" w:themeShade="D9"/>
              <w:bottom w:val="single" w:sz="12" w:space="0" w:color="BFBFBF" w:themeColor="background1" w:themeShade="BF"/>
            </w:tcBorders>
            <w:noWrap/>
            <w:hideMark/>
          </w:tcPr>
          <w:p w14:paraId="7FAE3004"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1</w:t>
            </w:r>
          </w:p>
        </w:tc>
        <w:tc>
          <w:tcPr>
            <w:tcW w:w="0" w:type="pct"/>
            <w:tcBorders>
              <w:top w:val="single" w:sz="8" w:space="0" w:color="D9D9D9" w:themeColor="background1" w:themeShade="D9"/>
              <w:bottom w:val="single" w:sz="12" w:space="0" w:color="BFBFBF" w:themeColor="background1" w:themeShade="BF"/>
            </w:tcBorders>
            <w:noWrap/>
            <w:hideMark/>
          </w:tcPr>
          <w:p w14:paraId="58750F0D"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2</w:t>
            </w:r>
          </w:p>
        </w:tc>
        <w:tc>
          <w:tcPr>
            <w:tcW w:w="0" w:type="pct"/>
            <w:tcBorders>
              <w:top w:val="single" w:sz="8" w:space="0" w:color="D9D9D9" w:themeColor="background1" w:themeShade="D9"/>
              <w:bottom w:val="single" w:sz="12" w:space="0" w:color="BFBFBF" w:themeColor="background1" w:themeShade="BF"/>
            </w:tcBorders>
            <w:noWrap/>
            <w:hideMark/>
          </w:tcPr>
          <w:p w14:paraId="1DCF3A78"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3</w:t>
            </w:r>
          </w:p>
        </w:tc>
        <w:tc>
          <w:tcPr>
            <w:tcW w:w="0" w:type="pct"/>
            <w:tcBorders>
              <w:top w:val="single" w:sz="8" w:space="0" w:color="D9D9D9" w:themeColor="background1" w:themeShade="D9"/>
              <w:bottom w:val="single" w:sz="12" w:space="0" w:color="BFBFBF" w:themeColor="background1" w:themeShade="BF"/>
            </w:tcBorders>
            <w:noWrap/>
            <w:hideMark/>
          </w:tcPr>
          <w:p w14:paraId="3202D1C8" w14:textId="77777777" w:rsidR="001D68A4" w:rsidRPr="00470118"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3136A45F" w14:textId="77777777" w:rsidR="001D68A4" w:rsidRPr="00470118"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shd w:val="clear" w:color="auto" w:fill="F2F2F2" w:themeFill="background1" w:themeFillShade="F2"/>
            <w:noWrap/>
            <w:hideMark/>
          </w:tcPr>
          <w:p w14:paraId="184CABA1"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6</w:t>
            </w:r>
          </w:p>
        </w:tc>
      </w:tr>
      <w:tr w:rsidR="001D68A4" w:rsidRPr="00A764B7" w14:paraId="2FA180DB" w14:textId="77777777" w:rsidTr="00144BA2">
        <w:trPr>
          <w:trHeight w:val="57"/>
        </w:trPr>
        <w:tc>
          <w:tcPr>
            <w:tcW w:w="0" w:type="pct"/>
            <w:vMerge w:val="restart"/>
            <w:tcBorders>
              <w:top w:val="single" w:sz="12" w:space="0" w:color="BFBFBF" w:themeColor="background1" w:themeShade="BF"/>
            </w:tcBorders>
            <w:noWrap/>
            <w:hideMark/>
          </w:tcPr>
          <w:p w14:paraId="319DC7AE" w14:textId="77777777" w:rsidR="001D68A4" w:rsidRPr="00470118" w:rsidRDefault="001D68A4" w:rsidP="00144BA2">
            <w:pPr>
              <w:spacing w:after="0"/>
              <w:rPr>
                <w:rFonts w:ascii="Calibri Light" w:hAnsi="Calibri Light" w:cs="Calibri Light"/>
              </w:rPr>
            </w:pPr>
            <w:r>
              <w:rPr>
                <w:rFonts w:ascii="Calibri Light" w:hAnsi="Calibri Light" w:cs="Calibri Light"/>
              </w:rPr>
              <w:t>I</w:t>
            </w:r>
            <w:r w:rsidRPr="00470118">
              <w:rPr>
                <w:rFonts w:ascii="Calibri Light" w:hAnsi="Calibri Light" w:cs="Calibri Light"/>
              </w:rPr>
              <w:t>mprovement notice</w:t>
            </w:r>
          </w:p>
        </w:tc>
        <w:tc>
          <w:tcPr>
            <w:tcW w:w="0" w:type="pct"/>
            <w:tcBorders>
              <w:top w:val="single" w:sz="12" w:space="0" w:color="BFBFBF" w:themeColor="background1" w:themeShade="BF"/>
              <w:bottom w:val="single" w:sz="8" w:space="0" w:color="D9D9D9" w:themeColor="background1" w:themeShade="D9"/>
            </w:tcBorders>
            <w:noWrap/>
            <w:hideMark/>
          </w:tcPr>
          <w:p w14:paraId="0D0232CF" w14:textId="77777777" w:rsidR="001D68A4" w:rsidRPr="00470118" w:rsidRDefault="001D68A4" w:rsidP="00144BA2">
            <w:pPr>
              <w:spacing w:after="0"/>
              <w:rPr>
                <w:rFonts w:ascii="Calibri Light" w:hAnsi="Calibri Light" w:cs="Calibri Light"/>
              </w:rPr>
            </w:pPr>
            <w:r w:rsidRPr="00470118">
              <w:rPr>
                <w:rFonts w:ascii="Calibri Light" w:hAnsi="Calibri Light" w:cs="Calibri Light"/>
              </w:rPr>
              <w:t>Decommissioning</w:t>
            </w:r>
          </w:p>
        </w:tc>
        <w:tc>
          <w:tcPr>
            <w:tcW w:w="0" w:type="pct"/>
            <w:tcBorders>
              <w:top w:val="single" w:sz="12" w:space="0" w:color="BFBFBF" w:themeColor="background1" w:themeShade="BF"/>
              <w:bottom w:val="single" w:sz="8" w:space="0" w:color="D9D9D9" w:themeColor="background1" w:themeShade="D9"/>
            </w:tcBorders>
            <w:noWrap/>
            <w:hideMark/>
          </w:tcPr>
          <w:p w14:paraId="2863E573"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noWrap/>
            <w:hideMark/>
          </w:tcPr>
          <w:p w14:paraId="1B6633BD"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noWrap/>
            <w:hideMark/>
          </w:tcPr>
          <w:p w14:paraId="3ADB8DA9"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noWrap/>
            <w:hideMark/>
          </w:tcPr>
          <w:p w14:paraId="13D6687C" w14:textId="77777777" w:rsidR="001D68A4" w:rsidRPr="00470118" w:rsidRDefault="001D68A4" w:rsidP="00144BA2">
            <w:pPr>
              <w:spacing w:after="0"/>
              <w:jc w:val="center"/>
              <w:rPr>
                <w:rFonts w:ascii="Calibri Light" w:hAnsi="Calibri Light" w:cs="Calibri Light"/>
              </w:rPr>
            </w:pPr>
          </w:p>
        </w:tc>
        <w:tc>
          <w:tcPr>
            <w:tcW w:w="0" w:type="pct"/>
            <w:tcBorders>
              <w:top w:val="single" w:sz="12" w:space="0" w:color="BFBFBF" w:themeColor="background1" w:themeShade="BF"/>
              <w:bottom w:val="single" w:sz="8" w:space="0" w:color="D9D9D9" w:themeColor="background1" w:themeShade="D9"/>
            </w:tcBorders>
            <w:noWrap/>
            <w:hideMark/>
          </w:tcPr>
          <w:p w14:paraId="23731997"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1</w:t>
            </w:r>
          </w:p>
        </w:tc>
        <w:tc>
          <w:tcPr>
            <w:tcW w:w="0"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11A986B5"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1</w:t>
            </w:r>
          </w:p>
        </w:tc>
      </w:tr>
      <w:tr w:rsidR="001D68A4" w:rsidRPr="00A764B7" w14:paraId="3E33781C" w14:textId="77777777" w:rsidTr="00144BA2">
        <w:trPr>
          <w:trHeight w:val="57"/>
        </w:trPr>
        <w:tc>
          <w:tcPr>
            <w:tcW w:w="1222" w:type="pct"/>
            <w:vMerge/>
            <w:noWrap/>
            <w:hideMark/>
          </w:tcPr>
          <w:p w14:paraId="61D926C0" w14:textId="77777777" w:rsidR="001D68A4" w:rsidRPr="00470118" w:rsidRDefault="001D68A4" w:rsidP="00144BA2">
            <w:pPr>
              <w:spacing w:after="0"/>
              <w:rPr>
                <w:rFonts w:ascii="Calibri Light" w:hAnsi="Calibri Light" w:cs="Calibri Light"/>
              </w:rPr>
            </w:pPr>
          </w:p>
        </w:tc>
        <w:tc>
          <w:tcPr>
            <w:tcW w:w="1150" w:type="pct"/>
            <w:tcBorders>
              <w:top w:val="single" w:sz="8" w:space="0" w:color="D9D9D9" w:themeColor="background1" w:themeShade="D9"/>
              <w:bottom w:val="single" w:sz="8" w:space="0" w:color="D9D9D9" w:themeColor="background1" w:themeShade="D9"/>
            </w:tcBorders>
            <w:noWrap/>
            <w:hideMark/>
          </w:tcPr>
          <w:p w14:paraId="62B081BE" w14:textId="77777777" w:rsidR="001D68A4" w:rsidRPr="00470118" w:rsidRDefault="001D68A4" w:rsidP="00144BA2">
            <w:pPr>
              <w:spacing w:after="0"/>
              <w:rPr>
                <w:rFonts w:ascii="Calibri Light" w:hAnsi="Calibri Light" w:cs="Calibri Light"/>
              </w:rPr>
            </w:pPr>
            <w:r w:rsidRPr="00470118">
              <w:rPr>
                <w:rFonts w:ascii="Calibri Light" w:hAnsi="Calibri Light" w:cs="Calibri Light"/>
              </w:rPr>
              <w:t>Operations</w:t>
            </w:r>
          </w:p>
        </w:tc>
        <w:tc>
          <w:tcPr>
            <w:tcW w:w="438" w:type="pct"/>
            <w:tcBorders>
              <w:top w:val="single" w:sz="8" w:space="0" w:color="D9D9D9" w:themeColor="background1" w:themeShade="D9"/>
              <w:bottom w:val="single" w:sz="8" w:space="0" w:color="D9D9D9" w:themeColor="background1" w:themeShade="D9"/>
            </w:tcBorders>
            <w:noWrap/>
            <w:hideMark/>
          </w:tcPr>
          <w:p w14:paraId="286E48BE" w14:textId="77777777" w:rsidR="001D68A4" w:rsidRPr="00470118" w:rsidRDefault="001D68A4" w:rsidP="00144BA2">
            <w:pPr>
              <w:spacing w:after="0"/>
              <w:jc w:val="center"/>
              <w:rPr>
                <w:rFonts w:ascii="Calibri Light" w:hAnsi="Calibri Light" w:cs="Calibri Light"/>
              </w:rPr>
            </w:pPr>
          </w:p>
        </w:tc>
        <w:tc>
          <w:tcPr>
            <w:tcW w:w="438" w:type="pct"/>
            <w:tcBorders>
              <w:top w:val="single" w:sz="8" w:space="0" w:color="D9D9D9" w:themeColor="background1" w:themeShade="D9"/>
              <w:bottom w:val="single" w:sz="8" w:space="0" w:color="D9D9D9" w:themeColor="background1" w:themeShade="D9"/>
            </w:tcBorders>
            <w:noWrap/>
            <w:hideMark/>
          </w:tcPr>
          <w:p w14:paraId="29E95806" w14:textId="77777777" w:rsidR="001D68A4" w:rsidRPr="00470118" w:rsidRDefault="001D68A4" w:rsidP="00144BA2">
            <w:pPr>
              <w:spacing w:after="0"/>
              <w:jc w:val="center"/>
              <w:rPr>
                <w:rFonts w:ascii="Calibri Light" w:hAnsi="Calibri Light" w:cs="Calibri Light"/>
              </w:rPr>
            </w:pPr>
          </w:p>
        </w:tc>
        <w:tc>
          <w:tcPr>
            <w:tcW w:w="438" w:type="pct"/>
            <w:tcBorders>
              <w:top w:val="single" w:sz="8" w:space="0" w:color="D9D9D9" w:themeColor="background1" w:themeShade="D9"/>
              <w:bottom w:val="single" w:sz="8" w:space="0" w:color="D9D9D9" w:themeColor="background1" w:themeShade="D9"/>
            </w:tcBorders>
            <w:noWrap/>
            <w:hideMark/>
          </w:tcPr>
          <w:p w14:paraId="77E29E17"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3</w:t>
            </w:r>
          </w:p>
        </w:tc>
        <w:tc>
          <w:tcPr>
            <w:tcW w:w="438" w:type="pct"/>
            <w:tcBorders>
              <w:top w:val="single" w:sz="8" w:space="0" w:color="D9D9D9" w:themeColor="background1" w:themeShade="D9"/>
              <w:bottom w:val="single" w:sz="8" w:space="0" w:color="D9D9D9" w:themeColor="background1" w:themeShade="D9"/>
            </w:tcBorders>
            <w:noWrap/>
            <w:hideMark/>
          </w:tcPr>
          <w:p w14:paraId="4BD7D63C"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2</w:t>
            </w:r>
          </w:p>
        </w:tc>
        <w:tc>
          <w:tcPr>
            <w:tcW w:w="438" w:type="pct"/>
            <w:tcBorders>
              <w:top w:val="single" w:sz="8" w:space="0" w:color="D9D9D9" w:themeColor="background1" w:themeShade="D9"/>
              <w:bottom w:val="single" w:sz="8" w:space="0" w:color="D9D9D9" w:themeColor="background1" w:themeShade="D9"/>
            </w:tcBorders>
            <w:noWrap/>
            <w:hideMark/>
          </w:tcPr>
          <w:p w14:paraId="32429BA2"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2</w:t>
            </w:r>
          </w:p>
        </w:tc>
        <w:tc>
          <w:tcPr>
            <w:tcW w:w="438"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4059558A"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7</w:t>
            </w:r>
          </w:p>
        </w:tc>
      </w:tr>
      <w:tr w:rsidR="001D68A4" w:rsidRPr="00A764B7" w14:paraId="01F2F48B" w14:textId="77777777" w:rsidTr="00144BA2">
        <w:trPr>
          <w:trHeight w:val="57"/>
        </w:trPr>
        <w:tc>
          <w:tcPr>
            <w:tcW w:w="0" w:type="pct"/>
            <w:vMerge/>
            <w:tcBorders>
              <w:bottom w:val="single" w:sz="12" w:space="0" w:color="BFBFBF" w:themeColor="background1" w:themeShade="BF"/>
            </w:tcBorders>
            <w:noWrap/>
            <w:hideMark/>
          </w:tcPr>
          <w:p w14:paraId="57939001" w14:textId="77777777" w:rsidR="001D68A4" w:rsidRPr="00470118" w:rsidRDefault="001D68A4" w:rsidP="00144BA2">
            <w:pPr>
              <w:spacing w:after="0"/>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53085B4A" w14:textId="77777777" w:rsidR="001D68A4" w:rsidRPr="00470118" w:rsidRDefault="001D68A4" w:rsidP="00144BA2">
            <w:pPr>
              <w:spacing w:after="0"/>
              <w:rPr>
                <w:rFonts w:ascii="Calibri Light" w:hAnsi="Calibri Light" w:cs="Calibri Light"/>
              </w:rPr>
            </w:pPr>
            <w:r w:rsidRPr="00470118">
              <w:rPr>
                <w:rFonts w:ascii="Calibri Light" w:hAnsi="Calibri Light" w:cs="Calibri Light"/>
              </w:rPr>
              <w:t>Seismic</w:t>
            </w:r>
          </w:p>
        </w:tc>
        <w:tc>
          <w:tcPr>
            <w:tcW w:w="0" w:type="pct"/>
            <w:tcBorders>
              <w:top w:val="single" w:sz="8" w:space="0" w:color="D9D9D9" w:themeColor="background1" w:themeShade="D9"/>
              <w:bottom w:val="single" w:sz="12" w:space="0" w:color="BFBFBF" w:themeColor="background1" w:themeShade="BF"/>
            </w:tcBorders>
            <w:noWrap/>
            <w:hideMark/>
          </w:tcPr>
          <w:p w14:paraId="02A3196D"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1</w:t>
            </w:r>
          </w:p>
        </w:tc>
        <w:tc>
          <w:tcPr>
            <w:tcW w:w="0" w:type="pct"/>
            <w:tcBorders>
              <w:top w:val="single" w:sz="8" w:space="0" w:color="D9D9D9" w:themeColor="background1" w:themeShade="D9"/>
              <w:bottom w:val="single" w:sz="12" w:space="0" w:color="BFBFBF" w:themeColor="background1" w:themeShade="BF"/>
            </w:tcBorders>
            <w:noWrap/>
            <w:hideMark/>
          </w:tcPr>
          <w:p w14:paraId="46132185" w14:textId="77777777" w:rsidR="001D68A4" w:rsidRPr="00470118"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66F9CAA0" w14:textId="77777777" w:rsidR="001D68A4" w:rsidRPr="00470118"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17DF4EC5" w14:textId="77777777" w:rsidR="001D68A4" w:rsidRPr="00470118" w:rsidRDefault="001D68A4" w:rsidP="00144BA2">
            <w:pPr>
              <w:spacing w:after="0"/>
              <w:jc w:val="center"/>
              <w:rPr>
                <w:rFonts w:ascii="Calibri Light" w:hAnsi="Calibri Light" w:cs="Calibri Light"/>
              </w:rPr>
            </w:pPr>
          </w:p>
        </w:tc>
        <w:tc>
          <w:tcPr>
            <w:tcW w:w="0" w:type="pct"/>
            <w:tcBorders>
              <w:top w:val="single" w:sz="8" w:space="0" w:color="D9D9D9" w:themeColor="background1" w:themeShade="D9"/>
              <w:bottom w:val="single" w:sz="12" w:space="0" w:color="BFBFBF" w:themeColor="background1" w:themeShade="BF"/>
            </w:tcBorders>
            <w:noWrap/>
            <w:hideMark/>
          </w:tcPr>
          <w:p w14:paraId="6CDD8B98"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1</w:t>
            </w:r>
          </w:p>
        </w:tc>
        <w:tc>
          <w:tcPr>
            <w:tcW w:w="0" w:type="pct"/>
            <w:tcBorders>
              <w:top w:val="single" w:sz="8" w:space="0" w:color="D9D9D9" w:themeColor="background1" w:themeShade="D9"/>
              <w:bottom w:val="single" w:sz="12" w:space="0" w:color="BFBFBF" w:themeColor="background1" w:themeShade="BF"/>
            </w:tcBorders>
            <w:shd w:val="clear" w:color="auto" w:fill="F2F2F2" w:themeFill="background1" w:themeFillShade="F2"/>
            <w:noWrap/>
            <w:hideMark/>
          </w:tcPr>
          <w:p w14:paraId="0A41309F"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2</w:t>
            </w:r>
          </w:p>
        </w:tc>
      </w:tr>
      <w:tr w:rsidR="001D68A4" w:rsidRPr="00A764B7" w14:paraId="15E8D3A3" w14:textId="77777777" w:rsidTr="00144BA2">
        <w:trPr>
          <w:trHeight w:val="57"/>
        </w:trPr>
        <w:tc>
          <w:tcPr>
            <w:tcW w:w="1222" w:type="pct"/>
            <w:tcBorders>
              <w:top w:val="single" w:sz="12" w:space="0" w:color="BFBFBF" w:themeColor="background1" w:themeShade="BF"/>
            </w:tcBorders>
            <w:noWrap/>
            <w:hideMark/>
          </w:tcPr>
          <w:p w14:paraId="609C357C" w14:textId="77777777" w:rsidR="001D68A4" w:rsidRPr="00470118" w:rsidRDefault="001D68A4" w:rsidP="00144BA2">
            <w:pPr>
              <w:spacing w:after="0"/>
              <w:rPr>
                <w:rFonts w:ascii="Calibri Light" w:hAnsi="Calibri Light" w:cs="Calibri Light"/>
              </w:rPr>
            </w:pPr>
            <w:r>
              <w:rPr>
                <w:rFonts w:ascii="Calibri Light" w:hAnsi="Calibri Light" w:cs="Calibri Light"/>
              </w:rPr>
              <w:t>W</w:t>
            </w:r>
            <w:r w:rsidRPr="00470118">
              <w:rPr>
                <w:rFonts w:ascii="Calibri Light" w:hAnsi="Calibri Light" w:cs="Calibri Light"/>
              </w:rPr>
              <w:t>ritten advice/warning</w:t>
            </w:r>
          </w:p>
        </w:tc>
        <w:tc>
          <w:tcPr>
            <w:tcW w:w="1150" w:type="pct"/>
            <w:tcBorders>
              <w:top w:val="single" w:sz="12" w:space="0" w:color="BFBFBF" w:themeColor="background1" w:themeShade="BF"/>
              <w:bottom w:val="single" w:sz="8" w:space="0" w:color="D9D9D9" w:themeColor="background1" w:themeShade="D9"/>
            </w:tcBorders>
            <w:noWrap/>
            <w:hideMark/>
          </w:tcPr>
          <w:p w14:paraId="63BCD0B4" w14:textId="77777777" w:rsidR="001D68A4" w:rsidRPr="00470118" w:rsidRDefault="001D68A4" w:rsidP="00144BA2">
            <w:pPr>
              <w:spacing w:after="0"/>
              <w:rPr>
                <w:rFonts w:ascii="Calibri Light" w:hAnsi="Calibri Light" w:cs="Calibri Light"/>
              </w:rPr>
            </w:pPr>
            <w:r>
              <w:rPr>
                <w:rFonts w:ascii="Calibri Light" w:hAnsi="Calibri Light" w:cs="Calibri Light"/>
              </w:rPr>
              <w:t>Not specified</w:t>
            </w:r>
          </w:p>
        </w:tc>
        <w:tc>
          <w:tcPr>
            <w:tcW w:w="438" w:type="pct"/>
            <w:tcBorders>
              <w:top w:val="single" w:sz="12" w:space="0" w:color="BFBFBF" w:themeColor="background1" w:themeShade="BF"/>
              <w:bottom w:val="single" w:sz="8" w:space="0" w:color="D9D9D9" w:themeColor="background1" w:themeShade="D9"/>
            </w:tcBorders>
            <w:noWrap/>
            <w:hideMark/>
          </w:tcPr>
          <w:p w14:paraId="5D9F877E" w14:textId="77777777" w:rsidR="001D68A4" w:rsidRPr="00470118" w:rsidRDefault="001D68A4" w:rsidP="00144BA2">
            <w:pPr>
              <w:spacing w:after="0"/>
              <w:jc w:val="center"/>
              <w:rPr>
                <w:rFonts w:ascii="Calibri Light" w:hAnsi="Calibri Light" w:cs="Calibri Light"/>
              </w:rPr>
            </w:pPr>
          </w:p>
        </w:tc>
        <w:tc>
          <w:tcPr>
            <w:tcW w:w="438" w:type="pct"/>
            <w:tcBorders>
              <w:top w:val="single" w:sz="12" w:space="0" w:color="BFBFBF" w:themeColor="background1" w:themeShade="BF"/>
              <w:bottom w:val="single" w:sz="8" w:space="0" w:color="D9D9D9" w:themeColor="background1" w:themeShade="D9"/>
            </w:tcBorders>
            <w:noWrap/>
            <w:hideMark/>
          </w:tcPr>
          <w:p w14:paraId="4C1DE183" w14:textId="77777777" w:rsidR="001D68A4" w:rsidRPr="00470118" w:rsidRDefault="001D68A4" w:rsidP="00144BA2">
            <w:pPr>
              <w:spacing w:after="0"/>
              <w:jc w:val="center"/>
              <w:rPr>
                <w:rFonts w:ascii="Calibri Light" w:hAnsi="Calibri Light" w:cs="Calibri Light"/>
              </w:rPr>
            </w:pPr>
          </w:p>
        </w:tc>
        <w:tc>
          <w:tcPr>
            <w:tcW w:w="438" w:type="pct"/>
            <w:tcBorders>
              <w:top w:val="single" w:sz="12" w:space="0" w:color="BFBFBF" w:themeColor="background1" w:themeShade="BF"/>
              <w:bottom w:val="single" w:sz="8" w:space="0" w:color="D9D9D9" w:themeColor="background1" w:themeShade="D9"/>
            </w:tcBorders>
            <w:noWrap/>
            <w:hideMark/>
          </w:tcPr>
          <w:p w14:paraId="31613848"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1</w:t>
            </w:r>
          </w:p>
        </w:tc>
        <w:tc>
          <w:tcPr>
            <w:tcW w:w="438" w:type="pct"/>
            <w:tcBorders>
              <w:top w:val="single" w:sz="12" w:space="0" w:color="BFBFBF" w:themeColor="background1" w:themeShade="BF"/>
              <w:bottom w:val="single" w:sz="8" w:space="0" w:color="D9D9D9" w:themeColor="background1" w:themeShade="D9"/>
            </w:tcBorders>
            <w:noWrap/>
            <w:hideMark/>
          </w:tcPr>
          <w:p w14:paraId="79B8E5E3" w14:textId="77777777" w:rsidR="001D68A4" w:rsidRPr="00470118" w:rsidRDefault="001D68A4" w:rsidP="00144BA2">
            <w:pPr>
              <w:spacing w:after="0"/>
              <w:jc w:val="center"/>
              <w:rPr>
                <w:rFonts w:ascii="Calibri Light" w:hAnsi="Calibri Light" w:cs="Calibri Light"/>
              </w:rPr>
            </w:pPr>
          </w:p>
        </w:tc>
        <w:tc>
          <w:tcPr>
            <w:tcW w:w="438" w:type="pct"/>
            <w:tcBorders>
              <w:top w:val="single" w:sz="12" w:space="0" w:color="BFBFBF" w:themeColor="background1" w:themeShade="BF"/>
              <w:bottom w:val="single" w:sz="8" w:space="0" w:color="D9D9D9" w:themeColor="background1" w:themeShade="D9"/>
            </w:tcBorders>
            <w:noWrap/>
            <w:hideMark/>
          </w:tcPr>
          <w:p w14:paraId="45583D76"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3</w:t>
            </w:r>
          </w:p>
        </w:tc>
        <w:tc>
          <w:tcPr>
            <w:tcW w:w="438"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653AA56B"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4</w:t>
            </w:r>
          </w:p>
        </w:tc>
      </w:tr>
      <w:tr w:rsidR="001D68A4" w:rsidRPr="00A764B7" w14:paraId="4320A864" w14:textId="77777777" w:rsidTr="00144BA2">
        <w:trPr>
          <w:trHeight w:val="57"/>
        </w:trPr>
        <w:tc>
          <w:tcPr>
            <w:tcW w:w="1222" w:type="pct"/>
            <w:noWrap/>
            <w:hideMark/>
          </w:tcPr>
          <w:p w14:paraId="200BDEEC" w14:textId="77777777" w:rsidR="001D68A4" w:rsidRPr="00470118" w:rsidRDefault="001D68A4" w:rsidP="00144BA2">
            <w:pPr>
              <w:spacing w:after="0"/>
              <w:rPr>
                <w:rFonts w:ascii="Calibri Light" w:hAnsi="Calibri Light" w:cs="Calibri Light"/>
              </w:rPr>
            </w:pPr>
          </w:p>
        </w:tc>
        <w:tc>
          <w:tcPr>
            <w:tcW w:w="1150" w:type="pct"/>
            <w:tcBorders>
              <w:top w:val="single" w:sz="8" w:space="0" w:color="D9D9D9" w:themeColor="background1" w:themeShade="D9"/>
              <w:bottom w:val="single" w:sz="8" w:space="0" w:color="D9D9D9" w:themeColor="background1" w:themeShade="D9"/>
            </w:tcBorders>
            <w:noWrap/>
            <w:hideMark/>
          </w:tcPr>
          <w:p w14:paraId="0273BAE3" w14:textId="77777777" w:rsidR="001D68A4" w:rsidRPr="00470118" w:rsidRDefault="001D68A4" w:rsidP="00144BA2">
            <w:pPr>
              <w:spacing w:after="0"/>
              <w:rPr>
                <w:rFonts w:ascii="Calibri Light" w:hAnsi="Calibri Light" w:cs="Calibri Light"/>
              </w:rPr>
            </w:pPr>
            <w:r w:rsidRPr="00470118">
              <w:rPr>
                <w:rFonts w:ascii="Calibri Light" w:hAnsi="Calibri Light" w:cs="Calibri Light"/>
              </w:rPr>
              <w:t>Operations</w:t>
            </w:r>
          </w:p>
        </w:tc>
        <w:tc>
          <w:tcPr>
            <w:tcW w:w="438" w:type="pct"/>
            <w:tcBorders>
              <w:top w:val="single" w:sz="8" w:space="0" w:color="D9D9D9" w:themeColor="background1" w:themeShade="D9"/>
              <w:bottom w:val="single" w:sz="8" w:space="0" w:color="D9D9D9" w:themeColor="background1" w:themeShade="D9"/>
            </w:tcBorders>
            <w:noWrap/>
            <w:hideMark/>
          </w:tcPr>
          <w:p w14:paraId="2CD53DF4"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2</w:t>
            </w:r>
          </w:p>
        </w:tc>
        <w:tc>
          <w:tcPr>
            <w:tcW w:w="438" w:type="pct"/>
            <w:tcBorders>
              <w:top w:val="single" w:sz="8" w:space="0" w:color="D9D9D9" w:themeColor="background1" w:themeShade="D9"/>
              <w:bottom w:val="single" w:sz="8" w:space="0" w:color="D9D9D9" w:themeColor="background1" w:themeShade="D9"/>
            </w:tcBorders>
            <w:noWrap/>
            <w:hideMark/>
          </w:tcPr>
          <w:p w14:paraId="0BB688EC" w14:textId="77777777" w:rsidR="001D68A4" w:rsidRPr="00470118" w:rsidRDefault="001D68A4" w:rsidP="00144BA2">
            <w:pPr>
              <w:spacing w:after="0"/>
              <w:jc w:val="center"/>
              <w:rPr>
                <w:rFonts w:ascii="Calibri Light" w:hAnsi="Calibri Light" w:cs="Calibri Light"/>
              </w:rPr>
            </w:pPr>
          </w:p>
        </w:tc>
        <w:tc>
          <w:tcPr>
            <w:tcW w:w="438" w:type="pct"/>
            <w:tcBorders>
              <w:top w:val="single" w:sz="8" w:space="0" w:color="D9D9D9" w:themeColor="background1" w:themeShade="D9"/>
              <w:bottom w:val="single" w:sz="8" w:space="0" w:color="D9D9D9" w:themeColor="background1" w:themeShade="D9"/>
            </w:tcBorders>
            <w:noWrap/>
            <w:hideMark/>
          </w:tcPr>
          <w:p w14:paraId="74AF7097"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7</w:t>
            </w:r>
          </w:p>
        </w:tc>
        <w:tc>
          <w:tcPr>
            <w:tcW w:w="438" w:type="pct"/>
            <w:tcBorders>
              <w:top w:val="single" w:sz="8" w:space="0" w:color="D9D9D9" w:themeColor="background1" w:themeShade="D9"/>
              <w:bottom w:val="single" w:sz="8" w:space="0" w:color="D9D9D9" w:themeColor="background1" w:themeShade="D9"/>
            </w:tcBorders>
            <w:noWrap/>
            <w:hideMark/>
          </w:tcPr>
          <w:p w14:paraId="097F4D2A"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2</w:t>
            </w:r>
          </w:p>
        </w:tc>
        <w:tc>
          <w:tcPr>
            <w:tcW w:w="438" w:type="pct"/>
            <w:tcBorders>
              <w:top w:val="single" w:sz="8" w:space="0" w:color="D9D9D9" w:themeColor="background1" w:themeShade="D9"/>
              <w:bottom w:val="single" w:sz="8" w:space="0" w:color="D9D9D9" w:themeColor="background1" w:themeShade="D9"/>
            </w:tcBorders>
            <w:noWrap/>
            <w:hideMark/>
          </w:tcPr>
          <w:p w14:paraId="73C004EB"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2</w:t>
            </w:r>
          </w:p>
        </w:tc>
        <w:tc>
          <w:tcPr>
            <w:tcW w:w="438" w:type="pct"/>
            <w:tcBorders>
              <w:top w:val="single" w:sz="8" w:space="0" w:color="D9D9D9" w:themeColor="background1" w:themeShade="D9"/>
              <w:bottom w:val="single" w:sz="8" w:space="0" w:color="D9D9D9" w:themeColor="background1" w:themeShade="D9"/>
            </w:tcBorders>
            <w:shd w:val="clear" w:color="auto" w:fill="F2F2F2" w:themeFill="background1" w:themeFillShade="F2"/>
            <w:noWrap/>
            <w:hideMark/>
          </w:tcPr>
          <w:p w14:paraId="2889A236"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13</w:t>
            </w:r>
          </w:p>
        </w:tc>
      </w:tr>
      <w:tr w:rsidR="001D68A4" w:rsidRPr="00A764B7" w14:paraId="42E45650" w14:textId="77777777" w:rsidTr="00144BA2">
        <w:trPr>
          <w:trHeight w:val="57"/>
        </w:trPr>
        <w:tc>
          <w:tcPr>
            <w:tcW w:w="1222" w:type="pct"/>
            <w:tcBorders>
              <w:bottom w:val="single" w:sz="12" w:space="0" w:color="BFBFBF" w:themeColor="background1" w:themeShade="BF"/>
            </w:tcBorders>
            <w:noWrap/>
            <w:hideMark/>
          </w:tcPr>
          <w:p w14:paraId="56E8D5B3" w14:textId="77777777" w:rsidR="001D68A4" w:rsidRPr="00470118" w:rsidRDefault="001D68A4" w:rsidP="00144BA2">
            <w:pPr>
              <w:spacing w:after="0"/>
              <w:rPr>
                <w:rFonts w:ascii="Calibri Light" w:hAnsi="Calibri Light" w:cs="Calibri Light"/>
              </w:rPr>
            </w:pPr>
          </w:p>
        </w:tc>
        <w:tc>
          <w:tcPr>
            <w:tcW w:w="1150" w:type="pct"/>
            <w:tcBorders>
              <w:top w:val="single" w:sz="8" w:space="0" w:color="D9D9D9" w:themeColor="background1" w:themeShade="D9"/>
              <w:bottom w:val="single" w:sz="12" w:space="0" w:color="BFBFBF" w:themeColor="background1" w:themeShade="BF"/>
            </w:tcBorders>
            <w:noWrap/>
            <w:hideMark/>
          </w:tcPr>
          <w:p w14:paraId="3D5B17E8" w14:textId="77777777" w:rsidR="001D68A4" w:rsidRPr="00470118" w:rsidRDefault="001D68A4" w:rsidP="00144BA2">
            <w:pPr>
              <w:spacing w:after="0"/>
              <w:rPr>
                <w:rFonts w:ascii="Calibri Light" w:hAnsi="Calibri Light" w:cs="Calibri Light"/>
              </w:rPr>
            </w:pPr>
            <w:r w:rsidRPr="00470118">
              <w:rPr>
                <w:rFonts w:ascii="Calibri Light" w:hAnsi="Calibri Light" w:cs="Calibri Light"/>
              </w:rPr>
              <w:t>Seismic</w:t>
            </w:r>
          </w:p>
        </w:tc>
        <w:tc>
          <w:tcPr>
            <w:tcW w:w="438" w:type="pct"/>
            <w:tcBorders>
              <w:top w:val="single" w:sz="8" w:space="0" w:color="D9D9D9" w:themeColor="background1" w:themeShade="D9"/>
              <w:bottom w:val="single" w:sz="12" w:space="0" w:color="BFBFBF" w:themeColor="background1" w:themeShade="BF"/>
            </w:tcBorders>
            <w:noWrap/>
            <w:hideMark/>
          </w:tcPr>
          <w:p w14:paraId="6AB0FDFD" w14:textId="77777777" w:rsidR="001D68A4" w:rsidRPr="00470118" w:rsidRDefault="001D68A4" w:rsidP="00144BA2">
            <w:pPr>
              <w:spacing w:after="0"/>
              <w:jc w:val="center"/>
              <w:rPr>
                <w:rFonts w:ascii="Calibri Light" w:hAnsi="Calibri Light" w:cs="Calibri Light"/>
              </w:rPr>
            </w:pPr>
          </w:p>
        </w:tc>
        <w:tc>
          <w:tcPr>
            <w:tcW w:w="438" w:type="pct"/>
            <w:tcBorders>
              <w:top w:val="single" w:sz="8" w:space="0" w:color="D9D9D9" w:themeColor="background1" w:themeShade="D9"/>
              <w:bottom w:val="single" w:sz="12" w:space="0" w:color="BFBFBF" w:themeColor="background1" w:themeShade="BF"/>
            </w:tcBorders>
            <w:noWrap/>
            <w:hideMark/>
          </w:tcPr>
          <w:p w14:paraId="230CC388" w14:textId="77777777" w:rsidR="001D68A4" w:rsidRPr="00470118" w:rsidRDefault="001D68A4" w:rsidP="00144BA2">
            <w:pPr>
              <w:spacing w:after="0"/>
              <w:jc w:val="center"/>
              <w:rPr>
                <w:rFonts w:ascii="Calibri Light" w:hAnsi="Calibri Light" w:cs="Calibri Light"/>
              </w:rPr>
            </w:pPr>
          </w:p>
        </w:tc>
        <w:tc>
          <w:tcPr>
            <w:tcW w:w="438" w:type="pct"/>
            <w:tcBorders>
              <w:top w:val="single" w:sz="8" w:space="0" w:color="D9D9D9" w:themeColor="background1" w:themeShade="D9"/>
              <w:bottom w:val="single" w:sz="12" w:space="0" w:color="BFBFBF" w:themeColor="background1" w:themeShade="BF"/>
            </w:tcBorders>
            <w:noWrap/>
            <w:hideMark/>
          </w:tcPr>
          <w:p w14:paraId="3BB5EC1B"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2</w:t>
            </w:r>
          </w:p>
        </w:tc>
        <w:tc>
          <w:tcPr>
            <w:tcW w:w="438" w:type="pct"/>
            <w:tcBorders>
              <w:top w:val="single" w:sz="8" w:space="0" w:color="D9D9D9" w:themeColor="background1" w:themeShade="D9"/>
              <w:bottom w:val="single" w:sz="12" w:space="0" w:color="BFBFBF" w:themeColor="background1" w:themeShade="BF"/>
            </w:tcBorders>
            <w:noWrap/>
            <w:hideMark/>
          </w:tcPr>
          <w:p w14:paraId="4D2FAE63"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1</w:t>
            </w:r>
          </w:p>
        </w:tc>
        <w:tc>
          <w:tcPr>
            <w:tcW w:w="438" w:type="pct"/>
            <w:tcBorders>
              <w:top w:val="single" w:sz="8" w:space="0" w:color="D9D9D9" w:themeColor="background1" w:themeShade="D9"/>
              <w:bottom w:val="single" w:sz="12" w:space="0" w:color="BFBFBF" w:themeColor="background1" w:themeShade="BF"/>
            </w:tcBorders>
            <w:noWrap/>
            <w:hideMark/>
          </w:tcPr>
          <w:p w14:paraId="3941D8FE" w14:textId="77777777" w:rsidR="001D68A4" w:rsidRPr="00470118" w:rsidRDefault="001D68A4" w:rsidP="00144BA2">
            <w:pPr>
              <w:spacing w:after="0"/>
              <w:jc w:val="center"/>
              <w:rPr>
                <w:rFonts w:ascii="Calibri Light" w:hAnsi="Calibri Light" w:cs="Calibri Light"/>
              </w:rPr>
            </w:pPr>
            <w:r w:rsidRPr="00470118">
              <w:rPr>
                <w:rFonts w:ascii="Calibri Light" w:hAnsi="Calibri Light" w:cs="Calibri Light"/>
              </w:rPr>
              <w:t>1</w:t>
            </w:r>
          </w:p>
        </w:tc>
        <w:tc>
          <w:tcPr>
            <w:tcW w:w="438" w:type="pct"/>
            <w:tcBorders>
              <w:top w:val="single" w:sz="8" w:space="0" w:color="D9D9D9" w:themeColor="background1" w:themeShade="D9"/>
              <w:bottom w:val="single" w:sz="12" w:space="0" w:color="BFBFBF" w:themeColor="background1" w:themeShade="BF"/>
            </w:tcBorders>
            <w:shd w:val="clear" w:color="auto" w:fill="F2F2F2" w:themeFill="background1" w:themeFillShade="F2"/>
            <w:noWrap/>
            <w:hideMark/>
          </w:tcPr>
          <w:p w14:paraId="2E2E57A0"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4</w:t>
            </w:r>
          </w:p>
        </w:tc>
      </w:tr>
      <w:tr w:rsidR="001D68A4" w:rsidRPr="00A764B7" w14:paraId="60EE62DF" w14:textId="77777777" w:rsidTr="00144BA2">
        <w:trPr>
          <w:trHeight w:val="57"/>
        </w:trPr>
        <w:tc>
          <w:tcPr>
            <w:tcW w:w="1222"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4CD015F3" w14:textId="77777777" w:rsidR="001D68A4" w:rsidRPr="00470118" w:rsidRDefault="001D68A4" w:rsidP="00144BA2">
            <w:pPr>
              <w:spacing w:after="0"/>
              <w:rPr>
                <w:rFonts w:ascii="Calibri Light" w:hAnsi="Calibri Light" w:cs="Calibri Light"/>
                <w:b/>
                <w:bCs/>
              </w:rPr>
            </w:pPr>
            <w:r w:rsidRPr="00470118">
              <w:rPr>
                <w:rFonts w:ascii="Calibri Light" w:hAnsi="Calibri Light" w:cs="Calibri Light"/>
                <w:b/>
                <w:bCs/>
              </w:rPr>
              <w:t>Total</w:t>
            </w:r>
          </w:p>
        </w:tc>
        <w:tc>
          <w:tcPr>
            <w:tcW w:w="1150"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65E6F1C7" w14:textId="77777777" w:rsidR="001D68A4" w:rsidRPr="00470118" w:rsidRDefault="001D68A4" w:rsidP="00144BA2">
            <w:pPr>
              <w:spacing w:after="0"/>
              <w:rPr>
                <w:rFonts w:ascii="Calibri Light" w:hAnsi="Calibri Light" w:cs="Calibri Light"/>
                <w:b/>
                <w:bCs/>
              </w:rPr>
            </w:pPr>
          </w:p>
        </w:tc>
        <w:tc>
          <w:tcPr>
            <w:tcW w:w="438"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67D64BB6"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4</w:t>
            </w:r>
          </w:p>
        </w:tc>
        <w:tc>
          <w:tcPr>
            <w:tcW w:w="438"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23237EF4"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7</w:t>
            </w:r>
          </w:p>
        </w:tc>
        <w:tc>
          <w:tcPr>
            <w:tcW w:w="438"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23CA1775"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16</w:t>
            </w:r>
          </w:p>
        </w:tc>
        <w:tc>
          <w:tcPr>
            <w:tcW w:w="438"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1AF29B8E"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8</w:t>
            </w:r>
          </w:p>
        </w:tc>
        <w:tc>
          <w:tcPr>
            <w:tcW w:w="438"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684644F7"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12</w:t>
            </w:r>
          </w:p>
        </w:tc>
        <w:tc>
          <w:tcPr>
            <w:tcW w:w="438" w:type="pct"/>
            <w:tcBorders>
              <w:top w:val="single" w:sz="12" w:space="0" w:color="BFBFBF" w:themeColor="background1" w:themeShade="BF"/>
              <w:bottom w:val="single" w:sz="8" w:space="0" w:color="D9D9D9" w:themeColor="background1" w:themeShade="D9"/>
            </w:tcBorders>
            <w:shd w:val="clear" w:color="auto" w:fill="F2F2F2" w:themeFill="background1" w:themeFillShade="F2"/>
            <w:noWrap/>
            <w:hideMark/>
          </w:tcPr>
          <w:p w14:paraId="6AD0A247" w14:textId="77777777" w:rsidR="001D68A4" w:rsidRPr="00470118" w:rsidRDefault="001D68A4" w:rsidP="00144BA2">
            <w:pPr>
              <w:spacing w:after="0"/>
              <w:jc w:val="center"/>
              <w:rPr>
                <w:rFonts w:ascii="Calibri Light" w:hAnsi="Calibri Light" w:cs="Calibri Light"/>
                <w:b/>
                <w:bCs/>
              </w:rPr>
            </w:pPr>
            <w:r w:rsidRPr="00470118">
              <w:rPr>
                <w:rFonts w:ascii="Calibri Light" w:hAnsi="Calibri Light" w:cs="Calibri Light"/>
                <w:b/>
                <w:bCs/>
              </w:rPr>
              <w:t>47</w:t>
            </w:r>
          </w:p>
        </w:tc>
      </w:tr>
    </w:tbl>
    <w:p w14:paraId="3453E033" w14:textId="77777777" w:rsidR="001D68A4" w:rsidRPr="00656E8A" w:rsidRDefault="001D68A4" w:rsidP="001D68A4">
      <w:pPr>
        <w:pStyle w:val="Caption"/>
        <w:rPr>
          <w:b w:val="0"/>
          <w:bCs/>
          <w:i/>
          <w:iCs w:val="0"/>
          <w:color w:val="75787B" w:themeColor="accent6"/>
        </w:rPr>
      </w:pPr>
      <w:r w:rsidRPr="00656E8A">
        <w:rPr>
          <w:b w:val="0"/>
          <w:bCs/>
          <w:i/>
          <w:iCs w:val="0"/>
          <w:color w:val="75787B" w:themeColor="accent6"/>
        </w:rPr>
        <w:t>Source: NOPSEMA data</w:t>
      </w:r>
    </w:p>
    <w:p w14:paraId="413CF9DB" w14:textId="5D46FE22" w:rsidR="002464C5" w:rsidRPr="0075495B" w:rsidRDefault="00631431" w:rsidP="0075495B">
      <w:pPr>
        <w:pStyle w:val="BodyCopyNEW"/>
        <w:rPr>
          <w:szCs w:val="18"/>
        </w:rPr>
      </w:pPr>
      <w:r w:rsidRPr="00470118">
        <w:t xml:space="preserve">For an analysis of NOPSEMA’s monitoring, compliance, and enforcement activities, including its enforcement powers, please refer to </w:t>
      </w:r>
      <w:r w:rsidR="003E103F" w:rsidRPr="00276A29">
        <w:rPr>
          <w:b/>
        </w:rPr>
        <w:t xml:space="preserve">Section </w:t>
      </w:r>
      <w:r w:rsidR="003E103F" w:rsidRPr="00276A29">
        <w:rPr>
          <w:b/>
        </w:rPr>
        <w:fldChar w:fldCharType="begin"/>
      </w:r>
      <w:r w:rsidR="003E103F" w:rsidRPr="00276A29">
        <w:rPr>
          <w:b/>
        </w:rPr>
        <w:instrText xml:space="preserve"> REF _Ref55978299 \r \h  \* MERGEFORMAT </w:instrText>
      </w:r>
      <w:r w:rsidR="003E103F" w:rsidRPr="00276A29">
        <w:rPr>
          <w:b/>
        </w:rPr>
      </w:r>
      <w:r w:rsidR="003E103F" w:rsidRPr="00276A29">
        <w:rPr>
          <w:b/>
        </w:rPr>
        <w:fldChar w:fldCharType="separate"/>
      </w:r>
      <w:r w:rsidR="00E816B8">
        <w:rPr>
          <w:b/>
        </w:rPr>
        <w:t>6</w:t>
      </w:r>
      <w:r w:rsidR="003E103F" w:rsidRPr="00276A29">
        <w:rPr>
          <w:b/>
        </w:rPr>
        <w:fldChar w:fldCharType="end"/>
      </w:r>
      <w:r w:rsidRPr="00470118">
        <w:t>.</w:t>
      </w:r>
    </w:p>
    <w:p w14:paraId="59992D44" w14:textId="7018EEF8" w:rsidR="008908AB" w:rsidRPr="003E103F" w:rsidRDefault="00B441FB" w:rsidP="00376C3D">
      <w:pPr>
        <w:pStyle w:val="Heading2"/>
      </w:pPr>
      <w:bookmarkStart w:id="200" w:name="_Ref63977136"/>
      <w:r w:rsidRPr="003E103F">
        <w:lastRenderedPageBreak/>
        <w:t>Detailed findings for the 2020 Endorsed Program Assessment</w:t>
      </w:r>
      <w:bookmarkEnd w:id="200"/>
    </w:p>
    <w:p w14:paraId="5A7033D6" w14:textId="5EB21F25" w:rsidR="00617300" w:rsidRPr="00470118" w:rsidRDefault="00FD19BC" w:rsidP="00617300">
      <w:pPr>
        <w:pStyle w:val="Heading3"/>
      </w:pPr>
      <w:r>
        <w:t>S</w:t>
      </w:r>
      <w:r w:rsidR="00617300" w:rsidRPr="00470118">
        <w:t>ection structure</w:t>
      </w:r>
    </w:p>
    <w:p w14:paraId="1D8181CB" w14:textId="47886AC5" w:rsidR="00617300" w:rsidRDefault="00617300" w:rsidP="00617300">
      <w:pPr>
        <w:pStyle w:val="BodyCopyNEW"/>
        <w:rPr>
          <w:szCs w:val="18"/>
        </w:rPr>
      </w:pPr>
      <w:r>
        <w:rPr>
          <w:szCs w:val="18"/>
        </w:rPr>
        <w:t xml:space="preserve">The detailed findings </w:t>
      </w:r>
      <w:r w:rsidR="00FD19BC">
        <w:rPr>
          <w:szCs w:val="18"/>
        </w:rPr>
        <w:t>s</w:t>
      </w:r>
      <w:r>
        <w:rPr>
          <w:szCs w:val="18"/>
        </w:rPr>
        <w:t xml:space="preserve">ection </w:t>
      </w:r>
      <w:r w:rsidR="005C45C3">
        <w:rPr>
          <w:szCs w:val="18"/>
        </w:rPr>
        <w:t>provides</w:t>
      </w:r>
      <w:r w:rsidR="0039095A">
        <w:rPr>
          <w:szCs w:val="18"/>
        </w:rPr>
        <w:t xml:space="preserve"> background o</w:t>
      </w:r>
      <w:r w:rsidR="005C45C3">
        <w:rPr>
          <w:szCs w:val="18"/>
        </w:rPr>
        <w:t>n</w:t>
      </w:r>
      <w:r w:rsidR="0039095A">
        <w:rPr>
          <w:szCs w:val="18"/>
        </w:rPr>
        <w:t xml:space="preserve"> NOPSEMA’s environmental regulatory processes</w:t>
      </w:r>
      <w:r w:rsidR="00A65D7A">
        <w:rPr>
          <w:szCs w:val="18"/>
        </w:rPr>
        <w:t xml:space="preserve"> (</w:t>
      </w:r>
      <w:r w:rsidR="00A65D7A" w:rsidRPr="00A12DA8">
        <w:rPr>
          <w:b/>
          <w:bCs/>
          <w:szCs w:val="18"/>
        </w:rPr>
        <w:t xml:space="preserve">subsection </w:t>
      </w:r>
      <w:r w:rsidR="000E10FB">
        <w:rPr>
          <w:b/>
          <w:bCs/>
          <w:szCs w:val="18"/>
        </w:rPr>
        <w:fldChar w:fldCharType="begin"/>
      </w:r>
      <w:r w:rsidR="000E10FB">
        <w:rPr>
          <w:b/>
          <w:bCs/>
          <w:szCs w:val="18"/>
        </w:rPr>
        <w:instrText xml:space="preserve"> REF _Ref63977550 \r \h </w:instrText>
      </w:r>
      <w:r w:rsidR="000E10FB">
        <w:rPr>
          <w:b/>
          <w:bCs/>
          <w:szCs w:val="18"/>
        </w:rPr>
      </w:r>
      <w:r w:rsidR="000E10FB">
        <w:rPr>
          <w:b/>
          <w:bCs/>
          <w:szCs w:val="18"/>
        </w:rPr>
        <w:fldChar w:fldCharType="separate"/>
      </w:r>
      <w:r w:rsidR="00E816B8">
        <w:rPr>
          <w:b/>
          <w:bCs/>
          <w:szCs w:val="18"/>
        </w:rPr>
        <w:t>11.4.2</w:t>
      </w:r>
      <w:r w:rsidR="000E10FB">
        <w:rPr>
          <w:b/>
          <w:bCs/>
          <w:szCs w:val="18"/>
        </w:rPr>
        <w:fldChar w:fldCharType="end"/>
      </w:r>
      <w:r w:rsidR="00A65D7A">
        <w:rPr>
          <w:szCs w:val="18"/>
        </w:rPr>
        <w:t>)</w:t>
      </w:r>
      <w:r w:rsidR="0039095A">
        <w:rPr>
          <w:szCs w:val="18"/>
        </w:rPr>
        <w:t xml:space="preserve"> and </w:t>
      </w:r>
      <w:r>
        <w:rPr>
          <w:szCs w:val="18"/>
        </w:rPr>
        <w:t>examines each of the five primary assessment dimensions below:</w:t>
      </w:r>
    </w:p>
    <w:p w14:paraId="0C5D158D" w14:textId="37602254" w:rsidR="00617300" w:rsidRDefault="00617300" w:rsidP="000C3CE3">
      <w:pPr>
        <w:pStyle w:val="BodycopyNEW0"/>
        <w:numPr>
          <w:ilvl w:val="0"/>
          <w:numId w:val="23"/>
        </w:numPr>
        <w:ind w:left="378"/>
        <w:rPr>
          <w:szCs w:val="18"/>
        </w:rPr>
      </w:pPr>
      <w:r w:rsidRPr="00156701">
        <w:rPr>
          <w:szCs w:val="18"/>
        </w:rPr>
        <w:t>NOPSEMA’s adherence to the relevant Object</w:t>
      </w:r>
      <w:r>
        <w:rPr>
          <w:szCs w:val="18"/>
        </w:rPr>
        <w:t xml:space="preserve"> </w:t>
      </w:r>
      <w:r w:rsidRPr="00156701">
        <w:rPr>
          <w:szCs w:val="18"/>
        </w:rPr>
        <w:t xml:space="preserve">of </w:t>
      </w:r>
      <w:r>
        <w:rPr>
          <w:szCs w:val="18"/>
        </w:rPr>
        <w:t xml:space="preserve">the </w:t>
      </w:r>
      <w:r w:rsidRPr="00156701">
        <w:rPr>
          <w:szCs w:val="18"/>
        </w:rPr>
        <w:t xml:space="preserve">regulations </w:t>
      </w:r>
      <w:r w:rsidR="00A12DA8">
        <w:rPr>
          <w:szCs w:val="18"/>
        </w:rPr>
        <w:t>(</w:t>
      </w:r>
      <w:r w:rsidR="00A12DA8" w:rsidRPr="00CA1178">
        <w:rPr>
          <w:b/>
          <w:bCs/>
          <w:szCs w:val="18"/>
        </w:rPr>
        <w:t xml:space="preserve">subsection </w:t>
      </w:r>
      <w:r w:rsidR="000E10FB">
        <w:rPr>
          <w:b/>
          <w:bCs/>
          <w:szCs w:val="18"/>
        </w:rPr>
        <w:fldChar w:fldCharType="begin"/>
      </w:r>
      <w:r w:rsidR="000E10FB">
        <w:rPr>
          <w:b/>
          <w:bCs/>
          <w:szCs w:val="18"/>
        </w:rPr>
        <w:instrText xml:space="preserve"> REF _Ref63977557 \r \h </w:instrText>
      </w:r>
      <w:r w:rsidR="000E10FB">
        <w:rPr>
          <w:b/>
          <w:bCs/>
          <w:szCs w:val="18"/>
        </w:rPr>
      </w:r>
      <w:r w:rsidR="000E10FB">
        <w:rPr>
          <w:b/>
          <w:bCs/>
          <w:szCs w:val="18"/>
        </w:rPr>
        <w:fldChar w:fldCharType="separate"/>
      </w:r>
      <w:r w:rsidR="00E816B8">
        <w:rPr>
          <w:b/>
          <w:bCs/>
          <w:szCs w:val="18"/>
        </w:rPr>
        <w:t>11.4.3</w:t>
      </w:r>
      <w:r w:rsidR="000E10FB">
        <w:rPr>
          <w:b/>
          <w:bCs/>
          <w:szCs w:val="18"/>
        </w:rPr>
        <w:fldChar w:fldCharType="end"/>
      </w:r>
      <w:r w:rsidR="00A12DA8">
        <w:rPr>
          <w:szCs w:val="18"/>
        </w:rPr>
        <w:t>)</w:t>
      </w:r>
    </w:p>
    <w:p w14:paraId="6A107CAA" w14:textId="0A6A83CC" w:rsidR="00617300" w:rsidRDefault="00617300" w:rsidP="000C3CE3">
      <w:pPr>
        <w:pStyle w:val="BodycopyNEW0"/>
        <w:numPr>
          <w:ilvl w:val="0"/>
          <w:numId w:val="23"/>
        </w:numPr>
        <w:ind w:left="378"/>
        <w:rPr>
          <w:szCs w:val="18"/>
        </w:rPr>
      </w:pPr>
      <w:r w:rsidRPr="00156701">
        <w:rPr>
          <w:szCs w:val="18"/>
        </w:rPr>
        <w:t xml:space="preserve">NOPSEMA’s adherence to </w:t>
      </w:r>
      <w:r>
        <w:rPr>
          <w:szCs w:val="18"/>
        </w:rPr>
        <w:t xml:space="preserve">the </w:t>
      </w:r>
      <w:r w:rsidRPr="00156701">
        <w:rPr>
          <w:szCs w:val="18"/>
        </w:rPr>
        <w:t>Endorsed Program</w:t>
      </w:r>
      <w:r>
        <w:rPr>
          <w:szCs w:val="18"/>
        </w:rPr>
        <w:t>’s</w:t>
      </w:r>
      <w:r w:rsidRPr="00156701">
        <w:rPr>
          <w:szCs w:val="18"/>
        </w:rPr>
        <w:t xml:space="preserve"> commitments and outcomes</w:t>
      </w:r>
      <w:r w:rsidR="00A12DA8">
        <w:rPr>
          <w:szCs w:val="18"/>
        </w:rPr>
        <w:t xml:space="preserve"> (</w:t>
      </w:r>
      <w:r w:rsidR="00A12DA8" w:rsidRPr="00CA1178">
        <w:rPr>
          <w:b/>
          <w:bCs/>
          <w:szCs w:val="18"/>
        </w:rPr>
        <w:t xml:space="preserve">subsection </w:t>
      </w:r>
      <w:r w:rsidR="000E10FB">
        <w:rPr>
          <w:b/>
          <w:bCs/>
          <w:szCs w:val="18"/>
        </w:rPr>
        <w:fldChar w:fldCharType="begin"/>
      </w:r>
      <w:r w:rsidR="000E10FB">
        <w:rPr>
          <w:b/>
          <w:bCs/>
          <w:szCs w:val="18"/>
        </w:rPr>
        <w:instrText xml:space="preserve"> REF _Ref63977568 \r \h </w:instrText>
      </w:r>
      <w:r w:rsidR="000E10FB">
        <w:rPr>
          <w:b/>
          <w:bCs/>
          <w:szCs w:val="18"/>
        </w:rPr>
      </w:r>
      <w:r w:rsidR="000E10FB">
        <w:rPr>
          <w:b/>
          <w:bCs/>
          <w:szCs w:val="18"/>
        </w:rPr>
        <w:fldChar w:fldCharType="separate"/>
      </w:r>
      <w:r w:rsidR="00E816B8">
        <w:rPr>
          <w:b/>
          <w:bCs/>
          <w:szCs w:val="18"/>
        </w:rPr>
        <w:t>11.4.4</w:t>
      </w:r>
      <w:r w:rsidR="000E10FB">
        <w:rPr>
          <w:b/>
          <w:bCs/>
          <w:szCs w:val="18"/>
        </w:rPr>
        <w:fldChar w:fldCharType="end"/>
      </w:r>
      <w:r w:rsidR="00A12DA8">
        <w:rPr>
          <w:szCs w:val="18"/>
        </w:rPr>
        <w:t>)</w:t>
      </w:r>
    </w:p>
    <w:p w14:paraId="158B79AD" w14:textId="728582C4" w:rsidR="00617300" w:rsidRDefault="00617300" w:rsidP="000C3CE3">
      <w:pPr>
        <w:pStyle w:val="BodycopyNEW0"/>
        <w:numPr>
          <w:ilvl w:val="0"/>
          <w:numId w:val="23"/>
        </w:numPr>
        <w:ind w:left="378"/>
        <w:rPr>
          <w:szCs w:val="18"/>
        </w:rPr>
      </w:pPr>
      <w:r w:rsidRPr="00156701">
        <w:rPr>
          <w:szCs w:val="18"/>
        </w:rPr>
        <w:t>NOPSEMA’s implementation of continuous improvement opportunities</w:t>
      </w:r>
      <w:r w:rsidR="00A65D7A">
        <w:rPr>
          <w:szCs w:val="18"/>
        </w:rPr>
        <w:t xml:space="preserve"> (</w:t>
      </w:r>
      <w:r w:rsidR="00A65D7A" w:rsidRPr="00CA1178">
        <w:rPr>
          <w:b/>
          <w:bCs/>
          <w:szCs w:val="18"/>
        </w:rPr>
        <w:t xml:space="preserve">subsection </w:t>
      </w:r>
      <w:r w:rsidR="000E10FB">
        <w:rPr>
          <w:b/>
          <w:bCs/>
          <w:szCs w:val="18"/>
        </w:rPr>
        <w:fldChar w:fldCharType="begin"/>
      </w:r>
      <w:r w:rsidR="000E10FB">
        <w:rPr>
          <w:b/>
          <w:bCs/>
          <w:szCs w:val="18"/>
        </w:rPr>
        <w:instrText xml:space="preserve"> REF _Ref63977576 \r \h </w:instrText>
      </w:r>
      <w:r w:rsidR="000E10FB">
        <w:rPr>
          <w:b/>
          <w:bCs/>
          <w:szCs w:val="18"/>
        </w:rPr>
      </w:r>
      <w:r w:rsidR="000E10FB">
        <w:rPr>
          <w:b/>
          <w:bCs/>
          <w:szCs w:val="18"/>
        </w:rPr>
        <w:fldChar w:fldCharType="separate"/>
      </w:r>
      <w:r w:rsidR="00E816B8">
        <w:rPr>
          <w:b/>
          <w:bCs/>
          <w:szCs w:val="18"/>
        </w:rPr>
        <w:t>11.4.5</w:t>
      </w:r>
      <w:r w:rsidR="000E10FB">
        <w:rPr>
          <w:b/>
          <w:bCs/>
          <w:szCs w:val="18"/>
        </w:rPr>
        <w:fldChar w:fldCharType="end"/>
      </w:r>
      <w:r w:rsidR="00A65D7A">
        <w:rPr>
          <w:szCs w:val="18"/>
        </w:rPr>
        <w:t>)</w:t>
      </w:r>
    </w:p>
    <w:p w14:paraId="22C79540" w14:textId="3C3D09FA" w:rsidR="00617300" w:rsidRDefault="00617300" w:rsidP="000C3CE3">
      <w:pPr>
        <w:pStyle w:val="BodycopyNEW0"/>
        <w:numPr>
          <w:ilvl w:val="0"/>
          <w:numId w:val="23"/>
        </w:numPr>
        <w:ind w:left="378"/>
        <w:rPr>
          <w:szCs w:val="18"/>
        </w:rPr>
      </w:pPr>
      <w:r w:rsidRPr="00156701">
        <w:rPr>
          <w:szCs w:val="18"/>
        </w:rPr>
        <w:t xml:space="preserve">NOPSEMA’s </w:t>
      </w:r>
      <w:r>
        <w:rPr>
          <w:szCs w:val="18"/>
        </w:rPr>
        <w:t>implementation of</w:t>
      </w:r>
      <w:r w:rsidRPr="00156701">
        <w:rPr>
          <w:szCs w:val="18"/>
        </w:rPr>
        <w:t xml:space="preserve"> the Administrative Arrangements</w:t>
      </w:r>
      <w:r w:rsidR="00A65D7A">
        <w:rPr>
          <w:szCs w:val="18"/>
        </w:rPr>
        <w:t xml:space="preserve"> (</w:t>
      </w:r>
      <w:r w:rsidR="00A65D7A" w:rsidRPr="00CA1178">
        <w:rPr>
          <w:b/>
          <w:bCs/>
          <w:szCs w:val="18"/>
        </w:rPr>
        <w:t xml:space="preserve">subsection </w:t>
      </w:r>
      <w:r w:rsidR="000E10FB">
        <w:rPr>
          <w:b/>
          <w:bCs/>
          <w:szCs w:val="18"/>
        </w:rPr>
        <w:fldChar w:fldCharType="begin"/>
      </w:r>
      <w:r w:rsidR="000E10FB">
        <w:rPr>
          <w:b/>
          <w:bCs/>
          <w:szCs w:val="18"/>
        </w:rPr>
        <w:instrText xml:space="preserve"> REF _Ref63183464 \r \h </w:instrText>
      </w:r>
      <w:r w:rsidR="000E10FB">
        <w:rPr>
          <w:b/>
          <w:bCs/>
          <w:szCs w:val="18"/>
        </w:rPr>
      </w:r>
      <w:r w:rsidR="000E10FB">
        <w:rPr>
          <w:b/>
          <w:bCs/>
          <w:szCs w:val="18"/>
        </w:rPr>
        <w:fldChar w:fldCharType="separate"/>
      </w:r>
      <w:r w:rsidR="00E816B8">
        <w:rPr>
          <w:b/>
          <w:bCs/>
          <w:szCs w:val="18"/>
        </w:rPr>
        <w:t>11.4.6</w:t>
      </w:r>
      <w:r w:rsidR="000E10FB">
        <w:rPr>
          <w:b/>
          <w:bCs/>
          <w:szCs w:val="18"/>
        </w:rPr>
        <w:fldChar w:fldCharType="end"/>
      </w:r>
      <w:r w:rsidR="00A65D7A">
        <w:rPr>
          <w:szCs w:val="18"/>
        </w:rPr>
        <w:t>)</w:t>
      </w:r>
    </w:p>
    <w:p w14:paraId="5DB582F4" w14:textId="08D54F70" w:rsidR="00617300" w:rsidRDefault="00617300" w:rsidP="000C3CE3">
      <w:pPr>
        <w:pStyle w:val="BodycopyNEW0"/>
        <w:numPr>
          <w:ilvl w:val="0"/>
          <w:numId w:val="23"/>
        </w:numPr>
        <w:ind w:left="378"/>
        <w:rPr>
          <w:szCs w:val="18"/>
        </w:rPr>
      </w:pPr>
      <w:r w:rsidRPr="00156701">
        <w:rPr>
          <w:szCs w:val="18"/>
        </w:rPr>
        <w:t>NOPSEMA’s environment plan assessment process</w:t>
      </w:r>
      <w:r w:rsidR="00A65D7A">
        <w:rPr>
          <w:szCs w:val="18"/>
        </w:rPr>
        <w:t xml:space="preserve"> (</w:t>
      </w:r>
      <w:r w:rsidR="00A65D7A" w:rsidRPr="00A12DA8">
        <w:rPr>
          <w:b/>
          <w:bCs/>
          <w:szCs w:val="18"/>
        </w:rPr>
        <w:t xml:space="preserve">subsection </w:t>
      </w:r>
      <w:r w:rsidR="000E10FB">
        <w:rPr>
          <w:b/>
          <w:bCs/>
          <w:szCs w:val="18"/>
        </w:rPr>
        <w:fldChar w:fldCharType="begin"/>
      </w:r>
      <w:r w:rsidR="000E10FB">
        <w:rPr>
          <w:b/>
          <w:bCs/>
          <w:szCs w:val="18"/>
        </w:rPr>
        <w:instrText xml:space="preserve"> REF _Ref63977596 \r \h </w:instrText>
      </w:r>
      <w:r w:rsidR="000E10FB">
        <w:rPr>
          <w:b/>
          <w:bCs/>
          <w:szCs w:val="18"/>
        </w:rPr>
      </w:r>
      <w:r w:rsidR="000E10FB">
        <w:rPr>
          <w:b/>
          <w:bCs/>
          <w:szCs w:val="18"/>
        </w:rPr>
        <w:fldChar w:fldCharType="separate"/>
      </w:r>
      <w:r w:rsidR="00E816B8">
        <w:rPr>
          <w:b/>
          <w:bCs/>
          <w:szCs w:val="18"/>
        </w:rPr>
        <w:t>11.4.7</w:t>
      </w:r>
      <w:r w:rsidR="000E10FB">
        <w:rPr>
          <w:b/>
          <w:bCs/>
          <w:szCs w:val="18"/>
        </w:rPr>
        <w:fldChar w:fldCharType="end"/>
      </w:r>
      <w:r w:rsidR="00A65D7A">
        <w:rPr>
          <w:szCs w:val="18"/>
        </w:rPr>
        <w:t>)</w:t>
      </w:r>
      <w:r>
        <w:rPr>
          <w:szCs w:val="18"/>
        </w:rPr>
        <w:t>.</w:t>
      </w:r>
    </w:p>
    <w:p w14:paraId="5EC1C8F3" w14:textId="2A68A501" w:rsidR="00376C3D" w:rsidRPr="008908AB" w:rsidRDefault="00376C3D" w:rsidP="008908AB">
      <w:pPr>
        <w:pStyle w:val="Heading3"/>
      </w:pPr>
      <w:bookmarkStart w:id="201" w:name="_Ref63977550"/>
      <w:r w:rsidRPr="008908AB">
        <w:t>Background to NOPSEMA’s environment</w:t>
      </w:r>
      <w:r w:rsidR="0039095A">
        <w:t>al</w:t>
      </w:r>
      <w:r w:rsidRPr="008908AB">
        <w:t xml:space="preserve"> regulatory processes</w:t>
      </w:r>
      <w:bookmarkEnd w:id="201"/>
    </w:p>
    <w:p w14:paraId="4B46FCAD" w14:textId="776FAEF3" w:rsidR="00376C3D" w:rsidRPr="00470118" w:rsidRDefault="00376C3D" w:rsidP="00376C3D">
      <w:pPr>
        <w:pStyle w:val="BodyCopyNEW"/>
        <w:rPr>
          <w:szCs w:val="18"/>
        </w:rPr>
      </w:pPr>
      <w:r w:rsidRPr="00470118">
        <w:rPr>
          <w:szCs w:val="18"/>
        </w:rPr>
        <w:t>NOPSEMA</w:t>
      </w:r>
      <w:r>
        <w:rPr>
          <w:szCs w:val="18"/>
        </w:rPr>
        <w:t>,</w:t>
      </w:r>
      <w:r w:rsidRPr="00470118">
        <w:rPr>
          <w:szCs w:val="18"/>
        </w:rPr>
        <w:t xml:space="preserve"> in </w:t>
      </w:r>
      <w:r>
        <w:rPr>
          <w:szCs w:val="18"/>
        </w:rPr>
        <w:t>regulating offshore environment activities (in addition to its other functions),</w:t>
      </w:r>
      <w:r w:rsidRPr="00470118">
        <w:rPr>
          <w:szCs w:val="18"/>
        </w:rPr>
        <w:t xml:space="preserve"> administers two </w:t>
      </w:r>
      <w:r w:rsidR="00650841">
        <w:rPr>
          <w:szCs w:val="18"/>
        </w:rPr>
        <w:t xml:space="preserve">assessment </w:t>
      </w:r>
      <w:r w:rsidRPr="00470118">
        <w:rPr>
          <w:szCs w:val="18"/>
        </w:rPr>
        <w:t>processes controlling the undertaking of offshore petroleum or GHG storage activities by a proponent (a titleholder seeking permission to undertake a given offshore activity</w:t>
      </w:r>
      <w:r w:rsidR="00D91B84">
        <w:rPr>
          <w:szCs w:val="18"/>
        </w:rPr>
        <w:t>. The two processes are</w:t>
      </w:r>
      <w:r w:rsidRPr="00470118">
        <w:rPr>
          <w:szCs w:val="18"/>
        </w:rPr>
        <w:t>:</w:t>
      </w:r>
    </w:p>
    <w:p w14:paraId="7D584FFC" w14:textId="77777777" w:rsidR="00376C3D" w:rsidRPr="00470118" w:rsidRDefault="00376C3D" w:rsidP="000C3CE3">
      <w:pPr>
        <w:pStyle w:val="BodycopyNEW0"/>
        <w:numPr>
          <w:ilvl w:val="0"/>
          <w:numId w:val="23"/>
        </w:numPr>
        <w:ind w:left="378"/>
        <w:rPr>
          <w:szCs w:val="18"/>
        </w:rPr>
      </w:pPr>
      <w:r>
        <w:rPr>
          <w:szCs w:val="18"/>
        </w:rPr>
        <w:t xml:space="preserve">Assessing </w:t>
      </w:r>
      <w:r w:rsidRPr="00470118">
        <w:rPr>
          <w:szCs w:val="18"/>
        </w:rPr>
        <w:t>a</w:t>
      </w:r>
      <w:r>
        <w:rPr>
          <w:szCs w:val="18"/>
        </w:rPr>
        <w:t>n</w:t>
      </w:r>
      <w:r w:rsidRPr="00470118">
        <w:rPr>
          <w:szCs w:val="18"/>
        </w:rPr>
        <w:t xml:space="preserve"> </w:t>
      </w:r>
      <w:r>
        <w:rPr>
          <w:szCs w:val="18"/>
        </w:rPr>
        <w:t>OPP</w:t>
      </w:r>
    </w:p>
    <w:p w14:paraId="40018044" w14:textId="77777777" w:rsidR="00376C3D" w:rsidRPr="00470118" w:rsidRDefault="00376C3D" w:rsidP="000C3CE3">
      <w:pPr>
        <w:pStyle w:val="BodycopyNEW0"/>
        <w:numPr>
          <w:ilvl w:val="0"/>
          <w:numId w:val="23"/>
        </w:numPr>
        <w:ind w:left="378"/>
        <w:rPr>
          <w:szCs w:val="18"/>
        </w:rPr>
      </w:pPr>
      <w:r>
        <w:rPr>
          <w:szCs w:val="18"/>
        </w:rPr>
        <w:t>Assessing</w:t>
      </w:r>
      <w:r w:rsidRPr="00470118">
        <w:rPr>
          <w:szCs w:val="18"/>
        </w:rPr>
        <w:t xml:space="preserve"> an EP.</w:t>
      </w:r>
    </w:p>
    <w:p w14:paraId="14A28526" w14:textId="5D84A1CE" w:rsidR="00376C3D" w:rsidRPr="00470118" w:rsidRDefault="003634B6" w:rsidP="00376C3D">
      <w:pPr>
        <w:pStyle w:val="BodyCopyNEW"/>
        <w:rPr>
          <w:szCs w:val="18"/>
        </w:rPr>
      </w:pPr>
      <w:r>
        <w:rPr>
          <w:szCs w:val="18"/>
        </w:rPr>
        <w:t xml:space="preserve">For all </w:t>
      </w:r>
      <w:r w:rsidR="00C9329F">
        <w:rPr>
          <w:szCs w:val="18"/>
        </w:rPr>
        <w:t xml:space="preserve">new </w:t>
      </w:r>
      <w:r>
        <w:rPr>
          <w:szCs w:val="18"/>
        </w:rPr>
        <w:t>offshore projects, a</w:t>
      </w:r>
      <w:r w:rsidR="00C50E1D" w:rsidRPr="00470118">
        <w:rPr>
          <w:szCs w:val="18"/>
        </w:rPr>
        <w:t xml:space="preserve"> proponent must submit an OPP to NOPSEMA for approval.</w:t>
      </w:r>
      <w:r w:rsidR="00C50E1D">
        <w:rPr>
          <w:szCs w:val="18"/>
        </w:rPr>
        <w:t xml:space="preserve"> </w:t>
      </w:r>
      <w:r w:rsidR="00C50E1D" w:rsidRPr="00470118">
        <w:rPr>
          <w:szCs w:val="18"/>
        </w:rPr>
        <w:t xml:space="preserve">The </w:t>
      </w:r>
      <w:r w:rsidR="00C50E1D">
        <w:rPr>
          <w:szCs w:val="18"/>
        </w:rPr>
        <w:t xml:space="preserve">preparation </w:t>
      </w:r>
      <w:r w:rsidR="00376C3D">
        <w:rPr>
          <w:szCs w:val="18"/>
        </w:rPr>
        <w:t xml:space="preserve">of an </w:t>
      </w:r>
      <w:r w:rsidR="00376C3D" w:rsidRPr="00470118">
        <w:rPr>
          <w:szCs w:val="18"/>
        </w:rPr>
        <w:t xml:space="preserve">OPP was introduced </w:t>
      </w:r>
      <w:r w:rsidR="00376C3D">
        <w:rPr>
          <w:szCs w:val="18"/>
        </w:rPr>
        <w:t xml:space="preserve">as a requirement upon commencement of the Endorsed Program </w:t>
      </w:r>
      <w:r w:rsidR="00376C3D" w:rsidRPr="00470118">
        <w:rPr>
          <w:szCs w:val="18"/>
        </w:rPr>
        <w:t>to allow for public scrutiny and comment on offshore developments early within the project lifecycle</w:t>
      </w:r>
      <w:r w:rsidR="00D91B84" w:rsidRPr="00470118">
        <w:rPr>
          <w:rStyle w:val="FootnoteReference"/>
          <w:sz w:val="18"/>
          <w:szCs w:val="18"/>
        </w:rPr>
        <w:footnoteReference w:id="66"/>
      </w:r>
      <w:r w:rsidR="00376C3D" w:rsidRPr="00470118">
        <w:rPr>
          <w:szCs w:val="18"/>
        </w:rPr>
        <w:t>. NOPSEMA assesses the potential environmental impacts and risks arising from the proposed activit</w:t>
      </w:r>
      <w:r w:rsidR="00D70E1C">
        <w:rPr>
          <w:szCs w:val="18"/>
        </w:rPr>
        <w:t>ies</w:t>
      </w:r>
      <w:r w:rsidR="00376C3D" w:rsidRPr="00470118">
        <w:rPr>
          <w:szCs w:val="18"/>
        </w:rPr>
        <w:t>. The OPP process includes a public comment period, the outputs of which are compiled by the proponent into a consultation report for consideration by NOPSEMA as part of the OPP assessment process.</w:t>
      </w:r>
    </w:p>
    <w:p w14:paraId="39DAD17B" w14:textId="50CA06DE" w:rsidR="00376C3D" w:rsidRPr="00470118" w:rsidRDefault="00376C3D" w:rsidP="00376C3D">
      <w:pPr>
        <w:pStyle w:val="BodyCopyNEW"/>
        <w:rPr>
          <w:szCs w:val="18"/>
        </w:rPr>
      </w:pPr>
      <w:r w:rsidRPr="00470118">
        <w:rPr>
          <w:szCs w:val="18"/>
        </w:rPr>
        <w:t>In addition, by law</w:t>
      </w:r>
      <w:r w:rsidR="007B173E">
        <w:rPr>
          <w:szCs w:val="18"/>
        </w:rPr>
        <w:t>,</w:t>
      </w:r>
      <w:r w:rsidRPr="00470118">
        <w:rPr>
          <w:szCs w:val="18"/>
        </w:rPr>
        <w:t xml:space="preserve"> a proponent can only undertake an offshore activity once NOPSEMA has assessed and accepted the requisite EP for that activity. The high-level </w:t>
      </w:r>
      <w:r>
        <w:rPr>
          <w:szCs w:val="18"/>
        </w:rPr>
        <w:t>components</w:t>
      </w:r>
      <w:r w:rsidRPr="00470118">
        <w:rPr>
          <w:szCs w:val="18"/>
        </w:rPr>
        <w:t xml:space="preserve"> of an EP </w:t>
      </w:r>
      <w:r>
        <w:rPr>
          <w:szCs w:val="18"/>
        </w:rPr>
        <w:t>are</w:t>
      </w:r>
      <w:r w:rsidRPr="00470118">
        <w:rPr>
          <w:szCs w:val="18"/>
        </w:rPr>
        <w:t xml:space="preserve"> outlined below: </w:t>
      </w:r>
    </w:p>
    <w:p w14:paraId="1AA32AE3" w14:textId="01A919E6" w:rsidR="00376C3D" w:rsidRPr="00470118" w:rsidRDefault="00376C3D" w:rsidP="000C3CE3">
      <w:pPr>
        <w:pStyle w:val="BodycopyNEW0"/>
        <w:numPr>
          <w:ilvl w:val="0"/>
          <w:numId w:val="23"/>
        </w:numPr>
        <w:ind w:left="378"/>
        <w:rPr>
          <w:szCs w:val="18"/>
        </w:rPr>
      </w:pPr>
      <w:r w:rsidRPr="00470118">
        <w:rPr>
          <w:szCs w:val="18"/>
        </w:rPr>
        <w:t>The scope of an EP is determined with regard to the nature and scale of the proposed activity and the identified impacts on and risks to the receiving environment</w:t>
      </w:r>
    </w:p>
    <w:p w14:paraId="00B0F9B8" w14:textId="77777777" w:rsidR="00376C3D" w:rsidRPr="00470118" w:rsidRDefault="00376C3D" w:rsidP="000C3CE3">
      <w:pPr>
        <w:pStyle w:val="BodycopyNEW0"/>
        <w:numPr>
          <w:ilvl w:val="0"/>
          <w:numId w:val="23"/>
        </w:numPr>
        <w:ind w:left="378"/>
        <w:rPr>
          <w:szCs w:val="18"/>
        </w:rPr>
      </w:pPr>
      <w:r w:rsidRPr="00470118">
        <w:rPr>
          <w:szCs w:val="18"/>
        </w:rPr>
        <w:t>The OPGGS (Environment) Regulations also detail required content for an EP and includes (for example):</w:t>
      </w:r>
    </w:p>
    <w:p w14:paraId="2068C49D" w14:textId="77777777" w:rsidR="00376C3D" w:rsidRPr="00470118" w:rsidRDefault="00376C3D" w:rsidP="00376C3D">
      <w:pPr>
        <w:pStyle w:val="BodyBullet1"/>
        <w:numPr>
          <w:ilvl w:val="1"/>
          <w:numId w:val="37"/>
        </w:numPr>
        <w:ind w:left="811" w:hanging="357"/>
        <w:rPr>
          <w:szCs w:val="18"/>
        </w:rPr>
      </w:pPr>
      <w:r w:rsidRPr="00470118">
        <w:rPr>
          <w:szCs w:val="18"/>
        </w:rPr>
        <w:t>A description of the activity, including location and proposed timetable</w:t>
      </w:r>
    </w:p>
    <w:p w14:paraId="6E4B7A6C" w14:textId="77777777" w:rsidR="00376C3D" w:rsidRPr="00470118" w:rsidRDefault="00376C3D" w:rsidP="00376C3D">
      <w:pPr>
        <w:pStyle w:val="BodyBullet1"/>
        <w:numPr>
          <w:ilvl w:val="1"/>
          <w:numId w:val="37"/>
        </w:numPr>
        <w:ind w:left="811" w:hanging="357"/>
        <w:rPr>
          <w:szCs w:val="18"/>
        </w:rPr>
      </w:pPr>
      <w:r w:rsidRPr="00470118">
        <w:rPr>
          <w:szCs w:val="18"/>
        </w:rPr>
        <w:t>A description of the environment that may be affected by the activity</w:t>
      </w:r>
    </w:p>
    <w:p w14:paraId="60A48033" w14:textId="77777777" w:rsidR="00376C3D" w:rsidRPr="00470118" w:rsidRDefault="00376C3D" w:rsidP="00376C3D">
      <w:pPr>
        <w:pStyle w:val="BodyBullet1"/>
        <w:numPr>
          <w:ilvl w:val="1"/>
          <w:numId w:val="37"/>
        </w:numPr>
        <w:ind w:left="811" w:hanging="357"/>
        <w:rPr>
          <w:szCs w:val="18"/>
        </w:rPr>
      </w:pPr>
      <w:r w:rsidRPr="00470118">
        <w:rPr>
          <w:szCs w:val="18"/>
        </w:rPr>
        <w:t xml:space="preserve">Details and an evaluation of the environmental impacts and risks </w:t>
      </w:r>
    </w:p>
    <w:p w14:paraId="21D7099C" w14:textId="77777777" w:rsidR="00376C3D" w:rsidRPr="00470118" w:rsidRDefault="00376C3D" w:rsidP="00376C3D">
      <w:pPr>
        <w:pStyle w:val="BodyBullet1"/>
        <w:numPr>
          <w:ilvl w:val="1"/>
          <w:numId w:val="37"/>
        </w:numPr>
        <w:ind w:left="811" w:hanging="357"/>
        <w:rPr>
          <w:szCs w:val="18"/>
        </w:rPr>
      </w:pPr>
      <w:r w:rsidRPr="00470118">
        <w:rPr>
          <w:szCs w:val="18"/>
        </w:rPr>
        <w:t>Details of the control measures that will be in place to reduce the environmental impacts and risks of the activity to a level that is acceptable and ALARP</w:t>
      </w:r>
    </w:p>
    <w:p w14:paraId="51985A6C" w14:textId="77777777" w:rsidR="00376C3D" w:rsidRPr="00470118" w:rsidRDefault="00376C3D" w:rsidP="00376C3D">
      <w:pPr>
        <w:pStyle w:val="BodyBullet1"/>
        <w:numPr>
          <w:ilvl w:val="1"/>
          <w:numId w:val="37"/>
        </w:numPr>
        <w:ind w:left="811" w:hanging="357"/>
        <w:rPr>
          <w:szCs w:val="18"/>
        </w:rPr>
      </w:pPr>
      <w:r w:rsidRPr="00470118">
        <w:rPr>
          <w:szCs w:val="18"/>
        </w:rPr>
        <w:t xml:space="preserve">Environmental performance standards and outcomes (and associated measurement criteria) </w:t>
      </w:r>
    </w:p>
    <w:p w14:paraId="5CD1B647" w14:textId="77777777" w:rsidR="00376C3D" w:rsidRPr="00470118" w:rsidRDefault="00376C3D" w:rsidP="00376C3D">
      <w:pPr>
        <w:pStyle w:val="BodyBullet1"/>
        <w:numPr>
          <w:ilvl w:val="1"/>
          <w:numId w:val="37"/>
        </w:numPr>
        <w:ind w:left="811" w:hanging="357"/>
        <w:rPr>
          <w:szCs w:val="18"/>
        </w:rPr>
      </w:pPr>
      <w:r w:rsidRPr="00470118">
        <w:rPr>
          <w:szCs w:val="18"/>
        </w:rPr>
        <w:t>An implementation strategy describing the titleholder’s environmental management system, roles and responsibilities for implementing the EP and the monitoring, recording and auditing that will be undertaken to review environmental performance</w:t>
      </w:r>
    </w:p>
    <w:p w14:paraId="744AA1D9" w14:textId="4649ABD3" w:rsidR="00376C3D" w:rsidRPr="00470118" w:rsidRDefault="00376C3D" w:rsidP="000C3CE3">
      <w:pPr>
        <w:pStyle w:val="BodycopyNEW0"/>
        <w:numPr>
          <w:ilvl w:val="0"/>
          <w:numId w:val="23"/>
        </w:numPr>
        <w:ind w:left="378"/>
        <w:rPr>
          <w:szCs w:val="18"/>
        </w:rPr>
      </w:pPr>
      <w:r w:rsidRPr="00470118">
        <w:rPr>
          <w:szCs w:val="18"/>
        </w:rPr>
        <w:t>The titleholder is also required to provide an Oil Pollution Emergency Plan</w:t>
      </w:r>
      <w:r w:rsidR="003B44FA">
        <w:rPr>
          <w:szCs w:val="18"/>
        </w:rPr>
        <w:t xml:space="preserve"> (</w:t>
      </w:r>
      <w:r w:rsidR="003B44FA" w:rsidRPr="003B44FA">
        <w:rPr>
          <w:b/>
          <w:bCs/>
          <w:szCs w:val="18"/>
        </w:rPr>
        <w:t>OPEP</w:t>
      </w:r>
      <w:r w:rsidR="003B44FA">
        <w:rPr>
          <w:szCs w:val="18"/>
        </w:rPr>
        <w:t>)</w:t>
      </w:r>
      <w:r w:rsidRPr="00470118">
        <w:rPr>
          <w:szCs w:val="18"/>
        </w:rPr>
        <w:t xml:space="preserve"> that provides adequate arrangements for responding to and monitoring oil pollution, including financial assurance of funds to respond to the emergency</w:t>
      </w:r>
    </w:p>
    <w:p w14:paraId="6E2FFCC9" w14:textId="7B8BF2FD" w:rsidR="00376C3D" w:rsidRPr="00470118" w:rsidRDefault="00376C3D" w:rsidP="000C3CE3">
      <w:pPr>
        <w:pStyle w:val="BodycopyNEW0"/>
        <w:numPr>
          <w:ilvl w:val="0"/>
          <w:numId w:val="23"/>
        </w:numPr>
        <w:ind w:left="378"/>
        <w:rPr>
          <w:szCs w:val="18"/>
        </w:rPr>
      </w:pPr>
      <w:r w:rsidRPr="00470118">
        <w:rPr>
          <w:szCs w:val="18"/>
        </w:rPr>
        <w:t>NOPSEMA assesses EPs and 'accepts' the document if it is satisfied with the contents of the EP (e.g. the arrangements demonstrate</w:t>
      </w:r>
      <w:r w:rsidR="005D4CA6">
        <w:rPr>
          <w:szCs w:val="18"/>
        </w:rPr>
        <w:t xml:space="preserve"> the impacts</w:t>
      </w:r>
      <w:r w:rsidRPr="00470118">
        <w:rPr>
          <w:szCs w:val="18"/>
        </w:rPr>
        <w:t xml:space="preserve"> </w:t>
      </w:r>
      <w:r w:rsidR="00911CF8">
        <w:rPr>
          <w:szCs w:val="18"/>
        </w:rPr>
        <w:t>and</w:t>
      </w:r>
      <w:r w:rsidRPr="00470118">
        <w:rPr>
          <w:szCs w:val="18"/>
        </w:rPr>
        <w:t xml:space="preserve"> risks will be reduced to ALARP and are acceptable)</w:t>
      </w:r>
    </w:p>
    <w:p w14:paraId="4201AE12" w14:textId="77777777" w:rsidR="00376C3D" w:rsidRDefault="00376C3D" w:rsidP="000C3CE3">
      <w:pPr>
        <w:pStyle w:val="BodycopyNEW0"/>
        <w:numPr>
          <w:ilvl w:val="0"/>
          <w:numId w:val="23"/>
        </w:numPr>
        <w:ind w:left="378"/>
        <w:rPr>
          <w:szCs w:val="18"/>
        </w:rPr>
      </w:pPr>
      <w:r w:rsidRPr="00470118">
        <w:rPr>
          <w:szCs w:val="18"/>
        </w:rPr>
        <w:t>Once 'accepted', NOPSEMA monitors compliance through inspections with the permissioning documents and listed NOPSEMA laws</w:t>
      </w:r>
    </w:p>
    <w:p w14:paraId="557FB68A" w14:textId="77777777" w:rsidR="00376C3D" w:rsidRDefault="00376C3D" w:rsidP="000C3CE3">
      <w:pPr>
        <w:pStyle w:val="BodycopyNEW0"/>
        <w:numPr>
          <w:ilvl w:val="0"/>
          <w:numId w:val="23"/>
        </w:numPr>
        <w:ind w:left="378"/>
        <w:rPr>
          <w:szCs w:val="18"/>
        </w:rPr>
      </w:pPr>
      <w:r>
        <w:rPr>
          <w:szCs w:val="18"/>
        </w:rPr>
        <w:t xml:space="preserve">Where compliance issues are identified, NOPSEMA may also undertake a range of enforcement actions. </w:t>
      </w:r>
    </w:p>
    <w:p w14:paraId="6F686B28" w14:textId="32160363" w:rsidR="00DD3FA4" w:rsidRDefault="00376C3D" w:rsidP="000C3CE3">
      <w:pPr>
        <w:pStyle w:val="BodyCopyNEW"/>
        <w:rPr>
          <w:szCs w:val="18"/>
        </w:rPr>
      </w:pPr>
      <w:r w:rsidRPr="00DE0C9A">
        <w:rPr>
          <w:szCs w:val="18"/>
        </w:rPr>
        <w:lastRenderedPageBreak/>
        <w:t>The</w:t>
      </w:r>
      <w:r>
        <w:rPr>
          <w:szCs w:val="18"/>
        </w:rPr>
        <w:t xml:space="preserve"> latter two</w:t>
      </w:r>
      <w:r w:rsidRPr="00DE0C9A">
        <w:rPr>
          <w:szCs w:val="18"/>
        </w:rPr>
        <w:t xml:space="preserve"> </w:t>
      </w:r>
      <w:r>
        <w:rPr>
          <w:szCs w:val="18"/>
        </w:rPr>
        <w:t>points regarding monitoring, compliance, and enforcement</w:t>
      </w:r>
      <w:r w:rsidRPr="00DE0C9A">
        <w:rPr>
          <w:szCs w:val="18"/>
        </w:rPr>
        <w:t xml:space="preserve"> are discussed further in </w:t>
      </w:r>
      <w:r w:rsidR="003E103F" w:rsidRPr="00276A29">
        <w:rPr>
          <w:b/>
        </w:rPr>
        <w:t xml:space="preserve">Section </w:t>
      </w:r>
      <w:r w:rsidR="003E103F" w:rsidRPr="00276A29">
        <w:rPr>
          <w:b/>
        </w:rPr>
        <w:fldChar w:fldCharType="begin"/>
      </w:r>
      <w:r w:rsidR="003E103F" w:rsidRPr="00276A29">
        <w:rPr>
          <w:b/>
        </w:rPr>
        <w:instrText xml:space="preserve"> REF _Ref55978299 \r \h  \* MERGEFORMAT </w:instrText>
      </w:r>
      <w:r w:rsidR="003E103F" w:rsidRPr="00276A29">
        <w:rPr>
          <w:b/>
        </w:rPr>
      </w:r>
      <w:r w:rsidR="003E103F" w:rsidRPr="00276A29">
        <w:rPr>
          <w:b/>
        </w:rPr>
        <w:fldChar w:fldCharType="separate"/>
      </w:r>
      <w:r w:rsidR="00E816B8">
        <w:rPr>
          <w:b/>
        </w:rPr>
        <w:t>6</w:t>
      </w:r>
      <w:r w:rsidR="003E103F" w:rsidRPr="00276A29">
        <w:rPr>
          <w:b/>
        </w:rPr>
        <w:fldChar w:fldCharType="end"/>
      </w:r>
      <w:r w:rsidRPr="00DE0C9A">
        <w:rPr>
          <w:szCs w:val="18"/>
        </w:rPr>
        <w:t>.</w:t>
      </w:r>
    </w:p>
    <w:p w14:paraId="171586B4" w14:textId="77777777" w:rsidR="00CD635B" w:rsidRDefault="00CD635B" w:rsidP="00CD635B">
      <w:pPr>
        <w:pStyle w:val="Heading3"/>
      </w:pPr>
      <w:bookmarkStart w:id="202" w:name="_Ref63977557"/>
      <w:r w:rsidRPr="00E45318">
        <w:t>NOPSEMA’s adherence to the Object</w:t>
      </w:r>
      <w:r>
        <w:t xml:space="preserve">s </w:t>
      </w:r>
      <w:r w:rsidRPr="00E45318">
        <w:t xml:space="preserve">of </w:t>
      </w:r>
      <w:r>
        <w:t xml:space="preserve">the </w:t>
      </w:r>
      <w:r w:rsidRPr="00E45318">
        <w:t>regulations</w:t>
      </w:r>
      <w:bookmarkEnd w:id="202"/>
      <w:r w:rsidRPr="00E45318">
        <w:t xml:space="preserve"> </w:t>
      </w:r>
    </w:p>
    <w:p w14:paraId="2FDD63DC" w14:textId="17A04CDC" w:rsidR="00CD635B" w:rsidRDefault="00CD635B" w:rsidP="00CD635B">
      <w:pPr>
        <w:pStyle w:val="BodyCopyNEW"/>
        <w:rPr>
          <w:szCs w:val="18"/>
        </w:rPr>
      </w:pPr>
      <w:r>
        <w:rPr>
          <w:szCs w:val="18"/>
        </w:rPr>
        <w:t>To achieve the objective of the Endorsed Program, NOPS</w:t>
      </w:r>
      <w:r w:rsidR="009F49D1">
        <w:rPr>
          <w:szCs w:val="18"/>
        </w:rPr>
        <w:t>E</w:t>
      </w:r>
      <w:r>
        <w:rPr>
          <w:szCs w:val="18"/>
        </w:rPr>
        <w:t xml:space="preserve">MA must undertake its activities in a manner consistent with the Objects of the OPGGS (Environment) Regulations. </w:t>
      </w:r>
    </w:p>
    <w:p w14:paraId="5B4CB8CD" w14:textId="77777777" w:rsidR="00CD635B" w:rsidRPr="00525760" w:rsidRDefault="00CD635B" w:rsidP="00CD635B">
      <w:pPr>
        <w:pStyle w:val="BodyCopyNEW"/>
        <w:rPr>
          <w:szCs w:val="18"/>
        </w:rPr>
      </w:pPr>
      <w:r w:rsidRPr="00525760">
        <w:rPr>
          <w:szCs w:val="18"/>
        </w:rPr>
        <w:t xml:space="preserve">The Object of the OPGGS (Environment) Regulations is to ensure that any petroleum activity or </w:t>
      </w:r>
      <w:r>
        <w:rPr>
          <w:szCs w:val="18"/>
        </w:rPr>
        <w:t xml:space="preserve">GHG </w:t>
      </w:r>
      <w:r w:rsidRPr="00525760">
        <w:rPr>
          <w:szCs w:val="18"/>
        </w:rPr>
        <w:t xml:space="preserve">activity </w:t>
      </w:r>
      <w:r>
        <w:rPr>
          <w:szCs w:val="18"/>
        </w:rPr>
        <w:t>undertaken</w:t>
      </w:r>
      <w:r w:rsidRPr="00525760">
        <w:rPr>
          <w:szCs w:val="18"/>
        </w:rPr>
        <w:t xml:space="preserve"> in an offshore area is carried out in a manner:</w:t>
      </w:r>
    </w:p>
    <w:p w14:paraId="295A6E0F" w14:textId="77777777" w:rsidR="00CD635B" w:rsidRPr="00525760" w:rsidRDefault="00CD635B" w:rsidP="00CD635B">
      <w:pPr>
        <w:pStyle w:val="BodyBullet1"/>
        <w:ind w:left="426"/>
        <w:rPr>
          <w:szCs w:val="18"/>
        </w:rPr>
      </w:pPr>
      <w:r w:rsidRPr="00525760">
        <w:rPr>
          <w:szCs w:val="18"/>
        </w:rPr>
        <w:t xml:space="preserve">Consistent with the principles of </w:t>
      </w:r>
      <w:r>
        <w:rPr>
          <w:szCs w:val="18"/>
        </w:rPr>
        <w:t>ESD</w:t>
      </w:r>
      <w:r w:rsidRPr="00525760">
        <w:rPr>
          <w:szCs w:val="18"/>
        </w:rPr>
        <w:t xml:space="preserve"> set out in section 3A of the EPBC Act</w:t>
      </w:r>
    </w:p>
    <w:p w14:paraId="0D3D0A45" w14:textId="77777777" w:rsidR="00CD635B" w:rsidRPr="00525760" w:rsidRDefault="00CD635B" w:rsidP="00CD635B">
      <w:pPr>
        <w:pStyle w:val="BodyBullet1"/>
        <w:ind w:left="426"/>
        <w:rPr>
          <w:szCs w:val="18"/>
        </w:rPr>
      </w:pPr>
      <w:r w:rsidRPr="00525760">
        <w:rPr>
          <w:szCs w:val="18"/>
        </w:rPr>
        <w:t>By which the environmental impacts and risks of the activity will be reduced to as low as reasonably practicable</w:t>
      </w:r>
    </w:p>
    <w:p w14:paraId="79BFC437" w14:textId="77777777" w:rsidR="00CD635B" w:rsidRPr="00525760" w:rsidRDefault="00CD635B" w:rsidP="00CD635B">
      <w:pPr>
        <w:pStyle w:val="BodyBullet1"/>
        <w:ind w:left="426"/>
        <w:rPr>
          <w:szCs w:val="18"/>
        </w:rPr>
      </w:pPr>
      <w:r w:rsidRPr="00525760">
        <w:rPr>
          <w:szCs w:val="18"/>
        </w:rPr>
        <w:t>By which the environmental impacts and risks of the activity will be of an acceptable level.</w:t>
      </w:r>
    </w:p>
    <w:p w14:paraId="4CD7794D" w14:textId="755EE484" w:rsidR="00CD635B" w:rsidRPr="00525760" w:rsidRDefault="00CD635B" w:rsidP="00CD635B">
      <w:pPr>
        <w:pStyle w:val="BodyCopyNEW"/>
        <w:rPr>
          <w:szCs w:val="18"/>
        </w:rPr>
      </w:pPr>
      <w:r w:rsidRPr="00525760">
        <w:rPr>
          <w:szCs w:val="18"/>
        </w:rPr>
        <w:t>We have examined each Object, in turn.</w:t>
      </w:r>
    </w:p>
    <w:p w14:paraId="1BF20611" w14:textId="77777777" w:rsidR="009972AC" w:rsidRDefault="009972AC" w:rsidP="009972AC">
      <w:pPr>
        <w:pStyle w:val="Heading4"/>
      </w:pPr>
      <w:r>
        <w:t>Are offshore petroleum and GHG storage activities carried out in a manner consistent with the principles of ecologically sustainable development set out in section 3A of the EPBC Act?</w:t>
      </w:r>
    </w:p>
    <w:p w14:paraId="3572F6D2" w14:textId="77777777" w:rsidR="009829BA" w:rsidRPr="00353998" w:rsidRDefault="009829BA" w:rsidP="008D407C">
      <w:pPr>
        <w:pStyle w:val="Heading3NoNumber"/>
      </w:pPr>
      <w:r w:rsidRPr="00353998">
        <w:t>NOPSEMA align to the principles of ecologically sustainable development</w:t>
      </w:r>
    </w:p>
    <w:p w14:paraId="1673B1EE" w14:textId="77777777" w:rsidR="009829BA" w:rsidRPr="00573C69" w:rsidRDefault="009829BA" w:rsidP="009829BA">
      <w:pPr>
        <w:pStyle w:val="BodyCopyNEW"/>
        <w:rPr>
          <w:szCs w:val="18"/>
        </w:rPr>
      </w:pPr>
      <w:r w:rsidRPr="00573C69">
        <w:rPr>
          <w:szCs w:val="18"/>
        </w:rPr>
        <w:t xml:space="preserve">The principles of </w:t>
      </w:r>
      <w:r>
        <w:rPr>
          <w:szCs w:val="18"/>
        </w:rPr>
        <w:t>ESD</w:t>
      </w:r>
      <w:r w:rsidRPr="00573C69">
        <w:rPr>
          <w:szCs w:val="18"/>
        </w:rPr>
        <w:t xml:space="preserve"> are</w:t>
      </w:r>
      <w:r w:rsidRPr="00573C69">
        <w:rPr>
          <w:rStyle w:val="FootnoteReference"/>
          <w:sz w:val="18"/>
          <w:szCs w:val="18"/>
        </w:rPr>
        <w:footnoteReference w:id="67"/>
      </w:r>
      <w:r w:rsidRPr="00573C69">
        <w:rPr>
          <w:szCs w:val="18"/>
        </w:rPr>
        <w:t xml:space="preserve">: </w:t>
      </w:r>
    </w:p>
    <w:p w14:paraId="6F7DB08E" w14:textId="2D63F077" w:rsidR="009829BA" w:rsidRPr="00573C69" w:rsidRDefault="009829BA" w:rsidP="009829BA">
      <w:pPr>
        <w:pStyle w:val="ListParagraph"/>
        <w:numPr>
          <w:ilvl w:val="0"/>
          <w:numId w:val="33"/>
        </w:numPr>
        <w:spacing w:after="120" w:line="288" w:lineRule="auto"/>
        <w:ind w:left="357" w:hanging="357"/>
        <w:contextualSpacing w:val="0"/>
        <w:rPr>
          <w:rFonts w:ascii="Calibri Light" w:hAnsi="Calibri Light" w:cs="Calibri Light"/>
        </w:rPr>
      </w:pPr>
      <w:r w:rsidRPr="00573C69">
        <w:rPr>
          <w:rFonts w:ascii="Calibri Light" w:hAnsi="Calibri Light" w:cs="Calibri Light"/>
        </w:rPr>
        <w:t xml:space="preserve">Decision-making processes should effectively integrate both long-term and short-term economic, environmental, social and </w:t>
      </w:r>
      <w:r w:rsidR="00914604">
        <w:rPr>
          <w:rFonts w:ascii="Calibri Light" w:hAnsi="Calibri Light" w:cs="Calibri Light"/>
        </w:rPr>
        <w:t>equity</w:t>
      </w:r>
      <w:r w:rsidRPr="00573C69">
        <w:rPr>
          <w:rFonts w:ascii="Calibri Light" w:hAnsi="Calibri Light" w:cs="Calibri Light"/>
        </w:rPr>
        <w:t xml:space="preserve"> considerations</w:t>
      </w:r>
    </w:p>
    <w:p w14:paraId="43EB2129" w14:textId="77777777" w:rsidR="009829BA" w:rsidRPr="00573C69" w:rsidRDefault="009829BA" w:rsidP="009829BA">
      <w:pPr>
        <w:pStyle w:val="ListParagraph"/>
        <w:numPr>
          <w:ilvl w:val="0"/>
          <w:numId w:val="33"/>
        </w:numPr>
        <w:spacing w:after="120" w:line="288" w:lineRule="auto"/>
        <w:ind w:left="357" w:hanging="357"/>
        <w:contextualSpacing w:val="0"/>
        <w:rPr>
          <w:rFonts w:ascii="Calibri Light" w:hAnsi="Calibri Light" w:cs="Calibri Light"/>
        </w:rPr>
      </w:pPr>
      <w:r w:rsidRPr="00573C69">
        <w:rPr>
          <w:rFonts w:ascii="Calibri Light" w:hAnsi="Calibri Light" w:cs="Calibri Light"/>
        </w:rPr>
        <w:t>If there are threats of serious or irreversible environmental damage, lack of full scientific certainty should not be used as a reason for postponing measures to prevent environmental degradation</w:t>
      </w:r>
    </w:p>
    <w:p w14:paraId="2E63F930" w14:textId="5F1DA13C" w:rsidR="009829BA" w:rsidRPr="00573C69" w:rsidRDefault="009829BA" w:rsidP="009829BA">
      <w:pPr>
        <w:pStyle w:val="ListParagraph"/>
        <w:numPr>
          <w:ilvl w:val="0"/>
          <w:numId w:val="33"/>
        </w:numPr>
        <w:spacing w:after="120" w:line="288" w:lineRule="auto"/>
        <w:ind w:left="357" w:hanging="357"/>
        <w:contextualSpacing w:val="0"/>
        <w:rPr>
          <w:rFonts w:ascii="Calibri Light" w:hAnsi="Calibri Light" w:cs="Calibri Light"/>
        </w:rPr>
      </w:pPr>
      <w:r w:rsidRPr="00573C69">
        <w:rPr>
          <w:rFonts w:ascii="Calibri Light" w:hAnsi="Calibri Light" w:cs="Calibri Light"/>
        </w:rPr>
        <w:t>The principle of inter-generational equity</w:t>
      </w:r>
      <w:r>
        <w:rPr>
          <w:rFonts w:ascii="Calibri Light" w:hAnsi="Calibri Light" w:cs="Calibri Light"/>
        </w:rPr>
        <w:t xml:space="preserve"> </w:t>
      </w:r>
      <w:r w:rsidR="006D5BE8">
        <w:rPr>
          <w:rFonts w:ascii="Calibri Light" w:hAnsi="Calibri Light" w:cs="Calibri Light"/>
        </w:rPr>
        <w:t>–</w:t>
      </w:r>
      <w:r w:rsidRPr="00573C69">
        <w:rPr>
          <w:rFonts w:ascii="Calibri Light" w:hAnsi="Calibri Light" w:cs="Calibri Light"/>
        </w:rPr>
        <w:t xml:space="preserve"> i.e. that the present generation should ensure that the health, diversity and productivity of the environment is maintained or enhanced for the benefit of future generations</w:t>
      </w:r>
    </w:p>
    <w:p w14:paraId="4C5B715E" w14:textId="77777777" w:rsidR="009829BA" w:rsidRPr="00573C69" w:rsidRDefault="009829BA" w:rsidP="009829BA">
      <w:pPr>
        <w:pStyle w:val="ListParagraph"/>
        <w:numPr>
          <w:ilvl w:val="0"/>
          <w:numId w:val="33"/>
        </w:numPr>
        <w:spacing w:after="120" w:line="288" w:lineRule="auto"/>
        <w:ind w:left="357" w:hanging="357"/>
        <w:contextualSpacing w:val="0"/>
        <w:rPr>
          <w:rFonts w:ascii="Calibri Light" w:hAnsi="Calibri Light" w:cs="Calibri Light"/>
        </w:rPr>
      </w:pPr>
      <w:r w:rsidRPr="00573C69">
        <w:rPr>
          <w:rFonts w:ascii="Calibri Light" w:hAnsi="Calibri Light" w:cs="Calibri Light"/>
        </w:rPr>
        <w:t>The conservation of biological diversity and ecological integrity should be a fundamental consideration in decision-making</w:t>
      </w:r>
    </w:p>
    <w:p w14:paraId="6B18EF33" w14:textId="77777777" w:rsidR="009829BA" w:rsidRPr="00573C69" w:rsidRDefault="009829BA" w:rsidP="009829BA">
      <w:pPr>
        <w:pStyle w:val="ListParagraph"/>
        <w:numPr>
          <w:ilvl w:val="0"/>
          <w:numId w:val="33"/>
        </w:numPr>
        <w:spacing w:after="120" w:line="288" w:lineRule="auto"/>
        <w:ind w:left="357" w:hanging="357"/>
        <w:contextualSpacing w:val="0"/>
        <w:rPr>
          <w:rFonts w:ascii="Calibri Light" w:hAnsi="Calibri Light" w:cs="Calibri Light"/>
        </w:rPr>
      </w:pPr>
      <w:r w:rsidRPr="00573C69">
        <w:rPr>
          <w:rFonts w:ascii="Calibri Light" w:hAnsi="Calibri Light" w:cs="Calibri Light"/>
        </w:rPr>
        <w:t xml:space="preserve">Improved valuation, pricing and incentive mechanisms should be promoted. </w:t>
      </w:r>
    </w:p>
    <w:p w14:paraId="369D5F61" w14:textId="307CAE2E" w:rsidR="009829BA" w:rsidRDefault="009829BA" w:rsidP="009829BA">
      <w:pPr>
        <w:pStyle w:val="BodyCopyNEW"/>
        <w:rPr>
          <w:szCs w:val="18"/>
        </w:rPr>
      </w:pPr>
      <w:r w:rsidRPr="00573C69">
        <w:rPr>
          <w:szCs w:val="18"/>
        </w:rPr>
        <w:t>NOPSEMA must consider the principles of ESD through its decision-making process including when first assessing the suitability of an offshore project proposal for publication, and when making a final decision on accepting the proposal</w:t>
      </w:r>
      <w:r w:rsidR="000B5DF5" w:rsidRPr="00573C69">
        <w:rPr>
          <w:rStyle w:val="FootnoteReference"/>
          <w:sz w:val="18"/>
          <w:szCs w:val="18"/>
        </w:rPr>
        <w:footnoteReference w:id="68"/>
      </w:r>
      <w:r w:rsidRPr="00573C69">
        <w:rPr>
          <w:szCs w:val="18"/>
        </w:rPr>
        <w:t xml:space="preserve">. </w:t>
      </w:r>
    </w:p>
    <w:p w14:paraId="4E60DCC9" w14:textId="77777777" w:rsidR="009829BA" w:rsidRPr="00573C69" w:rsidRDefault="009829BA" w:rsidP="009829BA">
      <w:pPr>
        <w:pStyle w:val="BodyCopyNEW"/>
        <w:rPr>
          <w:szCs w:val="18"/>
        </w:rPr>
      </w:pPr>
      <w:r w:rsidRPr="00573C69">
        <w:rPr>
          <w:szCs w:val="18"/>
        </w:rPr>
        <w:t>We have assessed NOPSEMA against each principle below</w:t>
      </w:r>
      <w:r>
        <w:rPr>
          <w:szCs w:val="18"/>
        </w:rPr>
        <w:t xml:space="preserve"> and, o</w:t>
      </w:r>
      <w:r w:rsidRPr="00573C69">
        <w:rPr>
          <w:szCs w:val="18"/>
        </w:rPr>
        <w:t>verall, based on the evidence examined,</w:t>
      </w:r>
      <w:r>
        <w:rPr>
          <w:szCs w:val="18"/>
        </w:rPr>
        <w:t xml:space="preserve"> we believe</w:t>
      </w:r>
      <w:r w:rsidRPr="00573C69">
        <w:rPr>
          <w:szCs w:val="18"/>
        </w:rPr>
        <w:t xml:space="preserve"> NOPSEMA </w:t>
      </w:r>
      <w:r>
        <w:rPr>
          <w:szCs w:val="18"/>
        </w:rPr>
        <w:t>is</w:t>
      </w:r>
      <w:r w:rsidRPr="00573C69">
        <w:rPr>
          <w:szCs w:val="18"/>
        </w:rPr>
        <w:t xml:space="preserve"> appropriately adhering to the principles of ESD.</w:t>
      </w:r>
    </w:p>
    <w:p w14:paraId="633357F7" w14:textId="662710D6" w:rsidR="000660A9" w:rsidRPr="00573C69" w:rsidRDefault="000660A9" w:rsidP="00701F87">
      <w:pPr>
        <w:pStyle w:val="Heading5"/>
        <w:spacing w:before="120" w:after="120"/>
        <w:rPr>
          <w:lang w:val="en-GB"/>
        </w:rPr>
      </w:pPr>
      <w:r w:rsidRPr="00573C69">
        <w:rPr>
          <w:lang w:val="en-GB"/>
        </w:rPr>
        <w:t>ESD principle 1 – Decision-making processes should effectively integrate both long-term and short-term economic, environmental, social and e</w:t>
      </w:r>
      <w:r w:rsidR="00914604">
        <w:rPr>
          <w:lang w:val="en-GB"/>
        </w:rPr>
        <w:t>quity</w:t>
      </w:r>
      <w:r w:rsidRPr="00573C69">
        <w:rPr>
          <w:lang w:val="en-GB"/>
        </w:rPr>
        <w:t xml:space="preserve"> considerations</w:t>
      </w:r>
    </w:p>
    <w:p w14:paraId="43C27E1D" w14:textId="5C927DA2" w:rsidR="000660A9" w:rsidRPr="00573C69" w:rsidRDefault="000660A9" w:rsidP="000660A9">
      <w:pPr>
        <w:pStyle w:val="BodyCopyNEW"/>
        <w:rPr>
          <w:szCs w:val="18"/>
          <w:lang w:val="en-GB"/>
        </w:rPr>
      </w:pPr>
      <w:r w:rsidRPr="00573C69">
        <w:rPr>
          <w:szCs w:val="18"/>
          <w:lang w:val="en-GB"/>
        </w:rPr>
        <w:t xml:space="preserve">NOPSEMA demonstrated that their assessment process includes consideration of the principles of ESD, including to ensure that their decision-making processes effectively integrate long and short-term considerations. As an example, case studies presented by NOPSEMA </w:t>
      </w:r>
      <w:r w:rsidR="00622A0F">
        <w:rPr>
          <w:szCs w:val="18"/>
          <w:lang w:val="en-GB"/>
        </w:rPr>
        <w:t xml:space="preserve">(e.g. ref. </w:t>
      </w:r>
      <w:r w:rsidR="009C4BDD">
        <w:rPr>
          <w:szCs w:val="18"/>
          <w:lang w:val="en-GB"/>
        </w:rPr>
        <w:t>CS009</w:t>
      </w:r>
      <w:r w:rsidR="00622A0F">
        <w:rPr>
          <w:szCs w:val="18"/>
          <w:lang w:val="en-GB"/>
        </w:rPr>
        <w:t xml:space="preserve">) </w:t>
      </w:r>
      <w:r w:rsidRPr="00573C69">
        <w:rPr>
          <w:szCs w:val="18"/>
          <w:lang w:val="en-GB"/>
        </w:rPr>
        <w:t xml:space="preserve">demonstrated that consideration is given to the long-term success of fisheries in areas where there are petroleum activities. Specifically, this required a </w:t>
      </w:r>
      <w:r>
        <w:rPr>
          <w:szCs w:val="18"/>
          <w:lang w:val="en-GB"/>
        </w:rPr>
        <w:t>title</w:t>
      </w:r>
      <w:r w:rsidRPr="00573C69">
        <w:rPr>
          <w:szCs w:val="18"/>
          <w:lang w:val="en-GB"/>
        </w:rPr>
        <w:t>holder to provide further information and assessment o</w:t>
      </w:r>
      <w:r>
        <w:rPr>
          <w:szCs w:val="18"/>
          <w:lang w:val="en-GB"/>
        </w:rPr>
        <w:t>f</w:t>
      </w:r>
      <w:r w:rsidRPr="00573C69">
        <w:rPr>
          <w:szCs w:val="18"/>
          <w:lang w:val="en-GB"/>
        </w:rPr>
        <w:t xml:space="preserve"> the potential for impacts to commercial fish stocks from a proposed marine seismic survey</w:t>
      </w:r>
      <w:r w:rsidR="00EA1675">
        <w:rPr>
          <w:szCs w:val="18"/>
          <w:lang w:val="en-GB"/>
        </w:rPr>
        <w:t>. In response to a request from NOPSEMA</w:t>
      </w:r>
      <w:r w:rsidR="006B348B">
        <w:rPr>
          <w:szCs w:val="18"/>
          <w:lang w:val="en-GB"/>
        </w:rPr>
        <w:t>,</w:t>
      </w:r>
      <w:r w:rsidR="00D1777A">
        <w:rPr>
          <w:szCs w:val="18"/>
          <w:lang w:val="en-GB"/>
        </w:rPr>
        <w:t xml:space="preserve"> the titleholder</w:t>
      </w:r>
      <w:r w:rsidRPr="00573C69">
        <w:rPr>
          <w:szCs w:val="18"/>
          <w:lang w:val="en-GB"/>
        </w:rPr>
        <w:t xml:space="preserve"> commit</w:t>
      </w:r>
      <w:r w:rsidR="00425EEB">
        <w:rPr>
          <w:szCs w:val="18"/>
          <w:lang w:val="en-GB"/>
        </w:rPr>
        <w:t>ted</w:t>
      </w:r>
      <w:r w:rsidRPr="00573C69">
        <w:rPr>
          <w:szCs w:val="18"/>
          <w:lang w:val="en-GB"/>
        </w:rPr>
        <w:t xml:space="preserve"> to the establishment of a </w:t>
      </w:r>
      <w:r w:rsidR="00F6044E">
        <w:rPr>
          <w:szCs w:val="18"/>
          <w:lang w:val="en-GB"/>
        </w:rPr>
        <w:t>SAC</w:t>
      </w:r>
      <w:r w:rsidRPr="00573C69">
        <w:rPr>
          <w:szCs w:val="18"/>
          <w:lang w:val="en-GB"/>
        </w:rPr>
        <w:t xml:space="preserve"> to inform the design of research projects and plans for fisheries displacement mitigation</w:t>
      </w:r>
      <w:r w:rsidR="006F0ECB" w:rsidRPr="00573C69">
        <w:rPr>
          <w:rStyle w:val="FootnoteReference"/>
          <w:sz w:val="18"/>
          <w:szCs w:val="18"/>
        </w:rPr>
        <w:footnoteReference w:id="69"/>
      </w:r>
      <w:r w:rsidR="00F32119">
        <w:rPr>
          <w:szCs w:val="18"/>
          <w:lang w:val="en-GB"/>
        </w:rPr>
        <w:t>.</w:t>
      </w:r>
    </w:p>
    <w:p w14:paraId="176D0125" w14:textId="1DCB0303" w:rsidR="000660A9" w:rsidRPr="0044008A" w:rsidRDefault="000660A9" w:rsidP="000660A9">
      <w:pPr>
        <w:pStyle w:val="BodyCopyNEW"/>
        <w:rPr>
          <w:szCs w:val="18"/>
        </w:rPr>
      </w:pPr>
      <w:r w:rsidRPr="00573C69">
        <w:rPr>
          <w:szCs w:val="18"/>
          <w:lang w:val="en-GB"/>
        </w:rPr>
        <w:t xml:space="preserve">The establishment of the SAC enabled a more </w:t>
      </w:r>
      <w:r w:rsidRPr="00573C69">
        <w:rPr>
          <w:szCs w:val="18"/>
        </w:rPr>
        <w:t>open and balanced approach in addressing the concerns raised by fisher</w:t>
      </w:r>
      <w:r>
        <w:rPr>
          <w:szCs w:val="18"/>
        </w:rPr>
        <w:t>ie</w:t>
      </w:r>
      <w:r w:rsidRPr="00573C69">
        <w:rPr>
          <w:szCs w:val="18"/>
        </w:rPr>
        <w:t xml:space="preserve">s. It was comprised of persons with a range of knowledge and experience including scientists, fishing </w:t>
      </w:r>
      <w:r w:rsidRPr="009A57BC">
        <w:rPr>
          <w:szCs w:val="18"/>
        </w:rPr>
        <w:t>industry representatives</w:t>
      </w:r>
      <w:r>
        <w:rPr>
          <w:szCs w:val="18"/>
        </w:rPr>
        <w:t>,</w:t>
      </w:r>
      <w:r w:rsidRPr="009A57BC">
        <w:rPr>
          <w:szCs w:val="18"/>
        </w:rPr>
        <w:t xml:space="preserve"> and fishers. While the SAC focused on the accepted activity and current fishing efforts, the outcomes of the SAC included to identify initiatives such as </w:t>
      </w:r>
      <w:r w:rsidRPr="009A57BC">
        <w:rPr>
          <w:szCs w:val="18"/>
        </w:rPr>
        <w:lastRenderedPageBreak/>
        <w:t>research that can aid in advancing knowledge of seismic activities on fishing for future activities. In doing</w:t>
      </w:r>
      <w:r w:rsidRPr="00573C69">
        <w:rPr>
          <w:szCs w:val="18"/>
        </w:rPr>
        <w:t xml:space="preserve"> so this can be considered an example of where NOPSEMA </w:t>
      </w:r>
      <w:r w:rsidR="001802C9">
        <w:rPr>
          <w:szCs w:val="18"/>
        </w:rPr>
        <w:t>has</w:t>
      </w:r>
      <w:r w:rsidRPr="00573C69">
        <w:rPr>
          <w:szCs w:val="18"/>
        </w:rPr>
        <w:t xml:space="preserve"> demonstrated an assessment process that integrates both long-term and short-term economic, environmental </w:t>
      </w:r>
      <w:r w:rsidRPr="0044008A">
        <w:rPr>
          <w:szCs w:val="18"/>
        </w:rPr>
        <w:t xml:space="preserve">social and </w:t>
      </w:r>
      <w:r w:rsidR="00D31544">
        <w:rPr>
          <w:szCs w:val="18"/>
        </w:rPr>
        <w:t>equity</w:t>
      </w:r>
      <w:r w:rsidRPr="0044008A">
        <w:rPr>
          <w:szCs w:val="18"/>
        </w:rPr>
        <w:t xml:space="preserve"> considerations. </w:t>
      </w:r>
    </w:p>
    <w:p w14:paraId="4BD19D6A" w14:textId="5E3B3AF5" w:rsidR="000660A9" w:rsidRPr="00573C69" w:rsidRDefault="000660A9" w:rsidP="000660A9">
      <w:pPr>
        <w:pStyle w:val="BodyCopyNEW"/>
        <w:rPr>
          <w:szCs w:val="18"/>
          <w:lang w:val="en-GB"/>
        </w:rPr>
      </w:pPr>
      <w:r w:rsidRPr="0044008A">
        <w:rPr>
          <w:szCs w:val="18"/>
        </w:rPr>
        <w:t xml:space="preserve">Fisheries </w:t>
      </w:r>
      <w:r w:rsidR="00D31544">
        <w:rPr>
          <w:szCs w:val="18"/>
        </w:rPr>
        <w:t>consistently</w:t>
      </w:r>
      <w:r w:rsidRPr="0044008A">
        <w:rPr>
          <w:szCs w:val="18"/>
        </w:rPr>
        <w:t xml:space="preserve"> noted NOPSEMA’s professionalism and openness to engaging with them. However, despite the openness, professionalism of staff, and what we consider to be a genuine willingness to engage by NOPSEMA, it is our view that the relationship between NOPSEMA and other users of the marine estate has eroded across the review period. </w:t>
      </w:r>
      <w:r w:rsidRPr="00A1525B">
        <w:rPr>
          <w:szCs w:val="18"/>
        </w:rPr>
        <w:t xml:space="preserve">We observed low trust and confidence in NOPSEMA as the regulator for offshore petroleum activities with this group. </w:t>
      </w:r>
      <w:r w:rsidRPr="0044008A">
        <w:rPr>
          <w:szCs w:val="18"/>
        </w:rPr>
        <w:t xml:space="preserve">This is discussed further in </w:t>
      </w:r>
      <w:r w:rsidRPr="00FD19BC">
        <w:rPr>
          <w:b/>
          <w:szCs w:val="18"/>
        </w:rPr>
        <w:t xml:space="preserve">Section </w:t>
      </w:r>
      <w:r w:rsidR="00C22B3D">
        <w:rPr>
          <w:b/>
          <w:szCs w:val="18"/>
        </w:rPr>
        <w:fldChar w:fldCharType="begin"/>
      </w:r>
      <w:r w:rsidR="00C22B3D">
        <w:rPr>
          <w:b/>
          <w:szCs w:val="18"/>
        </w:rPr>
        <w:instrText xml:space="preserve"> REF _Ref63253193 \r \h </w:instrText>
      </w:r>
      <w:r w:rsidR="00C22B3D">
        <w:rPr>
          <w:b/>
          <w:szCs w:val="18"/>
        </w:rPr>
      </w:r>
      <w:r w:rsidR="00C22B3D">
        <w:rPr>
          <w:b/>
          <w:szCs w:val="18"/>
        </w:rPr>
        <w:fldChar w:fldCharType="separate"/>
      </w:r>
      <w:r w:rsidR="00E816B8">
        <w:rPr>
          <w:b/>
          <w:szCs w:val="18"/>
        </w:rPr>
        <w:t>9.3.2.2</w:t>
      </w:r>
      <w:r w:rsidR="00C22B3D">
        <w:rPr>
          <w:b/>
          <w:szCs w:val="18"/>
        </w:rPr>
        <w:fldChar w:fldCharType="end"/>
      </w:r>
      <w:r w:rsidRPr="0044008A">
        <w:rPr>
          <w:szCs w:val="18"/>
        </w:rPr>
        <w:t>.</w:t>
      </w:r>
    </w:p>
    <w:p w14:paraId="0CF8F4E9" w14:textId="77777777" w:rsidR="00A37036" w:rsidRPr="00573C69" w:rsidRDefault="00A37036" w:rsidP="00A37036">
      <w:pPr>
        <w:pStyle w:val="Heading5"/>
        <w:spacing w:before="120" w:after="120"/>
        <w:rPr>
          <w:lang w:val="en-GB"/>
        </w:rPr>
      </w:pPr>
      <w:r w:rsidRPr="00573C69">
        <w:rPr>
          <w:lang w:val="en-GB"/>
        </w:rPr>
        <w:t>ESD principle 2 – If there are threats of serious or irreversible environmental damage, lack of full scientific certainty should not be used as a reason for postponing measures to prevent environmental degradation</w:t>
      </w:r>
    </w:p>
    <w:p w14:paraId="45D848B7" w14:textId="77777777" w:rsidR="00A37036" w:rsidRPr="00573C69" w:rsidRDefault="00A37036" w:rsidP="00A37036">
      <w:pPr>
        <w:pStyle w:val="BodyCopyNEW"/>
        <w:rPr>
          <w:szCs w:val="18"/>
          <w:lang w:val="en-GB"/>
        </w:rPr>
      </w:pPr>
      <w:r w:rsidRPr="00573C69">
        <w:rPr>
          <w:szCs w:val="18"/>
          <w:lang w:val="en-GB"/>
        </w:rPr>
        <w:t xml:space="preserve">Where there were apparent scientific uncertainties, NOPSEMA demonstrated a conservative approach to their decision making. Their assessment process required that evaluations made by </w:t>
      </w:r>
      <w:r>
        <w:rPr>
          <w:szCs w:val="18"/>
          <w:lang w:val="en-GB"/>
        </w:rPr>
        <w:t>title</w:t>
      </w:r>
      <w:r w:rsidRPr="00573C69">
        <w:rPr>
          <w:szCs w:val="18"/>
          <w:lang w:val="en-GB"/>
        </w:rPr>
        <w:t xml:space="preserve">holders are to acknowledge uncertainty in predictions of environmental impacts and where necessary consider the application of adaptive management principles to ensure that the principles of ESD can be achieved. </w:t>
      </w:r>
    </w:p>
    <w:p w14:paraId="156A658E" w14:textId="2893DE6F" w:rsidR="00A37036" w:rsidRPr="00573C69" w:rsidRDefault="00A37036" w:rsidP="00A37036">
      <w:pPr>
        <w:pStyle w:val="BodyCopyNEW"/>
        <w:rPr>
          <w:szCs w:val="18"/>
          <w:lang w:val="en-GB"/>
        </w:rPr>
      </w:pPr>
      <w:r w:rsidRPr="00573C69">
        <w:rPr>
          <w:szCs w:val="18"/>
          <w:lang w:val="en-GB"/>
        </w:rPr>
        <w:t xml:space="preserve">This was evident in one of the case studies reviewed </w:t>
      </w:r>
      <w:r w:rsidR="00622A0F">
        <w:rPr>
          <w:szCs w:val="18"/>
          <w:lang w:val="en-GB"/>
        </w:rPr>
        <w:t xml:space="preserve">(ref. </w:t>
      </w:r>
      <w:r w:rsidR="009C4BDD">
        <w:rPr>
          <w:szCs w:val="18"/>
          <w:lang w:val="en-GB"/>
        </w:rPr>
        <w:t>CS009</w:t>
      </w:r>
      <w:r w:rsidR="00622A0F">
        <w:rPr>
          <w:szCs w:val="18"/>
          <w:lang w:val="en-GB"/>
        </w:rPr>
        <w:t>)</w:t>
      </w:r>
      <w:r w:rsidRPr="00573C69">
        <w:rPr>
          <w:szCs w:val="18"/>
          <w:lang w:val="en-GB"/>
        </w:rPr>
        <w:t xml:space="preserve"> where a potential for impact to commercial fisheries</w:t>
      </w:r>
      <w:r>
        <w:rPr>
          <w:szCs w:val="18"/>
          <w:lang w:val="en-GB"/>
        </w:rPr>
        <w:t xml:space="preserve"> was identified</w:t>
      </w:r>
      <w:r w:rsidRPr="00573C69">
        <w:rPr>
          <w:szCs w:val="18"/>
          <w:lang w:val="en-GB"/>
        </w:rPr>
        <w:t>, but NOPSEMA noted that the analysis for how the survey would impact on commercially targeted fish was insufficient. In response, NOPSEMA issued their decision that they were ‘not reasonably satisfied’, and a commitment was made by the titleholder for an initiative to support ongoing research of the predicted impacts from seismic surveys on commercial fish stocks displacement</w:t>
      </w:r>
      <w:r w:rsidR="00427F3C" w:rsidRPr="00573C69">
        <w:rPr>
          <w:rStyle w:val="FootnoteReference"/>
          <w:sz w:val="18"/>
          <w:szCs w:val="18"/>
        </w:rPr>
        <w:footnoteReference w:id="70"/>
      </w:r>
      <w:r w:rsidR="00427F3C" w:rsidRPr="00573C69">
        <w:rPr>
          <w:szCs w:val="18"/>
          <w:lang w:val="en-GB"/>
        </w:rPr>
        <w:t>.</w:t>
      </w:r>
    </w:p>
    <w:p w14:paraId="2DC6C098" w14:textId="06D0F1A1" w:rsidR="00A37036" w:rsidRPr="00573C69" w:rsidRDefault="00A37036" w:rsidP="00A37036">
      <w:pPr>
        <w:pStyle w:val="BodyCopyNEW"/>
        <w:rPr>
          <w:szCs w:val="18"/>
          <w:lang w:val="en-GB"/>
        </w:rPr>
      </w:pPr>
      <w:r w:rsidRPr="00573C69">
        <w:rPr>
          <w:szCs w:val="18"/>
          <w:lang w:val="en-GB"/>
        </w:rPr>
        <w:t xml:space="preserve">A further example </w:t>
      </w:r>
      <w:r w:rsidR="00622A0F">
        <w:rPr>
          <w:szCs w:val="18"/>
          <w:lang w:val="en-GB"/>
        </w:rPr>
        <w:t xml:space="preserve">(ref. </w:t>
      </w:r>
      <w:r w:rsidR="00A47A25">
        <w:rPr>
          <w:szCs w:val="18"/>
          <w:lang w:val="en-GB"/>
        </w:rPr>
        <w:t>CS010</w:t>
      </w:r>
      <w:r w:rsidR="00FE7191">
        <w:rPr>
          <w:szCs w:val="18"/>
          <w:lang w:val="en-GB"/>
        </w:rPr>
        <w:t>)</w:t>
      </w:r>
      <w:r w:rsidRPr="00573C69">
        <w:rPr>
          <w:szCs w:val="18"/>
          <w:lang w:val="en-GB"/>
        </w:rPr>
        <w:t xml:space="preserve"> was provided to us by NOPSEMA that demonstrated, in lieu of scientific certainty, NOPSEMA was ‘reasonably satisfied’ only after further assessment of the impact of a marine discharge on the environment, and commitment made by the titleholder to the monitoring of discharge streams and application of an adaptive management strategy that demonstrated protection of environmental </w:t>
      </w:r>
      <w:r w:rsidR="002723F9" w:rsidRPr="00573C69">
        <w:rPr>
          <w:szCs w:val="18"/>
          <w:lang w:val="en-GB"/>
        </w:rPr>
        <w:t>values</w:t>
      </w:r>
      <w:r w:rsidR="002723F9" w:rsidRPr="00573C69">
        <w:rPr>
          <w:rStyle w:val="FootnoteReference"/>
          <w:sz w:val="18"/>
          <w:szCs w:val="18"/>
        </w:rPr>
        <w:footnoteReference w:id="71"/>
      </w:r>
      <w:r w:rsidR="002723F9">
        <w:rPr>
          <w:szCs w:val="18"/>
          <w:lang w:val="en-GB"/>
        </w:rPr>
        <w:t>.</w:t>
      </w:r>
      <w:r w:rsidRPr="00573C69">
        <w:rPr>
          <w:szCs w:val="18"/>
          <w:lang w:val="en-GB"/>
        </w:rPr>
        <w:t xml:space="preserve"> In both examples, NOPSEMA required additional analysis and control measures, in circumstances where there was a lack of scientific certainty. </w:t>
      </w:r>
    </w:p>
    <w:p w14:paraId="3CD7500D" w14:textId="77777777" w:rsidR="00A37036" w:rsidRPr="00573C69" w:rsidRDefault="00A37036" w:rsidP="00A37036">
      <w:pPr>
        <w:pStyle w:val="Heading5"/>
        <w:spacing w:before="120" w:after="120"/>
        <w:rPr>
          <w:lang w:val="en-GB"/>
        </w:rPr>
      </w:pPr>
      <w:r w:rsidRPr="00573C69">
        <w:rPr>
          <w:lang w:val="en-GB"/>
        </w:rPr>
        <w:t>ESD principle 3 – The principle of inter-generational equity-that the present generation should ensure that the health, diversity and productivity of the environment is maintained or enhanced for the benefit of future generations</w:t>
      </w:r>
    </w:p>
    <w:p w14:paraId="2B26CB7B" w14:textId="3244DEFD" w:rsidR="00A37036" w:rsidRPr="00573C69" w:rsidRDefault="00A37036" w:rsidP="00A37036">
      <w:pPr>
        <w:pStyle w:val="BodyCopyNEW"/>
        <w:rPr>
          <w:szCs w:val="18"/>
          <w:lang w:val="en-GB"/>
        </w:rPr>
      </w:pPr>
      <w:r w:rsidRPr="00573C69">
        <w:rPr>
          <w:szCs w:val="18"/>
          <w:lang w:val="en-GB"/>
        </w:rPr>
        <w:t xml:space="preserve">NOPSEMA’s assessment process was presented to us in their discussion of the case studies as well as the broader process and their public facing Guidelines. As stated in the </w:t>
      </w:r>
      <w:r w:rsidRPr="000B5DF5">
        <w:rPr>
          <w:i/>
          <w:iCs/>
          <w:szCs w:val="18"/>
          <w:lang w:val="en-GB"/>
        </w:rPr>
        <w:t xml:space="preserve">Environment </w:t>
      </w:r>
      <w:r w:rsidR="000B5DF5" w:rsidRPr="000B5DF5">
        <w:rPr>
          <w:i/>
          <w:iCs/>
          <w:szCs w:val="18"/>
          <w:lang w:val="en-GB"/>
        </w:rPr>
        <w:t>P</w:t>
      </w:r>
      <w:r w:rsidRPr="000B5DF5">
        <w:rPr>
          <w:i/>
          <w:iCs/>
          <w:szCs w:val="18"/>
          <w:lang w:val="en-GB"/>
        </w:rPr>
        <w:t xml:space="preserve">lan </w:t>
      </w:r>
      <w:r w:rsidR="000B5DF5" w:rsidRPr="000B5DF5">
        <w:rPr>
          <w:i/>
          <w:iCs/>
          <w:szCs w:val="18"/>
          <w:lang w:val="en-GB"/>
        </w:rPr>
        <w:t>D</w:t>
      </w:r>
      <w:r w:rsidRPr="000B5DF5">
        <w:rPr>
          <w:i/>
          <w:iCs/>
          <w:szCs w:val="18"/>
          <w:lang w:val="en-GB"/>
        </w:rPr>
        <w:t xml:space="preserve">ecision </w:t>
      </w:r>
      <w:r w:rsidR="000B5DF5" w:rsidRPr="000B5DF5">
        <w:rPr>
          <w:i/>
          <w:iCs/>
          <w:szCs w:val="18"/>
          <w:lang w:val="en-GB"/>
        </w:rPr>
        <w:t>M</w:t>
      </w:r>
      <w:r w:rsidRPr="000B5DF5">
        <w:rPr>
          <w:i/>
          <w:iCs/>
          <w:szCs w:val="18"/>
          <w:lang w:val="en-GB"/>
        </w:rPr>
        <w:t>aking Guideline</w:t>
      </w:r>
      <w:r w:rsidRPr="00573C69">
        <w:rPr>
          <w:szCs w:val="18"/>
          <w:lang w:val="en-GB"/>
        </w:rPr>
        <w:t xml:space="preserve"> </w:t>
      </w:r>
      <w:r w:rsidR="000B5DF5">
        <w:rPr>
          <w:szCs w:val="18"/>
          <w:lang w:val="en-GB"/>
        </w:rPr>
        <w:t>(</w:t>
      </w:r>
      <w:r w:rsidRPr="00573C69">
        <w:rPr>
          <w:szCs w:val="18"/>
          <w:lang w:val="en-GB"/>
        </w:rPr>
        <w:t xml:space="preserve">N-04750-GL1721 Rev 6, Nov 2019) as key to NOPSEMA’s decision making is the </w:t>
      </w:r>
      <w:r w:rsidR="00162B02">
        <w:rPr>
          <w:szCs w:val="18"/>
          <w:lang w:val="en-GB"/>
        </w:rPr>
        <w:t>O</w:t>
      </w:r>
      <w:r w:rsidRPr="00573C69">
        <w:rPr>
          <w:szCs w:val="18"/>
          <w:lang w:val="en-GB"/>
        </w:rPr>
        <w:t>bject of the OPGGS Environment Regulations to ensure that any petroleum activity is carried out in a manner consistent with the principles of ecologically sustainable development. As such, the principles of ESD feature predominately in the decision</w:t>
      </w:r>
      <w:r>
        <w:rPr>
          <w:szCs w:val="18"/>
          <w:lang w:val="en-GB"/>
        </w:rPr>
        <w:t>-</w:t>
      </w:r>
      <w:r w:rsidRPr="00573C69">
        <w:rPr>
          <w:szCs w:val="18"/>
          <w:lang w:val="en-GB"/>
        </w:rPr>
        <w:t>making</w:t>
      </w:r>
      <w:r>
        <w:rPr>
          <w:szCs w:val="18"/>
          <w:lang w:val="en-GB"/>
        </w:rPr>
        <w:t xml:space="preserve"> process</w:t>
      </w:r>
      <w:r w:rsidRPr="00573C69">
        <w:rPr>
          <w:szCs w:val="18"/>
          <w:lang w:val="en-GB"/>
        </w:rPr>
        <w:t xml:space="preserve"> because they are integral to defining acceptable levels of impact and risk. NOPSEMA provided evidence of the steps which demonstrate how they consider the principles of ESD, including the principle of inter-generational equity. As an example, NOPSEMA’s assessment of an activity was found to have a potential impact to fisheries, and resulted in the titleholder committing </w:t>
      </w:r>
      <w:r>
        <w:rPr>
          <w:szCs w:val="18"/>
          <w:lang w:val="en-GB"/>
        </w:rPr>
        <w:t xml:space="preserve">to </w:t>
      </w:r>
      <w:r w:rsidRPr="00573C69">
        <w:rPr>
          <w:szCs w:val="18"/>
          <w:lang w:val="en-GB"/>
        </w:rPr>
        <w:t xml:space="preserve">identify initiatives such as research to aid in advancing knowledge of seismic activities on fishing for future activities, thus enabling ongoing protection of the environment for future generations. In addition, Environmental Performance Outcomes as set by the titleholder are assessed by NOPSEMA to be consistent with the principles of ESD. Accepted EPs and </w:t>
      </w:r>
      <w:r>
        <w:rPr>
          <w:szCs w:val="18"/>
        </w:rPr>
        <w:t xml:space="preserve">OPPs </w:t>
      </w:r>
      <w:r w:rsidRPr="00573C69">
        <w:rPr>
          <w:rStyle w:val="CommentReference"/>
          <w:sz w:val="18"/>
          <w:szCs w:val="18"/>
        </w:rPr>
        <w:t>reviewed</w:t>
      </w:r>
      <w:r w:rsidRPr="00573C69">
        <w:rPr>
          <w:szCs w:val="18"/>
          <w:lang w:val="en-GB"/>
        </w:rPr>
        <w:t xml:space="preserve"> </w:t>
      </w:r>
      <w:r w:rsidR="00FE7191">
        <w:rPr>
          <w:szCs w:val="18"/>
          <w:lang w:val="en-GB"/>
        </w:rPr>
        <w:t xml:space="preserve">(e.g. ref. </w:t>
      </w:r>
      <w:r w:rsidR="003C6689">
        <w:rPr>
          <w:szCs w:val="18"/>
          <w:lang w:val="en-GB"/>
        </w:rPr>
        <w:t>CS004</w:t>
      </w:r>
      <w:r w:rsidR="00FE7191">
        <w:rPr>
          <w:szCs w:val="18"/>
          <w:lang w:val="en-GB"/>
        </w:rPr>
        <w:t xml:space="preserve">) </w:t>
      </w:r>
      <w:r w:rsidRPr="00573C69">
        <w:rPr>
          <w:szCs w:val="18"/>
          <w:lang w:val="en-GB"/>
        </w:rPr>
        <w:t xml:space="preserve">showed that principles, including the requirement for inter-generational equity, were demonstrated to be considered in NOPSEMA’s assessment of acceptability and carried through to the environmental </w:t>
      </w:r>
      <w:r w:rsidR="008B4D12" w:rsidRPr="00573C69">
        <w:rPr>
          <w:szCs w:val="18"/>
          <w:lang w:val="en-GB"/>
        </w:rPr>
        <w:t>performance outcomes</w:t>
      </w:r>
      <w:r w:rsidRPr="00573C69">
        <w:rPr>
          <w:szCs w:val="18"/>
          <w:lang w:val="en-GB"/>
        </w:rPr>
        <w:t>.</w:t>
      </w:r>
      <w:r w:rsidRPr="00573C69" w:rsidDel="00EB2E89">
        <w:rPr>
          <w:szCs w:val="18"/>
          <w:lang w:val="en-GB"/>
        </w:rPr>
        <w:t xml:space="preserve"> </w:t>
      </w:r>
      <w:r w:rsidR="0060700A" w:rsidRPr="0060700A">
        <w:rPr>
          <w:szCs w:val="18"/>
          <w:lang w:val="en-GB"/>
        </w:rPr>
        <w:t>The impact assessment noted that there will be impacts from an activity to an area of coral, but that it was considered to be reversible within 5 years, and therefor</w:t>
      </w:r>
      <w:r w:rsidR="00B37588">
        <w:rPr>
          <w:szCs w:val="18"/>
          <w:lang w:val="en-GB"/>
        </w:rPr>
        <w:t>e</w:t>
      </w:r>
      <w:r w:rsidR="0060700A" w:rsidRPr="0060700A">
        <w:rPr>
          <w:szCs w:val="18"/>
          <w:lang w:val="en-GB"/>
        </w:rPr>
        <w:t xml:space="preserve"> preserves inter-generational equity</w:t>
      </w:r>
      <w:r w:rsidR="0060700A" w:rsidRPr="00573C69">
        <w:rPr>
          <w:rStyle w:val="FootnoteReference"/>
          <w:sz w:val="18"/>
          <w:szCs w:val="18"/>
        </w:rPr>
        <w:footnoteReference w:id="72"/>
      </w:r>
      <w:r w:rsidR="0060700A" w:rsidRPr="0060700A">
        <w:rPr>
          <w:szCs w:val="18"/>
          <w:lang w:val="en-GB"/>
        </w:rPr>
        <w:t>.</w:t>
      </w:r>
      <w:r w:rsidR="0060700A" w:rsidRPr="0060700A">
        <w:rPr>
          <w:rStyle w:val="FootnoteReference"/>
          <w:sz w:val="18"/>
          <w:szCs w:val="18"/>
        </w:rPr>
        <w:t xml:space="preserve"> </w:t>
      </w:r>
    </w:p>
    <w:p w14:paraId="63C8EED0" w14:textId="77777777" w:rsidR="007967E2" w:rsidRPr="00573C69" w:rsidRDefault="007967E2" w:rsidP="007967E2">
      <w:pPr>
        <w:pStyle w:val="Heading5"/>
        <w:spacing w:before="120" w:after="120"/>
        <w:rPr>
          <w:lang w:val="en-GB"/>
        </w:rPr>
      </w:pPr>
      <w:r w:rsidRPr="00573C69">
        <w:rPr>
          <w:lang w:val="en-GB"/>
        </w:rPr>
        <w:t>ESD principle 4 – The conservation of biological diversity and ecological integrity should be a fundamental consideration in decision-making</w:t>
      </w:r>
    </w:p>
    <w:p w14:paraId="2E7E824C" w14:textId="39D0F6D6" w:rsidR="007967E2" w:rsidRPr="00573C69" w:rsidRDefault="007967E2" w:rsidP="007967E2">
      <w:pPr>
        <w:pStyle w:val="BodyCopyNEW"/>
        <w:rPr>
          <w:szCs w:val="18"/>
        </w:rPr>
      </w:pPr>
      <w:r w:rsidRPr="00573C69">
        <w:rPr>
          <w:szCs w:val="18"/>
        </w:rPr>
        <w:t xml:space="preserve">An examination of accepted EPs and OPPs demonstrated, in our view, that conservation of biological diversity and ecological integrity is addressed by titleholders as it is a requirement for NOPSEMA in decision-making. This was evident in one example, where the titleholder discussed the potential for impacts to biological diversity and ecological integrity as a result of the installation of a significant length of pipeline through a marine park. </w:t>
      </w:r>
      <w:r w:rsidR="00F757A0">
        <w:rPr>
          <w:szCs w:val="18"/>
        </w:rPr>
        <w:t>In this instance, environmental performance outcomes were set to specifically limit the extent of impacts such that they remained below a threshold to impact biological diversity and ecological integrity.</w:t>
      </w:r>
      <w:r w:rsidR="00DB0737">
        <w:rPr>
          <w:rStyle w:val="FootnoteReference"/>
          <w:szCs w:val="18"/>
        </w:rPr>
        <w:footnoteReference w:id="73"/>
      </w:r>
    </w:p>
    <w:p w14:paraId="46596431" w14:textId="77777777" w:rsidR="007967E2" w:rsidRPr="00573C69" w:rsidRDefault="007967E2" w:rsidP="007967E2">
      <w:pPr>
        <w:pStyle w:val="Heading5"/>
        <w:spacing w:before="120" w:after="120"/>
        <w:rPr>
          <w:lang w:val="en-GB"/>
        </w:rPr>
      </w:pPr>
      <w:r w:rsidRPr="00573C69">
        <w:rPr>
          <w:lang w:val="en-GB"/>
        </w:rPr>
        <w:lastRenderedPageBreak/>
        <w:t xml:space="preserve">ESD principle 5 – </w:t>
      </w:r>
      <w:r w:rsidRPr="007967E2">
        <w:rPr>
          <w:lang w:val="en-GB"/>
        </w:rPr>
        <w:t>Improved valuation, pricing and incentive mechanisms should be promoted</w:t>
      </w:r>
    </w:p>
    <w:p w14:paraId="6E6589AF" w14:textId="0895B962" w:rsidR="007967E2" w:rsidRDefault="007967E2" w:rsidP="007967E2">
      <w:pPr>
        <w:pStyle w:val="BodyCopyNEW"/>
        <w:rPr>
          <w:szCs w:val="18"/>
          <w:lang w:val="en-GB"/>
        </w:rPr>
      </w:pPr>
      <w:r w:rsidRPr="004059ED">
        <w:rPr>
          <w:szCs w:val="18"/>
          <w:lang w:val="en-GB"/>
        </w:rPr>
        <w:t xml:space="preserve">We do not consider that this principle of ESD is </w:t>
      </w:r>
      <w:r w:rsidRPr="00132D5B">
        <w:rPr>
          <w:szCs w:val="18"/>
          <w:lang w:val="en-GB"/>
        </w:rPr>
        <w:t xml:space="preserve">directly </w:t>
      </w:r>
      <w:r w:rsidRPr="004059ED">
        <w:rPr>
          <w:szCs w:val="18"/>
          <w:lang w:val="en-GB"/>
        </w:rPr>
        <w:t>relev</w:t>
      </w:r>
      <w:r w:rsidRPr="004D39BA">
        <w:rPr>
          <w:szCs w:val="18"/>
          <w:lang w:val="en-GB"/>
        </w:rPr>
        <w:t>ant to the role of NOPSEMA</w:t>
      </w:r>
      <w:r w:rsidR="00813897">
        <w:rPr>
          <w:szCs w:val="18"/>
          <w:lang w:val="en-GB"/>
        </w:rPr>
        <w:t xml:space="preserve"> in undertaking regulatory assessments on well integrity, safety</w:t>
      </w:r>
      <w:r w:rsidR="002F5E87">
        <w:rPr>
          <w:szCs w:val="18"/>
          <w:lang w:val="en-GB"/>
        </w:rPr>
        <w:t xml:space="preserve"> and environment </w:t>
      </w:r>
      <w:r w:rsidR="00B60E26">
        <w:rPr>
          <w:szCs w:val="18"/>
          <w:lang w:val="en-GB"/>
        </w:rPr>
        <w:t>matters</w:t>
      </w:r>
      <w:r w:rsidR="00940AFC">
        <w:rPr>
          <w:szCs w:val="18"/>
          <w:lang w:val="en-GB"/>
        </w:rPr>
        <w:t>.</w:t>
      </w:r>
      <w:r w:rsidRPr="004059ED">
        <w:rPr>
          <w:szCs w:val="18"/>
          <w:lang w:val="en-GB"/>
        </w:rPr>
        <w:t xml:space="preserve"> </w:t>
      </w:r>
    </w:p>
    <w:p w14:paraId="485FEF44" w14:textId="77777777" w:rsidR="007967E2" w:rsidRDefault="007967E2" w:rsidP="007967E2">
      <w:pPr>
        <w:pStyle w:val="BodyCopyNEW"/>
        <w:rPr>
          <w:szCs w:val="18"/>
          <w:lang w:val="en-GB"/>
        </w:rPr>
      </w:pPr>
      <w:r>
        <w:rPr>
          <w:szCs w:val="18"/>
          <w:lang w:val="en-GB"/>
        </w:rPr>
        <w:t>However, in the Strategic Assessment process, this ESD was considered by government. At that time, government took the view that the Endorsed Program addressed this fifth ESD by ensuring that NOPSEMA, as an organisation, was cost recovered:</w:t>
      </w:r>
    </w:p>
    <w:p w14:paraId="236AE4BD" w14:textId="77777777" w:rsidR="007967E2" w:rsidRPr="00CC0EA3" w:rsidRDefault="007967E2" w:rsidP="007967E2">
      <w:pPr>
        <w:pStyle w:val="BodyCopyNEW"/>
        <w:rPr>
          <w:i/>
          <w:iCs/>
          <w:szCs w:val="18"/>
          <w:lang w:val="en-GB"/>
        </w:rPr>
      </w:pPr>
      <w:r w:rsidRPr="00CC0EA3">
        <w:rPr>
          <w:i/>
          <w:iCs/>
          <w:szCs w:val="18"/>
          <w:lang w:val="en-GB"/>
        </w:rPr>
        <w:t>‘The Program describes an objective-based regulatory regime. Objective-based regulation is a cost effective approach to regulation as it encourages ongoing innovations and efficiency in pursuit of particular objectives and outcomes. In addition, NOPSEMA is a full cost-recovery agency whereby its regulatory activities are paid for through fees and levies on the industry required under legislation. These are charged on the basis of regulatory activity and ensure adequate ongoing funding levels to support the achievement of the objects of the OPGGS and EPBC Acts’.</w:t>
      </w:r>
    </w:p>
    <w:p w14:paraId="56D5E2C0" w14:textId="77777777" w:rsidR="007967E2" w:rsidRPr="00573C69" w:rsidRDefault="007967E2" w:rsidP="007967E2">
      <w:pPr>
        <w:pStyle w:val="BodyCopyNEW"/>
        <w:rPr>
          <w:szCs w:val="18"/>
        </w:rPr>
      </w:pPr>
      <w:r>
        <w:rPr>
          <w:szCs w:val="18"/>
        </w:rPr>
        <w:t xml:space="preserve">The objective based regime is still in place, and NOPSEMA continues to operate on a full cost recovery basis and ensures adequate ongoing funding levels in order to support the achievement of the objects of the OPGGS Environment Regulations and the EPBC Act. Accordingly, we consider that NOPSEMA is compliant with this ESD principle. </w:t>
      </w:r>
    </w:p>
    <w:p w14:paraId="4B771ACB" w14:textId="77777777" w:rsidR="00232334" w:rsidRDefault="00232334" w:rsidP="009A0050">
      <w:pPr>
        <w:pStyle w:val="Heading4"/>
      </w:pPr>
      <w:r>
        <w:t>Are the activities carried out in a manner by which the environmental impacts and risks of the activity will be reduced to as low as reasonably practicable?</w:t>
      </w:r>
    </w:p>
    <w:p w14:paraId="334BB3FD" w14:textId="77777777" w:rsidR="00232334" w:rsidRPr="009A0050" w:rsidRDefault="00232334" w:rsidP="001E2CD8">
      <w:pPr>
        <w:pStyle w:val="Heading3NoNumber"/>
      </w:pPr>
      <w:r w:rsidRPr="009A0050">
        <w:t>NOPSEMA demonstrates application of the ALARP test through specific decision-making questions</w:t>
      </w:r>
    </w:p>
    <w:p w14:paraId="7A44CD5E" w14:textId="77777777" w:rsidR="00232334" w:rsidRPr="00B007F0" w:rsidRDefault="00232334" w:rsidP="00232334">
      <w:pPr>
        <w:pStyle w:val="BodyCopyNEW"/>
        <w:rPr>
          <w:szCs w:val="18"/>
        </w:rPr>
      </w:pPr>
      <w:r w:rsidRPr="00B007F0">
        <w:rPr>
          <w:szCs w:val="18"/>
        </w:rPr>
        <w:t xml:space="preserve">A core purpose of </w:t>
      </w:r>
      <w:r w:rsidRPr="007F64E2">
        <w:rPr>
          <w:szCs w:val="18"/>
        </w:rPr>
        <w:t>the EP is for</w:t>
      </w:r>
      <w:r w:rsidRPr="00B007F0">
        <w:rPr>
          <w:szCs w:val="18"/>
        </w:rPr>
        <w:t xml:space="preserve"> the titleholder to document their case for why their petroleum activity meets the requirements of the OPGGS (Environment) Regulations</w:t>
      </w:r>
      <w:r w:rsidRPr="00B007F0" w:rsidDel="007C5305">
        <w:rPr>
          <w:szCs w:val="18"/>
        </w:rPr>
        <w:t xml:space="preserve"> </w:t>
      </w:r>
      <w:r w:rsidRPr="00B007F0">
        <w:rPr>
          <w:szCs w:val="18"/>
        </w:rPr>
        <w:t xml:space="preserve">and can be managed to levels of impacts and risk that are ALARP. This is demonstrated through a titleholder’s evaluation and the regulators assessment of the environmental impacts and risks, captured in an EP. </w:t>
      </w:r>
    </w:p>
    <w:p w14:paraId="3C8794E5" w14:textId="55D124A5" w:rsidR="00232334" w:rsidRPr="00B007F0" w:rsidRDefault="00232334" w:rsidP="00232334">
      <w:pPr>
        <w:pStyle w:val="BodyCopyNEW"/>
        <w:rPr>
          <w:szCs w:val="18"/>
        </w:rPr>
      </w:pPr>
      <w:r w:rsidRPr="00B007F0">
        <w:rPr>
          <w:szCs w:val="18"/>
        </w:rPr>
        <w:t>To assess whether the activities as presented are ALARP, NOPSEMA considers a set of decision-making questions including</w:t>
      </w:r>
      <w:r w:rsidR="000B5DF5" w:rsidRPr="000D7D5C">
        <w:rPr>
          <w:szCs w:val="18"/>
          <w:vertAlign w:val="superscript"/>
        </w:rPr>
        <w:footnoteReference w:id="74"/>
      </w:r>
      <w:r w:rsidRPr="00B007F0">
        <w:rPr>
          <w:szCs w:val="18"/>
        </w:rPr>
        <w:t>:</w:t>
      </w:r>
      <w:r w:rsidRPr="005C2EBA">
        <w:rPr>
          <w:szCs w:val="18"/>
          <w:vertAlign w:val="superscript"/>
        </w:rPr>
        <w:t xml:space="preserve"> </w:t>
      </w:r>
    </w:p>
    <w:p w14:paraId="3867F7DF" w14:textId="77777777" w:rsidR="00232334" w:rsidRPr="00B007F0" w:rsidRDefault="00232334" w:rsidP="000C3CE3">
      <w:pPr>
        <w:pStyle w:val="BodycopyNEW0"/>
        <w:numPr>
          <w:ilvl w:val="0"/>
          <w:numId w:val="23"/>
        </w:numPr>
        <w:ind w:left="378"/>
        <w:rPr>
          <w:szCs w:val="18"/>
        </w:rPr>
      </w:pPr>
      <w:r w:rsidRPr="00B007F0">
        <w:rPr>
          <w:szCs w:val="18"/>
        </w:rPr>
        <w:t>What method(s) have been selected and have they been used consistently across all impacts and risks?</w:t>
      </w:r>
    </w:p>
    <w:p w14:paraId="079D0852" w14:textId="77777777" w:rsidR="00232334" w:rsidRPr="00B007F0" w:rsidRDefault="00232334" w:rsidP="000C3CE3">
      <w:pPr>
        <w:pStyle w:val="BodycopyNEW0"/>
        <w:numPr>
          <w:ilvl w:val="0"/>
          <w:numId w:val="23"/>
        </w:numPr>
        <w:ind w:left="378"/>
        <w:rPr>
          <w:szCs w:val="18"/>
        </w:rPr>
      </w:pPr>
      <w:r w:rsidRPr="00B007F0">
        <w:rPr>
          <w:szCs w:val="18"/>
        </w:rPr>
        <w:t xml:space="preserve">What control measures have been rejected and what are the reasons for rejection? </w:t>
      </w:r>
    </w:p>
    <w:p w14:paraId="2E54F141" w14:textId="77777777" w:rsidR="00232334" w:rsidRPr="00B007F0" w:rsidRDefault="00232334" w:rsidP="000C3CE3">
      <w:pPr>
        <w:pStyle w:val="BodycopyNEW0"/>
        <w:numPr>
          <w:ilvl w:val="0"/>
          <w:numId w:val="23"/>
        </w:numPr>
        <w:ind w:left="378"/>
        <w:rPr>
          <w:szCs w:val="18"/>
        </w:rPr>
      </w:pPr>
      <w:r w:rsidRPr="00B007F0">
        <w:rPr>
          <w:szCs w:val="18"/>
        </w:rPr>
        <w:t xml:space="preserve">Has the titleholder explained why a certain level of impact or risk has been assigned? </w:t>
      </w:r>
    </w:p>
    <w:p w14:paraId="0BB81EB0" w14:textId="77777777" w:rsidR="00232334" w:rsidRPr="00B007F0" w:rsidRDefault="00232334" w:rsidP="000C3CE3">
      <w:pPr>
        <w:pStyle w:val="BodycopyNEW0"/>
        <w:numPr>
          <w:ilvl w:val="0"/>
          <w:numId w:val="23"/>
        </w:numPr>
        <w:ind w:left="378"/>
        <w:rPr>
          <w:szCs w:val="18"/>
        </w:rPr>
      </w:pPr>
      <w:r w:rsidRPr="00B007F0">
        <w:rPr>
          <w:szCs w:val="18"/>
        </w:rPr>
        <w:t>Does the titleholder deviate from industry codes/standards and explain why this is appropriate for this activity?</w:t>
      </w:r>
    </w:p>
    <w:p w14:paraId="317DF1C6" w14:textId="77777777" w:rsidR="00232334" w:rsidRPr="00B007F0" w:rsidRDefault="00232334" w:rsidP="000C3CE3">
      <w:pPr>
        <w:pStyle w:val="BodycopyNEW0"/>
        <w:numPr>
          <w:ilvl w:val="0"/>
          <w:numId w:val="23"/>
        </w:numPr>
        <w:ind w:left="378"/>
        <w:rPr>
          <w:szCs w:val="18"/>
        </w:rPr>
      </w:pPr>
      <w:r w:rsidRPr="00B007F0">
        <w:rPr>
          <w:szCs w:val="18"/>
        </w:rPr>
        <w:t>Has there been a proper exploration of alternative, additional, and improved control measures for higher order impacts and risks?</w:t>
      </w:r>
    </w:p>
    <w:p w14:paraId="47B0F65F" w14:textId="77777777" w:rsidR="00232334" w:rsidRPr="00B007F0" w:rsidRDefault="00232334" w:rsidP="000C3CE3">
      <w:pPr>
        <w:pStyle w:val="BodycopyNEW0"/>
        <w:numPr>
          <w:ilvl w:val="0"/>
          <w:numId w:val="23"/>
        </w:numPr>
        <w:ind w:left="378"/>
        <w:rPr>
          <w:szCs w:val="18"/>
        </w:rPr>
      </w:pPr>
      <w:r w:rsidRPr="00B007F0">
        <w:rPr>
          <w:szCs w:val="18"/>
        </w:rPr>
        <w:t xml:space="preserve">Would NOPSEMA make the same environmental management decision given all the relevant factors explained by the titleholder in the EP? </w:t>
      </w:r>
    </w:p>
    <w:p w14:paraId="6AE87240" w14:textId="32A1C45F" w:rsidR="00232334" w:rsidRPr="00B007F0" w:rsidRDefault="00232334" w:rsidP="00232334">
      <w:pPr>
        <w:pStyle w:val="BodyCopyNEW"/>
        <w:rPr>
          <w:szCs w:val="18"/>
        </w:rPr>
      </w:pPr>
      <w:r w:rsidRPr="00B007F0">
        <w:rPr>
          <w:szCs w:val="18"/>
        </w:rPr>
        <w:t>This approach to decision making was observed in case studies presented, including one example where NOPSEMA identified that the proposed response to a spill of hydrocarbons did not reduce the risk to ALARP levels. In response to this, the titleholder was requested to demonstrate a timely spill response which included a revision to the EP and additional control measures to reduce intervention timeframes</w:t>
      </w:r>
      <w:r w:rsidRPr="00B007F0">
        <w:rPr>
          <w:rStyle w:val="FootnoteReference"/>
          <w:sz w:val="18"/>
          <w:szCs w:val="18"/>
        </w:rPr>
        <w:footnoteReference w:id="75"/>
      </w:r>
      <w:r w:rsidRPr="00B007F0">
        <w:rPr>
          <w:szCs w:val="18"/>
        </w:rPr>
        <w:t>. This was also evident in a review of assessment findings for another project</w:t>
      </w:r>
      <w:r w:rsidRPr="00B007F0">
        <w:rPr>
          <w:rStyle w:val="FootnoteReference"/>
          <w:sz w:val="18"/>
          <w:szCs w:val="18"/>
        </w:rPr>
        <w:footnoteReference w:id="76"/>
      </w:r>
      <w:r w:rsidRPr="00B007F0">
        <w:rPr>
          <w:szCs w:val="18"/>
        </w:rPr>
        <w:t xml:space="preserve">, where specific consideration of impacts from the activity on a protected matter were determined to not be ALARP. In this instance NOPSEMA requested the titleholder to provide further controls </w:t>
      </w:r>
      <w:r w:rsidR="00162B02">
        <w:rPr>
          <w:szCs w:val="18"/>
        </w:rPr>
        <w:t xml:space="preserve">in </w:t>
      </w:r>
      <w:r w:rsidRPr="00B007F0">
        <w:rPr>
          <w:szCs w:val="18"/>
        </w:rPr>
        <w:t xml:space="preserve">order to reduce the impacts to ALARP, this included consultation with a subject matter expert to assess the effectiveness of a range of controls. </w:t>
      </w:r>
    </w:p>
    <w:p w14:paraId="0DA66964" w14:textId="77777777" w:rsidR="00227577" w:rsidRDefault="00227577" w:rsidP="00AC29F9">
      <w:pPr>
        <w:pStyle w:val="Heading4"/>
      </w:pPr>
      <w:bookmarkStart w:id="203" w:name="_Ref56427858"/>
      <w:bookmarkStart w:id="204" w:name="_Ref58846091"/>
      <w:r>
        <w:t>Are the activities carried out in a manner by which the environmental impacts and risks of the activity will be of an acceptable level</w:t>
      </w:r>
      <w:bookmarkEnd w:id="203"/>
      <w:r>
        <w:t>?</w:t>
      </w:r>
      <w:bookmarkEnd w:id="204"/>
    </w:p>
    <w:p w14:paraId="4425CB83" w14:textId="2840360E" w:rsidR="00227577" w:rsidRPr="00FF3411" w:rsidRDefault="00227577" w:rsidP="001E2CD8">
      <w:pPr>
        <w:pStyle w:val="Heading3NoNumber"/>
      </w:pPr>
      <w:r w:rsidRPr="00FF3411">
        <w:t xml:space="preserve">Acceptability of activities is challenging for NOPSEMA </w:t>
      </w:r>
      <w:r w:rsidR="001E2CD8">
        <w:t xml:space="preserve">to assess </w:t>
      </w:r>
      <w:r w:rsidRPr="00FF3411">
        <w:t>and titleholders to demonstrate</w:t>
      </w:r>
    </w:p>
    <w:p w14:paraId="78FD448B" w14:textId="77777777" w:rsidR="00227577" w:rsidRPr="00B007F0" w:rsidRDefault="00227577" w:rsidP="00227577">
      <w:pPr>
        <w:pStyle w:val="BodyCopyNEW"/>
        <w:rPr>
          <w:szCs w:val="18"/>
        </w:rPr>
      </w:pPr>
      <w:r w:rsidRPr="00B007F0">
        <w:rPr>
          <w:szCs w:val="18"/>
        </w:rPr>
        <w:t xml:space="preserve">‘Environmental impact’ is defined in the OPGGS (Environment) Regulations to mean any change to the environment, whether adverse or beneficial, that wholly or partially results from an activity. Sub-regulation 10A(c) of the OPGGS (Environment) Regulations requires that an EP demonstrate that the environmental impacts and risks of the activity will be of an ‘acceptable’ level. </w:t>
      </w:r>
    </w:p>
    <w:p w14:paraId="273B6E2D" w14:textId="35570308" w:rsidR="00227577" w:rsidRPr="00B007F0" w:rsidRDefault="00227577" w:rsidP="00227577">
      <w:pPr>
        <w:pStyle w:val="BodyCopyNEW"/>
        <w:rPr>
          <w:szCs w:val="18"/>
        </w:rPr>
      </w:pPr>
      <w:r w:rsidRPr="00B007F0">
        <w:rPr>
          <w:szCs w:val="18"/>
        </w:rPr>
        <w:lastRenderedPageBreak/>
        <w:t xml:space="preserve">NOPSEMA has acknowledged that this a challenging criterion to demonstrate and assess because </w:t>
      </w:r>
      <w:r w:rsidRPr="00470118">
        <w:rPr>
          <w:i/>
          <w:iCs/>
          <w:szCs w:val="18"/>
        </w:rPr>
        <w:t>“each environmental receptor, including different plants, animals, ecological communities, and the social, economic and cultural features of those, have a different level of sensitivity or resilience to the changes (impacts and risks) caused by a petroleum activity. Accordingly, consultation with relevant persons is an important part of establishing context for defining an acceptable level and successfully demonstrating it will be met</w:t>
      </w:r>
      <w:r w:rsidR="00715AF0" w:rsidRPr="00B007F0">
        <w:rPr>
          <w:rStyle w:val="FootnoteReference"/>
          <w:sz w:val="18"/>
          <w:szCs w:val="18"/>
        </w:rPr>
        <w:footnoteReference w:id="77"/>
      </w:r>
      <w:r w:rsidRPr="00470118">
        <w:rPr>
          <w:i/>
          <w:iCs/>
          <w:szCs w:val="18"/>
        </w:rPr>
        <w:t>.”</w:t>
      </w:r>
    </w:p>
    <w:p w14:paraId="2DFE7A8F" w14:textId="77777777" w:rsidR="00227577" w:rsidRPr="00B007F0" w:rsidRDefault="00227577" w:rsidP="00227577">
      <w:pPr>
        <w:pStyle w:val="BodyCopyNEW"/>
        <w:rPr>
          <w:szCs w:val="18"/>
        </w:rPr>
      </w:pPr>
      <w:r w:rsidRPr="00B007F0">
        <w:rPr>
          <w:szCs w:val="18"/>
        </w:rPr>
        <w:t xml:space="preserve">Challenges with demonstrating acceptability were also expressed in our stakeholder survey, with titleholders indicating that this was an area in need of further guidance and consistency. </w:t>
      </w:r>
    </w:p>
    <w:p w14:paraId="16B07AFF" w14:textId="74FE8732" w:rsidR="00227577" w:rsidRPr="00B007F0" w:rsidRDefault="00227577" w:rsidP="00227577">
      <w:pPr>
        <w:pStyle w:val="BodyCopyNEW"/>
        <w:rPr>
          <w:szCs w:val="18"/>
        </w:rPr>
      </w:pPr>
      <w:r w:rsidRPr="00B007F0">
        <w:rPr>
          <w:szCs w:val="18"/>
        </w:rPr>
        <w:t>Based on the information provided</w:t>
      </w:r>
      <w:r>
        <w:rPr>
          <w:szCs w:val="18"/>
        </w:rPr>
        <w:t xml:space="preserve"> in the case studies</w:t>
      </w:r>
      <w:r w:rsidRPr="00B007F0">
        <w:rPr>
          <w:szCs w:val="18"/>
        </w:rPr>
        <w:t>, there were observed differences</w:t>
      </w:r>
      <w:r>
        <w:rPr>
          <w:szCs w:val="18"/>
        </w:rPr>
        <w:t xml:space="preserve"> in the findings of the assessment</w:t>
      </w:r>
      <w:r w:rsidRPr="00B007F0">
        <w:rPr>
          <w:szCs w:val="18"/>
        </w:rPr>
        <w:t xml:space="preserve"> presented </w:t>
      </w:r>
      <w:r>
        <w:rPr>
          <w:szCs w:val="18"/>
        </w:rPr>
        <w:t xml:space="preserve">to the review team </w:t>
      </w:r>
      <w:r w:rsidRPr="00B007F0">
        <w:rPr>
          <w:szCs w:val="18"/>
        </w:rPr>
        <w:t xml:space="preserve">(as undertaken by NOPSEMA assessors) in applying tests for whether impacts and risks were acceptable. As an example, in one case study, NOPSEMA highlighted that the potential impacts on </w:t>
      </w:r>
      <w:r w:rsidR="003A14B4">
        <w:rPr>
          <w:szCs w:val="18"/>
        </w:rPr>
        <w:t>PBW</w:t>
      </w:r>
      <w:r w:rsidRPr="00B007F0">
        <w:rPr>
          <w:szCs w:val="18"/>
        </w:rPr>
        <w:t xml:space="preserve">, </w:t>
      </w:r>
      <w:r w:rsidR="003A14B4">
        <w:rPr>
          <w:szCs w:val="18"/>
        </w:rPr>
        <w:t>SRW,</w:t>
      </w:r>
      <w:r w:rsidRPr="00B007F0">
        <w:rPr>
          <w:szCs w:val="18"/>
        </w:rPr>
        <w:t xml:space="preserve"> and sperm whales was not demonstrated to be acceptable</w:t>
      </w:r>
      <w:r>
        <w:rPr>
          <w:szCs w:val="18"/>
        </w:rPr>
        <w:t xml:space="preserve"> (ref</w:t>
      </w:r>
      <w:r w:rsidR="00FE7191">
        <w:rPr>
          <w:szCs w:val="18"/>
        </w:rPr>
        <w:t>.</w:t>
      </w:r>
      <w:r>
        <w:rPr>
          <w:szCs w:val="18"/>
        </w:rPr>
        <w:t xml:space="preserve"> </w:t>
      </w:r>
      <w:r w:rsidR="00874FB3">
        <w:rPr>
          <w:szCs w:val="18"/>
        </w:rPr>
        <w:t>CS007</w:t>
      </w:r>
      <w:r>
        <w:rPr>
          <w:szCs w:val="18"/>
        </w:rPr>
        <w:t>)</w:t>
      </w:r>
      <w:r w:rsidRPr="00B007F0">
        <w:rPr>
          <w:szCs w:val="18"/>
        </w:rPr>
        <w:t xml:space="preserve">. The titleholder was requested to provide further evaluation to prevent SRW stress response, energetic loss and reduction in fitness; to undertake an evaluation of passive acoustic monitoring for detecting the presence of sperm whales for both day and night; and to provide demonstration that impacts to PBW can be managed so that there is no injury or displacement from a foraging </w:t>
      </w:r>
      <w:r>
        <w:rPr>
          <w:szCs w:val="18"/>
        </w:rPr>
        <w:t>BIA</w:t>
      </w:r>
      <w:r w:rsidRPr="00B007F0">
        <w:rPr>
          <w:szCs w:val="18"/>
        </w:rPr>
        <w:t xml:space="preserve"> (as required by the Recovery Plan).</w:t>
      </w:r>
    </w:p>
    <w:p w14:paraId="0B6B4136" w14:textId="77777777" w:rsidR="00227577" w:rsidRPr="00B007F0" w:rsidRDefault="00227577" w:rsidP="00227577">
      <w:pPr>
        <w:pStyle w:val="BodyCopyNEW"/>
        <w:rPr>
          <w:szCs w:val="18"/>
        </w:rPr>
      </w:pPr>
      <w:r w:rsidRPr="00B007F0">
        <w:rPr>
          <w:szCs w:val="18"/>
        </w:rPr>
        <w:t xml:space="preserve">While the review team did not undertake their own assessment of this proposal, nor come to a conclusion that the impacts were acceptable, it can be inferred from the requests made by NOPSEMA that this information was relevant in their determination of acceptability. </w:t>
      </w:r>
    </w:p>
    <w:p w14:paraId="2CB16D6A" w14:textId="7AC4336E" w:rsidR="00227577" w:rsidRPr="00B007F0" w:rsidRDefault="00227577" w:rsidP="00227577">
      <w:pPr>
        <w:pStyle w:val="BodyCopyNEW"/>
        <w:rPr>
          <w:szCs w:val="18"/>
        </w:rPr>
      </w:pPr>
      <w:r w:rsidRPr="00B007F0">
        <w:rPr>
          <w:szCs w:val="18"/>
        </w:rPr>
        <w:t xml:space="preserve">In </w:t>
      </w:r>
      <w:r>
        <w:rPr>
          <w:szCs w:val="18"/>
        </w:rPr>
        <w:t>another</w:t>
      </w:r>
      <w:r w:rsidRPr="00B007F0">
        <w:rPr>
          <w:szCs w:val="18"/>
        </w:rPr>
        <w:t xml:space="preserve"> case study examined, NOPSEMA determined, based on insufficient analysis being presented within the EP, that the titleholder had </w:t>
      </w:r>
      <w:r w:rsidRPr="006B6AD6">
        <w:rPr>
          <w:szCs w:val="18"/>
        </w:rPr>
        <w:t xml:space="preserve">not demonstrated acceptability of impacts and risks on a number of EPBC Act listed whale species (humpback, </w:t>
      </w:r>
      <w:r w:rsidRPr="002303F3">
        <w:rPr>
          <w:szCs w:val="18"/>
        </w:rPr>
        <w:t xml:space="preserve">blue and </w:t>
      </w:r>
      <w:r w:rsidR="00D070D5">
        <w:rPr>
          <w:szCs w:val="18"/>
        </w:rPr>
        <w:t>SRW</w:t>
      </w:r>
      <w:r w:rsidRPr="002303F3">
        <w:rPr>
          <w:szCs w:val="18"/>
        </w:rPr>
        <w:t>) (</w:t>
      </w:r>
      <w:r w:rsidR="00DA2AB5">
        <w:rPr>
          <w:szCs w:val="18"/>
        </w:rPr>
        <w:t>ref. CS009)</w:t>
      </w:r>
      <w:r w:rsidR="00AA6AC4">
        <w:rPr>
          <w:szCs w:val="18"/>
        </w:rPr>
        <w:t>.</w:t>
      </w:r>
      <w:r w:rsidRPr="002303F3">
        <w:t xml:space="preserve"> </w:t>
      </w:r>
      <w:r w:rsidR="00AA6AC4">
        <w:rPr>
          <w:szCs w:val="18"/>
        </w:rPr>
        <w:t>The</w:t>
      </w:r>
      <w:r w:rsidR="008F7AE7">
        <w:rPr>
          <w:szCs w:val="18"/>
        </w:rPr>
        <w:t xml:space="preserve"> titleholder responded</w:t>
      </w:r>
      <w:r w:rsidRPr="002303F3">
        <w:rPr>
          <w:szCs w:val="18"/>
        </w:rPr>
        <w:t xml:space="preserve"> </w:t>
      </w:r>
      <w:r w:rsidR="00374A94">
        <w:rPr>
          <w:szCs w:val="18"/>
        </w:rPr>
        <w:t>in a</w:t>
      </w:r>
      <w:r w:rsidRPr="002303F3">
        <w:rPr>
          <w:szCs w:val="18"/>
        </w:rPr>
        <w:t xml:space="preserve"> subsequent submission and NOPSEMA determined that the revi</w:t>
      </w:r>
      <w:r w:rsidRPr="006B6AD6">
        <w:rPr>
          <w:szCs w:val="18"/>
        </w:rPr>
        <w:t>sed EP incorporated comprehensive information on potential</w:t>
      </w:r>
      <w:r w:rsidRPr="00B007F0">
        <w:rPr>
          <w:szCs w:val="18"/>
        </w:rPr>
        <w:t xml:space="preserve"> interactions with and impacts to whales. However, in a review of the accepted EP undertaken by the review team, it was not apparent that the titleholder had in fact addressed the matters raised in the first example to support their case for acceptability of impacts. It is unclear whether there are common criteria NOPSEMA assessors use, as appropriate for the nature and scale of the proposed activity, or whether this is based on the specific knowledge and expectations of assessors. </w:t>
      </w:r>
    </w:p>
    <w:p w14:paraId="2DBF4936" w14:textId="77777777" w:rsidR="00227577" w:rsidRDefault="00227577" w:rsidP="00227577">
      <w:pPr>
        <w:pStyle w:val="BodyCopyNEW"/>
        <w:rPr>
          <w:szCs w:val="18"/>
        </w:rPr>
      </w:pPr>
      <w:r w:rsidRPr="00B007F0">
        <w:rPr>
          <w:szCs w:val="18"/>
        </w:rPr>
        <w:t>Challenges with demonstrating acceptability was also expressed in the stakeholder survey, with titleholders expressing concern “</w:t>
      </w:r>
      <w:r w:rsidRPr="00B007F0">
        <w:rPr>
          <w:i/>
          <w:szCs w:val="18"/>
        </w:rPr>
        <w:t>that effort required to demonstrate criteria for acceptance of EP’s is highly variable</w:t>
      </w:r>
      <w:r w:rsidRPr="00B007F0">
        <w:rPr>
          <w:szCs w:val="18"/>
        </w:rPr>
        <w:t xml:space="preserve">”, highlighting this as an area in need of further guidance and consistency. </w:t>
      </w:r>
    </w:p>
    <w:p w14:paraId="1E685DF5" w14:textId="77777777" w:rsidR="00227577" w:rsidRPr="00B007F0" w:rsidRDefault="00227577" w:rsidP="00227577">
      <w:pPr>
        <w:pStyle w:val="BodyCopyNEW"/>
        <w:rPr>
          <w:szCs w:val="18"/>
        </w:rPr>
      </w:pPr>
      <w:r w:rsidRPr="00067275">
        <w:rPr>
          <w:szCs w:val="18"/>
        </w:rPr>
        <w:t>It appears that titleholders may not have a view of the differences in impacts as understood by NOPSEMA and that there is a need for further understanding and alignment in information used as the basis for decision</w:t>
      </w:r>
      <w:r>
        <w:rPr>
          <w:szCs w:val="18"/>
        </w:rPr>
        <w:t>-</w:t>
      </w:r>
      <w:r w:rsidRPr="00067275">
        <w:rPr>
          <w:szCs w:val="18"/>
        </w:rPr>
        <w:t>making</w:t>
      </w:r>
      <w:r w:rsidRPr="00067275">
        <w:t>.</w:t>
      </w:r>
    </w:p>
    <w:p w14:paraId="24E94278" w14:textId="5E0D3379" w:rsidR="00227577" w:rsidRPr="00B007F0" w:rsidRDefault="00227577" w:rsidP="00227577">
      <w:pPr>
        <w:pStyle w:val="BodyCopyNEW"/>
        <w:rPr>
          <w:szCs w:val="18"/>
        </w:rPr>
      </w:pPr>
      <w:r w:rsidRPr="00B007F0">
        <w:rPr>
          <w:szCs w:val="18"/>
        </w:rPr>
        <w:t>In relation to an evaluation of acceptability for matters protected under EPBC Act, it would appear appropriate that titleholders consult with relevant divisions of DAWE to clarify expectations and seek guidance</w:t>
      </w:r>
      <w:r w:rsidR="004F2E8C">
        <w:rPr>
          <w:szCs w:val="18"/>
        </w:rPr>
        <w:t>.</w:t>
      </w:r>
      <w:r w:rsidRPr="00B007F0">
        <w:rPr>
          <w:szCs w:val="18"/>
        </w:rPr>
        <w:t xml:space="preserve"> </w:t>
      </w:r>
      <w:r w:rsidR="004F2E8C">
        <w:rPr>
          <w:szCs w:val="18"/>
        </w:rPr>
        <w:t>These inputs can then</w:t>
      </w:r>
      <w:r w:rsidRPr="00396352">
        <w:rPr>
          <w:szCs w:val="18"/>
        </w:rPr>
        <w:t xml:space="preserve"> inform the case that the titleholder presents to NOPSEMA that their activity does not pose </w:t>
      </w:r>
      <w:r w:rsidR="000D19D0">
        <w:rPr>
          <w:szCs w:val="18"/>
        </w:rPr>
        <w:t xml:space="preserve">an </w:t>
      </w:r>
      <w:r w:rsidRPr="00396352">
        <w:rPr>
          <w:szCs w:val="18"/>
        </w:rPr>
        <w:t>unacceptable level of impact</w:t>
      </w:r>
      <w:r w:rsidR="00B47ABA" w:rsidRPr="00396352">
        <w:rPr>
          <w:szCs w:val="18"/>
        </w:rPr>
        <w:t>.</w:t>
      </w:r>
      <w:r w:rsidRPr="00396352">
        <w:rPr>
          <w:szCs w:val="18"/>
        </w:rPr>
        <w:t xml:space="preserve"> DAWE confirmed </w:t>
      </w:r>
      <w:r w:rsidR="000D19D0">
        <w:rPr>
          <w:szCs w:val="18"/>
        </w:rPr>
        <w:t>to us</w:t>
      </w:r>
      <w:r w:rsidRPr="00396352">
        <w:rPr>
          <w:szCs w:val="18"/>
        </w:rPr>
        <w:t xml:space="preserve"> that titl</w:t>
      </w:r>
      <w:r w:rsidR="00B47ABA" w:rsidRPr="00396352">
        <w:rPr>
          <w:szCs w:val="18"/>
        </w:rPr>
        <w:t>e</w:t>
      </w:r>
      <w:r w:rsidRPr="00396352">
        <w:rPr>
          <w:szCs w:val="18"/>
        </w:rPr>
        <w:t xml:space="preserve">holders contact DAWE as </w:t>
      </w:r>
      <w:r w:rsidR="000F11DA" w:rsidRPr="00396352">
        <w:rPr>
          <w:szCs w:val="18"/>
        </w:rPr>
        <w:t xml:space="preserve">DAWE is a </w:t>
      </w:r>
      <w:r w:rsidRPr="00396352">
        <w:rPr>
          <w:szCs w:val="18"/>
        </w:rPr>
        <w:t>‘relevant person’, and DAWE input is then provided to both the titleholder and NOPSEMA.</w:t>
      </w:r>
      <w:r w:rsidRPr="00B007F0">
        <w:rPr>
          <w:szCs w:val="18"/>
        </w:rPr>
        <w:t xml:space="preserve"> </w:t>
      </w:r>
    </w:p>
    <w:p w14:paraId="23A7AD7E" w14:textId="77777777" w:rsidR="00227577" w:rsidRPr="00B007F0" w:rsidRDefault="00227577" w:rsidP="00227577">
      <w:pPr>
        <w:pStyle w:val="BodyCopyNEW"/>
        <w:rPr>
          <w:szCs w:val="18"/>
        </w:rPr>
      </w:pPr>
      <w:r w:rsidRPr="00B007F0">
        <w:rPr>
          <w:szCs w:val="18"/>
        </w:rPr>
        <w:t xml:space="preserve">It was not apparent how NOPSEMA considers the impacts of petroleum activities in the context of other industry impacts, and that the cumulative impact assessment processes may be limited. NOPSEMA’s consideration appears to be made on a project-by-project basis, with the assessment of impacts largely done in isolation of other current or anticipated projects from the same and other industries. As an example, </w:t>
      </w:r>
      <w:r>
        <w:rPr>
          <w:szCs w:val="18"/>
        </w:rPr>
        <w:t>EPs</w:t>
      </w:r>
      <w:r w:rsidRPr="00B007F0">
        <w:rPr>
          <w:szCs w:val="18"/>
        </w:rPr>
        <w:t xml:space="preserve"> reviewed demonstrated that cumulative assessment is focused on multiple stressors from the proposed activity on a receptor, or stressors a result of the project in addition to other oil and gas activities in the region. There does not appear to be more strategic consideration of other sources of stressors, including from other adjacent industries. The current approach, in our view, does not sufficiently allow for the assessment of the cumulative impacts that an offshore petroleum activity can have on a matter protected under the EPBC Act. </w:t>
      </w:r>
    </w:p>
    <w:tbl>
      <w:tblPr>
        <w:tblStyle w:val="TableGrid"/>
        <w:tblW w:w="0" w:type="auto"/>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227577" w:rsidRPr="00733441" w14:paraId="04F2FD8F" w14:textId="77777777" w:rsidTr="00144BA2">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72B78194" w14:textId="77777777" w:rsidR="00227577" w:rsidRPr="00733441" w:rsidRDefault="00227577" w:rsidP="00144BA2">
            <w:pPr>
              <w:pStyle w:val="TableHeadingLeft"/>
            </w:pPr>
            <w:r w:rsidRPr="00733441">
              <w:t>Recommendation</w:t>
            </w:r>
            <w:r>
              <w:t xml:space="preserve"> EPBC-R-1</w:t>
            </w:r>
          </w:p>
        </w:tc>
      </w:tr>
      <w:tr w:rsidR="00227577" w:rsidRPr="00733441" w14:paraId="138D372B" w14:textId="77777777" w:rsidTr="00144BA2">
        <w:tc>
          <w:tcPr>
            <w:tcW w:w="9864" w:type="dxa"/>
            <w:tcBorders>
              <w:bottom w:val="nil"/>
            </w:tcBorders>
            <w:shd w:val="clear" w:color="auto" w:fill="F2F2F2" w:themeFill="background1" w:themeFillShade="F2"/>
          </w:tcPr>
          <w:p w14:paraId="78F614E9" w14:textId="0BF4244F" w:rsidR="00227577" w:rsidRPr="00026E3D" w:rsidRDefault="00227577" w:rsidP="00144BA2">
            <w:pPr>
              <w:pStyle w:val="BodyCopyNEW"/>
            </w:pPr>
            <w:r w:rsidRPr="00B007F0">
              <w:rPr>
                <w:szCs w:val="18"/>
              </w:rPr>
              <w:t xml:space="preserve">NOPSEMA </w:t>
            </w:r>
            <w:r>
              <w:rPr>
                <w:szCs w:val="18"/>
              </w:rPr>
              <w:t xml:space="preserve">should </w:t>
            </w:r>
            <w:r w:rsidRPr="00B007F0">
              <w:rPr>
                <w:szCs w:val="18"/>
              </w:rPr>
              <w:t xml:space="preserve">continue improving their guidance on how they assess </w:t>
            </w:r>
            <w:r w:rsidR="00C471A8">
              <w:rPr>
                <w:szCs w:val="18"/>
              </w:rPr>
              <w:t>‘ALARP’</w:t>
            </w:r>
            <w:r w:rsidRPr="00B007F0">
              <w:rPr>
                <w:szCs w:val="18"/>
              </w:rPr>
              <w:t xml:space="preserve"> and ‘acceptable’ environmental risk and ensure that the approach is consistent between assessments (where appropriate).</w:t>
            </w:r>
          </w:p>
        </w:tc>
      </w:tr>
    </w:tbl>
    <w:p w14:paraId="20E5AB1A" w14:textId="2EA1B6CB" w:rsidR="00D1289F" w:rsidRDefault="00D1289F" w:rsidP="00E7463A">
      <w:pPr>
        <w:pStyle w:val="BodyCopyNEW"/>
      </w:pPr>
    </w:p>
    <w:p w14:paraId="0CEE5A13" w14:textId="2F023397" w:rsidR="00E312D2" w:rsidRDefault="00E312D2" w:rsidP="00E7463A">
      <w:pPr>
        <w:pStyle w:val="BodyCopyNEW"/>
      </w:pPr>
    </w:p>
    <w:p w14:paraId="0281F38A" w14:textId="77777777" w:rsidR="00E312D2" w:rsidRPr="00E7463A" w:rsidRDefault="00E312D2" w:rsidP="00E7463A">
      <w:pPr>
        <w:pStyle w:val="BodyCopyNEW"/>
      </w:pPr>
    </w:p>
    <w:tbl>
      <w:tblPr>
        <w:tblStyle w:val="TableGrid"/>
        <w:tblW w:w="0" w:type="auto"/>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7B26DD" w:rsidRPr="00733441" w14:paraId="28B9E070" w14:textId="77777777" w:rsidTr="00E312D2">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7BACA16E" w14:textId="77777777" w:rsidR="007B26DD" w:rsidRPr="00733441" w:rsidRDefault="007B26DD" w:rsidP="00E312D2">
            <w:pPr>
              <w:pStyle w:val="TableHeadingLeft"/>
            </w:pPr>
            <w:r w:rsidRPr="00733441">
              <w:lastRenderedPageBreak/>
              <w:t>Recommendation</w:t>
            </w:r>
            <w:r>
              <w:t xml:space="preserve"> EPBC-R-2</w:t>
            </w:r>
          </w:p>
        </w:tc>
      </w:tr>
      <w:tr w:rsidR="007B26DD" w:rsidRPr="00733441" w14:paraId="2E6190CE" w14:textId="77777777" w:rsidTr="00E312D2">
        <w:tc>
          <w:tcPr>
            <w:tcW w:w="9864" w:type="dxa"/>
            <w:tcBorders>
              <w:bottom w:val="nil"/>
            </w:tcBorders>
            <w:shd w:val="clear" w:color="auto" w:fill="F2F2F2" w:themeFill="background1" w:themeFillShade="F2"/>
          </w:tcPr>
          <w:p w14:paraId="7DE3FCAE" w14:textId="54324501" w:rsidR="007B26DD" w:rsidRPr="00026E3D" w:rsidRDefault="0030130F" w:rsidP="00E312D2">
            <w:pPr>
              <w:pStyle w:val="BodyCopyNEW"/>
            </w:pPr>
            <w:r w:rsidRPr="004B400B">
              <w:rPr>
                <w:szCs w:val="18"/>
              </w:rPr>
              <w:t>NOPSEMA</w:t>
            </w:r>
            <w:r>
              <w:rPr>
                <w:szCs w:val="18"/>
              </w:rPr>
              <w:t>, with the support of other Government Departments as required,</w:t>
            </w:r>
            <w:r w:rsidRPr="004B400B">
              <w:rPr>
                <w:szCs w:val="18"/>
              </w:rPr>
              <w:t xml:space="preserve"> </w:t>
            </w:r>
            <w:r>
              <w:rPr>
                <w:szCs w:val="18"/>
              </w:rPr>
              <w:t xml:space="preserve">should </w:t>
            </w:r>
            <w:r w:rsidRPr="004B400B">
              <w:rPr>
                <w:szCs w:val="18"/>
              </w:rPr>
              <w:t xml:space="preserve">enable </w:t>
            </w:r>
            <w:r>
              <w:rPr>
                <w:szCs w:val="18"/>
              </w:rPr>
              <w:t xml:space="preserve">more effective </w:t>
            </w:r>
            <w:r w:rsidRPr="004B400B">
              <w:rPr>
                <w:szCs w:val="18"/>
              </w:rPr>
              <w:t>cumulative impact assessment in the marine environment over spatial</w:t>
            </w:r>
            <w:r>
              <w:rPr>
                <w:szCs w:val="18"/>
              </w:rPr>
              <w:t xml:space="preserve"> and</w:t>
            </w:r>
            <w:r w:rsidRPr="004B400B">
              <w:rPr>
                <w:szCs w:val="18"/>
              </w:rPr>
              <w:t xml:space="preserve"> temporal</w:t>
            </w:r>
            <w:r>
              <w:rPr>
                <w:szCs w:val="18"/>
              </w:rPr>
              <w:t xml:space="preserve"> extents</w:t>
            </w:r>
            <w:r w:rsidRPr="004B400B">
              <w:rPr>
                <w:szCs w:val="18"/>
              </w:rPr>
              <w:t xml:space="preserve"> </w:t>
            </w:r>
            <w:r>
              <w:rPr>
                <w:szCs w:val="18"/>
              </w:rPr>
              <w:t>as well as</w:t>
            </w:r>
            <w:r w:rsidRPr="004B400B">
              <w:rPr>
                <w:szCs w:val="18"/>
              </w:rPr>
              <w:t xml:space="preserve"> across other industries.</w:t>
            </w:r>
          </w:p>
        </w:tc>
      </w:tr>
    </w:tbl>
    <w:p w14:paraId="6FFCF065" w14:textId="77777777" w:rsidR="007B26DD" w:rsidRDefault="007B26DD" w:rsidP="007B26DD">
      <w:pPr>
        <w:pStyle w:val="Heading3"/>
      </w:pPr>
      <w:bookmarkStart w:id="205" w:name="_Ref63977568"/>
      <w:r w:rsidRPr="00F70539">
        <w:t xml:space="preserve">NOPSEMA’s </w:t>
      </w:r>
      <w:r>
        <w:t>adherence to the Endorsed Program’s commitments and outcomes</w:t>
      </w:r>
      <w:bookmarkEnd w:id="205"/>
    </w:p>
    <w:p w14:paraId="559F506C" w14:textId="77777777" w:rsidR="007B26DD" w:rsidRPr="00FF3411" w:rsidRDefault="007B26DD" w:rsidP="007B26DD">
      <w:pPr>
        <w:pStyle w:val="Heading3NoNumber"/>
      </w:pPr>
      <w:r w:rsidRPr="00FF3411">
        <w:t xml:space="preserve">We consider that NOPSEMA is meeting </w:t>
      </w:r>
      <w:r>
        <w:t>its</w:t>
      </w:r>
      <w:r w:rsidRPr="00FF3411">
        <w:t xml:space="preserve"> commitments </w:t>
      </w:r>
      <w:r>
        <w:t>specified in</w:t>
      </w:r>
      <w:r w:rsidRPr="00FF3411">
        <w:t xml:space="preserve"> the Endorsed Program</w:t>
      </w:r>
    </w:p>
    <w:p w14:paraId="5BDD1148" w14:textId="3FB39029" w:rsidR="007B26DD" w:rsidRPr="00470118" w:rsidRDefault="007B26DD" w:rsidP="007B26DD">
      <w:pPr>
        <w:widowControl w:val="0"/>
        <w:spacing w:after="80"/>
        <w:rPr>
          <w:rFonts w:ascii="Calibri Light" w:hAnsi="Calibri Light"/>
        </w:rPr>
      </w:pPr>
      <w:r w:rsidRPr="00470118">
        <w:rPr>
          <w:rFonts w:ascii="Calibri Light" w:hAnsi="Calibri Light"/>
        </w:rPr>
        <w:t xml:space="preserve">A key element of the Endorsed Program </w:t>
      </w:r>
      <w:r w:rsidR="00EB4276">
        <w:rPr>
          <w:rFonts w:ascii="Calibri Light" w:hAnsi="Calibri Light"/>
        </w:rPr>
        <w:t>is</w:t>
      </w:r>
      <w:r w:rsidRPr="00470118">
        <w:rPr>
          <w:rFonts w:ascii="Calibri Light" w:hAnsi="Calibri Light"/>
        </w:rPr>
        <w:t xml:space="preserve"> the program’s commitments and outcomes. </w:t>
      </w:r>
      <w:r w:rsidRPr="00631CCB">
        <w:rPr>
          <w:rFonts w:ascii="Calibri Light" w:hAnsi="Calibri Light"/>
        </w:rPr>
        <w:t>Two sets of commitments were made. The first relate</w:t>
      </w:r>
      <w:r>
        <w:rPr>
          <w:rFonts w:ascii="Calibri Light" w:hAnsi="Calibri Light"/>
        </w:rPr>
        <w:t>s</w:t>
      </w:r>
      <w:r w:rsidRPr="00631CCB">
        <w:rPr>
          <w:rFonts w:ascii="Calibri Light" w:hAnsi="Calibri Light"/>
        </w:rPr>
        <w:t xml:space="preserve"> to</w:t>
      </w:r>
      <w:r w:rsidRPr="00470118">
        <w:rPr>
          <w:rFonts w:ascii="Calibri Light" w:hAnsi="Calibri Light"/>
        </w:rPr>
        <w:t xml:space="preserve"> EPBC Act Part 3 protected matters, specifically the following:</w:t>
      </w:r>
    </w:p>
    <w:p w14:paraId="4AECCD06" w14:textId="77777777" w:rsidR="007B26DD" w:rsidRPr="00470118" w:rsidRDefault="007B26DD" w:rsidP="007B26DD">
      <w:pPr>
        <w:pStyle w:val="BodyBullet1"/>
        <w:numPr>
          <w:ilvl w:val="0"/>
          <w:numId w:val="37"/>
        </w:numPr>
        <w:ind w:left="426"/>
        <w:rPr>
          <w:szCs w:val="18"/>
        </w:rPr>
      </w:pPr>
      <w:r w:rsidRPr="00470118">
        <w:rPr>
          <w:szCs w:val="18"/>
        </w:rPr>
        <w:t xml:space="preserve">The World </w:t>
      </w:r>
      <w:r>
        <w:rPr>
          <w:szCs w:val="18"/>
        </w:rPr>
        <w:t>H</w:t>
      </w:r>
      <w:r w:rsidRPr="00470118">
        <w:rPr>
          <w:szCs w:val="18"/>
        </w:rPr>
        <w:t xml:space="preserve">eritage </w:t>
      </w:r>
      <w:r>
        <w:rPr>
          <w:szCs w:val="18"/>
        </w:rPr>
        <w:t>V</w:t>
      </w:r>
      <w:r w:rsidRPr="00470118">
        <w:rPr>
          <w:szCs w:val="18"/>
        </w:rPr>
        <w:t xml:space="preserve">alues of a declared World Heritage </w:t>
      </w:r>
      <w:r>
        <w:rPr>
          <w:szCs w:val="18"/>
        </w:rPr>
        <w:t>P</w:t>
      </w:r>
      <w:r w:rsidRPr="00470118">
        <w:rPr>
          <w:szCs w:val="18"/>
        </w:rPr>
        <w:t>roperty</w:t>
      </w:r>
    </w:p>
    <w:p w14:paraId="79823F29" w14:textId="77777777" w:rsidR="007B26DD" w:rsidRPr="00470118" w:rsidRDefault="007B26DD" w:rsidP="007B26DD">
      <w:pPr>
        <w:pStyle w:val="BodyBullet1"/>
        <w:numPr>
          <w:ilvl w:val="0"/>
          <w:numId w:val="37"/>
        </w:numPr>
        <w:ind w:left="426"/>
        <w:rPr>
          <w:szCs w:val="18"/>
        </w:rPr>
      </w:pPr>
      <w:r w:rsidRPr="00470118">
        <w:rPr>
          <w:szCs w:val="18"/>
        </w:rPr>
        <w:t xml:space="preserve">National </w:t>
      </w:r>
      <w:r>
        <w:rPr>
          <w:szCs w:val="18"/>
        </w:rPr>
        <w:t>H</w:t>
      </w:r>
      <w:r w:rsidRPr="00470118">
        <w:rPr>
          <w:szCs w:val="18"/>
        </w:rPr>
        <w:t xml:space="preserve">eritage </w:t>
      </w:r>
      <w:r>
        <w:rPr>
          <w:szCs w:val="18"/>
        </w:rPr>
        <w:t>V</w:t>
      </w:r>
      <w:r w:rsidRPr="00470118">
        <w:rPr>
          <w:szCs w:val="18"/>
        </w:rPr>
        <w:t xml:space="preserve">alues of a declared National Heritage </w:t>
      </w:r>
      <w:r>
        <w:rPr>
          <w:szCs w:val="18"/>
        </w:rPr>
        <w:t>P</w:t>
      </w:r>
      <w:r w:rsidRPr="00470118">
        <w:rPr>
          <w:szCs w:val="18"/>
        </w:rPr>
        <w:t>lace</w:t>
      </w:r>
    </w:p>
    <w:p w14:paraId="14BDFBE3" w14:textId="77777777" w:rsidR="007B26DD" w:rsidRPr="00470118" w:rsidRDefault="007B26DD" w:rsidP="007B26DD">
      <w:pPr>
        <w:pStyle w:val="BodyBullet1"/>
        <w:numPr>
          <w:ilvl w:val="0"/>
          <w:numId w:val="37"/>
        </w:numPr>
        <w:ind w:left="426"/>
        <w:rPr>
          <w:szCs w:val="18"/>
        </w:rPr>
      </w:pPr>
      <w:r w:rsidRPr="00470118">
        <w:rPr>
          <w:szCs w:val="18"/>
        </w:rPr>
        <w:t xml:space="preserve">The ecological character of a declared Ramsar </w:t>
      </w:r>
      <w:r>
        <w:rPr>
          <w:szCs w:val="18"/>
        </w:rPr>
        <w:t>W</w:t>
      </w:r>
      <w:r w:rsidRPr="00470118">
        <w:rPr>
          <w:szCs w:val="18"/>
        </w:rPr>
        <w:t>etland</w:t>
      </w:r>
    </w:p>
    <w:p w14:paraId="5774EDD5" w14:textId="77777777" w:rsidR="007B26DD" w:rsidRPr="00470118" w:rsidRDefault="007B26DD" w:rsidP="007B26DD">
      <w:pPr>
        <w:pStyle w:val="BodyBullet1"/>
        <w:numPr>
          <w:ilvl w:val="0"/>
          <w:numId w:val="37"/>
        </w:numPr>
        <w:ind w:left="426"/>
        <w:rPr>
          <w:szCs w:val="18"/>
        </w:rPr>
      </w:pPr>
      <w:r w:rsidRPr="00470118">
        <w:rPr>
          <w:szCs w:val="18"/>
        </w:rPr>
        <w:t>Listed threatened species and ecological communities</w:t>
      </w:r>
    </w:p>
    <w:p w14:paraId="3BD4F153" w14:textId="77777777" w:rsidR="007B26DD" w:rsidRPr="00470118" w:rsidRDefault="007B26DD" w:rsidP="007B26DD">
      <w:pPr>
        <w:pStyle w:val="BodyBullet1"/>
        <w:numPr>
          <w:ilvl w:val="0"/>
          <w:numId w:val="37"/>
        </w:numPr>
        <w:ind w:left="426"/>
        <w:rPr>
          <w:szCs w:val="18"/>
        </w:rPr>
      </w:pPr>
      <w:r w:rsidRPr="00470118">
        <w:rPr>
          <w:szCs w:val="18"/>
        </w:rPr>
        <w:t>A listed migratory species</w:t>
      </w:r>
    </w:p>
    <w:p w14:paraId="733ADB09" w14:textId="77777777" w:rsidR="007B26DD" w:rsidRPr="00470118" w:rsidRDefault="007B26DD" w:rsidP="007B26DD">
      <w:pPr>
        <w:pStyle w:val="BodyBullet1"/>
        <w:numPr>
          <w:ilvl w:val="0"/>
          <w:numId w:val="37"/>
        </w:numPr>
        <w:ind w:left="426"/>
        <w:rPr>
          <w:szCs w:val="18"/>
        </w:rPr>
      </w:pPr>
      <w:r w:rsidRPr="00470118">
        <w:rPr>
          <w:szCs w:val="18"/>
        </w:rPr>
        <w:t xml:space="preserve">The environment in a Commonwealth </w:t>
      </w:r>
      <w:r>
        <w:rPr>
          <w:szCs w:val="18"/>
        </w:rPr>
        <w:t>M</w:t>
      </w:r>
      <w:r w:rsidRPr="00470118">
        <w:rPr>
          <w:szCs w:val="18"/>
        </w:rPr>
        <w:t xml:space="preserve">arine </w:t>
      </w:r>
      <w:r>
        <w:rPr>
          <w:szCs w:val="18"/>
        </w:rPr>
        <w:t>A</w:t>
      </w:r>
      <w:r w:rsidRPr="00470118">
        <w:rPr>
          <w:szCs w:val="18"/>
        </w:rPr>
        <w:t>rea</w:t>
      </w:r>
    </w:p>
    <w:p w14:paraId="33F1D8F6" w14:textId="77777777" w:rsidR="007B26DD" w:rsidRDefault="007B26DD" w:rsidP="007B26DD">
      <w:pPr>
        <w:pStyle w:val="BodyBullet1"/>
        <w:numPr>
          <w:ilvl w:val="0"/>
          <w:numId w:val="37"/>
        </w:numPr>
        <w:ind w:left="426"/>
        <w:rPr>
          <w:szCs w:val="18"/>
        </w:rPr>
      </w:pPr>
      <w:r w:rsidRPr="00470118">
        <w:rPr>
          <w:szCs w:val="18"/>
        </w:rPr>
        <w:t xml:space="preserve">The environment on Commonwealth </w:t>
      </w:r>
      <w:r>
        <w:rPr>
          <w:szCs w:val="18"/>
        </w:rPr>
        <w:t>L</w:t>
      </w:r>
      <w:r w:rsidRPr="00470118">
        <w:rPr>
          <w:szCs w:val="18"/>
        </w:rPr>
        <w:t>and</w:t>
      </w:r>
      <w:r>
        <w:rPr>
          <w:szCs w:val="18"/>
        </w:rPr>
        <w:t>.</w:t>
      </w:r>
    </w:p>
    <w:p w14:paraId="601D3666" w14:textId="77777777" w:rsidR="007B26DD" w:rsidRDefault="007B26DD" w:rsidP="007B26DD">
      <w:pPr>
        <w:pStyle w:val="BodyBullet1"/>
        <w:numPr>
          <w:ilvl w:val="0"/>
          <w:numId w:val="0"/>
        </w:numPr>
        <w:rPr>
          <w:szCs w:val="18"/>
        </w:rPr>
      </w:pPr>
      <w:r>
        <w:rPr>
          <w:szCs w:val="18"/>
        </w:rPr>
        <w:t>In addition to protected matters, NOPSEMA and DAWE were required to adhere to a number of commitments for the administration of the Endorsed Program.</w:t>
      </w:r>
    </w:p>
    <w:p w14:paraId="5BBCC982" w14:textId="77777777" w:rsidR="007B26DD" w:rsidRPr="00470118" w:rsidRDefault="007B26DD" w:rsidP="007B26DD">
      <w:pPr>
        <w:pStyle w:val="BodyCopyNEW"/>
        <w:rPr>
          <w:szCs w:val="18"/>
        </w:rPr>
      </w:pPr>
      <w:r>
        <w:rPr>
          <w:szCs w:val="18"/>
        </w:rPr>
        <w:t>We examine below whether</w:t>
      </w:r>
      <w:r w:rsidRPr="00470118">
        <w:rPr>
          <w:szCs w:val="18"/>
        </w:rPr>
        <w:t>:</w:t>
      </w:r>
    </w:p>
    <w:p w14:paraId="748B73FD" w14:textId="77777777" w:rsidR="007B26DD" w:rsidRPr="008A628A" w:rsidRDefault="007B26DD" w:rsidP="007B26DD">
      <w:pPr>
        <w:pStyle w:val="BodyBullet1"/>
        <w:numPr>
          <w:ilvl w:val="0"/>
          <w:numId w:val="37"/>
        </w:numPr>
        <w:ind w:left="426"/>
        <w:rPr>
          <w:szCs w:val="18"/>
        </w:rPr>
      </w:pPr>
      <w:r w:rsidRPr="008A628A">
        <w:rPr>
          <w:szCs w:val="18"/>
        </w:rPr>
        <w:t>All commitments and outcomes outlined in the Endorsed Program</w:t>
      </w:r>
      <w:r>
        <w:rPr>
          <w:szCs w:val="18"/>
        </w:rPr>
        <w:t>,</w:t>
      </w:r>
      <w:r w:rsidRPr="008A628A">
        <w:rPr>
          <w:szCs w:val="18"/>
        </w:rPr>
        <w:t xml:space="preserve"> in relation to protected matters</w:t>
      </w:r>
      <w:r>
        <w:rPr>
          <w:szCs w:val="18"/>
        </w:rPr>
        <w:t>,</w:t>
      </w:r>
      <w:r w:rsidRPr="008A628A">
        <w:rPr>
          <w:szCs w:val="18"/>
        </w:rPr>
        <w:t xml:space="preserve"> </w:t>
      </w:r>
      <w:r>
        <w:rPr>
          <w:szCs w:val="18"/>
        </w:rPr>
        <w:t>are being</w:t>
      </w:r>
      <w:r w:rsidRPr="008A628A">
        <w:rPr>
          <w:szCs w:val="18"/>
        </w:rPr>
        <w:t xml:space="preserve"> met</w:t>
      </w:r>
      <w:r>
        <w:rPr>
          <w:szCs w:val="18"/>
        </w:rPr>
        <w:t xml:space="preserve"> by NOPSEMA</w:t>
      </w:r>
    </w:p>
    <w:p w14:paraId="24EDA31A" w14:textId="77777777" w:rsidR="007B26DD" w:rsidRDefault="007B26DD" w:rsidP="007B26DD">
      <w:pPr>
        <w:pStyle w:val="BodyBullet1"/>
        <w:numPr>
          <w:ilvl w:val="0"/>
          <w:numId w:val="37"/>
        </w:numPr>
        <w:ind w:left="426"/>
        <w:rPr>
          <w:szCs w:val="18"/>
        </w:rPr>
      </w:pPr>
      <w:r w:rsidRPr="008A628A">
        <w:rPr>
          <w:szCs w:val="18"/>
        </w:rPr>
        <w:t>All commitments outlined in the Endorsed Program</w:t>
      </w:r>
      <w:r>
        <w:rPr>
          <w:szCs w:val="18"/>
        </w:rPr>
        <w:t>,</w:t>
      </w:r>
      <w:r w:rsidRPr="008A628A">
        <w:rPr>
          <w:szCs w:val="18"/>
        </w:rPr>
        <w:t xml:space="preserve"> in relation to administration</w:t>
      </w:r>
      <w:r>
        <w:rPr>
          <w:szCs w:val="18"/>
        </w:rPr>
        <w:t>,</w:t>
      </w:r>
      <w:r w:rsidRPr="008A628A">
        <w:rPr>
          <w:szCs w:val="18"/>
        </w:rPr>
        <w:t xml:space="preserve"> are </w:t>
      </w:r>
      <w:r>
        <w:rPr>
          <w:szCs w:val="18"/>
        </w:rPr>
        <w:t xml:space="preserve">being </w:t>
      </w:r>
      <w:r w:rsidRPr="008A628A">
        <w:rPr>
          <w:szCs w:val="18"/>
        </w:rPr>
        <w:t>met by NOPSEMA.</w:t>
      </w:r>
    </w:p>
    <w:p w14:paraId="4B96EF64" w14:textId="77777777" w:rsidR="007B26DD" w:rsidRDefault="007B26DD" w:rsidP="007B26DD">
      <w:pPr>
        <w:pStyle w:val="Heading4"/>
      </w:pPr>
      <w:r>
        <w:t>Commitments and outcomes in the Endorsed Program pertaining to protected matters</w:t>
      </w:r>
    </w:p>
    <w:p w14:paraId="786AAC16" w14:textId="77777777" w:rsidR="007B26DD" w:rsidRPr="00470118" w:rsidRDefault="007B26DD" w:rsidP="007B26DD">
      <w:pPr>
        <w:pStyle w:val="BodyCopyNEW"/>
        <w:rPr>
          <w:szCs w:val="18"/>
        </w:rPr>
      </w:pPr>
      <w:r w:rsidRPr="00470118">
        <w:rPr>
          <w:szCs w:val="18"/>
        </w:rPr>
        <w:t>Overall, we believe:</w:t>
      </w:r>
    </w:p>
    <w:p w14:paraId="2F58C340" w14:textId="77777777" w:rsidR="007B26DD" w:rsidRPr="00B7497C" w:rsidRDefault="007B26DD" w:rsidP="007B26DD">
      <w:pPr>
        <w:pStyle w:val="BodyBullet1"/>
        <w:numPr>
          <w:ilvl w:val="0"/>
          <w:numId w:val="37"/>
        </w:numPr>
        <w:ind w:left="426"/>
        <w:rPr>
          <w:szCs w:val="18"/>
        </w:rPr>
      </w:pPr>
      <w:r w:rsidRPr="00D21CC6">
        <w:rPr>
          <w:szCs w:val="18"/>
        </w:rPr>
        <w:t xml:space="preserve">There is </w:t>
      </w:r>
      <w:r w:rsidRPr="00B7497C">
        <w:rPr>
          <w:szCs w:val="18"/>
        </w:rPr>
        <w:t>no evidence that any planned industry offshore petroleum activities occurred in any part of a declared World Heritage Property during the review period</w:t>
      </w:r>
    </w:p>
    <w:p w14:paraId="32DD0CC4" w14:textId="0A3D3759" w:rsidR="003471CF" w:rsidRPr="00B7497C" w:rsidRDefault="003471CF" w:rsidP="007B26DD">
      <w:pPr>
        <w:pStyle w:val="BodyBullet1"/>
        <w:numPr>
          <w:ilvl w:val="0"/>
          <w:numId w:val="37"/>
        </w:numPr>
        <w:ind w:left="426"/>
        <w:rPr>
          <w:szCs w:val="18"/>
        </w:rPr>
      </w:pPr>
      <w:r w:rsidRPr="00B7497C">
        <w:rPr>
          <w:szCs w:val="18"/>
        </w:rPr>
        <w:t xml:space="preserve">Case studies reviewed showed </w:t>
      </w:r>
      <w:r w:rsidR="002973B1" w:rsidRPr="00B7497C">
        <w:rPr>
          <w:szCs w:val="18"/>
        </w:rPr>
        <w:t xml:space="preserve">careful and detailed </w:t>
      </w:r>
      <w:r w:rsidRPr="00B7497C">
        <w:rPr>
          <w:szCs w:val="18"/>
        </w:rPr>
        <w:t>consideration o</w:t>
      </w:r>
      <w:r w:rsidR="00103BFC" w:rsidRPr="00B7497C">
        <w:rPr>
          <w:szCs w:val="18"/>
        </w:rPr>
        <w:t>f</w:t>
      </w:r>
      <w:r w:rsidRPr="00B7497C">
        <w:rPr>
          <w:szCs w:val="18"/>
        </w:rPr>
        <w:t xml:space="preserve"> matters of </w:t>
      </w:r>
      <w:r w:rsidR="00DE2E14" w:rsidRPr="00B7497C">
        <w:rPr>
          <w:szCs w:val="18"/>
        </w:rPr>
        <w:t>n</w:t>
      </w:r>
      <w:r w:rsidRPr="00B7497C">
        <w:rPr>
          <w:szCs w:val="18"/>
        </w:rPr>
        <w:t xml:space="preserve">ational </w:t>
      </w:r>
      <w:r w:rsidR="00DE2E14" w:rsidRPr="00B7497C">
        <w:rPr>
          <w:szCs w:val="18"/>
        </w:rPr>
        <w:t>e</w:t>
      </w:r>
      <w:r w:rsidRPr="00B7497C">
        <w:rPr>
          <w:szCs w:val="18"/>
        </w:rPr>
        <w:t xml:space="preserve">nvironmental </w:t>
      </w:r>
      <w:r w:rsidR="00DE2E14" w:rsidRPr="00B7497C">
        <w:rPr>
          <w:szCs w:val="18"/>
        </w:rPr>
        <w:t>s</w:t>
      </w:r>
      <w:r w:rsidRPr="00B7497C">
        <w:rPr>
          <w:szCs w:val="18"/>
        </w:rPr>
        <w:t xml:space="preserve">ignificance. NOPSEMA’s assessment process </w:t>
      </w:r>
      <w:r w:rsidR="00103BFC" w:rsidRPr="00B7497C">
        <w:rPr>
          <w:szCs w:val="18"/>
        </w:rPr>
        <w:t>and practices focuses</w:t>
      </w:r>
      <w:r w:rsidRPr="00B7497C">
        <w:rPr>
          <w:szCs w:val="18"/>
        </w:rPr>
        <w:t xml:space="preserve"> on matters of national environmental significance and consideration of important </w:t>
      </w:r>
      <w:r w:rsidR="00103BFC" w:rsidRPr="00B7497C">
        <w:rPr>
          <w:szCs w:val="18"/>
        </w:rPr>
        <w:t xml:space="preserve">marine </w:t>
      </w:r>
      <w:r w:rsidRPr="00B7497C">
        <w:rPr>
          <w:szCs w:val="18"/>
        </w:rPr>
        <w:t>habitats</w:t>
      </w:r>
    </w:p>
    <w:p w14:paraId="5E3FE93D" w14:textId="78320B01" w:rsidR="007B26DD" w:rsidRPr="00D21CC6" w:rsidRDefault="007B26DD" w:rsidP="007B26DD">
      <w:pPr>
        <w:pStyle w:val="BodyBullet1"/>
        <w:numPr>
          <w:ilvl w:val="0"/>
          <w:numId w:val="37"/>
        </w:numPr>
        <w:ind w:left="426"/>
        <w:rPr>
          <w:szCs w:val="18"/>
        </w:rPr>
      </w:pPr>
      <w:r w:rsidRPr="00B7497C">
        <w:rPr>
          <w:szCs w:val="18"/>
        </w:rPr>
        <w:t>Industry offshore</w:t>
      </w:r>
      <w:r w:rsidRPr="007E66D3">
        <w:rPr>
          <w:szCs w:val="18"/>
        </w:rPr>
        <w:t xml:space="preserve"> petroleum activities</w:t>
      </w:r>
      <w:r w:rsidRPr="00D21CC6">
        <w:rPr>
          <w:szCs w:val="18"/>
        </w:rPr>
        <w:t xml:space="preserve">, under the oversight of NOPSEMA compliance actions, did not compromise the </w:t>
      </w:r>
      <w:r>
        <w:rPr>
          <w:szCs w:val="18"/>
        </w:rPr>
        <w:t>o</w:t>
      </w:r>
      <w:r w:rsidRPr="00D21CC6">
        <w:rPr>
          <w:szCs w:val="18"/>
        </w:rPr>
        <w:t xml:space="preserve">utcomes outlined in Table 1 of the </w:t>
      </w:r>
      <w:r w:rsidRPr="00D90AB4">
        <w:rPr>
          <w:szCs w:val="18"/>
        </w:rPr>
        <w:t xml:space="preserve">Endorsed </w:t>
      </w:r>
      <w:r w:rsidRPr="00D21CC6">
        <w:rPr>
          <w:szCs w:val="18"/>
        </w:rPr>
        <w:t>Program</w:t>
      </w:r>
      <w:r>
        <w:rPr>
          <w:rStyle w:val="FootnoteReference"/>
          <w:szCs w:val="18"/>
        </w:rPr>
        <w:footnoteReference w:id="78"/>
      </w:r>
      <w:r w:rsidR="00D632DE">
        <w:rPr>
          <w:szCs w:val="18"/>
        </w:rPr>
        <w:t>.</w:t>
      </w:r>
    </w:p>
    <w:p w14:paraId="0D1FF117" w14:textId="77777777" w:rsidR="007B26DD" w:rsidRPr="00D90AB4" w:rsidRDefault="007B26DD" w:rsidP="007B26DD">
      <w:pPr>
        <w:pStyle w:val="BodyBullet1"/>
        <w:numPr>
          <w:ilvl w:val="0"/>
          <w:numId w:val="0"/>
        </w:numPr>
        <w:ind w:left="66"/>
        <w:rPr>
          <w:szCs w:val="18"/>
        </w:rPr>
      </w:pPr>
      <w:r>
        <w:rPr>
          <w:szCs w:val="18"/>
        </w:rPr>
        <w:t>As a general comment, d</w:t>
      </w:r>
      <w:r w:rsidRPr="00470118">
        <w:rPr>
          <w:szCs w:val="18"/>
        </w:rPr>
        <w:t xml:space="preserve">uring preparation of an EP, titleholders </w:t>
      </w:r>
      <w:r>
        <w:rPr>
          <w:szCs w:val="18"/>
        </w:rPr>
        <w:t xml:space="preserve">are required to </w:t>
      </w:r>
      <w:r w:rsidRPr="00470118">
        <w:rPr>
          <w:szCs w:val="18"/>
        </w:rPr>
        <w:t>complete ‘protected matters searches’ using the Protected Matters Search Tool operated by DAWE. The search generally covers the area of the environment that may be affected by the proposed activities and is used to help understand the potential for interactions between their activity and various protected matters. The search reports are included in the EP</w:t>
      </w:r>
      <w:r>
        <w:rPr>
          <w:szCs w:val="18"/>
        </w:rPr>
        <w:t xml:space="preserve"> for assessment by NOPSEMA.</w:t>
      </w:r>
    </w:p>
    <w:p w14:paraId="6F73D9B4" w14:textId="654CEE11" w:rsidR="00BA1E63" w:rsidRDefault="007B26DD" w:rsidP="00BA1E63">
      <w:pPr>
        <w:pStyle w:val="BodyCopyNEW"/>
        <w:rPr>
          <w:szCs w:val="18"/>
        </w:rPr>
      </w:pPr>
      <w:r w:rsidRPr="00AF4908">
        <w:rPr>
          <w:b/>
          <w:bCs/>
          <w:szCs w:val="18"/>
        </w:rPr>
        <w:fldChar w:fldCharType="begin"/>
      </w:r>
      <w:r w:rsidRPr="00AF4908">
        <w:rPr>
          <w:b/>
          <w:bCs/>
          <w:szCs w:val="18"/>
        </w:rPr>
        <w:instrText xml:space="preserve"> REF _Ref63196426 \h </w:instrText>
      </w:r>
      <w:r>
        <w:rPr>
          <w:b/>
          <w:bCs/>
          <w:szCs w:val="18"/>
        </w:rPr>
        <w:instrText xml:space="preserve"> \* MERGEFORMAT </w:instrText>
      </w:r>
      <w:r w:rsidRPr="00AF4908">
        <w:rPr>
          <w:b/>
          <w:bCs/>
          <w:szCs w:val="18"/>
        </w:rPr>
      </w:r>
      <w:r w:rsidRPr="00AF4908">
        <w:rPr>
          <w:b/>
          <w:bCs/>
          <w:szCs w:val="18"/>
        </w:rPr>
        <w:fldChar w:fldCharType="separate"/>
      </w:r>
      <w:r w:rsidR="00E816B8" w:rsidRPr="00E816B8">
        <w:rPr>
          <w:b/>
          <w:bCs/>
        </w:rPr>
        <w:t xml:space="preserve">Table </w:t>
      </w:r>
      <w:r w:rsidR="00E816B8" w:rsidRPr="00E816B8">
        <w:rPr>
          <w:b/>
          <w:bCs/>
          <w:noProof/>
        </w:rPr>
        <w:t>11.10</w:t>
      </w:r>
      <w:r w:rsidRPr="00AF4908">
        <w:rPr>
          <w:b/>
          <w:bCs/>
          <w:szCs w:val="18"/>
        </w:rPr>
        <w:fldChar w:fldCharType="end"/>
      </w:r>
      <w:r>
        <w:rPr>
          <w:szCs w:val="18"/>
        </w:rPr>
        <w:t xml:space="preserve"> </w:t>
      </w:r>
      <w:r w:rsidRPr="00470118">
        <w:rPr>
          <w:szCs w:val="18"/>
        </w:rPr>
        <w:t xml:space="preserve">outlines the respective commitments and whether it has been </w:t>
      </w:r>
      <w:r>
        <w:rPr>
          <w:szCs w:val="18"/>
        </w:rPr>
        <w:t>m</w:t>
      </w:r>
      <w:r w:rsidRPr="00470118">
        <w:rPr>
          <w:szCs w:val="18"/>
        </w:rPr>
        <w:t>et by NOPSEMA</w:t>
      </w:r>
      <w:r>
        <w:rPr>
          <w:szCs w:val="18"/>
        </w:rPr>
        <w:t>.</w:t>
      </w:r>
    </w:p>
    <w:p w14:paraId="68DBBB5C" w14:textId="1CF1481E" w:rsidR="00BA1E63" w:rsidRPr="00376C3D" w:rsidRDefault="00BA1E63" w:rsidP="00BA1E63">
      <w:pPr>
        <w:pStyle w:val="BodyBullet1"/>
        <w:numPr>
          <w:ilvl w:val="0"/>
          <w:numId w:val="0"/>
        </w:numPr>
        <w:ind w:left="66"/>
        <w:rPr>
          <w:szCs w:val="18"/>
        </w:rPr>
        <w:sectPr w:rsidR="00BA1E63" w:rsidRPr="00376C3D" w:rsidSect="00173871">
          <w:pgSz w:w="11906" w:h="16838"/>
          <w:pgMar w:top="1985" w:right="1021" w:bottom="1134" w:left="1021" w:header="680" w:footer="425" w:gutter="0"/>
          <w:cols w:space="720"/>
          <w:docGrid w:linePitch="245"/>
        </w:sectPr>
      </w:pPr>
    </w:p>
    <w:p w14:paraId="47154ED6" w14:textId="77777777" w:rsidR="00BB5DCE" w:rsidRDefault="00BB5DCE" w:rsidP="00BB5DCE"/>
    <w:p w14:paraId="621107C3" w14:textId="1F6332F7" w:rsidR="00CE3BBC" w:rsidRPr="00FB1927" w:rsidRDefault="00CE3BBC" w:rsidP="00CE3BBC">
      <w:pPr>
        <w:pStyle w:val="Caption"/>
        <w:rPr>
          <w:rFonts w:ascii="Calibri Light" w:hAnsi="Calibri Light"/>
          <w:highlight w:val="yellow"/>
        </w:rPr>
      </w:pPr>
      <w:bookmarkStart w:id="206" w:name="_Ref63196426"/>
      <w:r w:rsidRPr="00FB1927">
        <w:rPr>
          <w:rFonts w:ascii="Calibri Light" w:hAnsi="Calibri Light"/>
        </w:rPr>
        <w:t xml:space="preserve">Table </w:t>
      </w:r>
      <w:r w:rsidR="00624D4F">
        <w:rPr>
          <w:rFonts w:ascii="Calibri Light" w:hAnsi="Calibri Light"/>
        </w:rPr>
        <w:fldChar w:fldCharType="begin"/>
      </w:r>
      <w:r w:rsidR="00624D4F">
        <w:rPr>
          <w:rFonts w:ascii="Calibri Light" w:hAnsi="Calibri Light"/>
        </w:rPr>
        <w:instrText xml:space="preserve"> STYLEREF 1 \s </w:instrText>
      </w:r>
      <w:r w:rsidR="00624D4F">
        <w:rPr>
          <w:rFonts w:ascii="Calibri Light" w:hAnsi="Calibri Light"/>
        </w:rPr>
        <w:fldChar w:fldCharType="separate"/>
      </w:r>
      <w:r w:rsidR="00E816B8">
        <w:rPr>
          <w:rFonts w:ascii="Calibri Light" w:hAnsi="Calibri Light"/>
          <w:noProof/>
        </w:rPr>
        <w:t>11</w:t>
      </w:r>
      <w:r w:rsidR="00624D4F">
        <w:rPr>
          <w:rFonts w:ascii="Calibri Light" w:hAnsi="Calibri Light"/>
        </w:rPr>
        <w:fldChar w:fldCharType="end"/>
      </w:r>
      <w:r w:rsidR="00624D4F">
        <w:rPr>
          <w:rFonts w:ascii="Calibri Light" w:hAnsi="Calibri Light"/>
        </w:rPr>
        <w:t>.</w:t>
      </w:r>
      <w:r w:rsidR="00624D4F">
        <w:rPr>
          <w:rFonts w:ascii="Calibri Light" w:hAnsi="Calibri Light"/>
        </w:rPr>
        <w:fldChar w:fldCharType="begin"/>
      </w:r>
      <w:r w:rsidR="00624D4F">
        <w:rPr>
          <w:rFonts w:ascii="Calibri Light" w:hAnsi="Calibri Light"/>
        </w:rPr>
        <w:instrText xml:space="preserve"> SEQ Table \* ARABIC \s 1 </w:instrText>
      </w:r>
      <w:r w:rsidR="00624D4F">
        <w:rPr>
          <w:rFonts w:ascii="Calibri Light" w:hAnsi="Calibri Light"/>
        </w:rPr>
        <w:fldChar w:fldCharType="separate"/>
      </w:r>
      <w:r w:rsidR="00E816B8">
        <w:rPr>
          <w:rFonts w:ascii="Calibri Light" w:hAnsi="Calibri Light"/>
          <w:noProof/>
        </w:rPr>
        <w:t>10</w:t>
      </w:r>
      <w:r w:rsidR="00624D4F">
        <w:rPr>
          <w:rFonts w:ascii="Calibri Light" w:hAnsi="Calibri Light"/>
        </w:rPr>
        <w:fldChar w:fldCharType="end"/>
      </w:r>
      <w:bookmarkEnd w:id="206"/>
      <w:r w:rsidRPr="00FB1927">
        <w:rPr>
          <w:rFonts w:ascii="Calibri Light" w:hAnsi="Calibri Light"/>
        </w:rPr>
        <w:t>: Examination of commitments and outcomes in the Endorsed Program pertaining to protected matters</w:t>
      </w:r>
    </w:p>
    <w:tbl>
      <w:tblPr>
        <w:tblW w:w="5000" w:type="pct"/>
        <w:tblCellMar>
          <w:left w:w="0" w:type="dxa"/>
          <w:right w:w="0" w:type="dxa"/>
        </w:tblCellMar>
        <w:tblLook w:val="04A0" w:firstRow="1" w:lastRow="0" w:firstColumn="1" w:lastColumn="0" w:noHBand="0" w:noVBand="1"/>
      </w:tblPr>
      <w:tblGrid>
        <w:gridCol w:w="8646"/>
        <w:gridCol w:w="5073"/>
      </w:tblGrid>
      <w:tr w:rsidR="0097312F" w14:paraId="31054F3E" w14:textId="77777777" w:rsidTr="0088223A">
        <w:trPr>
          <w:tblHeader/>
        </w:trPr>
        <w:tc>
          <w:tcPr>
            <w:tcW w:w="3151" w:type="pct"/>
            <w:tcBorders>
              <w:top w:val="single" w:sz="8" w:space="0" w:color="007680"/>
              <w:bottom w:val="single" w:sz="8" w:space="0" w:color="007680"/>
            </w:tcBorders>
            <w:shd w:val="clear" w:color="auto" w:fill="auto"/>
            <w:tcMar>
              <w:top w:w="0" w:type="dxa"/>
              <w:left w:w="108" w:type="dxa"/>
              <w:bottom w:w="0" w:type="dxa"/>
              <w:right w:w="108" w:type="dxa"/>
            </w:tcMar>
          </w:tcPr>
          <w:p w14:paraId="4263B894" w14:textId="77777777" w:rsidR="00CE3BBC" w:rsidRPr="009A0E24" w:rsidRDefault="00CE3BBC" w:rsidP="00144BA2">
            <w:pPr>
              <w:pStyle w:val="Tableheader"/>
            </w:pPr>
            <w:r>
              <w:t>Part 3 matter, outcome, and commitments</w:t>
            </w:r>
          </w:p>
        </w:tc>
        <w:tc>
          <w:tcPr>
            <w:tcW w:w="1849" w:type="pct"/>
            <w:tcBorders>
              <w:top w:val="single" w:sz="8" w:space="0" w:color="007680"/>
              <w:bottom w:val="single" w:sz="8" w:space="0" w:color="007680"/>
            </w:tcBorders>
            <w:shd w:val="clear" w:color="auto" w:fill="auto"/>
            <w:tcMar>
              <w:top w:w="0" w:type="dxa"/>
              <w:left w:w="108" w:type="dxa"/>
              <w:bottom w:w="0" w:type="dxa"/>
              <w:right w:w="108" w:type="dxa"/>
            </w:tcMar>
          </w:tcPr>
          <w:p w14:paraId="06ACDF75" w14:textId="77777777" w:rsidR="00CE3BBC" w:rsidRPr="009A0E24" w:rsidRDefault="00CE3BBC" w:rsidP="00144BA2">
            <w:pPr>
              <w:pStyle w:val="Tableheader"/>
            </w:pPr>
            <w:r>
              <w:t>Our assessment</w:t>
            </w:r>
          </w:p>
        </w:tc>
      </w:tr>
      <w:tr w:rsidR="0097312F" w14:paraId="172BE476" w14:textId="77777777" w:rsidTr="0088223A">
        <w:tc>
          <w:tcPr>
            <w:tcW w:w="3151" w:type="pct"/>
            <w:tcBorders>
              <w:top w:val="single" w:sz="8" w:space="0" w:color="007680"/>
              <w:bottom w:val="single" w:sz="4" w:space="0" w:color="BFBFBF" w:themeColor="background1" w:themeShade="BF"/>
            </w:tcBorders>
            <w:tcMar>
              <w:top w:w="0" w:type="dxa"/>
              <w:left w:w="108" w:type="dxa"/>
              <w:bottom w:w="0" w:type="dxa"/>
              <w:right w:w="108" w:type="dxa"/>
            </w:tcMar>
          </w:tcPr>
          <w:p w14:paraId="33BDB8CB" w14:textId="52BB7A3D" w:rsidR="00CE3BBC" w:rsidRPr="007950D4" w:rsidRDefault="00CB68CA" w:rsidP="00CB68CA">
            <w:pPr>
              <w:spacing w:after="120"/>
              <w:rPr>
                <w:rFonts w:ascii="Calibri Light" w:hAnsi="Calibri Light" w:cs="Calibri Light"/>
                <w:b/>
                <w:bCs/>
              </w:rPr>
            </w:pPr>
            <w:r>
              <w:rPr>
                <w:rFonts w:ascii="Calibri Light" w:hAnsi="Calibri Light" w:cs="Calibri Light"/>
              </w:rPr>
              <w:t xml:space="preserve">Matter: </w:t>
            </w:r>
            <w:r w:rsidR="00CE3BBC" w:rsidRPr="008855BE">
              <w:rPr>
                <w:rFonts w:ascii="Calibri Light" w:hAnsi="Calibri Light" w:cs="Calibri Light"/>
                <w:b/>
                <w:bCs/>
              </w:rPr>
              <w:t xml:space="preserve">World </w:t>
            </w:r>
            <w:r w:rsidR="00E96B1A">
              <w:rPr>
                <w:rFonts w:ascii="Calibri Light" w:hAnsi="Calibri Light" w:cs="Calibri Light"/>
                <w:b/>
                <w:bCs/>
              </w:rPr>
              <w:t>H</w:t>
            </w:r>
            <w:r w:rsidR="00CE3BBC" w:rsidRPr="008855BE">
              <w:rPr>
                <w:rFonts w:ascii="Calibri Light" w:hAnsi="Calibri Light" w:cs="Calibri Light"/>
                <w:b/>
                <w:bCs/>
              </w:rPr>
              <w:t xml:space="preserve">eritage </w:t>
            </w:r>
            <w:r w:rsidR="00E96B1A">
              <w:rPr>
                <w:rFonts w:ascii="Calibri Light" w:hAnsi="Calibri Light" w:cs="Calibri Light"/>
                <w:b/>
                <w:bCs/>
              </w:rPr>
              <w:t>P</w:t>
            </w:r>
            <w:r w:rsidR="00CE3BBC" w:rsidRPr="008855BE">
              <w:rPr>
                <w:rFonts w:ascii="Calibri Light" w:hAnsi="Calibri Light" w:cs="Calibri Light"/>
                <w:b/>
                <w:bCs/>
              </w:rPr>
              <w:t>roperties</w:t>
            </w:r>
          </w:p>
          <w:p w14:paraId="1067113A" w14:textId="5DA6BF03" w:rsidR="00CE3BBC" w:rsidRPr="007950D4" w:rsidRDefault="00CB68CA" w:rsidP="00144BA2">
            <w:pPr>
              <w:spacing w:after="0"/>
              <w:rPr>
                <w:rFonts w:ascii="Calibri Light" w:hAnsi="Calibri Light" w:cs="Calibri Light"/>
              </w:rPr>
            </w:pPr>
            <w:r>
              <w:rPr>
                <w:rFonts w:ascii="Calibri Light" w:hAnsi="Calibri Light" w:cs="Calibri Light"/>
              </w:rPr>
              <w:t xml:space="preserve">Outcome: </w:t>
            </w:r>
            <w:r w:rsidR="00CE3BBC" w:rsidRPr="007950D4">
              <w:rPr>
                <w:rFonts w:ascii="Calibri Light" w:hAnsi="Calibri Light" w:cs="Calibri Light"/>
              </w:rPr>
              <w:t>The outstanding</w:t>
            </w:r>
            <w:r w:rsidR="00CE3BBC" w:rsidRPr="007950D4">
              <w:rPr>
                <w:rFonts w:ascii="Calibri Light" w:hAnsi="Calibri Light" w:cs="Calibri Light"/>
                <w:b/>
                <w:bCs/>
              </w:rPr>
              <w:t xml:space="preserve"> </w:t>
            </w:r>
            <w:r w:rsidR="00CE3BBC" w:rsidRPr="007950D4">
              <w:rPr>
                <w:rFonts w:ascii="Calibri Light" w:hAnsi="Calibri Light" w:cs="Calibri Light"/>
              </w:rPr>
              <w:t>universal value of</w:t>
            </w:r>
            <w:r w:rsidR="00CE3BBC" w:rsidRPr="007950D4">
              <w:rPr>
                <w:rFonts w:ascii="Calibri Light" w:hAnsi="Calibri Light" w:cs="Calibri Light"/>
                <w:b/>
                <w:bCs/>
              </w:rPr>
              <w:t xml:space="preserve"> </w:t>
            </w:r>
            <w:r w:rsidR="00E96B1A">
              <w:rPr>
                <w:rFonts w:ascii="Calibri Light" w:hAnsi="Calibri Light" w:cs="Calibri Light"/>
              </w:rPr>
              <w:t>W</w:t>
            </w:r>
            <w:r w:rsidR="00CE3BBC" w:rsidRPr="007950D4">
              <w:rPr>
                <w:rFonts w:ascii="Calibri Light" w:hAnsi="Calibri Light" w:cs="Calibri Light"/>
              </w:rPr>
              <w:t xml:space="preserve">orld </w:t>
            </w:r>
            <w:r w:rsidR="00E96B1A">
              <w:rPr>
                <w:rFonts w:ascii="Calibri Light" w:hAnsi="Calibri Light" w:cs="Calibri Light"/>
              </w:rPr>
              <w:t>H</w:t>
            </w:r>
            <w:r w:rsidR="00CE3BBC" w:rsidRPr="007950D4">
              <w:rPr>
                <w:rFonts w:ascii="Calibri Light" w:hAnsi="Calibri Light" w:cs="Calibri Light"/>
              </w:rPr>
              <w:t>eritage</w:t>
            </w:r>
            <w:r w:rsidR="00CE3BBC" w:rsidRPr="007950D4">
              <w:rPr>
                <w:rFonts w:ascii="Calibri Light" w:hAnsi="Calibri Light" w:cs="Calibri Light"/>
                <w:b/>
                <w:bCs/>
              </w:rPr>
              <w:t xml:space="preserve"> </w:t>
            </w:r>
            <w:r w:rsidR="00E96B1A">
              <w:rPr>
                <w:rFonts w:ascii="Calibri Light" w:hAnsi="Calibri Light" w:cs="Calibri Light"/>
              </w:rPr>
              <w:t>P</w:t>
            </w:r>
            <w:r w:rsidR="00CE3BBC" w:rsidRPr="007950D4">
              <w:rPr>
                <w:rFonts w:ascii="Calibri Light" w:hAnsi="Calibri Light" w:cs="Calibri Light"/>
              </w:rPr>
              <w:t>roperties will be</w:t>
            </w:r>
            <w:r w:rsidR="00CE3BBC" w:rsidRPr="007950D4">
              <w:rPr>
                <w:rFonts w:ascii="Calibri Light" w:hAnsi="Calibri Light" w:cs="Calibri Light"/>
                <w:b/>
                <w:bCs/>
              </w:rPr>
              <w:t xml:space="preserve"> </w:t>
            </w:r>
            <w:r w:rsidR="00CE3BBC" w:rsidRPr="007950D4">
              <w:rPr>
                <w:rFonts w:ascii="Calibri Light" w:hAnsi="Calibri Light" w:cs="Calibri Light"/>
              </w:rPr>
              <w:t>identified,</w:t>
            </w:r>
            <w:r w:rsidR="00CE3BBC" w:rsidRPr="007950D4">
              <w:rPr>
                <w:rFonts w:ascii="Calibri Light" w:hAnsi="Calibri Light" w:cs="Calibri Light"/>
                <w:b/>
                <w:bCs/>
              </w:rPr>
              <w:t xml:space="preserve"> </w:t>
            </w:r>
            <w:r w:rsidR="00CE3BBC" w:rsidRPr="007950D4">
              <w:rPr>
                <w:rFonts w:ascii="Calibri Light" w:hAnsi="Calibri Light" w:cs="Calibri Light"/>
              </w:rPr>
              <w:t>protected,</w:t>
            </w:r>
            <w:r w:rsidR="00CE3BBC" w:rsidRPr="007950D4">
              <w:rPr>
                <w:rFonts w:ascii="Calibri Light" w:hAnsi="Calibri Light" w:cs="Calibri Light"/>
                <w:b/>
                <w:bCs/>
              </w:rPr>
              <w:t xml:space="preserve"> </w:t>
            </w:r>
            <w:r w:rsidR="00CE3BBC" w:rsidRPr="007950D4">
              <w:rPr>
                <w:rFonts w:ascii="Calibri Light" w:hAnsi="Calibri Light" w:cs="Calibri Light"/>
              </w:rPr>
              <w:t>conserved, and</w:t>
            </w:r>
            <w:r w:rsidR="00CE3BBC" w:rsidRPr="007950D4">
              <w:rPr>
                <w:rFonts w:ascii="Calibri Light" w:hAnsi="Calibri Light" w:cs="Calibri Light"/>
                <w:b/>
                <w:bCs/>
              </w:rPr>
              <w:t xml:space="preserve"> </w:t>
            </w:r>
            <w:r w:rsidR="00CE3BBC" w:rsidRPr="007950D4">
              <w:rPr>
                <w:rFonts w:ascii="Calibri Light" w:hAnsi="Calibri Light" w:cs="Calibri Light"/>
              </w:rPr>
              <w:t>transmitted to</w:t>
            </w:r>
            <w:r w:rsidR="00CE3BBC" w:rsidRPr="007950D4">
              <w:rPr>
                <w:rFonts w:ascii="Calibri Light" w:hAnsi="Calibri Light" w:cs="Calibri Light"/>
                <w:b/>
                <w:bCs/>
              </w:rPr>
              <w:t xml:space="preserve"> </w:t>
            </w:r>
            <w:r w:rsidR="00CE3BBC" w:rsidRPr="007950D4">
              <w:rPr>
                <w:rFonts w:ascii="Calibri Light" w:hAnsi="Calibri Light" w:cs="Calibri Light"/>
              </w:rPr>
              <w:t>future generations</w:t>
            </w:r>
            <w:r w:rsidR="00CE3BBC">
              <w:rPr>
                <w:rFonts w:ascii="Calibri Light" w:hAnsi="Calibri Light" w:cs="Calibri Light"/>
              </w:rPr>
              <w:t>.</w:t>
            </w:r>
          </w:p>
          <w:p w14:paraId="5D0C8A80" w14:textId="77777777" w:rsidR="00CE3BBC" w:rsidRPr="007950D4" w:rsidRDefault="00CE3BBC" w:rsidP="00144BA2">
            <w:pPr>
              <w:spacing w:after="0"/>
              <w:rPr>
                <w:rFonts w:ascii="Calibri Light" w:hAnsi="Calibri Light" w:cs="Calibri Light"/>
              </w:rPr>
            </w:pPr>
          </w:p>
          <w:p w14:paraId="452A45B0" w14:textId="77777777" w:rsidR="00CE3BBC" w:rsidRPr="007950D4" w:rsidRDefault="00CE3BBC" w:rsidP="00144BA2">
            <w:pPr>
              <w:spacing w:after="0"/>
              <w:rPr>
                <w:rFonts w:ascii="Calibri Light" w:hAnsi="Calibri Light" w:cs="Calibri Light"/>
              </w:rPr>
            </w:pPr>
            <w:r w:rsidRPr="007950D4">
              <w:rPr>
                <w:rFonts w:ascii="Calibri Light" w:hAnsi="Calibri Light" w:cs="Calibri Light"/>
              </w:rPr>
              <w:t>Commitments:</w:t>
            </w:r>
          </w:p>
          <w:p w14:paraId="01C04E14" w14:textId="5350AF55" w:rsidR="00CE3BBC" w:rsidRPr="007950D4" w:rsidRDefault="00CE3BBC" w:rsidP="00CE3BBC">
            <w:pPr>
              <w:pStyle w:val="BodyBullet1"/>
              <w:numPr>
                <w:ilvl w:val="0"/>
                <w:numId w:val="37"/>
              </w:numPr>
              <w:ind w:left="426"/>
            </w:pPr>
            <w:r w:rsidRPr="008855BE">
              <w:rPr>
                <w:szCs w:val="18"/>
              </w:rPr>
              <w:t xml:space="preserve">NOPSEMA will not accept an Environment Plan that involves the activity or part of the activity, other than arrangements for environmental monitoring or for responding to an emergency, being conducted in any part of a declared World Heritage </w:t>
            </w:r>
            <w:r w:rsidR="00E96B1A">
              <w:rPr>
                <w:szCs w:val="18"/>
              </w:rPr>
              <w:t>P</w:t>
            </w:r>
            <w:r w:rsidRPr="008855BE">
              <w:rPr>
                <w:szCs w:val="18"/>
              </w:rPr>
              <w:t>roperty within the meaning of the EPBC Act</w:t>
            </w:r>
          </w:p>
          <w:p w14:paraId="49800046" w14:textId="3D1A948E" w:rsidR="00CE3BBC" w:rsidRPr="007950D4" w:rsidRDefault="00CE3BBC" w:rsidP="00CE3BBC">
            <w:pPr>
              <w:pStyle w:val="BodyBullet1"/>
              <w:numPr>
                <w:ilvl w:val="0"/>
                <w:numId w:val="37"/>
              </w:numPr>
              <w:ind w:left="426"/>
            </w:pPr>
            <w:r w:rsidRPr="008855BE">
              <w:rPr>
                <w:szCs w:val="18"/>
              </w:rPr>
              <w:t xml:space="preserve">NOPSEMA will not accept an Environment Plan that proposes activities that will contravene a plan of management for a World Heritage </w:t>
            </w:r>
            <w:r w:rsidR="00E96B1A">
              <w:rPr>
                <w:szCs w:val="18"/>
              </w:rPr>
              <w:t>P</w:t>
            </w:r>
            <w:r w:rsidRPr="008855BE">
              <w:rPr>
                <w:szCs w:val="18"/>
              </w:rPr>
              <w:t xml:space="preserve">roperty or proposes unacceptable impacts to the world heritage values of a World Heritage </w:t>
            </w:r>
            <w:r w:rsidR="00E96B1A">
              <w:rPr>
                <w:szCs w:val="18"/>
              </w:rPr>
              <w:t>P</w:t>
            </w:r>
            <w:r w:rsidRPr="008855BE">
              <w:rPr>
                <w:szCs w:val="18"/>
              </w:rPr>
              <w:t>roperty</w:t>
            </w:r>
          </w:p>
          <w:p w14:paraId="4E976150" w14:textId="093B5E6D" w:rsidR="00CE3BBC" w:rsidRPr="007950D4" w:rsidRDefault="00CE3BBC" w:rsidP="00CE3BBC">
            <w:pPr>
              <w:pStyle w:val="BodyBullet1"/>
              <w:numPr>
                <w:ilvl w:val="0"/>
                <w:numId w:val="37"/>
              </w:numPr>
              <w:ind w:left="426"/>
            </w:pPr>
            <w:r w:rsidRPr="008855BE">
              <w:rPr>
                <w:szCs w:val="18"/>
              </w:rPr>
              <w:t xml:space="preserve">If there is no plan of management for a World Heritage </w:t>
            </w:r>
            <w:r w:rsidR="00E96B1A">
              <w:rPr>
                <w:szCs w:val="18"/>
              </w:rPr>
              <w:t>P</w:t>
            </w:r>
            <w:r w:rsidRPr="008855BE">
              <w:rPr>
                <w:szCs w:val="18"/>
              </w:rPr>
              <w:t>roperty, then NOPSEMA will take all reasonable steps to ensure that any accepted Environment Plan that refers to the property is not inconsistent with the Australian World Heritage management principles</w:t>
            </w:r>
          </w:p>
          <w:p w14:paraId="207D096A" w14:textId="77777777" w:rsidR="00CE3BBC" w:rsidRPr="007950D4" w:rsidRDefault="00CE3BBC" w:rsidP="00CE3BBC">
            <w:pPr>
              <w:pStyle w:val="BodyBullet1"/>
              <w:numPr>
                <w:ilvl w:val="0"/>
                <w:numId w:val="37"/>
              </w:numPr>
              <w:ind w:left="426"/>
            </w:pPr>
            <w:r w:rsidRPr="008855BE">
              <w:rPr>
                <w:szCs w:val="18"/>
              </w:rPr>
              <w:t>NOPSEMA will develop guidance (that will be updated from time to time) that titleholders should have regard to in the preparation of their Environment Plans. The guidance will: - make reference to consideration of the protection of the values of World Heritage properties - include references to relevant guidance documents to be considered by titleholders in preparing Environment Plans such as Statements of Outstanding Universal Value, plans of management and EPBC Act guidance documents</w:t>
            </w:r>
          </w:p>
          <w:p w14:paraId="77DEE8B1" w14:textId="77777777" w:rsidR="00CE3BBC" w:rsidRPr="00C065C6" w:rsidRDefault="00CE3BBC" w:rsidP="00CE3BBC">
            <w:pPr>
              <w:pStyle w:val="BodyBullet1"/>
              <w:numPr>
                <w:ilvl w:val="0"/>
                <w:numId w:val="37"/>
              </w:numPr>
              <w:ind w:left="426"/>
              <w:rPr>
                <w:szCs w:val="18"/>
              </w:rPr>
            </w:pPr>
            <w:r w:rsidRPr="008855BE">
              <w:rPr>
                <w:szCs w:val="18"/>
              </w:rPr>
              <w:t>In undertaking assessments, NOPSEMA will have regard to relevant policy documents, guidelines, Statements of Outstanding Universal Value and plans of management on the [DAWE] website.</w:t>
            </w:r>
          </w:p>
        </w:tc>
        <w:tc>
          <w:tcPr>
            <w:tcW w:w="1849" w:type="pct"/>
            <w:tcBorders>
              <w:top w:val="single" w:sz="8" w:space="0" w:color="007680"/>
              <w:bottom w:val="single" w:sz="4" w:space="0" w:color="BFBFBF" w:themeColor="background1" w:themeShade="BF"/>
            </w:tcBorders>
            <w:tcMar>
              <w:top w:w="0" w:type="dxa"/>
              <w:left w:w="108" w:type="dxa"/>
              <w:bottom w:w="0" w:type="dxa"/>
              <w:right w:w="108" w:type="dxa"/>
            </w:tcMar>
          </w:tcPr>
          <w:p w14:paraId="3D91CF8D" w14:textId="19B58A0D" w:rsidR="00CE3BBC" w:rsidRPr="008855BE" w:rsidRDefault="00CE3BBC" w:rsidP="00144BA2">
            <w:pPr>
              <w:pStyle w:val="BodyCopyNEW"/>
              <w:rPr>
                <w:szCs w:val="18"/>
              </w:rPr>
            </w:pPr>
            <w:r w:rsidRPr="00A97263">
              <w:rPr>
                <w:bCs/>
                <w:szCs w:val="18"/>
              </w:rPr>
              <w:t xml:space="preserve">Based on the case studies and materials we examined, </w:t>
            </w:r>
            <w:r w:rsidRPr="00562AB0">
              <w:rPr>
                <w:b/>
                <w:szCs w:val="18"/>
              </w:rPr>
              <w:t>NOPSEMA ha</w:t>
            </w:r>
            <w:r w:rsidR="00F818AF">
              <w:rPr>
                <w:b/>
                <w:szCs w:val="18"/>
              </w:rPr>
              <w:t>s</w:t>
            </w:r>
            <w:r w:rsidRPr="00562AB0">
              <w:rPr>
                <w:b/>
                <w:szCs w:val="18"/>
              </w:rPr>
              <w:t xml:space="preserve"> met </w:t>
            </w:r>
            <w:r>
              <w:rPr>
                <w:b/>
                <w:szCs w:val="18"/>
              </w:rPr>
              <w:t>its</w:t>
            </w:r>
            <w:r w:rsidRPr="00562AB0">
              <w:rPr>
                <w:b/>
                <w:szCs w:val="18"/>
              </w:rPr>
              <w:t xml:space="preserve"> respective commitments during the review period</w:t>
            </w:r>
            <w:r>
              <w:rPr>
                <w:b/>
                <w:szCs w:val="18"/>
              </w:rPr>
              <w:t xml:space="preserve"> in relation to world heritage properties</w:t>
            </w:r>
            <w:r w:rsidRPr="00562AB0">
              <w:rPr>
                <w:b/>
                <w:szCs w:val="18"/>
              </w:rPr>
              <w:t>.</w:t>
            </w:r>
          </w:p>
          <w:p w14:paraId="6B1165B2" w14:textId="77777777" w:rsidR="00DD75AA" w:rsidRDefault="00DD75AA" w:rsidP="00DD75AA">
            <w:pPr>
              <w:pStyle w:val="BodyCopyNEW"/>
              <w:rPr>
                <w:szCs w:val="18"/>
              </w:rPr>
            </w:pPr>
            <w:r w:rsidRPr="00D90AB4">
              <w:rPr>
                <w:szCs w:val="18"/>
              </w:rPr>
              <w:t xml:space="preserve">NOPSEMA advised </w:t>
            </w:r>
            <w:r>
              <w:rPr>
                <w:szCs w:val="18"/>
              </w:rPr>
              <w:t>the review team</w:t>
            </w:r>
            <w:r w:rsidRPr="00D90AB4">
              <w:rPr>
                <w:szCs w:val="18"/>
              </w:rPr>
              <w:t xml:space="preserve"> that t</w:t>
            </w:r>
            <w:r w:rsidRPr="00390EDC">
              <w:rPr>
                <w:szCs w:val="18"/>
              </w:rPr>
              <w:t>here are no current or planned petroleum activities in any part of a declared</w:t>
            </w:r>
            <w:r w:rsidRPr="00562AB0">
              <w:rPr>
                <w:szCs w:val="18"/>
              </w:rPr>
              <w:t xml:space="preserve"> World Heritage Area.</w:t>
            </w:r>
          </w:p>
          <w:p w14:paraId="15774AD6" w14:textId="77777777" w:rsidR="00DD75AA" w:rsidRPr="00D90AB4" w:rsidRDefault="00DD75AA" w:rsidP="00DD75AA">
            <w:pPr>
              <w:pStyle w:val="BodyCopyNEW"/>
              <w:rPr>
                <w:szCs w:val="18"/>
              </w:rPr>
            </w:pPr>
            <w:r>
              <w:rPr>
                <w:szCs w:val="18"/>
              </w:rPr>
              <w:t>Case study (ref. CS008) involved a proposed petroleum activity which NOPSEMA considered to have a risk of affecting the Ningaloo Coast World Heritage Property (in a worst-case oil spill scenario, that is, not via petroleum activities undertaken in the actual area). However, through requiring revised well head design, installation of thickened reservoir liner and reduction of intervention timeframe, and increased monitoring of capping-stack-deployment capable vessels, these risks were ultimately reduced to ALARP.</w:t>
            </w:r>
          </w:p>
          <w:p w14:paraId="1C7EC03F" w14:textId="106A8D69" w:rsidR="00DD75AA" w:rsidRDefault="00DD75AA" w:rsidP="00DD75AA">
            <w:pPr>
              <w:pStyle w:val="BodyCopyNEW"/>
              <w:rPr>
                <w:szCs w:val="18"/>
              </w:rPr>
            </w:pPr>
            <w:r w:rsidRPr="00390EDC">
              <w:rPr>
                <w:szCs w:val="18"/>
              </w:rPr>
              <w:t xml:space="preserve">NOPSEMA </w:t>
            </w:r>
            <w:r w:rsidR="001802C9">
              <w:rPr>
                <w:szCs w:val="18"/>
              </w:rPr>
              <w:t>has</w:t>
            </w:r>
            <w:r w:rsidRPr="00390EDC">
              <w:rPr>
                <w:szCs w:val="18"/>
              </w:rPr>
              <w:t xml:space="preserve"> established processes and procedures in place to ensure that </w:t>
            </w:r>
            <w:r w:rsidRPr="00562AB0">
              <w:rPr>
                <w:szCs w:val="18"/>
              </w:rPr>
              <w:t>it will not accept an EP that contravenes its commitments in relation to this protected matter</w:t>
            </w:r>
            <w:r w:rsidRPr="00D90AB4">
              <w:rPr>
                <w:szCs w:val="18"/>
              </w:rPr>
              <w:t>.</w:t>
            </w:r>
            <w:r>
              <w:rPr>
                <w:szCs w:val="18"/>
              </w:rPr>
              <w:t xml:space="preserve"> This includes that RMS will not allow acceptance of an EP that would contravene a plan of management for a World Heritage Property or proposes unacceptable impacts to the world heritage values of a World Heritage Property.</w:t>
            </w:r>
          </w:p>
          <w:p w14:paraId="5020D8D9" w14:textId="45A1F5D2" w:rsidR="005A7793" w:rsidRPr="001641EA" w:rsidRDefault="00DD75AA" w:rsidP="00DD75AA">
            <w:pPr>
              <w:pStyle w:val="BodyCopyNEW"/>
              <w:rPr>
                <w:szCs w:val="18"/>
              </w:rPr>
            </w:pPr>
            <w:r>
              <w:rPr>
                <w:bCs/>
                <w:szCs w:val="18"/>
              </w:rPr>
              <w:t>NOPSEMA has a regular notification system with DAWE in relation to draft or final policy documents, guidelines, gazettal instruments and plans of management to ensure that assessments are compliant.</w:t>
            </w:r>
          </w:p>
        </w:tc>
      </w:tr>
      <w:tr w:rsidR="0097312F" w14:paraId="23CCD5EC" w14:textId="77777777" w:rsidTr="0088223A">
        <w:tc>
          <w:tcPr>
            <w:tcW w:w="315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09E83E5D" w14:textId="3546DBD6" w:rsidR="00CE3BBC" w:rsidRPr="008855BE" w:rsidRDefault="00CB68CA" w:rsidP="00144BA2">
            <w:pPr>
              <w:pStyle w:val="BodyCopyNEW"/>
              <w:rPr>
                <w:b/>
                <w:bCs/>
                <w:szCs w:val="18"/>
              </w:rPr>
            </w:pPr>
            <w:r>
              <w:rPr>
                <w:szCs w:val="18"/>
              </w:rPr>
              <w:t xml:space="preserve">Matter: </w:t>
            </w:r>
            <w:r w:rsidR="00CE3BBC" w:rsidRPr="008855BE">
              <w:rPr>
                <w:b/>
                <w:bCs/>
                <w:szCs w:val="18"/>
              </w:rPr>
              <w:t xml:space="preserve">National </w:t>
            </w:r>
            <w:r w:rsidR="00E96B1A">
              <w:rPr>
                <w:b/>
                <w:bCs/>
                <w:szCs w:val="18"/>
              </w:rPr>
              <w:t>H</w:t>
            </w:r>
            <w:r w:rsidR="00CE3BBC" w:rsidRPr="008855BE">
              <w:rPr>
                <w:b/>
                <w:bCs/>
                <w:szCs w:val="18"/>
              </w:rPr>
              <w:t xml:space="preserve">eritage </w:t>
            </w:r>
            <w:r w:rsidR="00E96B1A">
              <w:rPr>
                <w:b/>
                <w:bCs/>
                <w:szCs w:val="18"/>
              </w:rPr>
              <w:t>P</w:t>
            </w:r>
            <w:r w:rsidR="00CE3BBC" w:rsidRPr="008855BE">
              <w:rPr>
                <w:b/>
                <w:bCs/>
                <w:szCs w:val="18"/>
              </w:rPr>
              <w:t>laces</w:t>
            </w:r>
          </w:p>
          <w:p w14:paraId="2DAD31CE" w14:textId="1EA9315D" w:rsidR="00CE3BBC" w:rsidRPr="00F8487C" w:rsidRDefault="00CB68CA" w:rsidP="00144BA2">
            <w:pPr>
              <w:pStyle w:val="BodyCopyNEW"/>
              <w:rPr>
                <w:szCs w:val="18"/>
              </w:rPr>
            </w:pPr>
            <w:r>
              <w:rPr>
                <w:szCs w:val="18"/>
              </w:rPr>
              <w:t xml:space="preserve">Outcome: </w:t>
            </w:r>
            <w:r w:rsidR="00CE3BBC" w:rsidRPr="00F8487C">
              <w:rPr>
                <w:szCs w:val="18"/>
              </w:rPr>
              <w:t xml:space="preserve">The outstanding value to the nation of </w:t>
            </w:r>
            <w:r w:rsidR="00E96B1A">
              <w:rPr>
                <w:szCs w:val="18"/>
              </w:rPr>
              <w:t>N</w:t>
            </w:r>
            <w:r w:rsidR="00CE3BBC" w:rsidRPr="00F8487C">
              <w:rPr>
                <w:szCs w:val="18"/>
              </w:rPr>
              <w:t xml:space="preserve">ational </w:t>
            </w:r>
            <w:r w:rsidR="00E96B1A">
              <w:rPr>
                <w:szCs w:val="18"/>
              </w:rPr>
              <w:t>H</w:t>
            </w:r>
            <w:r w:rsidR="00CE3BBC" w:rsidRPr="00F8487C">
              <w:rPr>
                <w:szCs w:val="18"/>
              </w:rPr>
              <w:t xml:space="preserve">eritage </w:t>
            </w:r>
            <w:r w:rsidR="00E96B1A">
              <w:rPr>
                <w:szCs w:val="18"/>
              </w:rPr>
              <w:t>P</w:t>
            </w:r>
            <w:r w:rsidR="00CE3BBC" w:rsidRPr="00F8487C">
              <w:rPr>
                <w:szCs w:val="18"/>
              </w:rPr>
              <w:t>laces will be protected, conserved and transmitted to future generations of Australians.</w:t>
            </w:r>
          </w:p>
          <w:p w14:paraId="685C7244" w14:textId="77777777" w:rsidR="00CE3BBC" w:rsidRPr="00F8487C" w:rsidRDefault="00CE3BBC" w:rsidP="00144BA2">
            <w:pPr>
              <w:pStyle w:val="BodyCopyNEW"/>
              <w:rPr>
                <w:szCs w:val="18"/>
              </w:rPr>
            </w:pPr>
            <w:r w:rsidRPr="00F8487C">
              <w:rPr>
                <w:szCs w:val="18"/>
              </w:rPr>
              <w:t>Commitments:</w:t>
            </w:r>
          </w:p>
          <w:p w14:paraId="3D989104" w14:textId="710CCF96" w:rsidR="00CE3BBC" w:rsidRPr="00F8487C" w:rsidRDefault="00CE3BBC" w:rsidP="00CE3BBC">
            <w:pPr>
              <w:pStyle w:val="BodyBullet1"/>
              <w:numPr>
                <w:ilvl w:val="0"/>
                <w:numId w:val="37"/>
              </w:numPr>
              <w:ind w:left="426"/>
              <w:rPr>
                <w:szCs w:val="18"/>
              </w:rPr>
            </w:pPr>
            <w:r w:rsidRPr="00F8487C">
              <w:rPr>
                <w:szCs w:val="18"/>
              </w:rPr>
              <w:lastRenderedPageBreak/>
              <w:t xml:space="preserve">NOPSEMA will not accept an Environment Plan that proposes activities that will contravene a plan of management for a National Heritage </w:t>
            </w:r>
            <w:r w:rsidR="00E96B1A">
              <w:rPr>
                <w:szCs w:val="18"/>
              </w:rPr>
              <w:t>P</w:t>
            </w:r>
            <w:r w:rsidRPr="00F8487C">
              <w:rPr>
                <w:szCs w:val="18"/>
              </w:rPr>
              <w:t xml:space="preserve">lace or proposes unacceptable impacts to the National </w:t>
            </w:r>
            <w:r w:rsidR="00E96B1A">
              <w:rPr>
                <w:szCs w:val="18"/>
              </w:rPr>
              <w:t>H</w:t>
            </w:r>
            <w:r w:rsidRPr="00F8487C">
              <w:rPr>
                <w:szCs w:val="18"/>
              </w:rPr>
              <w:t xml:space="preserve">eritage </w:t>
            </w:r>
            <w:r w:rsidR="00E96B1A">
              <w:rPr>
                <w:szCs w:val="18"/>
              </w:rPr>
              <w:t>V</w:t>
            </w:r>
            <w:r w:rsidRPr="00F8487C">
              <w:rPr>
                <w:szCs w:val="18"/>
              </w:rPr>
              <w:t xml:space="preserve">alues of a National Heritage </w:t>
            </w:r>
            <w:r w:rsidR="00E96B1A">
              <w:rPr>
                <w:szCs w:val="18"/>
              </w:rPr>
              <w:t>P</w:t>
            </w:r>
            <w:r w:rsidRPr="00F8487C">
              <w:rPr>
                <w:szCs w:val="18"/>
              </w:rPr>
              <w:t xml:space="preserve">lace </w:t>
            </w:r>
          </w:p>
          <w:p w14:paraId="21001907" w14:textId="637B7DD2" w:rsidR="00CE3BBC" w:rsidRPr="00F8487C" w:rsidRDefault="00CE3BBC" w:rsidP="00CE3BBC">
            <w:pPr>
              <w:pStyle w:val="BodyBullet1"/>
              <w:numPr>
                <w:ilvl w:val="0"/>
                <w:numId w:val="37"/>
              </w:numPr>
              <w:ind w:left="426"/>
              <w:rPr>
                <w:szCs w:val="18"/>
              </w:rPr>
            </w:pPr>
            <w:r w:rsidRPr="00F8487C">
              <w:rPr>
                <w:szCs w:val="18"/>
              </w:rPr>
              <w:t xml:space="preserve">If there is no plan of management for a National Heritage </w:t>
            </w:r>
            <w:r w:rsidR="00E96B1A">
              <w:rPr>
                <w:szCs w:val="18"/>
              </w:rPr>
              <w:t>P</w:t>
            </w:r>
            <w:r w:rsidRPr="00F8487C">
              <w:rPr>
                <w:szCs w:val="18"/>
              </w:rPr>
              <w:t xml:space="preserve">lace, then NOPSEMA will take all reasonable steps to ensure that any accepted Environment Plan that refers to the place is not inconsistent with the National Heritage management principles </w:t>
            </w:r>
          </w:p>
          <w:p w14:paraId="1BCCDB77" w14:textId="77777777" w:rsidR="00CE3BBC" w:rsidRPr="00F8487C" w:rsidRDefault="00CE3BBC" w:rsidP="00CE3BBC">
            <w:pPr>
              <w:pStyle w:val="BodyBullet1"/>
              <w:numPr>
                <w:ilvl w:val="0"/>
                <w:numId w:val="37"/>
              </w:numPr>
              <w:ind w:left="426"/>
              <w:rPr>
                <w:szCs w:val="18"/>
              </w:rPr>
            </w:pPr>
            <w:r w:rsidRPr="00F8487C">
              <w:rPr>
                <w:szCs w:val="18"/>
              </w:rPr>
              <w:t xml:space="preserve">NOPSEMA will develop guidance (that will be updated from time to time) that titleholders should have regard to in the preparation of their Environment Plans. The guidance will: </w:t>
            </w:r>
          </w:p>
          <w:p w14:paraId="1D0C275E" w14:textId="77777777" w:rsidR="00CE3BBC" w:rsidRPr="00F8487C" w:rsidRDefault="00CE3BBC" w:rsidP="00CE3BBC">
            <w:pPr>
              <w:pStyle w:val="BodyBullet1"/>
              <w:numPr>
                <w:ilvl w:val="1"/>
                <w:numId w:val="37"/>
              </w:numPr>
              <w:ind w:left="811" w:hanging="357"/>
              <w:rPr>
                <w:szCs w:val="18"/>
              </w:rPr>
            </w:pPr>
            <w:r w:rsidRPr="00F8487C">
              <w:rPr>
                <w:szCs w:val="18"/>
              </w:rPr>
              <w:t xml:space="preserve">Make reference to consideration of the protection of the values of National Heritage places </w:t>
            </w:r>
          </w:p>
          <w:p w14:paraId="764F1165" w14:textId="77777777" w:rsidR="00CE3BBC" w:rsidRPr="00F8487C" w:rsidRDefault="00CE3BBC" w:rsidP="00CE3BBC">
            <w:pPr>
              <w:pStyle w:val="BodyBullet1"/>
              <w:numPr>
                <w:ilvl w:val="1"/>
                <w:numId w:val="37"/>
              </w:numPr>
              <w:ind w:left="811" w:hanging="357"/>
              <w:rPr>
                <w:szCs w:val="18"/>
              </w:rPr>
            </w:pPr>
            <w:r w:rsidRPr="00F8487C">
              <w:rPr>
                <w:szCs w:val="18"/>
              </w:rPr>
              <w:t>Include references to relevant guidance documents to be considered by titleholders in preparing Environment Plans such as gazettal instruments and EPBC Act guidance documents</w:t>
            </w:r>
          </w:p>
          <w:p w14:paraId="525B3E23" w14:textId="77777777" w:rsidR="00CE3BBC" w:rsidRPr="009A0E24" w:rsidRDefault="00CE3BBC" w:rsidP="00CE3BBC">
            <w:pPr>
              <w:pStyle w:val="BodyBullet1"/>
              <w:numPr>
                <w:ilvl w:val="0"/>
                <w:numId w:val="37"/>
              </w:numPr>
              <w:ind w:left="426"/>
              <w:rPr>
                <w:szCs w:val="18"/>
              </w:rPr>
            </w:pPr>
            <w:r w:rsidRPr="00F8487C">
              <w:rPr>
                <w:szCs w:val="18"/>
              </w:rPr>
              <w:t xml:space="preserve">In undertaking assessments, NOPSEMA will have regard to relevant policy documents, guidelines, gazettal instruments and plans of management on the </w:t>
            </w:r>
            <w:r>
              <w:rPr>
                <w:szCs w:val="18"/>
              </w:rPr>
              <w:t>[DAWE]</w:t>
            </w:r>
            <w:r w:rsidRPr="00F8487C">
              <w:rPr>
                <w:szCs w:val="18"/>
              </w:rPr>
              <w:t xml:space="preserve"> website.</w:t>
            </w:r>
          </w:p>
        </w:tc>
        <w:tc>
          <w:tcPr>
            <w:tcW w:w="184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116B94AB" w14:textId="54A49269" w:rsidR="00CE3BBC" w:rsidRDefault="00CE3BBC" w:rsidP="00144BA2">
            <w:pPr>
              <w:pStyle w:val="BodyCopyNEW"/>
              <w:rPr>
                <w:bCs/>
                <w:szCs w:val="18"/>
              </w:rPr>
            </w:pPr>
            <w:r w:rsidRPr="00A97263">
              <w:rPr>
                <w:bCs/>
                <w:szCs w:val="18"/>
              </w:rPr>
              <w:lastRenderedPageBreak/>
              <w:t xml:space="preserve">Based on the case studies and materials we examined, </w:t>
            </w:r>
            <w:r w:rsidRPr="00652B2F">
              <w:rPr>
                <w:b/>
                <w:szCs w:val="18"/>
              </w:rPr>
              <w:t>NOPSEMA ha</w:t>
            </w:r>
            <w:r w:rsidR="00F818AF">
              <w:rPr>
                <w:b/>
                <w:szCs w:val="18"/>
              </w:rPr>
              <w:t>s</w:t>
            </w:r>
            <w:r w:rsidRPr="00652B2F">
              <w:rPr>
                <w:b/>
                <w:szCs w:val="18"/>
              </w:rPr>
              <w:t xml:space="preserve"> met </w:t>
            </w:r>
            <w:r>
              <w:rPr>
                <w:b/>
                <w:szCs w:val="18"/>
              </w:rPr>
              <w:t>its</w:t>
            </w:r>
            <w:r w:rsidRPr="00652B2F">
              <w:rPr>
                <w:b/>
                <w:szCs w:val="18"/>
              </w:rPr>
              <w:t xml:space="preserve"> respective obligations as outlined in the Endorsed Program during the review period</w:t>
            </w:r>
            <w:r>
              <w:rPr>
                <w:b/>
                <w:szCs w:val="18"/>
              </w:rPr>
              <w:t xml:space="preserve"> in relation to </w:t>
            </w:r>
            <w:r w:rsidR="00E96B1A">
              <w:rPr>
                <w:b/>
                <w:szCs w:val="18"/>
              </w:rPr>
              <w:t>N</w:t>
            </w:r>
            <w:r>
              <w:rPr>
                <w:b/>
                <w:szCs w:val="18"/>
              </w:rPr>
              <w:t xml:space="preserve">ational </w:t>
            </w:r>
            <w:r w:rsidR="00E96B1A">
              <w:rPr>
                <w:b/>
                <w:szCs w:val="18"/>
              </w:rPr>
              <w:t>H</w:t>
            </w:r>
            <w:r>
              <w:rPr>
                <w:b/>
                <w:szCs w:val="18"/>
              </w:rPr>
              <w:t xml:space="preserve">eritage </w:t>
            </w:r>
            <w:r w:rsidR="00B45370">
              <w:rPr>
                <w:b/>
                <w:szCs w:val="18"/>
              </w:rPr>
              <w:t>Places</w:t>
            </w:r>
            <w:r w:rsidR="00B45370" w:rsidRPr="00652B2F">
              <w:rPr>
                <w:b/>
                <w:szCs w:val="18"/>
              </w:rPr>
              <w:t>.</w:t>
            </w:r>
            <w:r w:rsidR="00BA15C7">
              <w:rPr>
                <w:b/>
                <w:szCs w:val="18"/>
              </w:rPr>
              <w:t xml:space="preserve"> </w:t>
            </w:r>
            <w:r w:rsidR="00BA15C7" w:rsidRPr="00554FE6">
              <w:rPr>
                <w:szCs w:val="18"/>
              </w:rPr>
              <w:t xml:space="preserve">Case studies </w:t>
            </w:r>
            <w:r w:rsidR="00AC4E5C">
              <w:rPr>
                <w:bCs/>
                <w:szCs w:val="18"/>
              </w:rPr>
              <w:t xml:space="preserve">(e.g. ref. </w:t>
            </w:r>
            <w:r w:rsidR="00FE6027">
              <w:rPr>
                <w:bCs/>
                <w:szCs w:val="18"/>
              </w:rPr>
              <w:t>CS008</w:t>
            </w:r>
            <w:r w:rsidR="00AC4E5C">
              <w:rPr>
                <w:bCs/>
                <w:szCs w:val="18"/>
              </w:rPr>
              <w:t xml:space="preserve">) </w:t>
            </w:r>
            <w:r w:rsidR="00BA15C7" w:rsidRPr="00554FE6">
              <w:rPr>
                <w:szCs w:val="18"/>
              </w:rPr>
              <w:t>demonstrate consideration of National Heritage Places in the assessment of risks and impacts, specifically the risks associated with major unplanned events (e.g. oil spills).</w:t>
            </w:r>
          </w:p>
          <w:p w14:paraId="67331054" w14:textId="195DB0D9" w:rsidR="00CE3BBC" w:rsidRDefault="003D6426" w:rsidP="00144BA2">
            <w:pPr>
              <w:pStyle w:val="BodyCopyNEW"/>
              <w:rPr>
                <w:bCs/>
                <w:szCs w:val="18"/>
              </w:rPr>
            </w:pPr>
            <w:r>
              <w:rPr>
                <w:bCs/>
                <w:szCs w:val="18"/>
              </w:rPr>
              <w:lastRenderedPageBreak/>
              <w:t xml:space="preserve">NOPSEMA has quality assurance processes in place to prevent acceptance of an EP that </w:t>
            </w:r>
            <w:r w:rsidR="00CE3BBC">
              <w:rPr>
                <w:bCs/>
                <w:szCs w:val="18"/>
              </w:rPr>
              <w:t xml:space="preserve">would contravene a plan of management for a National Heritage Place or propose unacceptable impacts to the National </w:t>
            </w:r>
            <w:r w:rsidR="00E96B1A">
              <w:rPr>
                <w:bCs/>
                <w:szCs w:val="18"/>
              </w:rPr>
              <w:t>H</w:t>
            </w:r>
            <w:r w:rsidR="00CE3BBC">
              <w:rPr>
                <w:bCs/>
                <w:szCs w:val="18"/>
              </w:rPr>
              <w:t xml:space="preserve">eritage </w:t>
            </w:r>
            <w:r w:rsidR="00E96B1A">
              <w:rPr>
                <w:bCs/>
                <w:szCs w:val="18"/>
              </w:rPr>
              <w:t>V</w:t>
            </w:r>
            <w:r w:rsidR="00CE3BBC">
              <w:rPr>
                <w:bCs/>
                <w:szCs w:val="18"/>
              </w:rPr>
              <w:t xml:space="preserve">alues of a National Heritage </w:t>
            </w:r>
            <w:r w:rsidR="00E96B1A">
              <w:rPr>
                <w:bCs/>
                <w:szCs w:val="18"/>
              </w:rPr>
              <w:t>P</w:t>
            </w:r>
            <w:r w:rsidR="00CE3BBC">
              <w:rPr>
                <w:bCs/>
                <w:szCs w:val="18"/>
              </w:rPr>
              <w:t xml:space="preserve">lace. </w:t>
            </w:r>
          </w:p>
          <w:p w14:paraId="2D0646CD" w14:textId="1610DC8E" w:rsidR="00CE3BBC" w:rsidRDefault="00CE3BBC" w:rsidP="00144BA2">
            <w:pPr>
              <w:pStyle w:val="BodyCopyNEW"/>
              <w:rPr>
                <w:bCs/>
                <w:szCs w:val="18"/>
              </w:rPr>
            </w:pPr>
            <w:r>
              <w:rPr>
                <w:bCs/>
                <w:szCs w:val="18"/>
              </w:rPr>
              <w:t xml:space="preserve">NOPSEMA maintains guidance on its website for titleholders making reference to consideration of the protection of the values of National Heritage </w:t>
            </w:r>
            <w:r w:rsidR="00E96B1A">
              <w:rPr>
                <w:bCs/>
                <w:szCs w:val="18"/>
              </w:rPr>
              <w:t>P</w:t>
            </w:r>
            <w:r>
              <w:rPr>
                <w:bCs/>
                <w:szCs w:val="18"/>
              </w:rPr>
              <w:t xml:space="preserve">laces and refers to guidance documents. </w:t>
            </w:r>
          </w:p>
          <w:p w14:paraId="64D6E99B" w14:textId="77777777" w:rsidR="00CE3BBC" w:rsidRPr="00A97263" w:rsidRDefault="00CE3BBC" w:rsidP="00144BA2">
            <w:pPr>
              <w:pStyle w:val="BodyCopyNEW"/>
              <w:rPr>
                <w:bCs/>
                <w:szCs w:val="18"/>
              </w:rPr>
            </w:pPr>
            <w:r>
              <w:rPr>
                <w:bCs/>
                <w:szCs w:val="18"/>
              </w:rPr>
              <w:t>NOPSEMA has a regular notification system with DAWE in relation to draft or final policy documents, guidelines, gazettal instruments and plans of management to ensure that assessments are compliant.</w:t>
            </w:r>
          </w:p>
        </w:tc>
      </w:tr>
      <w:tr w:rsidR="0097312F" w14:paraId="2FF3D49F" w14:textId="77777777" w:rsidTr="0088223A">
        <w:tc>
          <w:tcPr>
            <w:tcW w:w="315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043786D2" w14:textId="2BC0D78D" w:rsidR="00CE3BBC" w:rsidRPr="00F8487C" w:rsidRDefault="00CB68CA" w:rsidP="00144BA2">
            <w:pPr>
              <w:pStyle w:val="BodyCopyNEW"/>
              <w:rPr>
                <w:b/>
                <w:bCs/>
                <w:szCs w:val="18"/>
              </w:rPr>
            </w:pPr>
            <w:r>
              <w:rPr>
                <w:szCs w:val="18"/>
              </w:rPr>
              <w:lastRenderedPageBreak/>
              <w:t xml:space="preserve">Matter: </w:t>
            </w:r>
            <w:r w:rsidR="00CE3BBC" w:rsidRPr="00F8487C">
              <w:rPr>
                <w:b/>
                <w:bCs/>
                <w:szCs w:val="18"/>
              </w:rPr>
              <w:t>Wetlands of international importance</w:t>
            </w:r>
          </w:p>
          <w:p w14:paraId="613BCFB9" w14:textId="58063C53" w:rsidR="00CE3BBC" w:rsidRPr="00F8487C" w:rsidRDefault="00CB68CA" w:rsidP="00144BA2">
            <w:pPr>
              <w:pStyle w:val="BodyCopyNEW"/>
              <w:rPr>
                <w:szCs w:val="18"/>
              </w:rPr>
            </w:pPr>
            <w:r>
              <w:rPr>
                <w:szCs w:val="18"/>
              </w:rPr>
              <w:t xml:space="preserve">Outcome: </w:t>
            </w:r>
            <w:r w:rsidR="00CE3BBC" w:rsidRPr="00F8487C">
              <w:rPr>
                <w:szCs w:val="18"/>
              </w:rPr>
              <w:t xml:space="preserve">The ecological character of each Ramsar </w:t>
            </w:r>
            <w:r w:rsidR="005A7793">
              <w:rPr>
                <w:szCs w:val="18"/>
              </w:rPr>
              <w:t>W</w:t>
            </w:r>
            <w:r w:rsidR="00CE3BBC" w:rsidRPr="00F8487C">
              <w:rPr>
                <w:szCs w:val="18"/>
              </w:rPr>
              <w:t>etland will be maintained, and the conservation use of each wetland is promoted for the benefit of humanity in a way that is compatible with maintenance of the natural properties of the ecosystem.</w:t>
            </w:r>
          </w:p>
          <w:p w14:paraId="4E9CD734" w14:textId="77777777" w:rsidR="00CE3BBC" w:rsidRPr="00F8487C" w:rsidRDefault="00CE3BBC" w:rsidP="00144BA2">
            <w:pPr>
              <w:pStyle w:val="BodyCopyNEW"/>
              <w:rPr>
                <w:szCs w:val="18"/>
              </w:rPr>
            </w:pPr>
            <w:r w:rsidRPr="00F8487C">
              <w:rPr>
                <w:szCs w:val="18"/>
              </w:rPr>
              <w:t>Commitments:</w:t>
            </w:r>
          </w:p>
          <w:p w14:paraId="71F8CE6A" w14:textId="432B8A79" w:rsidR="00CE3BBC" w:rsidRPr="00F8487C" w:rsidRDefault="00CE3BBC" w:rsidP="00CE3BBC">
            <w:pPr>
              <w:pStyle w:val="BodyBullet1"/>
              <w:numPr>
                <w:ilvl w:val="0"/>
                <w:numId w:val="37"/>
              </w:numPr>
              <w:ind w:left="426"/>
              <w:rPr>
                <w:szCs w:val="18"/>
              </w:rPr>
            </w:pPr>
            <w:r w:rsidRPr="00F8487C">
              <w:rPr>
                <w:szCs w:val="18"/>
              </w:rPr>
              <w:t xml:space="preserve">NOPSEMA will not accept an Environment Plan that proposes activities that will contravene a plan of management for a Ramsar </w:t>
            </w:r>
            <w:r w:rsidR="005A7793">
              <w:rPr>
                <w:szCs w:val="18"/>
              </w:rPr>
              <w:t>W</w:t>
            </w:r>
            <w:r w:rsidRPr="00F8487C">
              <w:rPr>
                <w:szCs w:val="18"/>
              </w:rPr>
              <w:t xml:space="preserve">etland or proposes unacceptable impacts to the ecological character of a Ramsar </w:t>
            </w:r>
            <w:r w:rsidR="005A7793">
              <w:rPr>
                <w:szCs w:val="18"/>
              </w:rPr>
              <w:t>W</w:t>
            </w:r>
            <w:r w:rsidRPr="00F8487C">
              <w:rPr>
                <w:szCs w:val="18"/>
              </w:rPr>
              <w:t>etland</w:t>
            </w:r>
          </w:p>
          <w:p w14:paraId="7113A141" w14:textId="64A944D5" w:rsidR="00CE3BBC" w:rsidRPr="00F8487C" w:rsidRDefault="00CE3BBC" w:rsidP="00CE3BBC">
            <w:pPr>
              <w:pStyle w:val="BodyBullet1"/>
              <w:numPr>
                <w:ilvl w:val="0"/>
                <w:numId w:val="37"/>
              </w:numPr>
              <w:ind w:left="426"/>
              <w:rPr>
                <w:szCs w:val="18"/>
              </w:rPr>
            </w:pPr>
            <w:r w:rsidRPr="00F8487C">
              <w:rPr>
                <w:szCs w:val="18"/>
              </w:rPr>
              <w:t xml:space="preserve">If there is no plan of management for a Ramsar </w:t>
            </w:r>
            <w:r w:rsidR="005A7793">
              <w:rPr>
                <w:szCs w:val="18"/>
              </w:rPr>
              <w:t>W</w:t>
            </w:r>
            <w:r w:rsidRPr="00F8487C">
              <w:rPr>
                <w:szCs w:val="18"/>
              </w:rPr>
              <w:t xml:space="preserve">etland, then NOPSEMA will take all reasonable steps to ensure that any accepted Environment Plan that refers to the wetland is not inconsistent with the Australian Ramsar management principles </w:t>
            </w:r>
          </w:p>
          <w:p w14:paraId="191E386C" w14:textId="6142EADE" w:rsidR="00CE3BBC" w:rsidRPr="00F8487C" w:rsidRDefault="00CE3BBC" w:rsidP="00CE3BBC">
            <w:pPr>
              <w:pStyle w:val="BodyBullet1"/>
              <w:numPr>
                <w:ilvl w:val="0"/>
                <w:numId w:val="37"/>
              </w:numPr>
              <w:ind w:left="426"/>
              <w:rPr>
                <w:szCs w:val="18"/>
              </w:rPr>
            </w:pPr>
            <w:r w:rsidRPr="00F8487C">
              <w:rPr>
                <w:szCs w:val="18"/>
              </w:rPr>
              <w:t xml:space="preserve">NOPSEMA will develop guidance (that will be updated from time to time) that titleholders should have regard to in the preparation of their Environment Plans. The guidance will: - make reference to consideration of the protection of the ecological character of the Ramsar </w:t>
            </w:r>
            <w:r w:rsidR="005A7793">
              <w:rPr>
                <w:szCs w:val="18"/>
              </w:rPr>
              <w:t>W</w:t>
            </w:r>
            <w:r w:rsidRPr="00F8487C">
              <w:rPr>
                <w:szCs w:val="18"/>
              </w:rPr>
              <w:t>etland - include references to relevant guidance documents to be considered by titleholders in preparing Environment Plans such as Ramsar Information Sheets, Ecological Character Descriptions and EPBC Act guidance documents</w:t>
            </w:r>
          </w:p>
          <w:p w14:paraId="376739D0" w14:textId="77777777" w:rsidR="00CE3BBC" w:rsidRPr="009A0E24" w:rsidRDefault="00CE3BBC" w:rsidP="00CE3BBC">
            <w:pPr>
              <w:pStyle w:val="BodyBullet1"/>
              <w:numPr>
                <w:ilvl w:val="0"/>
                <w:numId w:val="37"/>
              </w:numPr>
              <w:ind w:left="426"/>
              <w:rPr>
                <w:szCs w:val="18"/>
              </w:rPr>
            </w:pPr>
            <w:r w:rsidRPr="00F8487C">
              <w:rPr>
                <w:szCs w:val="18"/>
              </w:rPr>
              <w:t xml:space="preserve">In undertaking assessments, NOPSEMA will have regard to relevant policy documents, guidelines, Ramsar Information Sheets, Ecological Character Descriptions and plans of management on the </w:t>
            </w:r>
            <w:r>
              <w:rPr>
                <w:szCs w:val="18"/>
              </w:rPr>
              <w:t>[DAWE]</w:t>
            </w:r>
            <w:r w:rsidRPr="00F8487C">
              <w:rPr>
                <w:szCs w:val="18"/>
              </w:rPr>
              <w:t xml:space="preserve"> website.</w:t>
            </w:r>
          </w:p>
        </w:tc>
        <w:tc>
          <w:tcPr>
            <w:tcW w:w="184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7BB16ABD" w14:textId="77777777" w:rsidR="00FC47A4" w:rsidRDefault="00FC47A4" w:rsidP="00FC47A4">
            <w:pPr>
              <w:pStyle w:val="BodyCopyNEW"/>
              <w:rPr>
                <w:bCs/>
                <w:szCs w:val="18"/>
              </w:rPr>
            </w:pPr>
            <w:r w:rsidRPr="00DA6901">
              <w:rPr>
                <w:bCs/>
                <w:szCs w:val="18"/>
              </w:rPr>
              <w:t>NOPSEMA has quality assurance processes in place to prevent acceptance of an EP that would contravene a plan of management for a Ramsar Wetland</w:t>
            </w:r>
            <w:r>
              <w:rPr>
                <w:bCs/>
                <w:szCs w:val="18"/>
              </w:rPr>
              <w:t xml:space="preserve"> or propose unacceptable impacts to the ecological character of a Ramsar Wetland.</w:t>
            </w:r>
          </w:p>
          <w:p w14:paraId="0E21AB58" w14:textId="0B71D63B" w:rsidR="00CE3BBC" w:rsidRDefault="00CE3BBC" w:rsidP="00144BA2">
            <w:pPr>
              <w:pStyle w:val="BodyCopyNEW"/>
              <w:rPr>
                <w:bCs/>
                <w:szCs w:val="18"/>
              </w:rPr>
            </w:pPr>
            <w:r w:rsidRPr="00A97263">
              <w:rPr>
                <w:bCs/>
                <w:szCs w:val="18"/>
              </w:rPr>
              <w:t xml:space="preserve">Based on the materials we examined, </w:t>
            </w:r>
            <w:r w:rsidRPr="00652B2F">
              <w:rPr>
                <w:b/>
                <w:szCs w:val="18"/>
              </w:rPr>
              <w:t>NOPSEMA ha</w:t>
            </w:r>
            <w:r w:rsidR="00F818AF">
              <w:rPr>
                <w:b/>
                <w:szCs w:val="18"/>
              </w:rPr>
              <w:t>s</w:t>
            </w:r>
            <w:r w:rsidRPr="00652B2F">
              <w:rPr>
                <w:b/>
                <w:szCs w:val="18"/>
              </w:rPr>
              <w:t xml:space="preserve"> met </w:t>
            </w:r>
            <w:r>
              <w:rPr>
                <w:b/>
                <w:szCs w:val="18"/>
              </w:rPr>
              <w:t>its</w:t>
            </w:r>
            <w:r w:rsidRPr="00652B2F">
              <w:rPr>
                <w:b/>
                <w:szCs w:val="18"/>
              </w:rPr>
              <w:t xml:space="preserve"> respective obligations as outlined in the Endorsed Program during the review </w:t>
            </w:r>
            <w:r w:rsidR="00645EC9" w:rsidRPr="00652B2F">
              <w:rPr>
                <w:b/>
                <w:szCs w:val="18"/>
              </w:rPr>
              <w:t>period</w:t>
            </w:r>
            <w:r w:rsidR="00645EC9">
              <w:rPr>
                <w:b/>
                <w:szCs w:val="18"/>
              </w:rPr>
              <w:t xml:space="preserve"> in relation to wetlands of international importance</w:t>
            </w:r>
            <w:r w:rsidR="00645EC9" w:rsidRPr="00652B2F">
              <w:rPr>
                <w:b/>
                <w:szCs w:val="18"/>
              </w:rPr>
              <w:t>.</w:t>
            </w:r>
          </w:p>
          <w:p w14:paraId="557DCEB8" w14:textId="7C081D9F" w:rsidR="00CE3BBC" w:rsidRDefault="00CE3BBC" w:rsidP="00144BA2">
            <w:pPr>
              <w:pStyle w:val="BodyCopyNEW"/>
              <w:rPr>
                <w:bCs/>
                <w:szCs w:val="18"/>
              </w:rPr>
            </w:pPr>
            <w:r>
              <w:rPr>
                <w:bCs/>
                <w:szCs w:val="18"/>
              </w:rPr>
              <w:t xml:space="preserve">NOPSEMA maintains guidance on its website for titleholders making reference to consideration of the protection of the values of Ramsar </w:t>
            </w:r>
            <w:r w:rsidR="005A7793">
              <w:rPr>
                <w:bCs/>
                <w:szCs w:val="18"/>
              </w:rPr>
              <w:t>W</w:t>
            </w:r>
            <w:r>
              <w:rPr>
                <w:bCs/>
                <w:szCs w:val="18"/>
              </w:rPr>
              <w:t xml:space="preserve">etlands and refers to relevant guidance documents. </w:t>
            </w:r>
          </w:p>
          <w:p w14:paraId="56705EDB" w14:textId="77777777" w:rsidR="00CE3BBC" w:rsidRPr="009A0E24" w:rsidRDefault="00CE3BBC" w:rsidP="00144BA2">
            <w:pPr>
              <w:pStyle w:val="BodyCopyNEW"/>
              <w:rPr>
                <w:szCs w:val="18"/>
              </w:rPr>
            </w:pPr>
            <w:r>
              <w:rPr>
                <w:bCs/>
                <w:szCs w:val="18"/>
              </w:rPr>
              <w:t>NOPSEMA has a regular notification system with DAWE in relation to draft or final policy documents, guidelines, gazettal instruments and plans of management to ensure that assessments are compliant.</w:t>
            </w:r>
          </w:p>
        </w:tc>
      </w:tr>
      <w:tr w:rsidR="0097312F" w14:paraId="44461621" w14:textId="77777777" w:rsidTr="0088223A">
        <w:tc>
          <w:tcPr>
            <w:tcW w:w="315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3830A22B" w14:textId="0837D531" w:rsidR="00CE3BBC" w:rsidRPr="00F8487C" w:rsidRDefault="00B20CDC" w:rsidP="00144BA2">
            <w:pPr>
              <w:pStyle w:val="BodyCopyNEW"/>
              <w:rPr>
                <w:b/>
                <w:bCs/>
                <w:szCs w:val="18"/>
              </w:rPr>
            </w:pPr>
            <w:r>
              <w:rPr>
                <w:szCs w:val="18"/>
              </w:rPr>
              <w:lastRenderedPageBreak/>
              <w:t xml:space="preserve">Matter: </w:t>
            </w:r>
            <w:r w:rsidR="00CE3BBC" w:rsidRPr="00F8487C">
              <w:rPr>
                <w:b/>
                <w:bCs/>
                <w:szCs w:val="18"/>
              </w:rPr>
              <w:t>Listed threatened species and ecological communities</w:t>
            </w:r>
          </w:p>
          <w:p w14:paraId="3CCA0D42" w14:textId="51B21514" w:rsidR="00CE3BBC" w:rsidRPr="00F8487C" w:rsidRDefault="00B20CDC" w:rsidP="00144BA2">
            <w:pPr>
              <w:pStyle w:val="BodyCopyNEW"/>
              <w:rPr>
                <w:szCs w:val="18"/>
              </w:rPr>
            </w:pPr>
            <w:r>
              <w:rPr>
                <w:szCs w:val="18"/>
              </w:rPr>
              <w:t xml:space="preserve">Outcome: </w:t>
            </w:r>
            <w:r w:rsidR="00CE3BBC" w:rsidRPr="00F8487C">
              <w:rPr>
                <w:szCs w:val="18"/>
              </w:rPr>
              <w:t>The survival and conservation status of listed threatened species and ecological communities will be promoted and enhanced, including through the conservation of critical habitat and other measures contained in any recovery plans, threat abatement plans or conservation advices.</w:t>
            </w:r>
          </w:p>
          <w:p w14:paraId="2E6B7B50" w14:textId="77777777" w:rsidR="00CE3BBC" w:rsidRPr="00F8487C" w:rsidRDefault="00CE3BBC" w:rsidP="00144BA2">
            <w:pPr>
              <w:pStyle w:val="BodyCopyNEW"/>
              <w:rPr>
                <w:szCs w:val="18"/>
              </w:rPr>
            </w:pPr>
            <w:r w:rsidRPr="00F8487C">
              <w:rPr>
                <w:szCs w:val="18"/>
              </w:rPr>
              <w:t>Commitments:</w:t>
            </w:r>
          </w:p>
          <w:p w14:paraId="6C6679D6" w14:textId="77777777" w:rsidR="00CE3BBC" w:rsidRPr="00F8487C" w:rsidRDefault="00CE3BBC" w:rsidP="00CE3BBC">
            <w:pPr>
              <w:pStyle w:val="BodyBullet1"/>
              <w:numPr>
                <w:ilvl w:val="0"/>
                <w:numId w:val="37"/>
              </w:numPr>
              <w:ind w:left="426"/>
              <w:rPr>
                <w:szCs w:val="18"/>
              </w:rPr>
            </w:pPr>
            <w:r w:rsidRPr="00F8487C">
              <w:rPr>
                <w:szCs w:val="18"/>
              </w:rPr>
              <w:t>NOPSEMA will not accept an Environment Plan that proposes activities that will result in unacceptable impacts to a listed threatened species or ecological community</w:t>
            </w:r>
          </w:p>
          <w:p w14:paraId="325CF56A" w14:textId="77777777" w:rsidR="00CE3BBC" w:rsidRPr="00F8487C" w:rsidRDefault="00CE3BBC" w:rsidP="00CE3BBC">
            <w:pPr>
              <w:pStyle w:val="BodyBullet1"/>
              <w:numPr>
                <w:ilvl w:val="0"/>
                <w:numId w:val="37"/>
              </w:numPr>
              <w:ind w:left="426"/>
              <w:rPr>
                <w:szCs w:val="18"/>
              </w:rPr>
            </w:pPr>
            <w:r w:rsidRPr="00F8487C">
              <w:rPr>
                <w:szCs w:val="18"/>
              </w:rPr>
              <w:t>NOPSEMA will not accept an Environment Plan that is inconsistent with a recovery plan or threat abatement plan for a listed threatened species or ecological community</w:t>
            </w:r>
          </w:p>
          <w:p w14:paraId="333FA1ED" w14:textId="77777777" w:rsidR="00CE3BBC" w:rsidRPr="00F8487C" w:rsidRDefault="00CE3BBC" w:rsidP="00CE3BBC">
            <w:pPr>
              <w:pStyle w:val="BodyBullet1"/>
              <w:numPr>
                <w:ilvl w:val="0"/>
                <w:numId w:val="37"/>
              </w:numPr>
              <w:ind w:left="426"/>
              <w:rPr>
                <w:szCs w:val="18"/>
              </w:rPr>
            </w:pPr>
            <w:r w:rsidRPr="00F8487C">
              <w:rPr>
                <w:szCs w:val="18"/>
              </w:rPr>
              <w:t>NOPSEMA will have regard to any approved conservation advice in relation to a threatened species or ecological community before accepting an Environment Plan</w:t>
            </w:r>
          </w:p>
          <w:p w14:paraId="2B33C057" w14:textId="77777777" w:rsidR="00CE3BBC" w:rsidRPr="00F8487C" w:rsidRDefault="00CE3BBC" w:rsidP="00CE3BBC">
            <w:pPr>
              <w:pStyle w:val="BodyBullet1"/>
              <w:numPr>
                <w:ilvl w:val="0"/>
                <w:numId w:val="37"/>
              </w:numPr>
              <w:ind w:left="426"/>
              <w:rPr>
                <w:szCs w:val="18"/>
              </w:rPr>
            </w:pPr>
            <w:r w:rsidRPr="00F8487C">
              <w:rPr>
                <w:szCs w:val="18"/>
              </w:rPr>
              <w:t xml:space="preserve">NOPSEMA will develop guidance (that will be updated from time to time) that titleholders should have regard to in the preparation of their Environment Plans. The guidance will: </w:t>
            </w:r>
          </w:p>
          <w:p w14:paraId="7B6688C4" w14:textId="77777777" w:rsidR="00CE3BBC" w:rsidRPr="00F8487C" w:rsidRDefault="00CE3BBC" w:rsidP="00CE3BBC">
            <w:pPr>
              <w:pStyle w:val="BodyBullet1"/>
              <w:numPr>
                <w:ilvl w:val="1"/>
                <w:numId w:val="37"/>
              </w:numPr>
              <w:ind w:left="811" w:hanging="357"/>
              <w:rPr>
                <w:szCs w:val="18"/>
              </w:rPr>
            </w:pPr>
            <w:r w:rsidRPr="00F8487C">
              <w:rPr>
                <w:szCs w:val="18"/>
              </w:rPr>
              <w:t xml:space="preserve">Make reference to consideration of the listing category and protection of the listed threatened species or ecological community </w:t>
            </w:r>
          </w:p>
          <w:p w14:paraId="2799CC21" w14:textId="77777777" w:rsidR="00CE3BBC" w:rsidRPr="00F8487C" w:rsidRDefault="00CE3BBC" w:rsidP="00CE3BBC">
            <w:pPr>
              <w:pStyle w:val="BodyBullet1"/>
              <w:numPr>
                <w:ilvl w:val="1"/>
                <w:numId w:val="37"/>
              </w:numPr>
              <w:ind w:left="811" w:hanging="357"/>
              <w:rPr>
                <w:szCs w:val="18"/>
              </w:rPr>
            </w:pPr>
            <w:r w:rsidRPr="00F8487C">
              <w:rPr>
                <w:szCs w:val="18"/>
              </w:rPr>
              <w:t>Include references to relevant guidance documents to be considered by titleholders in preparing Environment Plans such as recovery plans, threat abatement plans, conservation advice and EPBC Act guidance documents</w:t>
            </w:r>
          </w:p>
          <w:p w14:paraId="5238CA74" w14:textId="77777777" w:rsidR="00CE3BBC" w:rsidRPr="00467786" w:rsidRDefault="00CE3BBC" w:rsidP="00CE3BBC">
            <w:pPr>
              <w:pStyle w:val="BodyBullet1"/>
              <w:numPr>
                <w:ilvl w:val="0"/>
                <w:numId w:val="37"/>
              </w:numPr>
              <w:ind w:left="426"/>
              <w:rPr>
                <w:szCs w:val="18"/>
              </w:rPr>
            </w:pPr>
            <w:r w:rsidRPr="00F8487C">
              <w:rPr>
                <w:szCs w:val="18"/>
              </w:rPr>
              <w:t xml:space="preserve">In undertaking assessments, NOPSEMA will have regard to relevant policy documents, recovery plans, threat abatement plans, conservation advice and guidelines on the </w:t>
            </w:r>
            <w:r>
              <w:rPr>
                <w:szCs w:val="18"/>
              </w:rPr>
              <w:t>[DAWE]</w:t>
            </w:r>
            <w:r w:rsidRPr="00F8487C">
              <w:rPr>
                <w:szCs w:val="18"/>
              </w:rPr>
              <w:t xml:space="preserve"> website.</w:t>
            </w:r>
          </w:p>
        </w:tc>
        <w:tc>
          <w:tcPr>
            <w:tcW w:w="184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67BBB462" w14:textId="5E655FF6" w:rsidR="00CE3BBC" w:rsidRPr="008D04AD" w:rsidRDefault="00CE3BBC" w:rsidP="00144BA2">
            <w:pPr>
              <w:pStyle w:val="BodyCopyNEW"/>
              <w:rPr>
                <w:i/>
                <w:szCs w:val="18"/>
              </w:rPr>
            </w:pPr>
            <w:r w:rsidRPr="00D90AB4">
              <w:rPr>
                <w:szCs w:val="18"/>
              </w:rPr>
              <w:t>Of t</w:t>
            </w:r>
            <w:r w:rsidRPr="00390EDC">
              <w:rPr>
                <w:szCs w:val="18"/>
              </w:rPr>
              <w:t>he</w:t>
            </w:r>
            <w:r w:rsidRPr="00652B2F">
              <w:rPr>
                <w:szCs w:val="18"/>
              </w:rPr>
              <w:t xml:space="preserve"> fauna incidents reported to NOPSEMA</w:t>
            </w:r>
            <w:r w:rsidR="0024700D">
              <w:rPr>
                <w:szCs w:val="18"/>
              </w:rPr>
              <w:t>,</w:t>
            </w:r>
            <w:r w:rsidRPr="00652B2F">
              <w:rPr>
                <w:szCs w:val="18"/>
              </w:rPr>
              <w:t xml:space="preserve"> only one was sufficiently severe to trigger a further investigation. The remaining fauna incidents were accidental in nature, involving very low numbers of individual animals and had no significant environmental impact as defined in </w:t>
            </w:r>
            <w:r w:rsidRPr="00F8487C">
              <w:rPr>
                <w:i/>
                <w:szCs w:val="18"/>
              </w:rPr>
              <w:t>EPBC Policy Statement 1.1.</w:t>
            </w:r>
          </w:p>
          <w:p w14:paraId="5EE10F1A" w14:textId="0FA5703F" w:rsidR="00B45D56" w:rsidRDefault="00B45D56" w:rsidP="00B72355">
            <w:pPr>
              <w:pStyle w:val="BodyCopyNEW"/>
              <w:rPr>
                <w:bCs/>
                <w:szCs w:val="18"/>
              </w:rPr>
            </w:pPr>
            <w:r w:rsidRPr="00D90AB4">
              <w:rPr>
                <w:szCs w:val="18"/>
              </w:rPr>
              <w:t xml:space="preserve">The single fauna related major investigation conducted in 2018 </w:t>
            </w:r>
            <w:r w:rsidRPr="00390EDC">
              <w:rPr>
                <w:szCs w:val="18"/>
              </w:rPr>
              <w:t>was triggered because of the deliberate killing of an Australian fur seal (</w:t>
            </w:r>
            <w:r>
              <w:rPr>
                <w:szCs w:val="18"/>
              </w:rPr>
              <w:t>‘</w:t>
            </w:r>
            <w:r w:rsidRPr="00390EDC">
              <w:rPr>
                <w:szCs w:val="18"/>
              </w:rPr>
              <w:t>listed marine</w:t>
            </w:r>
            <w:r>
              <w:rPr>
                <w:szCs w:val="18"/>
              </w:rPr>
              <w:t xml:space="preserve"> species</w:t>
            </w:r>
            <w:r w:rsidRPr="00390EDC">
              <w:rPr>
                <w:szCs w:val="18"/>
              </w:rPr>
              <w:t>’ under the EPBC Act) on an offshore platform in 2018. The matter was investigated by NOPSEMA and handed</w:t>
            </w:r>
            <w:r w:rsidRPr="00652B2F">
              <w:rPr>
                <w:szCs w:val="18"/>
              </w:rPr>
              <w:t xml:space="preserve"> over to DAWE for consideration of further enforcement action under the EPBC Act</w:t>
            </w:r>
            <w:r>
              <w:rPr>
                <w:szCs w:val="18"/>
              </w:rPr>
              <w:t>.</w:t>
            </w:r>
          </w:p>
          <w:p w14:paraId="3A4E97B1" w14:textId="7EA018B7" w:rsidR="00B72355" w:rsidRDefault="00B72355" w:rsidP="00B72355">
            <w:pPr>
              <w:pStyle w:val="BodyCopyNEW"/>
              <w:rPr>
                <w:bCs/>
                <w:szCs w:val="18"/>
              </w:rPr>
            </w:pPr>
            <w:r>
              <w:rPr>
                <w:bCs/>
                <w:szCs w:val="18"/>
              </w:rPr>
              <w:t xml:space="preserve">Case studies reviewed give consideration to </w:t>
            </w:r>
            <w:r w:rsidR="00A33716">
              <w:rPr>
                <w:bCs/>
                <w:szCs w:val="18"/>
              </w:rPr>
              <w:t>Recovery Plans</w:t>
            </w:r>
            <w:r>
              <w:rPr>
                <w:bCs/>
                <w:szCs w:val="18"/>
              </w:rPr>
              <w:t xml:space="preserve"> and threat abatement plans for listed threatened species and provide information to support that activities are not inconsistent with such plans. </w:t>
            </w:r>
          </w:p>
          <w:p w14:paraId="2703F130" w14:textId="7ED41DD9" w:rsidR="00CE3BBC" w:rsidRDefault="00CE3BBC" w:rsidP="00144BA2">
            <w:pPr>
              <w:pStyle w:val="BodyCopyNEW"/>
              <w:rPr>
                <w:bCs/>
                <w:szCs w:val="18"/>
              </w:rPr>
            </w:pPr>
            <w:r>
              <w:rPr>
                <w:bCs/>
                <w:szCs w:val="18"/>
              </w:rPr>
              <w:t>Accordingly, b</w:t>
            </w:r>
            <w:r w:rsidRPr="00A97263">
              <w:rPr>
                <w:bCs/>
                <w:szCs w:val="18"/>
              </w:rPr>
              <w:t xml:space="preserve">ased on the case studies </w:t>
            </w:r>
            <w:r>
              <w:rPr>
                <w:bCs/>
                <w:szCs w:val="18"/>
              </w:rPr>
              <w:t xml:space="preserve">we examined (particularly </w:t>
            </w:r>
            <w:r w:rsidR="00874FB3">
              <w:rPr>
                <w:bCs/>
                <w:szCs w:val="18"/>
              </w:rPr>
              <w:t xml:space="preserve">ref. </w:t>
            </w:r>
            <w:r w:rsidR="00D77386">
              <w:rPr>
                <w:bCs/>
                <w:szCs w:val="18"/>
              </w:rPr>
              <w:t>CS006</w:t>
            </w:r>
            <w:r>
              <w:rPr>
                <w:bCs/>
                <w:szCs w:val="18"/>
              </w:rPr>
              <w:t xml:space="preserve">, </w:t>
            </w:r>
            <w:r w:rsidR="00874FB3">
              <w:rPr>
                <w:bCs/>
                <w:szCs w:val="18"/>
              </w:rPr>
              <w:t>CS007</w:t>
            </w:r>
            <w:r>
              <w:rPr>
                <w:bCs/>
                <w:szCs w:val="18"/>
              </w:rPr>
              <w:t xml:space="preserve">, </w:t>
            </w:r>
            <w:r w:rsidR="00FE6027">
              <w:rPr>
                <w:bCs/>
                <w:szCs w:val="18"/>
              </w:rPr>
              <w:t>CS008</w:t>
            </w:r>
            <w:r>
              <w:rPr>
                <w:bCs/>
                <w:szCs w:val="18"/>
              </w:rPr>
              <w:t xml:space="preserve">, </w:t>
            </w:r>
            <w:r w:rsidR="009C4BDD">
              <w:rPr>
                <w:bCs/>
                <w:szCs w:val="18"/>
              </w:rPr>
              <w:t>CS009</w:t>
            </w:r>
            <w:r>
              <w:rPr>
                <w:bCs/>
                <w:szCs w:val="18"/>
              </w:rPr>
              <w:t xml:space="preserve"> and </w:t>
            </w:r>
            <w:r w:rsidR="00A47A25">
              <w:rPr>
                <w:bCs/>
                <w:szCs w:val="18"/>
              </w:rPr>
              <w:t>CS010</w:t>
            </w:r>
            <w:r>
              <w:rPr>
                <w:bCs/>
                <w:szCs w:val="18"/>
              </w:rPr>
              <w:t>)</w:t>
            </w:r>
            <w:r w:rsidRPr="00A97263">
              <w:rPr>
                <w:bCs/>
                <w:szCs w:val="18"/>
              </w:rPr>
              <w:t xml:space="preserve"> and</w:t>
            </w:r>
            <w:r>
              <w:rPr>
                <w:bCs/>
                <w:szCs w:val="18"/>
              </w:rPr>
              <w:t xml:space="preserve"> relevant guidelines </w:t>
            </w:r>
            <w:r w:rsidRPr="00A97263">
              <w:rPr>
                <w:bCs/>
                <w:szCs w:val="18"/>
              </w:rPr>
              <w:t xml:space="preserve">and materials we examined, </w:t>
            </w:r>
            <w:r w:rsidRPr="00652B2F">
              <w:rPr>
                <w:b/>
                <w:szCs w:val="18"/>
              </w:rPr>
              <w:t>NOPSEMA ha</w:t>
            </w:r>
            <w:r w:rsidR="00F818AF">
              <w:rPr>
                <w:b/>
                <w:szCs w:val="18"/>
              </w:rPr>
              <w:t>s</w:t>
            </w:r>
            <w:r w:rsidRPr="00652B2F">
              <w:rPr>
                <w:b/>
                <w:szCs w:val="18"/>
              </w:rPr>
              <w:t xml:space="preserve"> met </w:t>
            </w:r>
            <w:r>
              <w:rPr>
                <w:b/>
                <w:szCs w:val="18"/>
              </w:rPr>
              <w:t>its</w:t>
            </w:r>
            <w:r w:rsidRPr="00652B2F">
              <w:rPr>
                <w:b/>
                <w:szCs w:val="18"/>
              </w:rPr>
              <w:t xml:space="preserve"> respective obligations as outlined in the Endorsed Program during the review period</w:t>
            </w:r>
            <w:r>
              <w:rPr>
                <w:b/>
                <w:szCs w:val="18"/>
              </w:rPr>
              <w:t xml:space="preserve"> in relation to l</w:t>
            </w:r>
            <w:r w:rsidRPr="00125652">
              <w:rPr>
                <w:b/>
                <w:szCs w:val="18"/>
              </w:rPr>
              <w:t>isted threatened species and ecological communities</w:t>
            </w:r>
            <w:r w:rsidRPr="00652B2F">
              <w:rPr>
                <w:b/>
                <w:szCs w:val="18"/>
              </w:rPr>
              <w:t>.</w:t>
            </w:r>
            <w:r w:rsidRPr="00A97263">
              <w:rPr>
                <w:bCs/>
                <w:szCs w:val="18"/>
              </w:rPr>
              <w:t xml:space="preserve"> </w:t>
            </w:r>
          </w:p>
          <w:p w14:paraId="5D489341" w14:textId="77777777" w:rsidR="00CE3BBC" w:rsidRPr="009A0E24" w:rsidRDefault="00CE3BBC" w:rsidP="00144BA2">
            <w:pPr>
              <w:pStyle w:val="BodyCopyNEW"/>
              <w:rPr>
                <w:szCs w:val="18"/>
              </w:rPr>
            </w:pPr>
          </w:p>
        </w:tc>
      </w:tr>
      <w:tr w:rsidR="0097312F" w14:paraId="26431920" w14:textId="77777777" w:rsidTr="0088223A">
        <w:tc>
          <w:tcPr>
            <w:tcW w:w="315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4FCBD0F2" w14:textId="4CA853C8" w:rsidR="00CE3BBC" w:rsidRPr="006A681F" w:rsidRDefault="00B20CDC" w:rsidP="00144BA2">
            <w:pPr>
              <w:pStyle w:val="BodyCopyNEW"/>
              <w:rPr>
                <w:b/>
                <w:bCs/>
                <w:szCs w:val="18"/>
              </w:rPr>
            </w:pPr>
            <w:r w:rsidRPr="006A681F">
              <w:rPr>
                <w:szCs w:val="18"/>
              </w:rPr>
              <w:t xml:space="preserve">Matter: </w:t>
            </w:r>
            <w:r w:rsidR="00CE3BBC" w:rsidRPr="006A681F">
              <w:rPr>
                <w:b/>
                <w:bCs/>
                <w:szCs w:val="18"/>
              </w:rPr>
              <w:t>Listed migratory species</w:t>
            </w:r>
          </w:p>
          <w:p w14:paraId="591BAF66" w14:textId="6AB67AD1" w:rsidR="00CE3BBC" w:rsidRPr="006A681F" w:rsidRDefault="00B20CDC" w:rsidP="00144BA2">
            <w:pPr>
              <w:pStyle w:val="BodyCopyNEW"/>
              <w:rPr>
                <w:szCs w:val="18"/>
              </w:rPr>
            </w:pPr>
            <w:r w:rsidRPr="006A681F">
              <w:rPr>
                <w:szCs w:val="18"/>
              </w:rPr>
              <w:t xml:space="preserve">Outcome: </w:t>
            </w:r>
            <w:r w:rsidR="00CE3BBC" w:rsidRPr="006A681F">
              <w:rPr>
                <w:szCs w:val="18"/>
              </w:rPr>
              <w:t>The survival and conservation status of listed migratory species and their critical habitat will be promoted and enhanced.</w:t>
            </w:r>
          </w:p>
          <w:p w14:paraId="1624D3F1" w14:textId="77777777" w:rsidR="00CE3BBC" w:rsidRPr="006A681F" w:rsidRDefault="00CE3BBC" w:rsidP="00144BA2">
            <w:pPr>
              <w:pStyle w:val="BodyCopyNEW"/>
              <w:rPr>
                <w:szCs w:val="18"/>
              </w:rPr>
            </w:pPr>
            <w:r w:rsidRPr="006A681F">
              <w:rPr>
                <w:szCs w:val="18"/>
              </w:rPr>
              <w:t>Commitments:</w:t>
            </w:r>
          </w:p>
          <w:p w14:paraId="1DE39002" w14:textId="77777777" w:rsidR="00CE3BBC" w:rsidRPr="006A681F" w:rsidRDefault="00CE3BBC" w:rsidP="00CE3BBC">
            <w:pPr>
              <w:pStyle w:val="BodyBullet1"/>
              <w:numPr>
                <w:ilvl w:val="0"/>
                <w:numId w:val="37"/>
              </w:numPr>
              <w:ind w:left="426"/>
              <w:rPr>
                <w:szCs w:val="18"/>
              </w:rPr>
            </w:pPr>
            <w:r w:rsidRPr="006A681F">
              <w:rPr>
                <w:szCs w:val="18"/>
              </w:rPr>
              <w:t>NOPSEMA will not accept an Environment Plan that proposes activities that will result in unacceptable impacts to a migratory species or an area of important habitat for a migratory species</w:t>
            </w:r>
          </w:p>
          <w:p w14:paraId="3E184CD5" w14:textId="77777777" w:rsidR="00CE3BBC" w:rsidRPr="006A681F" w:rsidRDefault="00CE3BBC" w:rsidP="00CE3BBC">
            <w:pPr>
              <w:pStyle w:val="BodyBullet1"/>
              <w:numPr>
                <w:ilvl w:val="0"/>
                <w:numId w:val="37"/>
              </w:numPr>
              <w:ind w:left="426"/>
              <w:rPr>
                <w:szCs w:val="18"/>
              </w:rPr>
            </w:pPr>
            <w:r w:rsidRPr="006A681F">
              <w:rPr>
                <w:szCs w:val="18"/>
              </w:rPr>
              <w:t xml:space="preserve">NOPSEMA will develop guidance (that will be updated from time to time) that titleholders should have regard to in the preparation of their Environment Plans. The guidance will: </w:t>
            </w:r>
          </w:p>
          <w:p w14:paraId="45485262" w14:textId="77777777" w:rsidR="00CE3BBC" w:rsidRPr="006A681F" w:rsidRDefault="00CE3BBC" w:rsidP="00CE3BBC">
            <w:pPr>
              <w:pStyle w:val="BodyBullet1"/>
              <w:numPr>
                <w:ilvl w:val="1"/>
                <w:numId w:val="37"/>
              </w:numPr>
              <w:ind w:left="811" w:hanging="357"/>
              <w:rPr>
                <w:szCs w:val="18"/>
              </w:rPr>
            </w:pPr>
            <w:r w:rsidRPr="006A681F">
              <w:rPr>
                <w:szCs w:val="18"/>
              </w:rPr>
              <w:t xml:space="preserve">Make reference to consideration and protection of the listed migratory species </w:t>
            </w:r>
          </w:p>
          <w:p w14:paraId="028D4CA0" w14:textId="77777777" w:rsidR="00CE3BBC" w:rsidRPr="006A681F" w:rsidRDefault="00CE3BBC" w:rsidP="00CE3BBC">
            <w:pPr>
              <w:pStyle w:val="BodyBullet1"/>
              <w:numPr>
                <w:ilvl w:val="1"/>
                <w:numId w:val="37"/>
              </w:numPr>
              <w:ind w:left="811" w:hanging="357"/>
              <w:rPr>
                <w:szCs w:val="18"/>
              </w:rPr>
            </w:pPr>
            <w:r w:rsidRPr="006A681F">
              <w:rPr>
                <w:szCs w:val="18"/>
              </w:rPr>
              <w:lastRenderedPageBreak/>
              <w:t>Include references to relevant guidance documents to be considered by titleholders in preparing Environment Plans such as wildlife conservation plans, and EPBC Act guidance documents</w:t>
            </w:r>
          </w:p>
          <w:p w14:paraId="01C1537F" w14:textId="77777777" w:rsidR="00CE3BBC" w:rsidRPr="006A681F" w:rsidRDefault="00CE3BBC" w:rsidP="00CE3BBC">
            <w:pPr>
              <w:pStyle w:val="BodyBullet1"/>
              <w:numPr>
                <w:ilvl w:val="0"/>
                <w:numId w:val="37"/>
              </w:numPr>
              <w:ind w:left="426"/>
              <w:rPr>
                <w:szCs w:val="18"/>
              </w:rPr>
            </w:pPr>
            <w:r w:rsidRPr="006A681F">
              <w:rPr>
                <w:szCs w:val="18"/>
              </w:rPr>
              <w:t>In undertaking assessments, NOPSEMA will have regard to relevant policy documents, wildlife conservation plans and guidelines on the [DAWE] website.</w:t>
            </w:r>
          </w:p>
        </w:tc>
        <w:tc>
          <w:tcPr>
            <w:tcW w:w="184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4141E493" w14:textId="320DFF48" w:rsidR="00806676" w:rsidRPr="006A681F" w:rsidRDefault="00806676" w:rsidP="00806676">
            <w:pPr>
              <w:pStyle w:val="BodyCopyNEW"/>
              <w:rPr>
                <w:szCs w:val="18"/>
              </w:rPr>
            </w:pPr>
            <w:r w:rsidRPr="006A681F">
              <w:rPr>
                <w:szCs w:val="18"/>
              </w:rPr>
              <w:lastRenderedPageBreak/>
              <w:t>Case studies (including ref</w:t>
            </w:r>
            <w:r w:rsidR="006A681F" w:rsidRPr="006A681F">
              <w:rPr>
                <w:szCs w:val="18"/>
              </w:rPr>
              <w:t>.</w:t>
            </w:r>
            <w:r w:rsidRPr="006A681F">
              <w:rPr>
                <w:szCs w:val="18"/>
              </w:rPr>
              <w:t xml:space="preserve"> CS007 and in examples of OPPs) showed consideration of listed migratory species including some species of whales and birds. NOPSEMA’s assessment process includes focused assessment on such matters of national environmental significance and consideration of important habitats including</w:t>
            </w:r>
            <w:r w:rsidR="009160C3">
              <w:rPr>
                <w:szCs w:val="18"/>
              </w:rPr>
              <w:t>, but not limited to,</w:t>
            </w:r>
            <w:r w:rsidRPr="006A681F">
              <w:rPr>
                <w:szCs w:val="18"/>
              </w:rPr>
              <w:t xml:space="preserve"> migratory corridors</w:t>
            </w:r>
            <w:r w:rsidR="009160C3">
              <w:rPr>
                <w:szCs w:val="18"/>
              </w:rPr>
              <w:t xml:space="preserve"> and </w:t>
            </w:r>
            <w:r w:rsidRPr="006A681F">
              <w:rPr>
                <w:szCs w:val="18"/>
              </w:rPr>
              <w:t>breeding islands.</w:t>
            </w:r>
          </w:p>
          <w:p w14:paraId="70ACD98C" w14:textId="77777777" w:rsidR="00CE3BBC" w:rsidRPr="006A681F" w:rsidRDefault="00CE3BBC" w:rsidP="00144BA2">
            <w:pPr>
              <w:pStyle w:val="BodyCopyNEW"/>
              <w:rPr>
                <w:i/>
                <w:szCs w:val="18"/>
              </w:rPr>
            </w:pPr>
            <w:r w:rsidRPr="006A681F">
              <w:rPr>
                <w:szCs w:val="18"/>
              </w:rPr>
              <w:t xml:space="preserve">Of the fauna incidents reported to NOPSEMA only one was sufficiently severe to trigger a further investigation. The remaining fauna incidents were accidental in nature, involving very low numbers of individual animals and had no significant environmental impact as defined in </w:t>
            </w:r>
            <w:r w:rsidRPr="006A681F">
              <w:rPr>
                <w:i/>
                <w:szCs w:val="18"/>
              </w:rPr>
              <w:t>EPBC Policy Statement 1.1.</w:t>
            </w:r>
          </w:p>
          <w:p w14:paraId="792DA0D0" w14:textId="20862772" w:rsidR="00CE3BBC" w:rsidRPr="006A681F" w:rsidRDefault="00CE3BBC" w:rsidP="00144BA2">
            <w:pPr>
              <w:pStyle w:val="BodyCopyNEW"/>
              <w:rPr>
                <w:szCs w:val="18"/>
              </w:rPr>
            </w:pPr>
            <w:r w:rsidRPr="006A681F">
              <w:rPr>
                <w:szCs w:val="18"/>
              </w:rPr>
              <w:lastRenderedPageBreak/>
              <w:t>No other fauna</w:t>
            </w:r>
            <w:r w:rsidR="008C2CD2">
              <w:rPr>
                <w:szCs w:val="18"/>
              </w:rPr>
              <w:t>-</w:t>
            </w:r>
            <w:r w:rsidRPr="006A681F">
              <w:rPr>
                <w:szCs w:val="18"/>
              </w:rPr>
              <w:t xml:space="preserve">related major investigations were required during the reporting period. </w:t>
            </w:r>
          </w:p>
          <w:p w14:paraId="667F33B6" w14:textId="77777777" w:rsidR="00CE3BBC" w:rsidRPr="006A681F" w:rsidRDefault="00CE3BBC" w:rsidP="00144BA2">
            <w:pPr>
              <w:pStyle w:val="BodyCopyNEW"/>
              <w:rPr>
                <w:szCs w:val="18"/>
              </w:rPr>
            </w:pPr>
            <w:r w:rsidRPr="006A681F">
              <w:rPr>
                <w:szCs w:val="18"/>
              </w:rPr>
              <w:t>NOPSEMA completes major investigations where there is a significant threat to the environment.</w:t>
            </w:r>
          </w:p>
          <w:p w14:paraId="5FADB69A" w14:textId="2213EE47" w:rsidR="00CE3BBC" w:rsidRPr="006A681F" w:rsidRDefault="00CE3BBC" w:rsidP="00144BA2">
            <w:pPr>
              <w:pStyle w:val="BodyCopyNEW"/>
              <w:rPr>
                <w:bCs/>
                <w:szCs w:val="18"/>
              </w:rPr>
            </w:pPr>
            <w:r w:rsidRPr="006A681F">
              <w:rPr>
                <w:bCs/>
                <w:szCs w:val="18"/>
              </w:rPr>
              <w:t xml:space="preserve">Accordingly, based on the case studies and materials we examined, </w:t>
            </w:r>
            <w:r w:rsidRPr="006A681F">
              <w:rPr>
                <w:b/>
                <w:szCs w:val="18"/>
              </w:rPr>
              <w:t xml:space="preserve">NOPSEMA </w:t>
            </w:r>
            <w:r w:rsidR="00713D25">
              <w:rPr>
                <w:b/>
                <w:szCs w:val="18"/>
              </w:rPr>
              <w:t>has</w:t>
            </w:r>
            <w:r w:rsidRPr="006A681F">
              <w:rPr>
                <w:b/>
                <w:szCs w:val="18"/>
              </w:rPr>
              <w:t xml:space="preserve"> met its respective obligations as outlined in the Endorsed Program during the review period in relation to listed migratory species.</w:t>
            </w:r>
            <w:r w:rsidRPr="006A681F">
              <w:rPr>
                <w:bCs/>
                <w:szCs w:val="18"/>
              </w:rPr>
              <w:t xml:space="preserve"> </w:t>
            </w:r>
          </w:p>
        </w:tc>
      </w:tr>
      <w:tr w:rsidR="0097312F" w14:paraId="65630B65" w14:textId="77777777" w:rsidTr="0088223A">
        <w:tc>
          <w:tcPr>
            <w:tcW w:w="315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772798AB" w14:textId="169D8E17" w:rsidR="00CE3BBC" w:rsidRPr="00886B5A" w:rsidRDefault="00B20CDC" w:rsidP="00144BA2">
            <w:pPr>
              <w:pStyle w:val="BodyCopyNEW"/>
              <w:rPr>
                <w:b/>
                <w:bCs/>
                <w:szCs w:val="18"/>
              </w:rPr>
            </w:pPr>
            <w:r>
              <w:rPr>
                <w:szCs w:val="18"/>
              </w:rPr>
              <w:lastRenderedPageBreak/>
              <w:t xml:space="preserve">Matter: </w:t>
            </w:r>
            <w:r w:rsidR="00CE3BBC" w:rsidRPr="00886B5A">
              <w:rPr>
                <w:b/>
                <w:bCs/>
                <w:szCs w:val="18"/>
              </w:rPr>
              <w:t xml:space="preserve">Commonwealth </w:t>
            </w:r>
            <w:r w:rsidR="003909DC">
              <w:rPr>
                <w:b/>
                <w:bCs/>
                <w:szCs w:val="18"/>
              </w:rPr>
              <w:t>M</w:t>
            </w:r>
            <w:r w:rsidR="00CE3BBC" w:rsidRPr="00886B5A">
              <w:rPr>
                <w:b/>
                <w:bCs/>
                <w:szCs w:val="18"/>
              </w:rPr>
              <w:t xml:space="preserve">arine </w:t>
            </w:r>
            <w:r w:rsidR="003909DC">
              <w:rPr>
                <w:b/>
                <w:bCs/>
                <w:szCs w:val="18"/>
              </w:rPr>
              <w:t>A</w:t>
            </w:r>
            <w:r w:rsidR="00CE3BBC" w:rsidRPr="00886B5A">
              <w:rPr>
                <w:b/>
                <w:bCs/>
                <w:szCs w:val="18"/>
              </w:rPr>
              <w:t>rea</w:t>
            </w:r>
          </w:p>
          <w:p w14:paraId="4518D33A" w14:textId="6E890527" w:rsidR="00CE3BBC" w:rsidRPr="00886B5A" w:rsidRDefault="00B20CDC" w:rsidP="00144BA2">
            <w:pPr>
              <w:pStyle w:val="BodyCopyNEW"/>
              <w:rPr>
                <w:szCs w:val="18"/>
              </w:rPr>
            </w:pPr>
            <w:r>
              <w:rPr>
                <w:szCs w:val="18"/>
              </w:rPr>
              <w:t xml:space="preserve">Outcome: </w:t>
            </w:r>
            <w:r w:rsidR="00CE3BBC" w:rsidRPr="00886B5A">
              <w:rPr>
                <w:szCs w:val="18"/>
              </w:rPr>
              <w:t xml:space="preserve">The environment of Commonwealth </w:t>
            </w:r>
            <w:r w:rsidR="003909DC">
              <w:rPr>
                <w:szCs w:val="18"/>
              </w:rPr>
              <w:t>M</w:t>
            </w:r>
            <w:r w:rsidR="00CE3BBC" w:rsidRPr="00886B5A">
              <w:rPr>
                <w:szCs w:val="18"/>
              </w:rPr>
              <w:t xml:space="preserve">arine </w:t>
            </w:r>
            <w:r w:rsidR="003909DC">
              <w:rPr>
                <w:szCs w:val="18"/>
              </w:rPr>
              <w:t>A</w:t>
            </w:r>
            <w:r w:rsidR="00CE3BBC" w:rsidRPr="00886B5A">
              <w:rPr>
                <w:szCs w:val="18"/>
              </w:rPr>
              <w:t>reas will be maintained and protected in conformity with relevant marine bioregional plans and plans of management for relevant Commonwealth reserves.</w:t>
            </w:r>
          </w:p>
          <w:p w14:paraId="646C42B1" w14:textId="77777777" w:rsidR="00CE3BBC" w:rsidRPr="00886B5A" w:rsidRDefault="00CE3BBC" w:rsidP="00144BA2">
            <w:pPr>
              <w:pStyle w:val="BodyCopyNEW"/>
              <w:rPr>
                <w:szCs w:val="18"/>
              </w:rPr>
            </w:pPr>
            <w:r w:rsidRPr="00886B5A">
              <w:rPr>
                <w:szCs w:val="18"/>
              </w:rPr>
              <w:t>Commitments:</w:t>
            </w:r>
          </w:p>
          <w:p w14:paraId="28476C59" w14:textId="179A4673" w:rsidR="00CE3BBC" w:rsidRPr="00886B5A" w:rsidRDefault="00CE3BBC" w:rsidP="00CE3BBC">
            <w:pPr>
              <w:pStyle w:val="BodyBullet1"/>
              <w:numPr>
                <w:ilvl w:val="0"/>
                <w:numId w:val="37"/>
              </w:numPr>
              <w:ind w:left="426"/>
              <w:rPr>
                <w:szCs w:val="18"/>
              </w:rPr>
            </w:pPr>
            <w:r w:rsidRPr="00886B5A">
              <w:rPr>
                <w:szCs w:val="18"/>
              </w:rPr>
              <w:t xml:space="preserve">NOPSEMA will not accept an Environment Plan that proposes activities that will result in unacceptable impacts to the environment of a Commonwealth </w:t>
            </w:r>
            <w:r w:rsidR="003909DC">
              <w:rPr>
                <w:szCs w:val="18"/>
              </w:rPr>
              <w:t>M</w:t>
            </w:r>
            <w:r w:rsidRPr="00886B5A">
              <w:rPr>
                <w:szCs w:val="18"/>
              </w:rPr>
              <w:t xml:space="preserve">arine </w:t>
            </w:r>
            <w:r w:rsidR="003909DC">
              <w:rPr>
                <w:szCs w:val="18"/>
              </w:rPr>
              <w:t>A</w:t>
            </w:r>
            <w:r w:rsidRPr="00886B5A">
              <w:rPr>
                <w:szCs w:val="18"/>
              </w:rPr>
              <w:t>rea</w:t>
            </w:r>
          </w:p>
          <w:p w14:paraId="57146953" w14:textId="77777777" w:rsidR="00CE3BBC" w:rsidRPr="00886B5A" w:rsidRDefault="00CE3BBC" w:rsidP="00CE3BBC">
            <w:pPr>
              <w:pStyle w:val="BodyBullet1"/>
              <w:numPr>
                <w:ilvl w:val="0"/>
                <w:numId w:val="37"/>
              </w:numPr>
              <w:ind w:left="426"/>
              <w:rPr>
                <w:szCs w:val="18"/>
              </w:rPr>
            </w:pPr>
            <w:r w:rsidRPr="00886B5A">
              <w:rPr>
                <w:szCs w:val="18"/>
              </w:rPr>
              <w:t>NOPSEMA will have regard to any relevant bioregional plan and not act inconsistently with a plan of management for a Commonwealth reserve or a Commonwealth Heritage place in deciding whether or not to accept an Environment Plan</w:t>
            </w:r>
          </w:p>
          <w:p w14:paraId="45196A92" w14:textId="77777777" w:rsidR="00CE3BBC" w:rsidRPr="00886B5A" w:rsidRDefault="00CE3BBC" w:rsidP="00CE3BBC">
            <w:pPr>
              <w:pStyle w:val="BodyBullet1"/>
              <w:numPr>
                <w:ilvl w:val="0"/>
                <w:numId w:val="37"/>
              </w:numPr>
              <w:ind w:left="426"/>
              <w:rPr>
                <w:szCs w:val="18"/>
              </w:rPr>
            </w:pPr>
            <w:r w:rsidRPr="00886B5A">
              <w:rPr>
                <w:szCs w:val="18"/>
              </w:rPr>
              <w:t xml:space="preserve">If there is no plan of management for a Commonwealth reserve, then NOPSEMA will ensure that acceptance of an Environment Plan is not inconsistent with the IUCN reserve management principles </w:t>
            </w:r>
          </w:p>
          <w:p w14:paraId="7B1A3F92" w14:textId="77777777" w:rsidR="00CE3BBC" w:rsidRPr="00886B5A" w:rsidRDefault="00CE3BBC" w:rsidP="00CE3BBC">
            <w:pPr>
              <w:pStyle w:val="BodyBullet1"/>
              <w:numPr>
                <w:ilvl w:val="0"/>
                <w:numId w:val="37"/>
              </w:numPr>
              <w:ind w:left="426"/>
              <w:rPr>
                <w:szCs w:val="18"/>
              </w:rPr>
            </w:pPr>
            <w:r w:rsidRPr="00886B5A">
              <w:rPr>
                <w:szCs w:val="18"/>
              </w:rPr>
              <w:t>If there is no plan of management for a Commonwealth Heritage place, then NOPSEMA will take all reasonable steps to ensure that any accepted Environment Plan that refers to the place is not inconsistent with the Commonwealth Heritage management principles</w:t>
            </w:r>
          </w:p>
          <w:p w14:paraId="3905D0C1" w14:textId="77777777" w:rsidR="00CE3BBC" w:rsidRPr="00886B5A" w:rsidRDefault="00CE3BBC" w:rsidP="00CE3BBC">
            <w:pPr>
              <w:pStyle w:val="BodyBullet1"/>
              <w:numPr>
                <w:ilvl w:val="0"/>
                <w:numId w:val="37"/>
              </w:numPr>
              <w:ind w:left="426"/>
              <w:rPr>
                <w:szCs w:val="18"/>
              </w:rPr>
            </w:pPr>
            <w:r w:rsidRPr="00886B5A">
              <w:rPr>
                <w:szCs w:val="18"/>
              </w:rPr>
              <w:t xml:space="preserve">NOPSEMA will develop guidance (that will be updated from time to time) that titleholders should have regard to in the preparation of their Environment Plans. The guidance will: </w:t>
            </w:r>
          </w:p>
          <w:p w14:paraId="2F265AC0" w14:textId="71762BBB" w:rsidR="00CE3BBC" w:rsidRPr="00886B5A" w:rsidRDefault="00CE3BBC" w:rsidP="00CE3BBC">
            <w:pPr>
              <w:pStyle w:val="BodyBullet1"/>
              <w:numPr>
                <w:ilvl w:val="1"/>
                <w:numId w:val="37"/>
              </w:numPr>
              <w:ind w:left="811" w:hanging="357"/>
              <w:rPr>
                <w:szCs w:val="18"/>
              </w:rPr>
            </w:pPr>
            <w:r w:rsidRPr="00886B5A">
              <w:rPr>
                <w:szCs w:val="18"/>
              </w:rPr>
              <w:t xml:space="preserve">Make reference to consideration of the environment of the Commonwealth </w:t>
            </w:r>
            <w:r w:rsidR="003909DC">
              <w:rPr>
                <w:szCs w:val="18"/>
              </w:rPr>
              <w:t>M</w:t>
            </w:r>
            <w:r w:rsidRPr="00886B5A">
              <w:rPr>
                <w:szCs w:val="18"/>
              </w:rPr>
              <w:t xml:space="preserve">arine </w:t>
            </w:r>
            <w:r w:rsidR="003909DC">
              <w:rPr>
                <w:szCs w:val="18"/>
              </w:rPr>
              <w:t>A</w:t>
            </w:r>
            <w:r w:rsidRPr="00886B5A">
              <w:rPr>
                <w:szCs w:val="18"/>
              </w:rPr>
              <w:t xml:space="preserve">rea </w:t>
            </w:r>
          </w:p>
          <w:p w14:paraId="6D743B08" w14:textId="77777777" w:rsidR="00CE3BBC" w:rsidRPr="00886B5A" w:rsidRDefault="00CE3BBC" w:rsidP="00CE3BBC">
            <w:pPr>
              <w:pStyle w:val="BodyBullet1"/>
              <w:numPr>
                <w:ilvl w:val="1"/>
                <w:numId w:val="37"/>
              </w:numPr>
              <w:ind w:left="811" w:hanging="357"/>
              <w:rPr>
                <w:szCs w:val="18"/>
              </w:rPr>
            </w:pPr>
            <w:r w:rsidRPr="00886B5A">
              <w:rPr>
                <w:szCs w:val="18"/>
              </w:rPr>
              <w:t>Include references to relevant guidance documents to be considered by titleholders in preparing Environment Plans such as gazettal instruments, bioregional plans, wildlife conservation plans, plans of management and EPBC Act guidance documents</w:t>
            </w:r>
          </w:p>
          <w:p w14:paraId="1F09A675" w14:textId="77777777" w:rsidR="00CE3BBC" w:rsidRPr="009A0E24" w:rsidRDefault="00CE3BBC" w:rsidP="00CE3BBC">
            <w:pPr>
              <w:pStyle w:val="BodyBullet1"/>
              <w:numPr>
                <w:ilvl w:val="0"/>
                <w:numId w:val="37"/>
              </w:numPr>
              <w:ind w:left="426"/>
              <w:rPr>
                <w:szCs w:val="18"/>
              </w:rPr>
            </w:pPr>
            <w:r w:rsidRPr="00886B5A">
              <w:rPr>
                <w:szCs w:val="18"/>
              </w:rPr>
              <w:t xml:space="preserve">In undertaking assessments, NOPSEMA will have regard to relevant policy documents, gazettal instruments, bioregional plans, wildlife conservation plans, plans of management and EPBC Act guidance documents on the </w:t>
            </w:r>
            <w:r>
              <w:rPr>
                <w:szCs w:val="18"/>
              </w:rPr>
              <w:t>[DAWE]</w:t>
            </w:r>
            <w:r w:rsidRPr="00886B5A">
              <w:rPr>
                <w:szCs w:val="18"/>
              </w:rPr>
              <w:t xml:space="preserve"> website.</w:t>
            </w:r>
          </w:p>
        </w:tc>
        <w:tc>
          <w:tcPr>
            <w:tcW w:w="184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5043966B" w14:textId="22CB20CF" w:rsidR="00CE3BBC" w:rsidRPr="00886B5A" w:rsidRDefault="00CE3BBC" w:rsidP="00144BA2">
            <w:pPr>
              <w:pStyle w:val="BodyCopyNEW"/>
              <w:rPr>
                <w:b/>
                <w:bCs/>
                <w:szCs w:val="18"/>
              </w:rPr>
            </w:pPr>
            <w:r w:rsidRPr="00AC69C3">
              <w:rPr>
                <w:szCs w:val="18"/>
              </w:rPr>
              <w:t>Based on the case studies and materials we examined,</w:t>
            </w:r>
            <w:r w:rsidRPr="00886B5A">
              <w:rPr>
                <w:b/>
                <w:bCs/>
                <w:szCs w:val="18"/>
              </w:rPr>
              <w:t xml:space="preserve"> NOPSEMA </w:t>
            </w:r>
            <w:r w:rsidR="00AC69C3">
              <w:rPr>
                <w:b/>
                <w:bCs/>
                <w:szCs w:val="18"/>
              </w:rPr>
              <w:t>has</w:t>
            </w:r>
            <w:r w:rsidRPr="00886B5A">
              <w:rPr>
                <w:b/>
                <w:bCs/>
                <w:szCs w:val="18"/>
              </w:rPr>
              <w:t xml:space="preserve"> met </w:t>
            </w:r>
            <w:r>
              <w:rPr>
                <w:b/>
                <w:szCs w:val="18"/>
              </w:rPr>
              <w:t>its</w:t>
            </w:r>
            <w:r w:rsidRPr="00886B5A">
              <w:rPr>
                <w:b/>
                <w:bCs/>
                <w:szCs w:val="18"/>
              </w:rPr>
              <w:t xml:space="preserve"> respective </w:t>
            </w:r>
            <w:r w:rsidRPr="00652B2F">
              <w:rPr>
                <w:b/>
                <w:bCs/>
                <w:szCs w:val="18"/>
              </w:rPr>
              <w:t>commitments</w:t>
            </w:r>
            <w:r w:rsidRPr="00886B5A">
              <w:rPr>
                <w:b/>
                <w:bCs/>
                <w:szCs w:val="18"/>
              </w:rPr>
              <w:t xml:space="preserve"> </w:t>
            </w:r>
            <w:r w:rsidRPr="00D90AB4">
              <w:rPr>
                <w:b/>
                <w:bCs/>
                <w:szCs w:val="18"/>
              </w:rPr>
              <w:t xml:space="preserve">for this </w:t>
            </w:r>
            <w:r w:rsidRPr="00390EDC">
              <w:rPr>
                <w:b/>
                <w:szCs w:val="18"/>
              </w:rPr>
              <w:t>protected matter</w:t>
            </w:r>
            <w:r w:rsidRPr="00886B5A">
              <w:rPr>
                <w:b/>
                <w:bCs/>
                <w:szCs w:val="18"/>
              </w:rPr>
              <w:t xml:space="preserve"> during the review period</w:t>
            </w:r>
            <w:r w:rsidR="003909DC">
              <w:rPr>
                <w:b/>
                <w:bCs/>
                <w:szCs w:val="18"/>
              </w:rPr>
              <w:t xml:space="preserve"> in relation to the Commonwealth Marine Area</w:t>
            </w:r>
            <w:r w:rsidRPr="00886B5A">
              <w:rPr>
                <w:b/>
                <w:bCs/>
                <w:szCs w:val="18"/>
              </w:rPr>
              <w:t>.</w:t>
            </w:r>
          </w:p>
          <w:p w14:paraId="4BEE5E63" w14:textId="77777777" w:rsidR="00CE3BBC" w:rsidRPr="00652B2F" w:rsidRDefault="00CE3BBC" w:rsidP="00144BA2">
            <w:pPr>
              <w:pStyle w:val="BodyCopyNEW"/>
              <w:rPr>
                <w:szCs w:val="18"/>
              </w:rPr>
            </w:pPr>
            <w:r w:rsidRPr="00D90AB4">
              <w:rPr>
                <w:szCs w:val="18"/>
              </w:rPr>
              <w:t>A</w:t>
            </w:r>
            <w:r w:rsidRPr="00390EDC">
              <w:rPr>
                <w:szCs w:val="18"/>
              </w:rPr>
              <w:t>s noted earlier, a</w:t>
            </w:r>
            <w:r w:rsidRPr="00652B2F">
              <w:rPr>
                <w:szCs w:val="18"/>
              </w:rPr>
              <w:t>ll offshore petroleum and GHG storage activities will interact with EPBC Part 3 protected matters as the Commonwealth Marine Area itself is a protected matter. However, an interaction does not mean there will be a resultant unacceptable environmental impact.</w:t>
            </w:r>
          </w:p>
          <w:p w14:paraId="12A7DBCD" w14:textId="069660C6" w:rsidR="00CE3BBC" w:rsidRPr="00D90AB4" w:rsidRDefault="00CE3BBC" w:rsidP="00144BA2">
            <w:pPr>
              <w:pStyle w:val="BodyCopyNEW"/>
              <w:rPr>
                <w:szCs w:val="18"/>
              </w:rPr>
            </w:pPr>
            <w:r w:rsidRPr="00652B2F">
              <w:rPr>
                <w:szCs w:val="18"/>
              </w:rPr>
              <w:t xml:space="preserve">NOPSEMA </w:t>
            </w:r>
            <w:r w:rsidR="001802C9">
              <w:rPr>
                <w:szCs w:val="18"/>
              </w:rPr>
              <w:t>has</w:t>
            </w:r>
            <w:r w:rsidRPr="00652B2F">
              <w:rPr>
                <w:szCs w:val="18"/>
              </w:rPr>
              <w:t xml:space="preserve"> in place processes to ensure that it will not accept an EP that will result in unacceptable impacts. NOPSEMA’s assessment processes also include relevant linkages to supporting materials contained within the DAWE website. We saw no evidence that these materials were not considered in making assessment decisions.</w:t>
            </w:r>
          </w:p>
          <w:p w14:paraId="4CA80729" w14:textId="578BACE9" w:rsidR="00CE3BBC" w:rsidRPr="00652B2F" w:rsidRDefault="00CE3BBC" w:rsidP="00144BA2">
            <w:pPr>
              <w:pStyle w:val="BodyCopyNEW"/>
              <w:rPr>
                <w:szCs w:val="18"/>
              </w:rPr>
            </w:pPr>
            <w:r w:rsidRPr="00652B2F">
              <w:rPr>
                <w:szCs w:val="18"/>
              </w:rPr>
              <w:t>D</w:t>
            </w:r>
            <w:r w:rsidRPr="00D90AB4">
              <w:rPr>
                <w:szCs w:val="18"/>
              </w:rPr>
              <w:t xml:space="preserve">uring the review period, there appeared to be no overlap with AMPs where petroleum or GHG storage activities have been </w:t>
            </w:r>
            <w:r w:rsidRPr="00390EDC">
              <w:rPr>
                <w:szCs w:val="18"/>
              </w:rPr>
              <w:t>deemed ‘unallowable activities’</w:t>
            </w:r>
            <w:r w:rsidRPr="00652B2F">
              <w:rPr>
                <w:szCs w:val="18"/>
              </w:rPr>
              <w:t xml:space="preserve"> (refer </w:t>
            </w:r>
            <w:r w:rsidRPr="00D90AB4">
              <w:rPr>
                <w:szCs w:val="18"/>
              </w:rPr>
              <w:t xml:space="preserve">to </w:t>
            </w:r>
            <w:r w:rsidR="00F8229F" w:rsidRPr="00AB424F">
              <w:rPr>
                <w:b/>
                <w:bCs/>
                <w:szCs w:val="18"/>
              </w:rPr>
              <w:fldChar w:fldCharType="begin"/>
            </w:r>
            <w:r w:rsidR="00F8229F" w:rsidRPr="00AB424F">
              <w:rPr>
                <w:b/>
                <w:bCs/>
                <w:szCs w:val="18"/>
              </w:rPr>
              <w:instrText xml:space="preserve"> REF _Ref63104619 \h  \* MERGEFORMAT </w:instrText>
            </w:r>
            <w:r w:rsidR="00F8229F" w:rsidRPr="00AB424F">
              <w:rPr>
                <w:b/>
                <w:bCs/>
                <w:szCs w:val="18"/>
              </w:rPr>
            </w:r>
            <w:r w:rsidR="00F8229F" w:rsidRPr="00AB424F">
              <w:rPr>
                <w:b/>
                <w:bCs/>
                <w:szCs w:val="18"/>
              </w:rPr>
              <w:fldChar w:fldCharType="separate"/>
            </w:r>
            <w:r w:rsidR="00E816B8" w:rsidRPr="00E816B8">
              <w:rPr>
                <w:b/>
                <w:bCs/>
                <w:szCs w:val="18"/>
              </w:rPr>
              <w:t xml:space="preserve">Figure </w:t>
            </w:r>
            <w:r w:rsidR="00E816B8" w:rsidRPr="00E816B8">
              <w:rPr>
                <w:b/>
                <w:bCs/>
                <w:noProof/>
                <w:szCs w:val="18"/>
              </w:rPr>
              <w:t>11.1</w:t>
            </w:r>
            <w:r w:rsidR="00F8229F" w:rsidRPr="00AB424F">
              <w:rPr>
                <w:b/>
                <w:bCs/>
                <w:szCs w:val="18"/>
              </w:rPr>
              <w:fldChar w:fldCharType="end"/>
            </w:r>
            <w:r w:rsidR="00F8229F">
              <w:rPr>
                <w:b/>
                <w:bCs/>
                <w:szCs w:val="18"/>
              </w:rPr>
              <w:t xml:space="preserve"> </w:t>
            </w:r>
            <w:r w:rsidRPr="00F8229F">
              <w:rPr>
                <w:szCs w:val="18"/>
              </w:rPr>
              <w:t xml:space="preserve">and </w:t>
            </w:r>
            <w:r w:rsidR="00F8229F" w:rsidRPr="00F8229F">
              <w:rPr>
                <w:b/>
                <w:bCs/>
              </w:rPr>
              <w:fldChar w:fldCharType="begin"/>
            </w:r>
            <w:r w:rsidR="00F8229F" w:rsidRPr="00F8229F">
              <w:rPr>
                <w:b/>
                <w:bCs/>
              </w:rPr>
              <w:instrText xml:space="preserve"> REF _Ref63105175 \h  \* MERGEFORMAT </w:instrText>
            </w:r>
            <w:r w:rsidR="00F8229F" w:rsidRPr="00F8229F">
              <w:rPr>
                <w:b/>
                <w:bCs/>
              </w:rPr>
            </w:r>
            <w:r w:rsidR="00F8229F" w:rsidRPr="00F8229F">
              <w:rPr>
                <w:b/>
                <w:bCs/>
              </w:rPr>
              <w:fldChar w:fldCharType="separate"/>
            </w:r>
            <w:r w:rsidR="00E816B8" w:rsidRPr="00E816B8">
              <w:rPr>
                <w:b/>
                <w:bCs/>
              </w:rPr>
              <w:t xml:space="preserve">Figure </w:t>
            </w:r>
            <w:r w:rsidR="00E816B8" w:rsidRPr="00E816B8">
              <w:rPr>
                <w:b/>
                <w:bCs/>
                <w:noProof/>
              </w:rPr>
              <w:t>11.4</w:t>
            </w:r>
            <w:r w:rsidR="00F8229F" w:rsidRPr="00F8229F">
              <w:rPr>
                <w:b/>
                <w:bCs/>
              </w:rPr>
              <w:fldChar w:fldCharType="end"/>
            </w:r>
            <w:r w:rsidRPr="00F8229F">
              <w:rPr>
                <w:szCs w:val="18"/>
              </w:rPr>
              <w:t>).</w:t>
            </w:r>
          </w:p>
          <w:p w14:paraId="3B2068D8" w14:textId="75C3356C" w:rsidR="00CE3BBC" w:rsidRPr="00652B2F" w:rsidRDefault="00CE3BBC" w:rsidP="00144BA2">
            <w:pPr>
              <w:pStyle w:val="BodyCopyNEW"/>
              <w:rPr>
                <w:szCs w:val="18"/>
              </w:rPr>
            </w:pPr>
            <w:r w:rsidRPr="00652B2F">
              <w:rPr>
                <w:szCs w:val="18"/>
              </w:rPr>
              <w:t>O</w:t>
            </w:r>
            <w:r w:rsidRPr="00D90AB4">
              <w:rPr>
                <w:szCs w:val="18"/>
              </w:rPr>
              <w:t xml:space="preserve">ne written warning was issued to a titleholder following review </w:t>
            </w:r>
            <w:r w:rsidRPr="00390EDC">
              <w:rPr>
                <w:szCs w:val="18"/>
              </w:rPr>
              <w:t xml:space="preserve">of an environment incident notification and subsequent identification that 4 seismic lines had been shot within the IUCN </w:t>
            </w:r>
            <w:r w:rsidRPr="00652B2F">
              <w:rPr>
                <w:szCs w:val="18"/>
              </w:rPr>
              <w:t>category II Marine National Park portion of the West Cape York Commonwealth Marine Reserve during 2014. The letter was issued in 2015 and is therefore included in the current statistics (see</w:t>
            </w:r>
            <w:r w:rsidR="002149E5">
              <w:rPr>
                <w:b/>
                <w:bCs/>
                <w:szCs w:val="18"/>
              </w:rPr>
              <w:t xml:space="preserve"> </w:t>
            </w:r>
            <w:r w:rsidR="000A3E00" w:rsidRPr="00FC1657">
              <w:rPr>
                <w:b/>
                <w:bCs/>
                <w:highlight w:val="yellow"/>
              </w:rPr>
              <w:fldChar w:fldCharType="begin"/>
            </w:r>
            <w:r w:rsidR="000A3E00" w:rsidRPr="00FC1657">
              <w:rPr>
                <w:b/>
                <w:bCs/>
              </w:rPr>
              <w:instrText xml:space="preserve"> REF _Ref63105410 \h </w:instrText>
            </w:r>
            <w:r w:rsidR="000A3E00" w:rsidRPr="00FC1657">
              <w:rPr>
                <w:b/>
                <w:bCs/>
                <w:highlight w:val="yellow"/>
              </w:rPr>
              <w:instrText xml:space="preserve"> \* MERGEFORMAT </w:instrText>
            </w:r>
            <w:r w:rsidR="000A3E00" w:rsidRPr="00FC1657">
              <w:rPr>
                <w:b/>
                <w:bCs/>
                <w:highlight w:val="yellow"/>
              </w:rPr>
            </w:r>
            <w:r w:rsidR="000A3E00" w:rsidRPr="00FC1657">
              <w:rPr>
                <w:b/>
                <w:bCs/>
                <w:highlight w:val="yellow"/>
              </w:rPr>
              <w:fldChar w:fldCharType="separate"/>
            </w:r>
            <w:r w:rsidR="00E816B8" w:rsidRPr="00E816B8">
              <w:rPr>
                <w:b/>
                <w:bCs/>
              </w:rPr>
              <w:t xml:space="preserve">Table </w:t>
            </w:r>
            <w:r w:rsidR="00E816B8" w:rsidRPr="00E816B8">
              <w:rPr>
                <w:b/>
                <w:bCs/>
                <w:noProof/>
              </w:rPr>
              <w:t>11.9</w:t>
            </w:r>
            <w:r w:rsidR="000A3E00" w:rsidRPr="00FC1657">
              <w:rPr>
                <w:b/>
                <w:bCs/>
                <w:highlight w:val="yellow"/>
              </w:rPr>
              <w:fldChar w:fldCharType="end"/>
            </w:r>
            <w:r w:rsidRPr="00652B2F">
              <w:rPr>
                <w:szCs w:val="18"/>
              </w:rPr>
              <w:t>).</w:t>
            </w:r>
          </w:p>
        </w:tc>
      </w:tr>
      <w:tr w:rsidR="0097312F" w14:paraId="4695C53A" w14:textId="77777777" w:rsidTr="0088223A">
        <w:tc>
          <w:tcPr>
            <w:tcW w:w="315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23B9153C" w14:textId="41F22F10" w:rsidR="00CE3BBC" w:rsidRPr="00886B5A" w:rsidRDefault="00B20CDC" w:rsidP="00144BA2">
            <w:pPr>
              <w:pStyle w:val="BodyCopyNEW"/>
              <w:rPr>
                <w:b/>
                <w:bCs/>
                <w:szCs w:val="18"/>
              </w:rPr>
            </w:pPr>
            <w:r>
              <w:rPr>
                <w:szCs w:val="18"/>
              </w:rPr>
              <w:lastRenderedPageBreak/>
              <w:t xml:space="preserve">Matter: </w:t>
            </w:r>
            <w:r w:rsidR="00CE3BBC" w:rsidRPr="00886B5A">
              <w:rPr>
                <w:b/>
                <w:bCs/>
                <w:szCs w:val="18"/>
              </w:rPr>
              <w:t xml:space="preserve">Commonwealth </w:t>
            </w:r>
            <w:r w:rsidR="003909DC">
              <w:rPr>
                <w:b/>
                <w:bCs/>
                <w:szCs w:val="18"/>
              </w:rPr>
              <w:t>L</w:t>
            </w:r>
            <w:r w:rsidR="00CE3BBC" w:rsidRPr="00886B5A">
              <w:rPr>
                <w:b/>
                <w:bCs/>
                <w:szCs w:val="18"/>
              </w:rPr>
              <w:t>and</w:t>
            </w:r>
          </w:p>
          <w:p w14:paraId="0E7055B9" w14:textId="506542AA" w:rsidR="00CE3BBC" w:rsidRPr="00886B5A" w:rsidRDefault="00B20CDC" w:rsidP="00144BA2">
            <w:pPr>
              <w:pStyle w:val="BodyCopyNEW"/>
              <w:rPr>
                <w:szCs w:val="18"/>
              </w:rPr>
            </w:pPr>
            <w:r>
              <w:rPr>
                <w:szCs w:val="18"/>
              </w:rPr>
              <w:t xml:space="preserve">Outcome: </w:t>
            </w:r>
            <w:r w:rsidR="00CE3BBC" w:rsidRPr="00886B5A">
              <w:rPr>
                <w:szCs w:val="18"/>
              </w:rPr>
              <w:t xml:space="preserve">The environment on Commonwealth </w:t>
            </w:r>
            <w:r w:rsidR="003909DC">
              <w:rPr>
                <w:szCs w:val="18"/>
              </w:rPr>
              <w:t>L</w:t>
            </w:r>
            <w:r w:rsidR="00CE3BBC" w:rsidRPr="00886B5A">
              <w:rPr>
                <w:szCs w:val="18"/>
              </w:rPr>
              <w:t>and will be maintained and protected in conformity with relevant plans of management.</w:t>
            </w:r>
          </w:p>
          <w:p w14:paraId="06955328" w14:textId="77777777" w:rsidR="00CE3BBC" w:rsidRDefault="00CE3BBC" w:rsidP="00144BA2">
            <w:pPr>
              <w:pStyle w:val="BodyCopyNEW"/>
            </w:pPr>
            <w:r w:rsidRPr="00886B5A">
              <w:rPr>
                <w:szCs w:val="18"/>
              </w:rPr>
              <w:t>Commitments:</w:t>
            </w:r>
          </w:p>
          <w:p w14:paraId="29A3DACF" w14:textId="17C15D2A" w:rsidR="00CE3BBC" w:rsidRPr="00886B5A" w:rsidRDefault="00CE3BBC" w:rsidP="00CE3BBC">
            <w:pPr>
              <w:pStyle w:val="BodyBullet1"/>
              <w:numPr>
                <w:ilvl w:val="0"/>
                <w:numId w:val="37"/>
              </w:numPr>
              <w:ind w:left="426"/>
              <w:rPr>
                <w:szCs w:val="18"/>
              </w:rPr>
            </w:pPr>
            <w:r w:rsidRPr="00886B5A">
              <w:rPr>
                <w:szCs w:val="18"/>
              </w:rPr>
              <w:t xml:space="preserve">NOPSEMA will not accept an Environment Plan that proposes activities that will result in unacceptable impacts to the environment on Commonwealth </w:t>
            </w:r>
            <w:r w:rsidR="003909DC">
              <w:rPr>
                <w:szCs w:val="18"/>
              </w:rPr>
              <w:t>L</w:t>
            </w:r>
            <w:r w:rsidRPr="00886B5A">
              <w:rPr>
                <w:szCs w:val="18"/>
              </w:rPr>
              <w:t>and</w:t>
            </w:r>
          </w:p>
          <w:p w14:paraId="0E0DF04C" w14:textId="77777777" w:rsidR="00CE3BBC" w:rsidRPr="00886B5A" w:rsidRDefault="00CE3BBC" w:rsidP="00CE3BBC">
            <w:pPr>
              <w:pStyle w:val="BodyBullet1"/>
              <w:numPr>
                <w:ilvl w:val="0"/>
                <w:numId w:val="37"/>
              </w:numPr>
              <w:ind w:left="426"/>
              <w:rPr>
                <w:szCs w:val="18"/>
              </w:rPr>
            </w:pPr>
            <w:r w:rsidRPr="00886B5A">
              <w:rPr>
                <w:szCs w:val="18"/>
              </w:rPr>
              <w:t xml:space="preserve">NOPSEMA will have regard to any bioregional plan and not act inconsistently with a plan of management for a Commonwealth reserve or a Commonwealth Heritage place in deciding whether or not to accept an Environment Plan </w:t>
            </w:r>
          </w:p>
          <w:p w14:paraId="47C856D2" w14:textId="2EB41CB9" w:rsidR="00CE3BBC" w:rsidRPr="00886B5A" w:rsidRDefault="00CE3BBC" w:rsidP="00CE3BBC">
            <w:pPr>
              <w:pStyle w:val="BodyBullet1"/>
              <w:numPr>
                <w:ilvl w:val="0"/>
                <w:numId w:val="37"/>
              </w:numPr>
              <w:ind w:left="426"/>
              <w:rPr>
                <w:szCs w:val="18"/>
              </w:rPr>
            </w:pPr>
            <w:r w:rsidRPr="00886B5A">
              <w:rPr>
                <w:szCs w:val="18"/>
              </w:rPr>
              <w:t xml:space="preserve">If there is no plan of management for a Commonwealth Heritage </w:t>
            </w:r>
            <w:r w:rsidR="000A3E00">
              <w:rPr>
                <w:szCs w:val="18"/>
              </w:rPr>
              <w:t>P</w:t>
            </w:r>
            <w:r w:rsidRPr="00886B5A">
              <w:rPr>
                <w:szCs w:val="18"/>
              </w:rPr>
              <w:t>lace, then NOPSEMA will take all reasonable steps to ensure that any accepted Environment Plan is not inconsistent with the Commonwealth Heritage management principles</w:t>
            </w:r>
          </w:p>
          <w:p w14:paraId="6BB78D81" w14:textId="77777777" w:rsidR="00CE3BBC" w:rsidRPr="00886B5A" w:rsidRDefault="00CE3BBC" w:rsidP="00CE3BBC">
            <w:pPr>
              <w:pStyle w:val="BodyBullet1"/>
              <w:numPr>
                <w:ilvl w:val="0"/>
                <w:numId w:val="37"/>
              </w:numPr>
              <w:ind w:left="426"/>
              <w:rPr>
                <w:szCs w:val="18"/>
              </w:rPr>
            </w:pPr>
            <w:r w:rsidRPr="00886B5A">
              <w:rPr>
                <w:szCs w:val="18"/>
              </w:rPr>
              <w:t xml:space="preserve">If there is no plan of management for a Commonwealth reserve, then NOPSEMA will ensure that acceptance of an Environment Plan is not inconsistent with the IUCN reserve management principles </w:t>
            </w:r>
          </w:p>
          <w:p w14:paraId="7BBC782F" w14:textId="77777777" w:rsidR="00CE3BBC" w:rsidRPr="00886B5A" w:rsidRDefault="00CE3BBC" w:rsidP="00CE3BBC">
            <w:pPr>
              <w:pStyle w:val="BodyBullet1"/>
              <w:numPr>
                <w:ilvl w:val="0"/>
                <w:numId w:val="37"/>
              </w:numPr>
              <w:ind w:left="426"/>
              <w:rPr>
                <w:szCs w:val="18"/>
              </w:rPr>
            </w:pPr>
            <w:r w:rsidRPr="00886B5A">
              <w:rPr>
                <w:szCs w:val="18"/>
              </w:rPr>
              <w:t xml:space="preserve">NOPSEMA will develop guidance (that will be updated from time to time) that titleholders should have regard to in the preparation of their Environment Plans. The guidance will: </w:t>
            </w:r>
          </w:p>
          <w:p w14:paraId="085B99B0" w14:textId="118E42D2" w:rsidR="00CE3BBC" w:rsidRPr="00886B5A" w:rsidRDefault="00CE3BBC" w:rsidP="00CE3BBC">
            <w:pPr>
              <w:pStyle w:val="BodyBullet1"/>
              <w:numPr>
                <w:ilvl w:val="1"/>
                <w:numId w:val="37"/>
              </w:numPr>
              <w:ind w:left="811" w:hanging="357"/>
              <w:rPr>
                <w:szCs w:val="18"/>
              </w:rPr>
            </w:pPr>
            <w:r w:rsidRPr="00886B5A">
              <w:rPr>
                <w:szCs w:val="18"/>
              </w:rPr>
              <w:t xml:space="preserve">Make reference to consideration of the environment of the Commonwealth </w:t>
            </w:r>
            <w:r w:rsidR="003909DC">
              <w:rPr>
                <w:szCs w:val="18"/>
              </w:rPr>
              <w:t>L</w:t>
            </w:r>
            <w:r w:rsidRPr="00886B5A">
              <w:rPr>
                <w:szCs w:val="18"/>
              </w:rPr>
              <w:t xml:space="preserve">and </w:t>
            </w:r>
          </w:p>
          <w:p w14:paraId="3D23BD18" w14:textId="77777777" w:rsidR="00CE3BBC" w:rsidRPr="00886B5A" w:rsidRDefault="00CE3BBC" w:rsidP="00CE3BBC">
            <w:pPr>
              <w:pStyle w:val="BodyBullet1"/>
              <w:numPr>
                <w:ilvl w:val="1"/>
                <w:numId w:val="37"/>
              </w:numPr>
              <w:ind w:left="811" w:hanging="357"/>
              <w:rPr>
                <w:szCs w:val="18"/>
              </w:rPr>
            </w:pPr>
            <w:r w:rsidRPr="00886B5A">
              <w:rPr>
                <w:szCs w:val="18"/>
              </w:rPr>
              <w:t>Include references to relevant guidance documents to be considered by titleholders in preparing Environment Plans such as gazettal instruments, bioregional plans, plans of management and EPBC Act guidance documents</w:t>
            </w:r>
          </w:p>
          <w:p w14:paraId="1F1A187D" w14:textId="77777777" w:rsidR="00CE3BBC" w:rsidRPr="009A0E24" w:rsidRDefault="00CE3BBC" w:rsidP="00CE3BBC">
            <w:pPr>
              <w:pStyle w:val="BodyBullet1"/>
              <w:numPr>
                <w:ilvl w:val="0"/>
                <w:numId w:val="37"/>
              </w:numPr>
              <w:ind w:left="426"/>
              <w:rPr>
                <w:szCs w:val="18"/>
              </w:rPr>
            </w:pPr>
            <w:r w:rsidRPr="00886B5A">
              <w:rPr>
                <w:szCs w:val="18"/>
              </w:rPr>
              <w:t>In undertaking assessments, NOPSEMA will have regard to relevant policy documents, gazettal instruments, bioregional plans, plans of management and guidance documents on the [DAWE] website.</w:t>
            </w:r>
          </w:p>
        </w:tc>
        <w:tc>
          <w:tcPr>
            <w:tcW w:w="184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472A33EC" w14:textId="3BDB6C1A" w:rsidR="00CE3BBC" w:rsidRDefault="00CE3BBC" w:rsidP="00144BA2">
            <w:pPr>
              <w:pStyle w:val="BodyCopyNEW"/>
              <w:rPr>
                <w:bCs/>
                <w:szCs w:val="18"/>
              </w:rPr>
            </w:pPr>
            <w:r w:rsidRPr="00A97263">
              <w:rPr>
                <w:bCs/>
                <w:szCs w:val="18"/>
              </w:rPr>
              <w:t xml:space="preserve">Based on the materials we examined, </w:t>
            </w:r>
            <w:r w:rsidRPr="00652B2F">
              <w:rPr>
                <w:b/>
                <w:szCs w:val="18"/>
              </w:rPr>
              <w:t xml:space="preserve">NOPSEMA </w:t>
            </w:r>
            <w:r w:rsidR="00D57CAE">
              <w:rPr>
                <w:b/>
                <w:szCs w:val="18"/>
              </w:rPr>
              <w:t>has</w:t>
            </w:r>
            <w:r w:rsidRPr="00652B2F">
              <w:rPr>
                <w:b/>
                <w:szCs w:val="18"/>
              </w:rPr>
              <w:t xml:space="preserve"> met </w:t>
            </w:r>
            <w:r>
              <w:rPr>
                <w:b/>
                <w:szCs w:val="18"/>
              </w:rPr>
              <w:t>its</w:t>
            </w:r>
            <w:r w:rsidRPr="00652B2F">
              <w:rPr>
                <w:b/>
                <w:szCs w:val="18"/>
              </w:rPr>
              <w:t xml:space="preserve"> respective obligations as outlined in the Endorsed Program during the review period</w:t>
            </w:r>
            <w:r w:rsidR="003909DC">
              <w:rPr>
                <w:b/>
                <w:szCs w:val="18"/>
              </w:rPr>
              <w:t xml:space="preserve"> in relation to Commonwealth Land</w:t>
            </w:r>
            <w:r w:rsidRPr="00652B2F">
              <w:rPr>
                <w:b/>
                <w:szCs w:val="18"/>
              </w:rPr>
              <w:t>.</w:t>
            </w:r>
          </w:p>
          <w:p w14:paraId="44D809C8" w14:textId="3ADBFB19" w:rsidR="00D620FA" w:rsidRDefault="00D620FA" w:rsidP="00144BA2">
            <w:pPr>
              <w:pStyle w:val="BodyCopyNEW"/>
              <w:rPr>
                <w:bCs/>
                <w:szCs w:val="18"/>
              </w:rPr>
            </w:pPr>
            <w:r w:rsidRPr="009520E5">
              <w:rPr>
                <w:bCs/>
                <w:szCs w:val="18"/>
              </w:rPr>
              <w:t>Activities that have, will have or are likely to have a significant impact on the environment on Commonwealth land require a decision about separate referral under the EPBC Act, because those activities are excluded from the Approved Class of Actions covered by the Endorsed Program</w:t>
            </w:r>
            <w:r>
              <w:rPr>
                <w:bCs/>
                <w:szCs w:val="18"/>
              </w:rPr>
              <w:t>.</w:t>
            </w:r>
          </w:p>
          <w:p w14:paraId="3916CDA2" w14:textId="4BDB1C51" w:rsidR="00CE3BBC" w:rsidRDefault="004E7D8C" w:rsidP="00144BA2">
            <w:pPr>
              <w:pStyle w:val="BodyCopyNEW"/>
              <w:rPr>
                <w:bCs/>
                <w:szCs w:val="18"/>
              </w:rPr>
            </w:pPr>
            <w:r>
              <w:rPr>
                <w:bCs/>
                <w:szCs w:val="18"/>
              </w:rPr>
              <w:t xml:space="preserve">NOPSEMA has quality assurance processes in place to prevent the assessment of an </w:t>
            </w:r>
            <w:r w:rsidR="00CE3BBC">
              <w:rPr>
                <w:bCs/>
                <w:szCs w:val="18"/>
              </w:rPr>
              <w:t xml:space="preserve">EP that would result in unacceptable impacts to the environment on Commonwealth land or be inconsistent with a plan of management for a Commonwealth </w:t>
            </w:r>
            <w:r w:rsidR="000A3E00">
              <w:rPr>
                <w:bCs/>
                <w:szCs w:val="18"/>
              </w:rPr>
              <w:t>R</w:t>
            </w:r>
            <w:r w:rsidR="00CE3BBC">
              <w:rPr>
                <w:bCs/>
                <w:szCs w:val="18"/>
              </w:rPr>
              <w:t xml:space="preserve">eserve or Commonwealth Heritage </w:t>
            </w:r>
            <w:r w:rsidR="000A3E00">
              <w:rPr>
                <w:bCs/>
                <w:szCs w:val="18"/>
              </w:rPr>
              <w:t>P</w:t>
            </w:r>
            <w:r w:rsidR="00CE3BBC">
              <w:rPr>
                <w:bCs/>
                <w:szCs w:val="18"/>
              </w:rPr>
              <w:t xml:space="preserve">lace. </w:t>
            </w:r>
          </w:p>
          <w:p w14:paraId="3ADBA515" w14:textId="74AE7B05" w:rsidR="00CE3BBC" w:rsidRDefault="00CE3BBC" w:rsidP="00144BA2">
            <w:pPr>
              <w:pStyle w:val="BodyCopyNEW"/>
              <w:rPr>
                <w:bCs/>
                <w:szCs w:val="18"/>
              </w:rPr>
            </w:pPr>
            <w:r>
              <w:rPr>
                <w:bCs/>
                <w:szCs w:val="18"/>
              </w:rPr>
              <w:t xml:space="preserve">NOPSEMA maintains guidance on its website for titleholders making reference to consideration of the protection of the values of Commonwealth </w:t>
            </w:r>
            <w:r w:rsidR="000A3E00">
              <w:rPr>
                <w:bCs/>
                <w:szCs w:val="18"/>
              </w:rPr>
              <w:t>L</w:t>
            </w:r>
            <w:r>
              <w:rPr>
                <w:bCs/>
                <w:szCs w:val="18"/>
              </w:rPr>
              <w:t>and a</w:t>
            </w:r>
            <w:r w:rsidR="000A3E00">
              <w:rPr>
                <w:bCs/>
                <w:szCs w:val="18"/>
              </w:rPr>
              <w:t>n</w:t>
            </w:r>
            <w:r>
              <w:rPr>
                <w:bCs/>
                <w:szCs w:val="18"/>
              </w:rPr>
              <w:t xml:space="preserve">d Commonwealth Heritage </w:t>
            </w:r>
            <w:r w:rsidR="000A3E00">
              <w:rPr>
                <w:bCs/>
                <w:szCs w:val="18"/>
              </w:rPr>
              <w:t>P</w:t>
            </w:r>
            <w:r>
              <w:rPr>
                <w:bCs/>
                <w:szCs w:val="18"/>
              </w:rPr>
              <w:t xml:space="preserve">laces and refers to relevant guidance documents. </w:t>
            </w:r>
          </w:p>
          <w:p w14:paraId="1758D951" w14:textId="6EE61D7A" w:rsidR="00CE3BBC" w:rsidRPr="00652B2F" w:rsidRDefault="00CE3BBC" w:rsidP="00144BA2">
            <w:pPr>
              <w:pStyle w:val="BodyCopyNEW"/>
              <w:rPr>
                <w:bCs/>
                <w:szCs w:val="18"/>
              </w:rPr>
            </w:pPr>
            <w:r>
              <w:rPr>
                <w:bCs/>
                <w:szCs w:val="18"/>
              </w:rPr>
              <w:t>NOPSEMA has a regular notification system with DAWE in relation to draft or final policy documents, guidelines, gazettal instruments and plans of management to ensure that assessments are compliant</w:t>
            </w:r>
            <w:r w:rsidR="00A15015">
              <w:rPr>
                <w:bCs/>
                <w:szCs w:val="18"/>
              </w:rPr>
              <w:t>.</w:t>
            </w:r>
          </w:p>
        </w:tc>
      </w:tr>
    </w:tbl>
    <w:p w14:paraId="1125E5D4" w14:textId="77777777" w:rsidR="00BB5DCE" w:rsidRDefault="00CE3BBC" w:rsidP="00145E9E">
      <w:pPr>
        <w:pStyle w:val="Caption"/>
        <w:rPr>
          <w:b w:val="0"/>
          <w:bCs/>
          <w:i/>
          <w:iCs w:val="0"/>
          <w:color w:val="75787B" w:themeColor="accent6"/>
        </w:rPr>
      </w:pPr>
      <w:r w:rsidRPr="005752E0">
        <w:rPr>
          <w:b w:val="0"/>
          <w:bCs/>
          <w:i/>
          <w:iCs w:val="0"/>
          <w:color w:val="75787B" w:themeColor="accent6"/>
        </w:rPr>
        <w:t>Source: Endorsed Program, pages 33 to 36</w:t>
      </w:r>
    </w:p>
    <w:p w14:paraId="45E6812B" w14:textId="77777777" w:rsidR="00D936D1" w:rsidRDefault="00D936D1" w:rsidP="00913B8F">
      <w:pPr>
        <w:pStyle w:val="Heading4"/>
      </w:pPr>
      <w:r>
        <w:t>Commitments in the Endorsed Program pertaining to administration</w:t>
      </w:r>
    </w:p>
    <w:p w14:paraId="36F61D85" w14:textId="5AF92317" w:rsidR="00D936D1" w:rsidRPr="001641EA" w:rsidRDefault="00D936D1" w:rsidP="00D936D1">
      <w:pPr>
        <w:pStyle w:val="BodyCopyNEW"/>
        <w:rPr>
          <w:szCs w:val="18"/>
        </w:rPr>
      </w:pPr>
      <w:r w:rsidRPr="00D936D1">
        <w:rPr>
          <w:b/>
          <w:bCs/>
          <w:szCs w:val="18"/>
        </w:rPr>
        <w:fldChar w:fldCharType="begin"/>
      </w:r>
      <w:r w:rsidRPr="00D936D1">
        <w:rPr>
          <w:b/>
          <w:bCs/>
          <w:szCs w:val="18"/>
        </w:rPr>
        <w:instrText xml:space="preserve"> REF _Ref63196628 \h  \* MERGEFORMAT </w:instrText>
      </w:r>
      <w:r w:rsidRPr="00D936D1">
        <w:rPr>
          <w:b/>
          <w:bCs/>
          <w:szCs w:val="18"/>
        </w:rPr>
      </w:r>
      <w:r w:rsidRPr="00D936D1">
        <w:rPr>
          <w:b/>
          <w:bCs/>
          <w:szCs w:val="18"/>
        </w:rPr>
        <w:fldChar w:fldCharType="separate"/>
      </w:r>
      <w:r w:rsidR="00E816B8" w:rsidRPr="00E816B8">
        <w:rPr>
          <w:b/>
          <w:bCs/>
        </w:rPr>
        <w:t xml:space="preserve">Table </w:t>
      </w:r>
      <w:r w:rsidR="00E816B8" w:rsidRPr="00E816B8">
        <w:rPr>
          <w:b/>
          <w:bCs/>
          <w:noProof/>
        </w:rPr>
        <w:t>11.11</w:t>
      </w:r>
      <w:r w:rsidRPr="00D936D1">
        <w:rPr>
          <w:b/>
          <w:bCs/>
          <w:szCs w:val="18"/>
        </w:rPr>
        <w:fldChar w:fldCharType="end"/>
      </w:r>
      <w:r>
        <w:rPr>
          <w:b/>
          <w:bCs/>
          <w:szCs w:val="18"/>
        </w:rPr>
        <w:t xml:space="preserve"> </w:t>
      </w:r>
      <w:r w:rsidRPr="001641EA">
        <w:rPr>
          <w:szCs w:val="18"/>
        </w:rPr>
        <w:t xml:space="preserve">outlines the respective commitments and whether it has been </w:t>
      </w:r>
      <w:r w:rsidR="00A15015">
        <w:rPr>
          <w:szCs w:val="18"/>
        </w:rPr>
        <w:t>m</w:t>
      </w:r>
      <w:r w:rsidRPr="001641EA">
        <w:rPr>
          <w:szCs w:val="18"/>
        </w:rPr>
        <w:t>et by NOPSEMA.</w:t>
      </w:r>
    </w:p>
    <w:p w14:paraId="1AD75B6C" w14:textId="14BAE43D" w:rsidR="00D936D1" w:rsidRPr="00D936D1" w:rsidRDefault="00D936D1" w:rsidP="00D936D1">
      <w:pPr>
        <w:pStyle w:val="Caption"/>
        <w:rPr>
          <w:rFonts w:ascii="Calibri Light" w:hAnsi="Calibri Light"/>
        </w:rPr>
      </w:pPr>
      <w:bookmarkStart w:id="207" w:name="_Ref63196628"/>
      <w:r w:rsidRPr="00D936D1">
        <w:rPr>
          <w:rFonts w:ascii="Calibri Light" w:hAnsi="Calibri Light"/>
        </w:rPr>
        <w:t xml:space="preserve">Table </w:t>
      </w:r>
      <w:r w:rsidR="00624D4F">
        <w:rPr>
          <w:rFonts w:ascii="Calibri Light" w:hAnsi="Calibri Light"/>
        </w:rPr>
        <w:fldChar w:fldCharType="begin"/>
      </w:r>
      <w:r w:rsidR="00624D4F">
        <w:rPr>
          <w:rFonts w:ascii="Calibri Light" w:hAnsi="Calibri Light"/>
        </w:rPr>
        <w:instrText xml:space="preserve"> STYLEREF 1 \s </w:instrText>
      </w:r>
      <w:r w:rsidR="00624D4F">
        <w:rPr>
          <w:rFonts w:ascii="Calibri Light" w:hAnsi="Calibri Light"/>
        </w:rPr>
        <w:fldChar w:fldCharType="separate"/>
      </w:r>
      <w:r w:rsidR="00E816B8">
        <w:rPr>
          <w:rFonts w:ascii="Calibri Light" w:hAnsi="Calibri Light"/>
          <w:noProof/>
        </w:rPr>
        <w:t>11</w:t>
      </w:r>
      <w:r w:rsidR="00624D4F">
        <w:rPr>
          <w:rFonts w:ascii="Calibri Light" w:hAnsi="Calibri Light"/>
        </w:rPr>
        <w:fldChar w:fldCharType="end"/>
      </w:r>
      <w:r w:rsidR="00624D4F">
        <w:rPr>
          <w:rFonts w:ascii="Calibri Light" w:hAnsi="Calibri Light"/>
        </w:rPr>
        <w:t>.</w:t>
      </w:r>
      <w:r w:rsidR="00624D4F">
        <w:rPr>
          <w:rFonts w:ascii="Calibri Light" w:hAnsi="Calibri Light"/>
        </w:rPr>
        <w:fldChar w:fldCharType="begin"/>
      </w:r>
      <w:r w:rsidR="00624D4F">
        <w:rPr>
          <w:rFonts w:ascii="Calibri Light" w:hAnsi="Calibri Light"/>
        </w:rPr>
        <w:instrText xml:space="preserve"> SEQ Table \* ARABIC \s 1 </w:instrText>
      </w:r>
      <w:r w:rsidR="00624D4F">
        <w:rPr>
          <w:rFonts w:ascii="Calibri Light" w:hAnsi="Calibri Light"/>
        </w:rPr>
        <w:fldChar w:fldCharType="separate"/>
      </w:r>
      <w:r w:rsidR="00E816B8">
        <w:rPr>
          <w:rFonts w:ascii="Calibri Light" w:hAnsi="Calibri Light"/>
          <w:noProof/>
        </w:rPr>
        <w:t>11</w:t>
      </w:r>
      <w:r w:rsidR="00624D4F">
        <w:rPr>
          <w:rFonts w:ascii="Calibri Light" w:hAnsi="Calibri Light"/>
        </w:rPr>
        <w:fldChar w:fldCharType="end"/>
      </w:r>
      <w:bookmarkEnd w:id="207"/>
      <w:r w:rsidRPr="00D936D1">
        <w:rPr>
          <w:rFonts w:ascii="Calibri Light" w:hAnsi="Calibri Light"/>
        </w:rPr>
        <w:t>: Examination of commitments in the Endorsed Program pertaining to administration</w:t>
      </w:r>
    </w:p>
    <w:tbl>
      <w:tblPr>
        <w:tblW w:w="5000" w:type="pct"/>
        <w:tblCellMar>
          <w:left w:w="0" w:type="dxa"/>
          <w:right w:w="0" w:type="dxa"/>
        </w:tblCellMar>
        <w:tblLook w:val="04A0" w:firstRow="1" w:lastRow="0" w:firstColumn="1" w:lastColumn="0" w:noHBand="0" w:noVBand="1"/>
      </w:tblPr>
      <w:tblGrid>
        <w:gridCol w:w="8646"/>
        <w:gridCol w:w="5073"/>
      </w:tblGrid>
      <w:tr w:rsidR="00D936D1" w14:paraId="1B97FD2A" w14:textId="77777777" w:rsidTr="0088223A">
        <w:trPr>
          <w:tblHeader/>
        </w:trPr>
        <w:tc>
          <w:tcPr>
            <w:tcW w:w="3151" w:type="pct"/>
            <w:tcBorders>
              <w:top w:val="single" w:sz="8" w:space="0" w:color="007680"/>
              <w:bottom w:val="single" w:sz="8" w:space="0" w:color="007680"/>
            </w:tcBorders>
            <w:shd w:val="clear" w:color="auto" w:fill="auto"/>
            <w:tcMar>
              <w:top w:w="0" w:type="dxa"/>
              <w:left w:w="108" w:type="dxa"/>
              <w:bottom w:w="0" w:type="dxa"/>
              <w:right w:w="108" w:type="dxa"/>
            </w:tcMar>
          </w:tcPr>
          <w:p w14:paraId="52DB0B7C" w14:textId="77777777" w:rsidR="00D936D1" w:rsidRPr="009A0E24" w:rsidRDefault="00D936D1" w:rsidP="00144BA2">
            <w:pPr>
              <w:pStyle w:val="Tableheader"/>
            </w:pPr>
            <w:r>
              <w:t>Administrative commitments</w:t>
            </w:r>
          </w:p>
        </w:tc>
        <w:tc>
          <w:tcPr>
            <w:tcW w:w="1849" w:type="pct"/>
            <w:tcBorders>
              <w:top w:val="single" w:sz="8" w:space="0" w:color="007680"/>
              <w:bottom w:val="single" w:sz="8" w:space="0" w:color="007680"/>
            </w:tcBorders>
            <w:shd w:val="clear" w:color="auto" w:fill="auto"/>
            <w:tcMar>
              <w:top w:w="0" w:type="dxa"/>
              <w:left w:w="108" w:type="dxa"/>
              <w:bottom w:w="0" w:type="dxa"/>
              <w:right w:w="108" w:type="dxa"/>
            </w:tcMar>
          </w:tcPr>
          <w:p w14:paraId="3854784D" w14:textId="0251E03A" w:rsidR="00D936D1" w:rsidRPr="009A0E24" w:rsidRDefault="00D936D1" w:rsidP="00144BA2">
            <w:pPr>
              <w:pStyle w:val="Tableheader"/>
            </w:pPr>
            <w:r>
              <w:t>Our assessment</w:t>
            </w:r>
          </w:p>
        </w:tc>
      </w:tr>
      <w:tr w:rsidR="00D936D1" w14:paraId="148D88E3" w14:textId="77777777" w:rsidTr="0088223A">
        <w:tc>
          <w:tcPr>
            <w:tcW w:w="3151" w:type="pct"/>
            <w:tcBorders>
              <w:top w:val="single" w:sz="8" w:space="0" w:color="007680"/>
              <w:bottom w:val="single" w:sz="4" w:space="0" w:color="BFBFBF" w:themeColor="background1" w:themeShade="BF"/>
            </w:tcBorders>
            <w:tcMar>
              <w:top w:w="0" w:type="dxa"/>
              <w:left w:w="108" w:type="dxa"/>
              <w:bottom w:w="0" w:type="dxa"/>
              <w:right w:w="108" w:type="dxa"/>
            </w:tcMar>
          </w:tcPr>
          <w:p w14:paraId="30D7E9E8" w14:textId="77777777" w:rsidR="00D936D1" w:rsidRPr="00886B5A" w:rsidRDefault="00D936D1" w:rsidP="00144BA2">
            <w:pPr>
              <w:pStyle w:val="BodyBullet1"/>
              <w:numPr>
                <w:ilvl w:val="0"/>
                <w:numId w:val="0"/>
              </w:numPr>
              <w:rPr>
                <w:szCs w:val="18"/>
              </w:rPr>
            </w:pPr>
            <w:r w:rsidRPr="00886B5A">
              <w:rPr>
                <w:szCs w:val="18"/>
              </w:rPr>
              <w:t>Agree and enter into administrative arrangements with [DAWE] for the transfer of relevant information regarding the administration of the Program.</w:t>
            </w:r>
          </w:p>
          <w:p w14:paraId="66354537" w14:textId="77777777" w:rsidR="00D936D1" w:rsidRPr="00F90228" w:rsidRDefault="00D936D1" w:rsidP="00144BA2">
            <w:pPr>
              <w:pStyle w:val="BodyBullet1"/>
              <w:numPr>
                <w:ilvl w:val="0"/>
                <w:numId w:val="0"/>
              </w:numPr>
              <w:rPr>
                <w:szCs w:val="18"/>
              </w:rPr>
            </w:pPr>
            <w:r w:rsidRPr="00F90228">
              <w:rPr>
                <w:szCs w:val="18"/>
              </w:rPr>
              <w:lastRenderedPageBreak/>
              <w:t>Responsible: NOPSEMA and DAWE within 6 months of Program endorsement.</w:t>
            </w:r>
          </w:p>
        </w:tc>
        <w:tc>
          <w:tcPr>
            <w:tcW w:w="1849" w:type="pct"/>
            <w:tcBorders>
              <w:top w:val="single" w:sz="8" w:space="0" w:color="007680"/>
              <w:bottom w:val="single" w:sz="4" w:space="0" w:color="BFBFBF" w:themeColor="background1" w:themeShade="BF"/>
            </w:tcBorders>
            <w:tcMar>
              <w:top w:w="0" w:type="dxa"/>
              <w:left w:w="108" w:type="dxa"/>
              <w:bottom w:w="0" w:type="dxa"/>
              <w:right w:w="108" w:type="dxa"/>
            </w:tcMar>
          </w:tcPr>
          <w:p w14:paraId="24AD4A50" w14:textId="77777777" w:rsidR="00D936D1" w:rsidRDefault="00D936D1" w:rsidP="00144BA2">
            <w:pPr>
              <w:pStyle w:val="BodyCopyNEW"/>
              <w:rPr>
                <w:szCs w:val="18"/>
              </w:rPr>
            </w:pPr>
            <w:r w:rsidRPr="0064451C">
              <w:rPr>
                <w:b/>
                <w:bCs/>
                <w:szCs w:val="18"/>
              </w:rPr>
              <w:lastRenderedPageBreak/>
              <w:t xml:space="preserve">NOPSEMA </w:t>
            </w:r>
            <w:r>
              <w:rPr>
                <w:b/>
                <w:bCs/>
                <w:szCs w:val="18"/>
              </w:rPr>
              <w:t>has</w:t>
            </w:r>
            <w:r w:rsidRPr="0064451C">
              <w:rPr>
                <w:b/>
                <w:bCs/>
                <w:szCs w:val="18"/>
              </w:rPr>
              <w:t xml:space="preserve"> met this commitment.</w:t>
            </w:r>
          </w:p>
          <w:p w14:paraId="2708B827" w14:textId="55763E6E" w:rsidR="00D936D1" w:rsidRPr="00AC249F" w:rsidRDefault="00D936D1" w:rsidP="00144BA2">
            <w:pPr>
              <w:pStyle w:val="BodyCopyNEW"/>
              <w:rPr>
                <w:szCs w:val="18"/>
              </w:rPr>
            </w:pPr>
            <w:r w:rsidRPr="002528EF">
              <w:rPr>
                <w:szCs w:val="18"/>
              </w:rPr>
              <w:t xml:space="preserve">Based on the evidence we examined, NOPSEMA and DAWE have met their respective administrative commitments as outlined in </w:t>
            </w:r>
            <w:r w:rsidRPr="002528EF">
              <w:rPr>
                <w:szCs w:val="18"/>
              </w:rPr>
              <w:lastRenderedPageBreak/>
              <w:t>the Endorsed Program within the required timeframes</w:t>
            </w:r>
            <w:r>
              <w:rPr>
                <w:szCs w:val="18"/>
              </w:rPr>
              <w:t>.</w:t>
            </w:r>
            <w:r w:rsidRPr="002528EF">
              <w:rPr>
                <w:szCs w:val="18"/>
              </w:rPr>
              <w:t xml:space="preserve"> </w:t>
            </w:r>
            <w:r>
              <w:rPr>
                <w:szCs w:val="18"/>
              </w:rPr>
              <w:t xml:space="preserve">There are Administrative Arrangements in place between NOPSEMA and DAWE and </w:t>
            </w:r>
            <w:r w:rsidR="00927B0B">
              <w:rPr>
                <w:szCs w:val="18"/>
              </w:rPr>
              <w:t xml:space="preserve">these </w:t>
            </w:r>
            <w:r>
              <w:rPr>
                <w:szCs w:val="18"/>
              </w:rPr>
              <w:t xml:space="preserve">were updated in 2017. </w:t>
            </w:r>
            <w:r w:rsidR="00405C24">
              <w:rPr>
                <w:szCs w:val="18"/>
              </w:rPr>
              <w:t>The Administrative Arrangements set out mechanisms for exchanging information</w:t>
            </w:r>
            <w:r w:rsidR="0074616B">
              <w:rPr>
                <w:szCs w:val="18"/>
              </w:rPr>
              <w:t xml:space="preserve"> and </w:t>
            </w:r>
            <w:r w:rsidR="003B05D9">
              <w:rPr>
                <w:szCs w:val="18"/>
              </w:rPr>
              <w:t xml:space="preserve">for </w:t>
            </w:r>
            <w:r w:rsidR="0074616B">
              <w:rPr>
                <w:szCs w:val="18"/>
              </w:rPr>
              <w:t xml:space="preserve">the parties </w:t>
            </w:r>
            <w:r w:rsidR="00C80890">
              <w:rPr>
                <w:szCs w:val="18"/>
              </w:rPr>
              <w:t>to</w:t>
            </w:r>
            <w:r w:rsidR="0074616B">
              <w:rPr>
                <w:szCs w:val="18"/>
              </w:rPr>
              <w:t xml:space="preserve"> collaborate (discu</w:t>
            </w:r>
            <w:r w:rsidR="00042C4C">
              <w:rPr>
                <w:szCs w:val="18"/>
              </w:rPr>
              <w:t xml:space="preserve">ssed further in </w:t>
            </w:r>
            <w:r w:rsidR="00042C4C" w:rsidRPr="00042C4C">
              <w:rPr>
                <w:b/>
                <w:bCs/>
                <w:szCs w:val="18"/>
              </w:rPr>
              <w:t xml:space="preserve">subsection </w:t>
            </w:r>
            <w:r w:rsidR="00D44471">
              <w:rPr>
                <w:b/>
                <w:bCs/>
                <w:szCs w:val="18"/>
              </w:rPr>
              <w:fldChar w:fldCharType="begin"/>
            </w:r>
            <w:r w:rsidR="00D44471">
              <w:rPr>
                <w:b/>
                <w:bCs/>
                <w:szCs w:val="18"/>
              </w:rPr>
              <w:instrText xml:space="preserve"> REF _Ref63183464 \r \h </w:instrText>
            </w:r>
            <w:r w:rsidR="00D44471">
              <w:rPr>
                <w:b/>
                <w:bCs/>
                <w:szCs w:val="18"/>
              </w:rPr>
            </w:r>
            <w:r w:rsidR="00D44471">
              <w:rPr>
                <w:b/>
                <w:bCs/>
                <w:szCs w:val="18"/>
              </w:rPr>
              <w:fldChar w:fldCharType="separate"/>
            </w:r>
            <w:r w:rsidR="00E816B8">
              <w:rPr>
                <w:b/>
                <w:bCs/>
                <w:szCs w:val="18"/>
              </w:rPr>
              <w:t>11.4.6</w:t>
            </w:r>
            <w:r w:rsidR="00D44471">
              <w:rPr>
                <w:b/>
                <w:bCs/>
                <w:szCs w:val="18"/>
              </w:rPr>
              <w:fldChar w:fldCharType="end"/>
            </w:r>
            <w:r w:rsidR="00042C4C">
              <w:rPr>
                <w:szCs w:val="18"/>
              </w:rPr>
              <w:t>).</w:t>
            </w:r>
          </w:p>
        </w:tc>
      </w:tr>
      <w:tr w:rsidR="00D936D1" w14:paraId="671C5C56" w14:textId="77777777" w:rsidTr="0088223A">
        <w:tc>
          <w:tcPr>
            <w:tcW w:w="315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14C92257" w14:textId="77777777" w:rsidR="00D936D1" w:rsidRPr="00886B5A" w:rsidRDefault="00D936D1" w:rsidP="00144BA2">
            <w:pPr>
              <w:pStyle w:val="BodyCopyNEW"/>
              <w:rPr>
                <w:szCs w:val="18"/>
              </w:rPr>
            </w:pPr>
            <w:r w:rsidRPr="00886B5A">
              <w:rPr>
                <w:szCs w:val="18"/>
              </w:rPr>
              <w:lastRenderedPageBreak/>
              <w:t>Prepare amendments to NOPSEMA’s existing advice documents to reflect consideration of matters protected under Part 3 of the EPBC Act.</w:t>
            </w:r>
          </w:p>
          <w:p w14:paraId="03372E17" w14:textId="77777777" w:rsidR="00D936D1" w:rsidRPr="00F90228" w:rsidRDefault="00D936D1" w:rsidP="00144BA2">
            <w:pPr>
              <w:pStyle w:val="BodyCopyNEW"/>
              <w:rPr>
                <w:szCs w:val="18"/>
              </w:rPr>
            </w:pPr>
            <w:r w:rsidRPr="00886B5A">
              <w:rPr>
                <w:szCs w:val="18"/>
              </w:rPr>
              <w:t>Responsible: NOPSEMA following Program endorsement, for implementation when approval of classes of actions is in place.</w:t>
            </w:r>
          </w:p>
        </w:tc>
        <w:tc>
          <w:tcPr>
            <w:tcW w:w="184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76EFCA98" w14:textId="77777777" w:rsidR="00D936D1" w:rsidRDefault="00D936D1" w:rsidP="00144BA2">
            <w:pPr>
              <w:pStyle w:val="BodyCopyNEW"/>
              <w:rPr>
                <w:b/>
                <w:szCs w:val="18"/>
              </w:rPr>
            </w:pPr>
            <w:r w:rsidRPr="00F017AE">
              <w:rPr>
                <w:b/>
                <w:szCs w:val="18"/>
              </w:rPr>
              <w:t xml:space="preserve">NOPSEMA has met this commitment. </w:t>
            </w:r>
          </w:p>
          <w:p w14:paraId="683C29CC" w14:textId="4152E3EA" w:rsidR="00D936D1" w:rsidRPr="00886B5A" w:rsidRDefault="00D936D1" w:rsidP="00144BA2">
            <w:pPr>
              <w:pStyle w:val="BodyCopyNEW"/>
              <w:rPr>
                <w:szCs w:val="18"/>
                <w:highlight w:val="green"/>
              </w:rPr>
            </w:pPr>
            <w:r w:rsidRPr="002528EF">
              <w:rPr>
                <w:bCs/>
                <w:szCs w:val="18"/>
              </w:rPr>
              <w:t>Based on the evidence we examined, NOPSEMA and DAWE have met their respective administrative commitments as outlined in the Endorsed Program within the required timeframes</w:t>
            </w:r>
            <w:r>
              <w:rPr>
                <w:bCs/>
                <w:szCs w:val="18"/>
              </w:rPr>
              <w:t>.</w:t>
            </w:r>
            <w:r w:rsidRPr="002528EF">
              <w:rPr>
                <w:bCs/>
                <w:szCs w:val="18"/>
              </w:rPr>
              <w:t xml:space="preserve"> </w:t>
            </w:r>
            <w:r w:rsidRPr="00B24B90">
              <w:rPr>
                <w:bCs/>
                <w:szCs w:val="18"/>
              </w:rPr>
              <w:t xml:space="preserve">This has occurred through a </w:t>
            </w:r>
            <w:r>
              <w:rPr>
                <w:bCs/>
                <w:szCs w:val="18"/>
              </w:rPr>
              <w:t>wide range</w:t>
            </w:r>
            <w:r w:rsidRPr="00B24B90">
              <w:rPr>
                <w:bCs/>
                <w:szCs w:val="18"/>
              </w:rPr>
              <w:t xml:space="preserve"> of NOP</w:t>
            </w:r>
            <w:r w:rsidR="00D117D4">
              <w:rPr>
                <w:bCs/>
                <w:szCs w:val="18"/>
              </w:rPr>
              <w:t>SE</w:t>
            </w:r>
            <w:r w:rsidRPr="00B24B90">
              <w:rPr>
                <w:bCs/>
                <w:szCs w:val="18"/>
              </w:rPr>
              <w:t xml:space="preserve">MA advice documents, most importantly for authority holders via the </w:t>
            </w:r>
            <w:r>
              <w:rPr>
                <w:bCs/>
                <w:szCs w:val="18"/>
              </w:rPr>
              <w:t>EP</w:t>
            </w:r>
            <w:r w:rsidRPr="00B24B90">
              <w:rPr>
                <w:bCs/>
                <w:szCs w:val="18"/>
              </w:rPr>
              <w:t xml:space="preserve"> content requirements</w:t>
            </w:r>
            <w:r w:rsidR="00715AF0" w:rsidRPr="00B24B90">
              <w:rPr>
                <w:rStyle w:val="FootnoteReference"/>
                <w:bCs/>
                <w:szCs w:val="18"/>
              </w:rPr>
              <w:footnoteReference w:id="79"/>
            </w:r>
            <w:r w:rsidRPr="00B24B90">
              <w:rPr>
                <w:bCs/>
                <w:szCs w:val="18"/>
              </w:rPr>
              <w:t xml:space="preserve">. </w:t>
            </w:r>
            <w:r>
              <w:rPr>
                <w:bCs/>
                <w:szCs w:val="18"/>
              </w:rPr>
              <w:t xml:space="preserve">Other guidance includes the </w:t>
            </w:r>
            <w:r w:rsidRPr="00D600D9">
              <w:rPr>
                <w:i/>
                <w:szCs w:val="18"/>
              </w:rPr>
              <w:t>Petroleum activities and Australian marine parks guidance note</w:t>
            </w:r>
            <w:r>
              <w:rPr>
                <w:bCs/>
                <w:szCs w:val="18"/>
              </w:rPr>
              <w:t xml:space="preserve">, and the </w:t>
            </w:r>
            <w:r w:rsidRPr="00D600D9">
              <w:rPr>
                <w:i/>
                <w:szCs w:val="18"/>
              </w:rPr>
              <w:t>Responding to public comment on environment plans guidance note</w:t>
            </w:r>
            <w:r>
              <w:rPr>
                <w:bCs/>
                <w:szCs w:val="18"/>
              </w:rPr>
              <w:t xml:space="preserve">. </w:t>
            </w:r>
          </w:p>
        </w:tc>
      </w:tr>
      <w:tr w:rsidR="00D936D1" w14:paraId="52E713BF" w14:textId="77777777" w:rsidTr="0088223A">
        <w:tc>
          <w:tcPr>
            <w:tcW w:w="3151"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460F384B" w14:textId="77777777" w:rsidR="00D936D1" w:rsidRPr="00886B5A" w:rsidRDefault="00D936D1" w:rsidP="00144BA2">
            <w:pPr>
              <w:pStyle w:val="BodyCopyNEW"/>
              <w:rPr>
                <w:szCs w:val="18"/>
              </w:rPr>
            </w:pPr>
            <w:r w:rsidRPr="00886B5A">
              <w:rPr>
                <w:szCs w:val="18"/>
              </w:rPr>
              <w:t>Develop specific advice document(s) that titleholders should consider in the preparation of their Offshore Project Proposals</w:t>
            </w:r>
            <w:r>
              <w:rPr>
                <w:szCs w:val="18"/>
              </w:rPr>
              <w:t xml:space="preserve"> </w:t>
            </w:r>
            <w:r w:rsidRPr="00886B5A">
              <w:rPr>
                <w:szCs w:val="18"/>
              </w:rPr>
              <w:t>and Environment Plans, to make reference to consideration of the protected matters under Part 3 of the EPBC Act. This advice should include references to relevant guidance documents to be considered by titleholders in preparing Offshore Project Proposals and Environment Plans such as EPBC Act guidance documents.</w:t>
            </w:r>
          </w:p>
          <w:p w14:paraId="50EF620C" w14:textId="77777777" w:rsidR="00D936D1" w:rsidRPr="00F90228" w:rsidRDefault="00D936D1" w:rsidP="00144BA2">
            <w:pPr>
              <w:pStyle w:val="BodyCopyNEW"/>
              <w:rPr>
                <w:szCs w:val="18"/>
              </w:rPr>
            </w:pPr>
            <w:r w:rsidRPr="00F90228">
              <w:rPr>
                <w:szCs w:val="18"/>
              </w:rPr>
              <w:t>Responsible: NOPSEMA and DAWE within 6 months of Program endorsement.</w:t>
            </w:r>
          </w:p>
        </w:tc>
        <w:tc>
          <w:tcPr>
            <w:tcW w:w="1849" w:type="pct"/>
            <w:tcBorders>
              <w:top w:val="single" w:sz="4" w:space="0" w:color="BFBFBF" w:themeColor="background1" w:themeShade="BF"/>
              <w:bottom w:val="single" w:sz="4" w:space="0" w:color="BFBFBF" w:themeColor="background1" w:themeShade="BF"/>
            </w:tcBorders>
            <w:tcMar>
              <w:top w:w="0" w:type="dxa"/>
              <w:left w:w="108" w:type="dxa"/>
              <w:bottom w:w="0" w:type="dxa"/>
              <w:right w:w="108" w:type="dxa"/>
            </w:tcMar>
          </w:tcPr>
          <w:p w14:paraId="0A91472C" w14:textId="07AAD7EC" w:rsidR="00D936D1" w:rsidRPr="0045030E" w:rsidRDefault="00D936D1" w:rsidP="00144BA2">
            <w:pPr>
              <w:pStyle w:val="BodyCopyNEW"/>
              <w:rPr>
                <w:b/>
                <w:szCs w:val="18"/>
              </w:rPr>
            </w:pPr>
            <w:r w:rsidRPr="0045030E">
              <w:rPr>
                <w:b/>
                <w:szCs w:val="18"/>
              </w:rPr>
              <w:t>NOPSEMA has met this commitment</w:t>
            </w:r>
            <w:r w:rsidR="00664A5D">
              <w:rPr>
                <w:b/>
                <w:szCs w:val="18"/>
              </w:rPr>
              <w:t>.</w:t>
            </w:r>
          </w:p>
          <w:p w14:paraId="02640A2D" w14:textId="41752712" w:rsidR="00D936D1" w:rsidRPr="00886B5A" w:rsidRDefault="00D936D1" w:rsidP="00144BA2">
            <w:pPr>
              <w:pStyle w:val="BodyCopyNEW"/>
              <w:rPr>
                <w:szCs w:val="18"/>
                <w:highlight w:val="green"/>
              </w:rPr>
            </w:pPr>
            <w:r w:rsidRPr="002528EF">
              <w:rPr>
                <w:bCs/>
                <w:szCs w:val="18"/>
              </w:rPr>
              <w:t>Based on the evidence we examined, NOPSEMA and DAWE have met their respective administrative commitments as outlined in the Endorsed Program within the required timeframes</w:t>
            </w:r>
            <w:r>
              <w:rPr>
                <w:bCs/>
                <w:szCs w:val="18"/>
              </w:rPr>
              <w:t>.</w:t>
            </w:r>
            <w:r w:rsidRPr="002528EF">
              <w:rPr>
                <w:bCs/>
                <w:szCs w:val="18"/>
              </w:rPr>
              <w:t xml:space="preserve"> </w:t>
            </w:r>
            <w:r w:rsidRPr="00B24B90">
              <w:rPr>
                <w:bCs/>
                <w:szCs w:val="18"/>
              </w:rPr>
              <w:t xml:space="preserve">This has occurred through a </w:t>
            </w:r>
            <w:r>
              <w:rPr>
                <w:bCs/>
                <w:szCs w:val="18"/>
              </w:rPr>
              <w:t>wide range</w:t>
            </w:r>
            <w:r w:rsidRPr="00B24B90">
              <w:rPr>
                <w:bCs/>
                <w:szCs w:val="18"/>
              </w:rPr>
              <w:t xml:space="preserve"> of NOP</w:t>
            </w:r>
            <w:r w:rsidR="000B1991">
              <w:rPr>
                <w:bCs/>
                <w:szCs w:val="18"/>
              </w:rPr>
              <w:t>SE</w:t>
            </w:r>
            <w:r w:rsidRPr="00B24B90">
              <w:rPr>
                <w:bCs/>
                <w:szCs w:val="18"/>
              </w:rPr>
              <w:t xml:space="preserve">MA advice documents, most importantly for authority holders via the </w:t>
            </w:r>
            <w:r>
              <w:rPr>
                <w:bCs/>
                <w:szCs w:val="18"/>
              </w:rPr>
              <w:t>EP</w:t>
            </w:r>
            <w:r w:rsidRPr="00B24B90">
              <w:rPr>
                <w:bCs/>
                <w:szCs w:val="18"/>
              </w:rPr>
              <w:t xml:space="preserve"> content requirements</w:t>
            </w:r>
            <w:r w:rsidR="00715AF0" w:rsidRPr="00B24B90">
              <w:rPr>
                <w:rStyle w:val="FootnoteReference"/>
                <w:bCs/>
                <w:szCs w:val="18"/>
              </w:rPr>
              <w:footnoteReference w:id="80"/>
            </w:r>
            <w:r w:rsidRPr="00B24B90">
              <w:rPr>
                <w:bCs/>
                <w:szCs w:val="18"/>
              </w:rPr>
              <w:t>.</w:t>
            </w:r>
          </w:p>
        </w:tc>
      </w:tr>
    </w:tbl>
    <w:p w14:paraId="1A48FD0F" w14:textId="77777777" w:rsidR="00D936D1" w:rsidRDefault="00D936D1" w:rsidP="00D936D1">
      <w:pPr>
        <w:pStyle w:val="Caption"/>
        <w:rPr>
          <w:b w:val="0"/>
          <w:bCs/>
          <w:i/>
          <w:iCs w:val="0"/>
          <w:color w:val="75787B" w:themeColor="accent6"/>
        </w:rPr>
      </w:pPr>
      <w:r w:rsidRPr="00913B8F">
        <w:rPr>
          <w:b w:val="0"/>
          <w:bCs/>
          <w:i/>
          <w:iCs w:val="0"/>
          <w:color w:val="75787B" w:themeColor="accent6"/>
        </w:rPr>
        <w:t>Source: Endorsed Program, page 37</w:t>
      </w:r>
    </w:p>
    <w:p w14:paraId="72932E65" w14:textId="77777777" w:rsidR="00332EBA" w:rsidRDefault="00332EBA" w:rsidP="00332EBA"/>
    <w:p w14:paraId="05ED7776" w14:textId="7D20E8E2" w:rsidR="00332EBA" w:rsidRPr="00332EBA" w:rsidRDefault="00332EBA" w:rsidP="00332EBA">
      <w:pPr>
        <w:sectPr w:rsidR="00332EBA" w:rsidRPr="00332EBA" w:rsidSect="00144BA2">
          <w:pgSz w:w="16838" w:h="11906" w:orient="landscape" w:code="9"/>
          <w:pgMar w:top="1021" w:right="1985" w:bottom="1021" w:left="1134" w:header="680" w:footer="425" w:gutter="0"/>
          <w:cols w:space="284"/>
          <w:docGrid w:linePitch="360"/>
        </w:sectPr>
      </w:pPr>
    </w:p>
    <w:p w14:paraId="42E9C9A4" w14:textId="77777777" w:rsidR="00DB7AB1" w:rsidRDefault="00DB7AB1" w:rsidP="00DB7AB1">
      <w:pPr>
        <w:pStyle w:val="Heading3"/>
      </w:pPr>
      <w:bookmarkStart w:id="208" w:name="_Ref63977576"/>
      <w:r w:rsidRPr="00F70539">
        <w:lastRenderedPageBreak/>
        <w:t>NOPSEMA’s implementation of continuous improvement opportunities</w:t>
      </w:r>
      <w:bookmarkEnd w:id="208"/>
    </w:p>
    <w:p w14:paraId="1DE9818E" w14:textId="6524D413" w:rsidR="00DB7AB1" w:rsidRDefault="00DB7AB1" w:rsidP="00AB5047">
      <w:pPr>
        <w:pStyle w:val="BodyBullet1"/>
        <w:numPr>
          <w:ilvl w:val="0"/>
          <w:numId w:val="0"/>
        </w:numPr>
        <w:rPr>
          <w:i/>
          <w:iCs/>
          <w:szCs w:val="18"/>
        </w:rPr>
      </w:pPr>
      <w:r w:rsidRPr="00886B5A">
        <w:rPr>
          <w:szCs w:val="18"/>
        </w:rPr>
        <w:t xml:space="preserve">The implementation of continuous improvement actions is a core component of protecting those matters listed under Part 3 of the EPBC Act. The Endorsed Program stipulates that the Administrative Arrangements between NOPSEMA and DAWE </w:t>
      </w:r>
      <w:r w:rsidRPr="00886B5A">
        <w:rPr>
          <w:i/>
          <w:iCs/>
          <w:szCs w:val="18"/>
        </w:rPr>
        <w:t>“provide a mechanism for continuous improvement through learning from the outcomes of assessment decisions, any relevant reviews, updates to relevant policies, guidelines, recovery plans and any other relevant new information that relates to the protection of matters protected under Part 3 of the EPBC Act</w:t>
      </w:r>
      <w:r w:rsidR="00715AF0" w:rsidRPr="00886B5A">
        <w:rPr>
          <w:rStyle w:val="FootnoteReference"/>
          <w:sz w:val="18"/>
          <w:szCs w:val="18"/>
        </w:rPr>
        <w:footnoteReference w:id="81"/>
      </w:r>
      <w:r w:rsidRPr="00886B5A">
        <w:rPr>
          <w:i/>
          <w:iCs/>
          <w:szCs w:val="18"/>
        </w:rPr>
        <w:t>.”</w:t>
      </w:r>
    </w:p>
    <w:p w14:paraId="221BEA6C" w14:textId="77777777" w:rsidR="00DB7AB1" w:rsidRPr="00145500" w:rsidRDefault="00DB7AB1" w:rsidP="00DB7AB1">
      <w:pPr>
        <w:rPr>
          <w:rFonts w:ascii="Calibri Light" w:hAnsi="Calibri Light" w:cs="Calibri Light"/>
        </w:rPr>
      </w:pPr>
      <w:r w:rsidRPr="00145500">
        <w:rPr>
          <w:rFonts w:ascii="Calibri Light" w:hAnsi="Calibri Light" w:cs="Calibri Light"/>
        </w:rPr>
        <w:t xml:space="preserve">In this section we have examined whether: </w:t>
      </w:r>
    </w:p>
    <w:p w14:paraId="23FCEFCD" w14:textId="1DC3AB7C" w:rsidR="00DB7AB1" w:rsidRPr="00145500" w:rsidRDefault="00DB7AB1" w:rsidP="00AB5047">
      <w:pPr>
        <w:pStyle w:val="BodycopyNEW0"/>
        <w:numPr>
          <w:ilvl w:val="0"/>
          <w:numId w:val="23"/>
        </w:numPr>
        <w:ind w:left="378"/>
        <w:rPr>
          <w:szCs w:val="18"/>
        </w:rPr>
      </w:pPr>
      <w:r w:rsidRPr="00145500">
        <w:rPr>
          <w:szCs w:val="18"/>
        </w:rPr>
        <w:t>NOPSEMA has established practices to identify, monitor, and complete corrective actions</w:t>
      </w:r>
    </w:p>
    <w:p w14:paraId="398858A6" w14:textId="7716B8C1" w:rsidR="00DB7AB1" w:rsidRPr="00145500" w:rsidRDefault="00DB7AB1" w:rsidP="00AB5047">
      <w:pPr>
        <w:pStyle w:val="BodycopyNEW0"/>
        <w:numPr>
          <w:ilvl w:val="0"/>
          <w:numId w:val="23"/>
        </w:numPr>
        <w:ind w:left="378"/>
        <w:rPr>
          <w:szCs w:val="18"/>
        </w:rPr>
      </w:pPr>
      <w:r>
        <w:rPr>
          <w:szCs w:val="18"/>
        </w:rPr>
        <w:t xml:space="preserve">There is evidence of a continuous improvement process (this is covered in the Administrative Arrangements </w:t>
      </w:r>
      <w:r w:rsidR="00D1289F" w:rsidRPr="00D1289F">
        <w:rPr>
          <w:b/>
          <w:bCs/>
          <w:szCs w:val="18"/>
        </w:rPr>
        <w:t>S</w:t>
      </w:r>
      <w:r w:rsidRPr="00D1289F">
        <w:rPr>
          <w:b/>
          <w:bCs/>
          <w:szCs w:val="18"/>
        </w:rPr>
        <w:t xml:space="preserve">ection </w:t>
      </w:r>
      <w:r w:rsidRPr="00D1289F">
        <w:rPr>
          <w:b/>
          <w:bCs/>
          <w:szCs w:val="18"/>
        </w:rPr>
        <w:fldChar w:fldCharType="begin"/>
      </w:r>
      <w:r w:rsidRPr="00D1289F">
        <w:rPr>
          <w:b/>
          <w:bCs/>
          <w:szCs w:val="18"/>
        </w:rPr>
        <w:instrText xml:space="preserve"> REF _Ref63183464 \r \h </w:instrText>
      </w:r>
      <w:r w:rsidR="00AB5047" w:rsidRPr="00D1289F">
        <w:rPr>
          <w:b/>
          <w:bCs/>
          <w:szCs w:val="18"/>
        </w:rPr>
        <w:instrText xml:space="preserve"> \* MERGEFORMAT </w:instrText>
      </w:r>
      <w:r w:rsidRPr="00D1289F">
        <w:rPr>
          <w:b/>
          <w:bCs/>
          <w:szCs w:val="18"/>
        </w:rPr>
      </w:r>
      <w:r w:rsidRPr="00D1289F">
        <w:rPr>
          <w:b/>
          <w:bCs/>
          <w:szCs w:val="18"/>
        </w:rPr>
        <w:fldChar w:fldCharType="separate"/>
      </w:r>
      <w:r w:rsidR="00E816B8">
        <w:rPr>
          <w:b/>
          <w:bCs/>
          <w:szCs w:val="18"/>
        </w:rPr>
        <w:t>11.4.6</w:t>
      </w:r>
      <w:r w:rsidRPr="00D1289F">
        <w:rPr>
          <w:b/>
          <w:bCs/>
          <w:szCs w:val="18"/>
        </w:rPr>
        <w:fldChar w:fldCharType="end"/>
      </w:r>
      <w:r>
        <w:rPr>
          <w:szCs w:val="18"/>
        </w:rPr>
        <w:t xml:space="preserve"> below) </w:t>
      </w:r>
    </w:p>
    <w:p w14:paraId="3EBDB597" w14:textId="77777777" w:rsidR="00DB7AB1" w:rsidRDefault="00DB7AB1" w:rsidP="00AB5047">
      <w:pPr>
        <w:pStyle w:val="BodycopyNEW0"/>
        <w:numPr>
          <w:ilvl w:val="0"/>
          <w:numId w:val="23"/>
        </w:numPr>
        <w:ind w:left="378"/>
        <w:rPr>
          <w:szCs w:val="18"/>
        </w:rPr>
      </w:pPr>
      <w:r w:rsidRPr="00145500">
        <w:rPr>
          <w:szCs w:val="18"/>
        </w:rPr>
        <w:t xml:space="preserve">NOPSEMA and DAWE have completed all relevant observations </w:t>
      </w:r>
      <w:r>
        <w:rPr>
          <w:szCs w:val="18"/>
        </w:rPr>
        <w:t xml:space="preserve">from prior reviews </w:t>
      </w:r>
      <w:r w:rsidRPr="00145500">
        <w:rPr>
          <w:szCs w:val="18"/>
        </w:rPr>
        <w:t>in a timely manner, reporting status to executive leadership.</w:t>
      </w:r>
    </w:p>
    <w:p w14:paraId="4DE69988" w14:textId="710D7EE9" w:rsidR="00DB5A6A" w:rsidRPr="00733441" w:rsidRDefault="00DB5A6A" w:rsidP="00DB5A6A">
      <w:pPr>
        <w:pStyle w:val="Heading4"/>
      </w:pPr>
      <w:r>
        <w:t>Relevant recommendations and findings from the 2015 Statutory Review of NOPSEMA</w:t>
      </w:r>
    </w:p>
    <w:p w14:paraId="229CDC50" w14:textId="77777777" w:rsidR="00DB5A6A" w:rsidRPr="004E57F2" w:rsidRDefault="00DB5A6A" w:rsidP="00DB5A6A">
      <w:pPr>
        <w:pStyle w:val="BodyCopyNEW"/>
        <w:rPr>
          <w:szCs w:val="18"/>
        </w:rPr>
      </w:pPr>
      <w:r w:rsidRPr="004E57F2">
        <w:rPr>
          <w:szCs w:val="18"/>
        </w:rPr>
        <w:t xml:space="preserve">Under section 695(2) of the OPGGS Act, the Minister is required to conduct independent statutory reviews, with the previous review conducted in 2015. The scope of that review included an assessment of NOPSEMA’s governance arrangements in accordance with the </w:t>
      </w:r>
      <w:r w:rsidRPr="004E57F2">
        <w:rPr>
          <w:i/>
          <w:iCs/>
          <w:szCs w:val="18"/>
        </w:rPr>
        <w:t>Public Governance, Performance and Accountability Act 2013</w:t>
      </w:r>
      <w:r w:rsidRPr="004E57F2">
        <w:rPr>
          <w:szCs w:val="18"/>
        </w:rPr>
        <w:t xml:space="preserve"> (the </w:t>
      </w:r>
      <w:r w:rsidRPr="004E57F2">
        <w:rPr>
          <w:b/>
          <w:bCs/>
          <w:szCs w:val="18"/>
        </w:rPr>
        <w:t>PGPA Act</w:t>
      </w:r>
      <w:r w:rsidRPr="004E57F2">
        <w:rPr>
          <w:szCs w:val="18"/>
        </w:rPr>
        <w:t xml:space="preserve">), NOPSEMA’s ability to respond to changes within the industry, and the effectiveness of NOPSEMA’s interactions with its stakeholder ecosystem. </w:t>
      </w:r>
      <w:r>
        <w:rPr>
          <w:szCs w:val="18"/>
        </w:rPr>
        <w:t>Relevant to NOPSEMA’s environment regulatory functions, t</w:t>
      </w:r>
      <w:r w:rsidRPr="004E57F2">
        <w:rPr>
          <w:szCs w:val="18"/>
        </w:rPr>
        <w:t>he review also assessed the operational effectiveness of NOPSEMA in bringing about improvements in:</w:t>
      </w:r>
    </w:p>
    <w:p w14:paraId="76BC9DBC" w14:textId="77777777" w:rsidR="00DB5A6A" w:rsidRPr="00A81738" w:rsidRDefault="00DB5A6A" w:rsidP="006E670F">
      <w:pPr>
        <w:pStyle w:val="BodycopyNEW0"/>
        <w:numPr>
          <w:ilvl w:val="0"/>
          <w:numId w:val="23"/>
        </w:numPr>
        <w:ind w:left="378"/>
        <w:rPr>
          <w:szCs w:val="18"/>
        </w:rPr>
      </w:pPr>
      <w:r w:rsidRPr="00A81738">
        <w:rPr>
          <w:szCs w:val="18"/>
        </w:rPr>
        <w:t>The occupational health and safety of persons engaged in offshore petroleum operations or offshore greenhouse gas storage operations</w:t>
      </w:r>
    </w:p>
    <w:p w14:paraId="3CFC29BC" w14:textId="77777777" w:rsidR="00DB5A6A" w:rsidRPr="004E57F2" w:rsidRDefault="00DB5A6A" w:rsidP="006E670F">
      <w:pPr>
        <w:pStyle w:val="BodycopyNEW0"/>
        <w:numPr>
          <w:ilvl w:val="0"/>
          <w:numId w:val="23"/>
        </w:numPr>
        <w:ind w:left="378"/>
        <w:rPr>
          <w:szCs w:val="18"/>
        </w:rPr>
      </w:pPr>
      <w:r w:rsidRPr="004E57F2">
        <w:rPr>
          <w:szCs w:val="18"/>
        </w:rPr>
        <w:t>The structural integrity of facilities, wells, and well-related equipment</w:t>
      </w:r>
    </w:p>
    <w:p w14:paraId="30D9F5A1" w14:textId="77777777" w:rsidR="00DB5A6A" w:rsidRPr="004E57F2" w:rsidRDefault="00DB5A6A" w:rsidP="006E670F">
      <w:pPr>
        <w:pStyle w:val="BodycopyNEW0"/>
        <w:numPr>
          <w:ilvl w:val="0"/>
          <w:numId w:val="23"/>
        </w:numPr>
        <w:ind w:left="378"/>
        <w:rPr>
          <w:szCs w:val="18"/>
        </w:rPr>
      </w:pPr>
      <w:r w:rsidRPr="004E57F2">
        <w:rPr>
          <w:szCs w:val="18"/>
        </w:rPr>
        <w:t>Offshore petroleum environmental management – which includes the effectiveness of the integration of environmental management into NOPSEMA’s functions</w:t>
      </w:r>
    </w:p>
    <w:p w14:paraId="34B0DD48" w14:textId="77777777" w:rsidR="00DB5A6A" w:rsidRPr="004E57F2" w:rsidRDefault="00DB5A6A" w:rsidP="006E670F">
      <w:pPr>
        <w:pStyle w:val="BodycopyNEW0"/>
        <w:numPr>
          <w:ilvl w:val="0"/>
          <w:numId w:val="23"/>
        </w:numPr>
        <w:ind w:left="378"/>
        <w:rPr>
          <w:szCs w:val="18"/>
        </w:rPr>
      </w:pPr>
      <w:r w:rsidRPr="004E57F2">
        <w:rPr>
          <w:szCs w:val="18"/>
        </w:rPr>
        <w:t>Offshore GHG storage environmental management.</w:t>
      </w:r>
    </w:p>
    <w:p w14:paraId="0025EB0D" w14:textId="77777777" w:rsidR="00DB5A6A" w:rsidRPr="004E57F2" w:rsidRDefault="00DB5A6A" w:rsidP="00DB5A6A">
      <w:pPr>
        <w:pStyle w:val="BodyCopyNEW"/>
        <w:rPr>
          <w:szCs w:val="18"/>
        </w:rPr>
      </w:pPr>
      <w:r w:rsidRPr="00D90AB4">
        <w:rPr>
          <w:szCs w:val="18"/>
        </w:rPr>
        <w:t xml:space="preserve">NOPSEMA’s environment-specific regulatory responsibilities include NOPSEMA being the </w:t>
      </w:r>
      <w:r w:rsidRPr="00390EDC">
        <w:rPr>
          <w:szCs w:val="18"/>
        </w:rPr>
        <w:t>sole regulator for petroleum activities in Commonwealth waters that relate to matters listed as ‘protected’ under the EPBC Act</w:t>
      </w:r>
      <w:r w:rsidRPr="00D90AB4">
        <w:rPr>
          <w:rStyle w:val="FootnoteReference"/>
          <w:szCs w:val="18"/>
        </w:rPr>
        <w:footnoteReference w:id="82"/>
      </w:r>
      <w:r w:rsidRPr="00D90AB4">
        <w:rPr>
          <w:szCs w:val="18"/>
        </w:rPr>
        <w:t xml:space="preserve">. </w:t>
      </w:r>
      <w:r w:rsidRPr="00390EDC">
        <w:rPr>
          <w:szCs w:val="18"/>
        </w:rPr>
        <w:t>Specifically, in relat</w:t>
      </w:r>
      <w:r w:rsidRPr="00704684">
        <w:rPr>
          <w:szCs w:val="18"/>
        </w:rPr>
        <w:t>ion to EPBC related matters, the 2015 Statutory Review of NOPSEMA found that there was insufficient trust (from state regulators, their respective ministers, as well as from community and environmental-aligned non-government organisations (</w:t>
      </w:r>
      <w:r w:rsidRPr="00886B5A">
        <w:rPr>
          <w:b/>
          <w:szCs w:val="18"/>
        </w:rPr>
        <w:t>ENGOs</w:t>
      </w:r>
      <w:r w:rsidRPr="00D90AB4">
        <w:rPr>
          <w:szCs w:val="18"/>
        </w:rPr>
        <w:t xml:space="preserve">)) in </w:t>
      </w:r>
      <w:r w:rsidRPr="00390EDC">
        <w:rPr>
          <w:szCs w:val="18"/>
        </w:rPr>
        <w:t>NOPSEMA’</w:t>
      </w:r>
      <w:r w:rsidRPr="00704684">
        <w:rPr>
          <w:szCs w:val="18"/>
        </w:rPr>
        <w:t>s ability to appropriately regulate the environment through the EPBC Act. Lower trust stems from the disparate powers and capabilities each state and territory has in carrying out regulation of the offshore petroleum sector, the differing timetables for conferring powers, the complexity of these powers, transparency in decision making and the concerns that environmental regulation would be seen as a secondary priority.</w:t>
      </w:r>
    </w:p>
    <w:p w14:paraId="49B707AC" w14:textId="7A7CD520" w:rsidR="00DB5A6A" w:rsidRPr="004E57F2" w:rsidRDefault="00DB5A6A" w:rsidP="00DB5A6A">
      <w:pPr>
        <w:pStyle w:val="BodyCopyNEW"/>
        <w:rPr>
          <w:szCs w:val="18"/>
        </w:rPr>
      </w:pPr>
      <w:r>
        <w:rPr>
          <w:szCs w:val="18"/>
        </w:rPr>
        <w:t xml:space="preserve">Our review examines whether the recommendations and findings from the 2015 Statutory Review of NOPSEMA have been effectively implemented, and this is covered in </w:t>
      </w:r>
      <w:r w:rsidR="00327EDD">
        <w:rPr>
          <w:b/>
          <w:szCs w:val="18"/>
        </w:rPr>
        <w:t>Appendix E</w:t>
      </w:r>
      <w:r w:rsidR="00327EDD" w:rsidRPr="00327EDD">
        <w:rPr>
          <w:bCs/>
          <w:szCs w:val="18"/>
        </w:rPr>
        <w:t>.</w:t>
      </w:r>
    </w:p>
    <w:p w14:paraId="15578332" w14:textId="77777777" w:rsidR="00790F59" w:rsidRDefault="00790F59" w:rsidP="004F016B">
      <w:pPr>
        <w:pStyle w:val="Heading4"/>
      </w:pPr>
      <w:bookmarkStart w:id="209" w:name="_Ref58851907"/>
      <w:r>
        <w:t xml:space="preserve">Assessment of progress against the 2015 Endorsed Program </w:t>
      </w:r>
      <w:bookmarkEnd w:id="209"/>
      <w:r>
        <w:t>Assessment</w:t>
      </w:r>
    </w:p>
    <w:p w14:paraId="5950E0BA" w14:textId="77777777" w:rsidR="00790F59" w:rsidRPr="004F016B" w:rsidRDefault="00790F59" w:rsidP="004F016B">
      <w:pPr>
        <w:pStyle w:val="Heading3NoNumber"/>
      </w:pPr>
      <w:r w:rsidRPr="004F016B">
        <w:t>NOPSEMA has made sound progress against the findings of the 2015 Endorsed Program Assessment</w:t>
      </w:r>
    </w:p>
    <w:p w14:paraId="0ECA33AD" w14:textId="77777777" w:rsidR="00790F59" w:rsidRPr="004E57F2" w:rsidRDefault="00790F59" w:rsidP="00790F59">
      <w:pPr>
        <w:pStyle w:val="BodyCopyNEW"/>
        <w:rPr>
          <w:szCs w:val="18"/>
        </w:rPr>
      </w:pPr>
      <w:r w:rsidRPr="004E57F2">
        <w:rPr>
          <w:szCs w:val="18"/>
        </w:rPr>
        <w:t>Environmental Resources Management Australia (</w:t>
      </w:r>
      <w:r w:rsidRPr="004E57F2">
        <w:rPr>
          <w:b/>
          <w:bCs/>
          <w:szCs w:val="18"/>
        </w:rPr>
        <w:t>ERM</w:t>
      </w:r>
      <w:r w:rsidRPr="004E57F2">
        <w:rPr>
          <w:szCs w:val="18"/>
        </w:rPr>
        <w:t xml:space="preserve">) was commissioned to </w:t>
      </w:r>
      <w:r>
        <w:rPr>
          <w:szCs w:val="18"/>
        </w:rPr>
        <w:t>assess</w:t>
      </w:r>
      <w:r w:rsidRPr="004E57F2">
        <w:rPr>
          <w:szCs w:val="18"/>
        </w:rPr>
        <w:t xml:space="preserve"> NOPSEMA’s performance in meeting the Program objectives, including ensuring that impacts on matters protected under Part 3 of the EPBC Act were not unacceptable.</w:t>
      </w:r>
    </w:p>
    <w:p w14:paraId="7E2D2572" w14:textId="77777777" w:rsidR="00790F59" w:rsidRPr="004E57F2" w:rsidRDefault="00790F59" w:rsidP="00790F59">
      <w:pPr>
        <w:pStyle w:val="BodyCopyNEW"/>
        <w:rPr>
          <w:szCs w:val="18"/>
        </w:rPr>
      </w:pPr>
      <w:r w:rsidRPr="004E57F2">
        <w:rPr>
          <w:szCs w:val="18"/>
        </w:rPr>
        <w:t xml:space="preserve">The ERM </w:t>
      </w:r>
      <w:r>
        <w:rPr>
          <w:szCs w:val="18"/>
        </w:rPr>
        <w:t>assessment</w:t>
      </w:r>
      <w:r w:rsidRPr="004E57F2">
        <w:rPr>
          <w:szCs w:val="18"/>
        </w:rPr>
        <w:t xml:space="preserve"> found that NOPSEMA met all commitments under the </w:t>
      </w:r>
      <w:r>
        <w:rPr>
          <w:szCs w:val="18"/>
        </w:rPr>
        <w:t xml:space="preserve">Endorsed </w:t>
      </w:r>
      <w:r w:rsidRPr="004E57F2">
        <w:rPr>
          <w:szCs w:val="18"/>
        </w:rPr>
        <w:t xml:space="preserve">Program in the review period, and that the required processes and procedures were in place. As such, the </w:t>
      </w:r>
      <w:r>
        <w:rPr>
          <w:szCs w:val="18"/>
        </w:rPr>
        <w:t>ERM</w:t>
      </w:r>
      <w:r w:rsidRPr="004E57F2">
        <w:rPr>
          <w:szCs w:val="18"/>
        </w:rPr>
        <w:t xml:space="preserve"> concluded that no formal recommendations or modification of management arrangements were required</w:t>
      </w:r>
      <w:r>
        <w:rPr>
          <w:szCs w:val="18"/>
        </w:rPr>
        <w:t xml:space="preserve"> at that time</w:t>
      </w:r>
      <w:r w:rsidRPr="004E57F2">
        <w:rPr>
          <w:szCs w:val="18"/>
        </w:rPr>
        <w:t>.</w:t>
      </w:r>
    </w:p>
    <w:p w14:paraId="2502900F" w14:textId="5E93B1B7" w:rsidR="00790F59" w:rsidRPr="004E57F2" w:rsidRDefault="00790F59" w:rsidP="00790F59">
      <w:pPr>
        <w:pStyle w:val="BodyCopyNEW"/>
        <w:rPr>
          <w:szCs w:val="18"/>
        </w:rPr>
      </w:pPr>
      <w:r w:rsidRPr="004E57F2">
        <w:rPr>
          <w:szCs w:val="18"/>
        </w:rPr>
        <w:t xml:space="preserve">However, the </w:t>
      </w:r>
      <w:r>
        <w:rPr>
          <w:szCs w:val="18"/>
        </w:rPr>
        <w:t>assessment</w:t>
      </w:r>
      <w:r w:rsidRPr="004E57F2">
        <w:rPr>
          <w:szCs w:val="18"/>
        </w:rPr>
        <w:t xml:space="preserve"> identified a range of “opportunities for improvement”, which NOPSEMA accepted and agreed it would implement. Suggestions for refinement of management arrangements (Opportunities for Improvement (</w:t>
      </w:r>
      <w:r w:rsidRPr="004E57F2">
        <w:rPr>
          <w:b/>
          <w:bCs/>
          <w:szCs w:val="18"/>
        </w:rPr>
        <w:t>OFI</w:t>
      </w:r>
      <w:r w:rsidRPr="004E57F2">
        <w:rPr>
          <w:szCs w:val="18"/>
        </w:rPr>
        <w:t xml:space="preserve">)) were proposed, as well as additional considerations outside the scope of the </w:t>
      </w:r>
      <w:r>
        <w:rPr>
          <w:szCs w:val="18"/>
        </w:rPr>
        <w:t>assessment</w:t>
      </w:r>
      <w:r w:rsidRPr="004E57F2">
        <w:rPr>
          <w:szCs w:val="18"/>
        </w:rPr>
        <w:t xml:space="preserve"> (recorded as Observations) to further support meeting the Program </w:t>
      </w:r>
      <w:r w:rsidRPr="004E57F2">
        <w:rPr>
          <w:szCs w:val="18"/>
        </w:rPr>
        <w:lastRenderedPageBreak/>
        <w:t xml:space="preserve">commitments on an ongoing basis. These were included in the </w:t>
      </w:r>
      <w:r w:rsidRPr="004E57F2">
        <w:rPr>
          <w:i/>
          <w:iCs/>
          <w:szCs w:val="18"/>
        </w:rPr>
        <w:t>Program Review Report – NOPSEMA Response</w:t>
      </w:r>
      <w:r w:rsidRPr="004E57F2">
        <w:rPr>
          <w:szCs w:val="18"/>
        </w:rPr>
        <w:t xml:space="preserve"> (the </w:t>
      </w:r>
      <w:r w:rsidRPr="004E57F2">
        <w:rPr>
          <w:b/>
          <w:bCs/>
          <w:szCs w:val="18"/>
        </w:rPr>
        <w:t>NOPSEMA response</w:t>
      </w:r>
      <w:r w:rsidRPr="004E57F2">
        <w:rPr>
          <w:szCs w:val="18"/>
        </w:rPr>
        <w:t>) observations and improvements.</w:t>
      </w:r>
    </w:p>
    <w:p w14:paraId="6E5D5CD9" w14:textId="43C1FC1A" w:rsidR="00790F59" w:rsidRPr="004E57F2" w:rsidRDefault="00790F59" w:rsidP="00790F59">
      <w:pPr>
        <w:pStyle w:val="BodyCopyNEW"/>
        <w:rPr>
          <w:szCs w:val="18"/>
        </w:rPr>
      </w:pPr>
      <w:r w:rsidRPr="004E57F2">
        <w:rPr>
          <w:szCs w:val="18"/>
        </w:rPr>
        <w:t xml:space="preserve">NOPSEMA provided an updated response to these OFIs and Observations as </w:t>
      </w:r>
      <w:r w:rsidRPr="007F0893">
        <w:rPr>
          <w:szCs w:val="18"/>
        </w:rPr>
        <w:t>summarised i</w:t>
      </w:r>
      <w:r w:rsidR="00624D4F">
        <w:rPr>
          <w:szCs w:val="18"/>
        </w:rPr>
        <w:t xml:space="preserve">n </w:t>
      </w:r>
      <w:r w:rsidR="00624D4F" w:rsidRPr="00624D4F">
        <w:rPr>
          <w:b/>
          <w:bCs/>
          <w:szCs w:val="18"/>
        </w:rPr>
        <w:fldChar w:fldCharType="begin"/>
      </w:r>
      <w:r w:rsidR="00624D4F" w:rsidRPr="00624D4F">
        <w:rPr>
          <w:b/>
          <w:bCs/>
          <w:szCs w:val="18"/>
        </w:rPr>
        <w:instrText xml:space="preserve"> REF _Ref63197236 \h  \* MERGEFORMAT </w:instrText>
      </w:r>
      <w:r w:rsidR="00624D4F" w:rsidRPr="00624D4F">
        <w:rPr>
          <w:b/>
          <w:bCs/>
          <w:szCs w:val="18"/>
        </w:rPr>
      </w:r>
      <w:r w:rsidR="00624D4F" w:rsidRPr="00624D4F">
        <w:rPr>
          <w:b/>
          <w:bCs/>
          <w:szCs w:val="18"/>
        </w:rPr>
        <w:fldChar w:fldCharType="separate"/>
      </w:r>
      <w:r w:rsidR="00E816B8" w:rsidRPr="00E816B8">
        <w:rPr>
          <w:b/>
          <w:bCs/>
          <w:szCs w:val="18"/>
        </w:rPr>
        <w:t xml:space="preserve">Table </w:t>
      </w:r>
      <w:r w:rsidR="00E816B8" w:rsidRPr="00E816B8">
        <w:rPr>
          <w:b/>
          <w:bCs/>
          <w:noProof/>
          <w:szCs w:val="18"/>
        </w:rPr>
        <w:t>11.12</w:t>
      </w:r>
      <w:r w:rsidR="00624D4F" w:rsidRPr="00624D4F">
        <w:rPr>
          <w:b/>
          <w:bCs/>
          <w:szCs w:val="18"/>
        </w:rPr>
        <w:fldChar w:fldCharType="end"/>
      </w:r>
      <w:r w:rsidRPr="004E57F2">
        <w:rPr>
          <w:szCs w:val="18"/>
        </w:rPr>
        <w:t>. </w:t>
      </w:r>
    </w:p>
    <w:p w14:paraId="380992CD" w14:textId="70C441BA" w:rsidR="00145E9E" w:rsidRDefault="00790F59" w:rsidP="00E26FB1">
      <w:pPr>
        <w:pStyle w:val="BodyCopyNEW"/>
      </w:pPr>
      <w:r>
        <w:rPr>
          <w:szCs w:val="18"/>
        </w:rPr>
        <w:t xml:space="preserve">Deloitte has examined information that was provided by NOPSEMA as demonstration of ongoing progress to address the OFIs and Observations made by the 2015 Endorsed Program Assessment. </w:t>
      </w:r>
      <w:r w:rsidRPr="004E57F2">
        <w:rPr>
          <w:szCs w:val="18"/>
        </w:rPr>
        <w:t xml:space="preserve">Overall, </w:t>
      </w:r>
      <w:r>
        <w:rPr>
          <w:szCs w:val="18"/>
        </w:rPr>
        <w:t xml:space="preserve">we have found NOPSEMA to have </w:t>
      </w:r>
      <w:r w:rsidRPr="004E57F2">
        <w:rPr>
          <w:szCs w:val="18"/>
        </w:rPr>
        <w:t xml:space="preserve">made sound progress to address </w:t>
      </w:r>
      <w:r w:rsidR="00D90B09">
        <w:rPr>
          <w:szCs w:val="18"/>
        </w:rPr>
        <w:t xml:space="preserve">the </w:t>
      </w:r>
      <w:r w:rsidRPr="004E57F2">
        <w:rPr>
          <w:szCs w:val="18"/>
        </w:rPr>
        <w:t>OFI</w:t>
      </w:r>
      <w:r w:rsidR="00D90B09">
        <w:rPr>
          <w:szCs w:val="18"/>
        </w:rPr>
        <w:t>s</w:t>
      </w:r>
      <w:r w:rsidRPr="004E57F2">
        <w:rPr>
          <w:szCs w:val="18"/>
        </w:rPr>
        <w:t xml:space="preserve"> and Observations</w:t>
      </w:r>
      <w:r>
        <w:rPr>
          <w:szCs w:val="18"/>
        </w:rPr>
        <w:t>.</w:t>
      </w:r>
      <w:r w:rsidRPr="004E57F2">
        <w:rPr>
          <w:szCs w:val="18"/>
        </w:rPr>
        <w:t xml:space="preserve"> </w:t>
      </w:r>
    </w:p>
    <w:p w14:paraId="070914FE" w14:textId="00898D97" w:rsidR="00145E9E" w:rsidRPr="00145E9E" w:rsidRDefault="00145E9E" w:rsidP="00145E9E">
      <w:pPr>
        <w:sectPr w:rsidR="00145E9E" w:rsidRPr="00145E9E" w:rsidSect="00332EBA">
          <w:pgSz w:w="11906" w:h="16838"/>
          <w:pgMar w:top="1985" w:right="1021" w:bottom="1134" w:left="1021" w:header="680" w:footer="425" w:gutter="0"/>
          <w:cols w:space="720"/>
          <w:docGrid w:linePitch="245"/>
        </w:sectPr>
      </w:pPr>
    </w:p>
    <w:p w14:paraId="3C855FAC" w14:textId="4F2E7EFE" w:rsidR="007C15D8" w:rsidRPr="00646935" w:rsidRDefault="00624D4F" w:rsidP="00624D4F">
      <w:pPr>
        <w:pStyle w:val="Caption"/>
        <w:rPr>
          <w:rFonts w:cs="Calibri"/>
        </w:rPr>
      </w:pPr>
      <w:bookmarkStart w:id="210" w:name="_Ref63197236"/>
      <w:r>
        <w:lastRenderedPageBreak/>
        <w:t xml:space="preserve">Table </w:t>
      </w:r>
      <w:r>
        <w:fldChar w:fldCharType="begin"/>
      </w:r>
      <w:r>
        <w:instrText xml:space="preserve"> STYLEREF 1 \s </w:instrText>
      </w:r>
      <w:r>
        <w:fldChar w:fldCharType="separate"/>
      </w:r>
      <w:r w:rsidR="00E816B8">
        <w:rPr>
          <w:noProof/>
        </w:rPr>
        <w:t>11</w:t>
      </w:r>
      <w:r>
        <w:fldChar w:fldCharType="end"/>
      </w:r>
      <w:r>
        <w:t>.</w:t>
      </w:r>
      <w:r>
        <w:fldChar w:fldCharType="begin"/>
      </w:r>
      <w:r>
        <w:instrText xml:space="preserve"> SEQ Table \* ARABIC \s 1 </w:instrText>
      </w:r>
      <w:r>
        <w:fldChar w:fldCharType="separate"/>
      </w:r>
      <w:r w:rsidR="00E816B8">
        <w:rPr>
          <w:noProof/>
        </w:rPr>
        <w:t>12</w:t>
      </w:r>
      <w:r>
        <w:fldChar w:fldCharType="end"/>
      </w:r>
      <w:bookmarkEnd w:id="210"/>
      <w:r w:rsidR="007C15D8">
        <w:t xml:space="preserve">: Opportunities for Improvement and Observation from the 2015 </w:t>
      </w:r>
      <w:r w:rsidR="00233A03">
        <w:t>Endorsed Program Assessment</w:t>
      </w:r>
    </w:p>
    <w:tbl>
      <w:tblPr>
        <w:tblW w:w="14467" w:type="dxa"/>
        <w:tblInd w:w="-10" w:type="dxa"/>
        <w:tblCellMar>
          <w:left w:w="0" w:type="dxa"/>
          <w:right w:w="0" w:type="dxa"/>
        </w:tblCellMar>
        <w:tblLook w:val="04A0" w:firstRow="1" w:lastRow="0" w:firstColumn="1" w:lastColumn="0" w:noHBand="0" w:noVBand="1"/>
      </w:tblPr>
      <w:tblGrid>
        <w:gridCol w:w="1286"/>
        <w:gridCol w:w="7088"/>
        <w:gridCol w:w="6093"/>
      </w:tblGrid>
      <w:tr w:rsidR="007C15D8" w14:paraId="256E766F" w14:textId="77777777" w:rsidTr="00ED2991">
        <w:trPr>
          <w:tblHeader/>
        </w:trPr>
        <w:tc>
          <w:tcPr>
            <w:tcW w:w="1286" w:type="dxa"/>
            <w:tcBorders>
              <w:top w:val="single" w:sz="8" w:space="0" w:color="007680"/>
              <w:left w:val="nil"/>
              <w:bottom w:val="single" w:sz="8" w:space="0" w:color="007680"/>
              <w:right w:val="nil"/>
            </w:tcBorders>
            <w:tcMar>
              <w:top w:w="0" w:type="dxa"/>
              <w:left w:w="108" w:type="dxa"/>
              <w:bottom w:w="0" w:type="dxa"/>
              <w:right w:w="108" w:type="dxa"/>
            </w:tcMar>
            <w:hideMark/>
          </w:tcPr>
          <w:p w14:paraId="63B41E3A" w14:textId="715DDD00" w:rsidR="007C15D8" w:rsidRDefault="00ED2991" w:rsidP="00AC121F">
            <w:pPr>
              <w:pStyle w:val="Tableheader"/>
              <w:spacing w:line="240" w:lineRule="atLeast"/>
              <w:rPr>
                <w:lang w:val="en-GB" w:eastAsia="en-US"/>
              </w:rPr>
            </w:pPr>
            <w:r>
              <w:rPr>
                <w:lang w:val="en-GB" w:eastAsia="en-US"/>
              </w:rPr>
              <w:t xml:space="preserve">2015 </w:t>
            </w:r>
            <w:r w:rsidR="007C15D8">
              <w:rPr>
                <w:lang w:val="en-GB" w:eastAsia="en-US"/>
              </w:rPr>
              <w:t>Report reference</w:t>
            </w:r>
            <w:r w:rsidR="007C15D8">
              <w:rPr>
                <w:rStyle w:val="FootnoteReference"/>
                <w:lang w:eastAsia="en-US"/>
              </w:rPr>
              <w:footnoteReference w:id="83"/>
            </w:r>
          </w:p>
        </w:tc>
        <w:tc>
          <w:tcPr>
            <w:tcW w:w="7088" w:type="dxa"/>
            <w:tcBorders>
              <w:top w:val="single" w:sz="8" w:space="0" w:color="007680"/>
              <w:left w:val="nil"/>
              <w:bottom w:val="single" w:sz="8" w:space="0" w:color="007680"/>
              <w:right w:val="nil"/>
            </w:tcBorders>
            <w:tcMar>
              <w:top w:w="0" w:type="dxa"/>
              <w:left w:w="108" w:type="dxa"/>
              <w:bottom w:w="0" w:type="dxa"/>
              <w:right w:w="108" w:type="dxa"/>
            </w:tcMar>
            <w:hideMark/>
          </w:tcPr>
          <w:p w14:paraId="0FF8819F" w14:textId="76AED321" w:rsidR="007C15D8" w:rsidRDefault="0038659C" w:rsidP="00AC121F">
            <w:pPr>
              <w:pStyle w:val="Tableheader"/>
              <w:spacing w:line="240" w:lineRule="atLeast"/>
              <w:rPr>
                <w:lang w:val="en-GB" w:eastAsia="en-US"/>
              </w:rPr>
            </w:pPr>
            <w:r>
              <w:rPr>
                <w:lang w:val="en-GB" w:eastAsia="en-US"/>
              </w:rPr>
              <w:t xml:space="preserve">2015 </w:t>
            </w:r>
            <w:r w:rsidR="007C15D8">
              <w:rPr>
                <w:lang w:val="en-GB" w:eastAsia="en-US"/>
              </w:rPr>
              <w:t>OFI/Observation</w:t>
            </w:r>
            <w:r w:rsidR="007C15D8">
              <w:rPr>
                <w:rStyle w:val="FootnoteReference"/>
                <w:lang w:eastAsia="en-US"/>
              </w:rPr>
              <w:footnoteReference w:id="84"/>
            </w:r>
          </w:p>
        </w:tc>
        <w:tc>
          <w:tcPr>
            <w:tcW w:w="6093" w:type="dxa"/>
            <w:tcBorders>
              <w:top w:val="single" w:sz="8" w:space="0" w:color="007680"/>
              <w:left w:val="nil"/>
              <w:bottom w:val="single" w:sz="8" w:space="0" w:color="007680"/>
              <w:right w:val="nil"/>
            </w:tcBorders>
            <w:tcMar>
              <w:top w:w="0" w:type="dxa"/>
              <w:left w:w="108" w:type="dxa"/>
              <w:bottom w:w="0" w:type="dxa"/>
              <w:right w:w="108" w:type="dxa"/>
            </w:tcMar>
            <w:hideMark/>
          </w:tcPr>
          <w:p w14:paraId="4B916F7A" w14:textId="20784D3C" w:rsidR="007C15D8" w:rsidRDefault="0038659C" w:rsidP="00AC121F">
            <w:pPr>
              <w:pStyle w:val="Tableheader"/>
              <w:spacing w:line="240" w:lineRule="atLeast"/>
              <w:rPr>
                <w:lang w:val="en-GB" w:eastAsia="en-US"/>
              </w:rPr>
            </w:pPr>
            <w:r>
              <w:rPr>
                <w:lang w:val="en-GB" w:eastAsia="en-US"/>
              </w:rPr>
              <w:t>Our assessment</w:t>
            </w:r>
            <w:r w:rsidR="007C15D8">
              <w:rPr>
                <w:rStyle w:val="FootnoteReference"/>
                <w:lang w:eastAsia="en-US"/>
              </w:rPr>
              <w:footnoteReference w:id="85"/>
            </w:r>
          </w:p>
        </w:tc>
      </w:tr>
      <w:tr w:rsidR="007C15D8" w14:paraId="23B1EC9D" w14:textId="77777777" w:rsidTr="00ED2991">
        <w:tc>
          <w:tcPr>
            <w:tcW w:w="1286" w:type="dxa"/>
            <w:tcBorders>
              <w:top w:val="single" w:sz="8" w:space="0" w:color="007680"/>
              <w:left w:val="nil"/>
              <w:bottom w:val="single" w:sz="4" w:space="0" w:color="BFBFBF" w:themeColor="background1" w:themeShade="BF"/>
              <w:right w:val="nil"/>
            </w:tcBorders>
            <w:tcMar>
              <w:top w:w="0" w:type="dxa"/>
              <w:left w:w="108" w:type="dxa"/>
              <w:bottom w:w="0" w:type="dxa"/>
              <w:right w:w="108" w:type="dxa"/>
            </w:tcMar>
          </w:tcPr>
          <w:p w14:paraId="19C2555F" w14:textId="60BAA2C3" w:rsidR="007C15D8" w:rsidRDefault="007C15D8" w:rsidP="00AC121F">
            <w:pPr>
              <w:pStyle w:val="BodyCopyNEW"/>
              <w:rPr>
                <w:szCs w:val="18"/>
                <w:lang w:val="en-GB"/>
              </w:rPr>
            </w:pPr>
            <w:r w:rsidRPr="009A0E24">
              <w:rPr>
                <w:szCs w:val="18"/>
              </w:rPr>
              <w:t>I-1</w:t>
            </w:r>
          </w:p>
        </w:tc>
        <w:tc>
          <w:tcPr>
            <w:tcW w:w="7088" w:type="dxa"/>
            <w:tcBorders>
              <w:top w:val="single" w:sz="8" w:space="0" w:color="007680"/>
              <w:left w:val="nil"/>
              <w:bottom w:val="single" w:sz="4" w:space="0" w:color="BFBFBF" w:themeColor="background1" w:themeShade="BF"/>
              <w:right w:val="nil"/>
            </w:tcBorders>
            <w:tcMar>
              <w:top w:w="0" w:type="dxa"/>
              <w:left w:w="108" w:type="dxa"/>
              <w:bottom w:w="0" w:type="dxa"/>
              <w:right w:w="108" w:type="dxa"/>
            </w:tcMar>
          </w:tcPr>
          <w:p w14:paraId="4F51D735" w14:textId="730307BA" w:rsidR="007C15D8" w:rsidRDefault="007C15D8" w:rsidP="00AC121F">
            <w:pPr>
              <w:pStyle w:val="BodyCopyNEW"/>
              <w:rPr>
                <w:szCs w:val="18"/>
                <w:lang w:val="en-GB"/>
              </w:rPr>
            </w:pPr>
            <w:r w:rsidRPr="009A0E24">
              <w:rPr>
                <w:szCs w:val="18"/>
              </w:rPr>
              <w:t xml:space="preserve">NOPSEMA to update advice documents to provide a more direct pathway from </w:t>
            </w:r>
            <w:r w:rsidRPr="009A0E24">
              <w:rPr>
                <w:i/>
                <w:szCs w:val="18"/>
              </w:rPr>
              <w:t>the Environment Plan Content Requirement Guidance Note</w:t>
            </w:r>
            <w:r w:rsidRPr="009A0E24">
              <w:rPr>
                <w:szCs w:val="18"/>
              </w:rPr>
              <w:t xml:space="preserve"> to the reference list of EPBC Act information to consider during the preparation of submissions that include activities that may impact matters protected under Part 3 of the EPBC Act.</w:t>
            </w:r>
          </w:p>
        </w:tc>
        <w:tc>
          <w:tcPr>
            <w:tcW w:w="6093" w:type="dxa"/>
            <w:tcBorders>
              <w:top w:val="single" w:sz="8" w:space="0" w:color="007680"/>
              <w:left w:val="nil"/>
              <w:bottom w:val="single" w:sz="4" w:space="0" w:color="BFBFBF" w:themeColor="background1" w:themeShade="BF"/>
              <w:right w:val="nil"/>
            </w:tcBorders>
            <w:tcMar>
              <w:top w:w="0" w:type="dxa"/>
              <w:left w:w="108" w:type="dxa"/>
              <w:bottom w:w="0" w:type="dxa"/>
              <w:right w:w="108" w:type="dxa"/>
            </w:tcMar>
          </w:tcPr>
          <w:p w14:paraId="679BA046" w14:textId="77777777" w:rsidR="007C15D8" w:rsidRPr="009A0E24" w:rsidRDefault="007C15D8" w:rsidP="00AC121F">
            <w:pPr>
              <w:pStyle w:val="BodyCopyNEW"/>
              <w:rPr>
                <w:szCs w:val="18"/>
              </w:rPr>
            </w:pPr>
            <w:r w:rsidRPr="009A0E24">
              <w:rPr>
                <w:szCs w:val="18"/>
              </w:rPr>
              <w:t xml:space="preserve">NOPSEMA has updated guidance since the previous review, and EPBC Act information is now incorporated within both the </w:t>
            </w:r>
            <w:r w:rsidRPr="009A0E24">
              <w:rPr>
                <w:i/>
                <w:szCs w:val="18"/>
              </w:rPr>
              <w:t>Environment Plan Content Requirements</w:t>
            </w:r>
            <w:r w:rsidRPr="009A0E24">
              <w:rPr>
                <w:szCs w:val="18"/>
              </w:rPr>
              <w:t xml:space="preserve"> N04750-GN1344 (see A339814</w:t>
            </w:r>
            <w:r w:rsidRPr="00715AF0">
              <w:rPr>
                <w:rStyle w:val="FootnoteReference"/>
                <w:sz w:val="18"/>
                <w:szCs w:val="18"/>
              </w:rPr>
              <w:footnoteReference w:id="86"/>
            </w:r>
            <w:r w:rsidRPr="009A0E24">
              <w:rPr>
                <w:szCs w:val="18"/>
              </w:rPr>
              <w:t xml:space="preserve">) and </w:t>
            </w:r>
            <w:r w:rsidRPr="009A0E24">
              <w:rPr>
                <w:i/>
                <w:szCs w:val="18"/>
              </w:rPr>
              <w:t>Decision-Making Guideline</w:t>
            </w:r>
            <w:r w:rsidRPr="009A0E24">
              <w:rPr>
                <w:szCs w:val="18"/>
              </w:rPr>
              <w:t xml:space="preserve"> (see A524696).</w:t>
            </w:r>
          </w:p>
          <w:p w14:paraId="586081C2" w14:textId="77777777" w:rsidR="007C15D8" w:rsidRPr="009A0E24" w:rsidRDefault="007C15D8" w:rsidP="00AC121F">
            <w:pPr>
              <w:pStyle w:val="BodyCopyNEW"/>
              <w:rPr>
                <w:szCs w:val="18"/>
              </w:rPr>
            </w:pPr>
            <w:r w:rsidRPr="009A0E24">
              <w:rPr>
                <w:szCs w:val="18"/>
              </w:rPr>
              <w:t>In relation to seismic surveys, an information paper has been developed to support acoustic impact assessment. This paper gives regard to defining acceptable levels of impact for threatened species (see A625748).</w:t>
            </w:r>
          </w:p>
          <w:p w14:paraId="095ED1A3" w14:textId="77777777" w:rsidR="007C15D8" w:rsidRPr="009A0E24" w:rsidRDefault="007C15D8" w:rsidP="00AC121F">
            <w:pPr>
              <w:pStyle w:val="BodyCopyNEW"/>
              <w:rPr>
                <w:szCs w:val="18"/>
              </w:rPr>
            </w:pPr>
            <w:r w:rsidRPr="009A0E24">
              <w:rPr>
                <w:szCs w:val="18"/>
              </w:rPr>
              <w:t xml:space="preserve">The </w:t>
            </w:r>
            <w:r w:rsidRPr="009A0E24">
              <w:rPr>
                <w:i/>
                <w:szCs w:val="18"/>
              </w:rPr>
              <w:t>Offshore Project Proposal Content Requirements Guidance Note</w:t>
            </w:r>
            <w:r w:rsidRPr="009A0E24">
              <w:rPr>
                <w:szCs w:val="18"/>
              </w:rPr>
              <w:t xml:space="preserve"> N-04790-GN1663 (see A473026), contains additional information to the </w:t>
            </w:r>
            <w:r w:rsidRPr="009A0E24">
              <w:rPr>
                <w:i/>
                <w:szCs w:val="18"/>
              </w:rPr>
              <w:t>Environment Plan Content Requirements Guidance Note</w:t>
            </w:r>
            <w:r w:rsidRPr="009A0E24">
              <w:rPr>
                <w:szCs w:val="18"/>
              </w:rPr>
              <w:t>, including a conceptual framework for defining acceptable levels and establishing levels of environmental performance. </w:t>
            </w:r>
            <w:r w:rsidR="00450AC7" w:rsidRPr="009A0E24">
              <w:rPr>
                <w:szCs w:val="18"/>
              </w:rPr>
              <w:t xml:space="preserve">Given this is a key process for </w:t>
            </w:r>
            <w:r w:rsidR="00450AC7">
              <w:rPr>
                <w:szCs w:val="18"/>
              </w:rPr>
              <w:t>EP</w:t>
            </w:r>
            <w:r w:rsidRPr="009A0E24">
              <w:rPr>
                <w:szCs w:val="18"/>
              </w:rPr>
              <w:t xml:space="preserve"> preparation in ensuring protection of matters of National Environmental Significance, this should be included in the </w:t>
            </w:r>
            <w:r w:rsidRPr="009A0E24">
              <w:rPr>
                <w:i/>
                <w:szCs w:val="18"/>
              </w:rPr>
              <w:t>Environment Plan Content Requirements Guidance Note</w:t>
            </w:r>
            <w:r w:rsidRPr="009A0E24">
              <w:rPr>
                <w:szCs w:val="18"/>
              </w:rPr>
              <w:t xml:space="preserve">. </w:t>
            </w:r>
          </w:p>
          <w:p w14:paraId="497B8BE0" w14:textId="159D0BBF" w:rsidR="007C15D8" w:rsidRDefault="007C15D8" w:rsidP="00AC121F">
            <w:pPr>
              <w:pStyle w:val="BodyCopyNEW"/>
              <w:rPr>
                <w:b/>
                <w:bCs/>
                <w:szCs w:val="18"/>
                <w:lang w:val="en-GB"/>
              </w:rPr>
            </w:pPr>
            <w:r w:rsidRPr="009A0E24">
              <w:rPr>
                <w:b/>
                <w:color w:val="007680"/>
                <w:szCs w:val="18"/>
              </w:rPr>
              <w:t xml:space="preserve">Recommendation: </w:t>
            </w:r>
            <w:r w:rsidRPr="009A0E24">
              <w:rPr>
                <w:b/>
                <w:color w:val="000000" w:themeColor="text1"/>
                <w:szCs w:val="18"/>
              </w:rPr>
              <w:t>Update the Environment Plan Content Requirements N04750-GN1344 (see A339814) to reflect additional information on defining acceptable levels as currently provided in the Offshore Project Proposal Content Requirements Guidance Note N-04790-GN1663 (see A473026).</w:t>
            </w:r>
          </w:p>
        </w:tc>
      </w:tr>
      <w:tr w:rsidR="007C15D8" w14:paraId="1EF6ECC4"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7BCF0D83" w14:textId="3A2838B1" w:rsidR="007C15D8" w:rsidRDefault="007C15D8" w:rsidP="00AC121F">
            <w:pPr>
              <w:pStyle w:val="BodyCopyNEW"/>
              <w:rPr>
                <w:szCs w:val="18"/>
                <w:lang w:val="en-GB"/>
              </w:rPr>
            </w:pPr>
            <w:r w:rsidRPr="009A0E24">
              <w:rPr>
                <w:szCs w:val="18"/>
              </w:rPr>
              <w:t xml:space="preserve">I-2 </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5146498F" w14:textId="3413A2C9" w:rsidR="007C15D8" w:rsidRDefault="007C15D8" w:rsidP="00AC121F">
            <w:pPr>
              <w:pStyle w:val="BodyCopyNEW"/>
              <w:rPr>
                <w:szCs w:val="18"/>
                <w:lang w:val="en-GB"/>
              </w:rPr>
            </w:pPr>
            <w:r w:rsidRPr="009A0E24">
              <w:rPr>
                <w:szCs w:val="18"/>
              </w:rPr>
              <w:t>The level of detail with regards to the application of specific plans of management related to matters protected under Part 3 of the EPBC Act as part of the assessment of impacts, and in the ALARP and acceptability justification contained in EPs is not recorded in RMS in a consistent manner for all case studies. NOPSEMA should consider setting expectations and standards within internal documentation referred to by the assessment teams to ensure that greater consistency in records is achieved.</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7058D39B" w14:textId="1EC8A09C" w:rsidR="007C15D8" w:rsidRDefault="007C15D8" w:rsidP="00AC121F">
            <w:pPr>
              <w:pStyle w:val="BodyCopyNEW"/>
              <w:rPr>
                <w:szCs w:val="18"/>
              </w:rPr>
            </w:pPr>
            <w:r w:rsidRPr="009A0E24">
              <w:rPr>
                <w:szCs w:val="18"/>
              </w:rPr>
              <w:t xml:space="preserve">NOPSEMA has updated internal procedures to ensure findings related to matters protected under the EPBC Act are appropriately recorded in the </w:t>
            </w:r>
            <w:r>
              <w:rPr>
                <w:szCs w:val="18"/>
              </w:rPr>
              <w:t>RMS</w:t>
            </w:r>
            <w:r w:rsidRPr="009A0E24">
              <w:rPr>
                <w:szCs w:val="18"/>
              </w:rPr>
              <w:t xml:space="preserve">. The </w:t>
            </w:r>
            <w:r w:rsidRPr="009A0E24">
              <w:rPr>
                <w:i/>
                <w:szCs w:val="18"/>
              </w:rPr>
              <w:t>Assessment Standard Operating Procedure 7.3.9</w:t>
            </w:r>
            <w:r w:rsidRPr="009A0E24">
              <w:rPr>
                <w:szCs w:val="18"/>
              </w:rPr>
              <w:t xml:space="preserve"> was updated, and training implemented, to require that all assessments must include a protected matters scope which is reflected by RMS records and requirement to record findings under protected matters headings to prompt assessor.</w:t>
            </w:r>
          </w:p>
          <w:p w14:paraId="3482F4D2" w14:textId="2326A002" w:rsidR="007C15D8" w:rsidRPr="00745D7F" w:rsidRDefault="007C15D8" w:rsidP="00AC121F">
            <w:pPr>
              <w:pStyle w:val="BodyCopyNEW"/>
              <w:rPr>
                <w:szCs w:val="18"/>
              </w:rPr>
            </w:pPr>
            <w:r w:rsidRPr="002A2F5B">
              <w:rPr>
                <w:szCs w:val="18"/>
              </w:rPr>
              <w:t xml:space="preserve">The reviewer notes that NOPSEMA is required under the </w:t>
            </w:r>
            <w:r w:rsidR="00450AC7">
              <w:rPr>
                <w:szCs w:val="18"/>
              </w:rPr>
              <w:t xml:space="preserve">Endorsed </w:t>
            </w:r>
            <w:r w:rsidRPr="002A2F5B">
              <w:rPr>
                <w:szCs w:val="18"/>
              </w:rPr>
              <w:t xml:space="preserve">Program to not accept an EP that proposes activities that will result in unacceptable impacts to protected matters. As described in their </w:t>
            </w:r>
            <w:r w:rsidR="00450AC7" w:rsidRPr="002A2F5B">
              <w:rPr>
                <w:szCs w:val="18"/>
              </w:rPr>
              <w:t>S</w:t>
            </w:r>
            <w:r w:rsidR="00450AC7">
              <w:rPr>
                <w:szCs w:val="18"/>
              </w:rPr>
              <w:t xml:space="preserve">tandard </w:t>
            </w:r>
            <w:r w:rsidR="00450AC7" w:rsidRPr="002A2F5B">
              <w:rPr>
                <w:szCs w:val="18"/>
              </w:rPr>
              <w:t>O</w:t>
            </w:r>
            <w:r w:rsidR="00450AC7">
              <w:rPr>
                <w:szCs w:val="18"/>
              </w:rPr>
              <w:t xml:space="preserve">perating </w:t>
            </w:r>
            <w:r w:rsidR="00450AC7" w:rsidRPr="002A2F5B">
              <w:rPr>
                <w:szCs w:val="18"/>
              </w:rPr>
              <w:t>P</w:t>
            </w:r>
            <w:r w:rsidR="00450AC7">
              <w:rPr>
                <w:szCs w:val="18"/>
              </w:rPr>
              <w:t>rocedure (</w:t>
            </w:r>
            <w:r w:rsidRPr="00886B5A">
              <w:rPr>
                <w:b/>
                <w:szCs w:val="18"/>
              </w:rPr>
              <w:t>SOP</w:t>
            </w:r>
            <w:r w:rsidR="00450AC7">
              <w:rPr>
                <w:szCs w:val="18"/>
              </w:rPr>
              <w:t>)</w:t>
            </w:r>
            <w:r w:rsidR="00450AC7" w:rsidRPr="002A2F5B">
              <w:rPr>
                <w:szCs w:val="18"/>
              </w:rPr>
              <w:t>,</w:t>
            </w:r>
            <w:r w:rsidRPr="002A2F5B">
              <w:rPr>
                <w:szCs w:val="18"/>
              </w:rPr>
              <w:t xml:space="preserve"> NOPSEMA decide what protected matters are in the scope of an assessment on a </w:t>
            </w:r>
            <w:r w:rsidRPr="002A2F5B">
              <w:rPr>
                <w:szCs w:val="18"/>
              </w:rPr>
              <w:lastRenderedPageBreak/>
              <w:t xml:space="preserve">case-by-case basis. They have informed </w:t>
            </w:r>
            <w:r w:rsidR="00B7337A">
              <w:rPr>
                <w:szCs w:val="18"/>
              </w:rPr>
              <w:t xml:space="preserve">us </w:t>
            </w:r>
            <w:r w:rsidRPr="002A2F5B">
              <w:rPr>
                <w:szCs w:val="18"/>
              </w:rPr>
              <w:t xml:space="preserve">that in cases where the nature and scale of the activity and associated risks to protected matters </w:t>
            </w:r>
            <w:r w:rsidR="000940AF">
              <w:rPr>
                <w:szCs w:val="18"/>
              </w:rPr>
              <w:t>are</w:t>
            </w:r>
            <w:r w:rsidRPr="002A2F5B">
              <w:rPr>
                <w:szCs w:val="18"/>
              </w:rPr>
              <w:t xml:space="preserve"> lower (lower threshold for assessment), the protected matters are only assessed at a ‘</w:t>
            </w:r>
            <w:r w:rsidR="00450AC7">
              <w:rPr>
                <w:szCs w:val="18"/>
              </w:rPr>
              <w:t>g</w:t>
            </w:r>
            <w:r w:rsidR="00450AC7" w:rsidRPr="002A2F5B">
              <w:rPr>
                <w:szCs w:val="18"/>
              </w:rPr>
              <w:t>eneral</w:t>
            </w:r>
            <w:r w:rsidRPr="002A2F5B">
              <w:rPr>
                <w:szCs w:val="18"/>
              </w:rPr>
              <w:t xml:space="preserve"> level’ and not at a detailed ‘topic scope’ level (which has a higher threshold for assessment).</w:t>
            </w:r>
          </w:p>
        </w:tc>
      </w:tr>
      <w:tr w:rsidR="007C15D8" w14:paraId="75117484"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01E5D1D4" w14:textId="0C22AA85" w:rsidR="007C15D8" w:rsidRDefault="007C15D8" w:rsidP="00AC121F">
            <w:pPr>
              <w:pStyle w:val="BodyCopyNEW"/>
              <w:rPr>
                <w:szCs w:val="18"/>
                <w:lang w:val="en-GB"/>
              </w:rPr>
            </w:pPr>
            <w:r w:rsidRPr="009A0E24">
              <w:rPr>
                <w:szCs w:val="18"/>
              </w:rPr>
              <w:lastRenderedPageBreak/>
              <w:t>I-3</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68AF7573" w14:textId="28F45BED" w:rsidR="007C15D8" w:rsidRDefault="007C15D8" w:rsidP="00AC121F">
            <w:pPr>
              <w:pStyle w:val="BodyCopyNEW"/>
              <w:rPr>
                <w:szCs w:val="18"/>
                <w:lang w:val="en-GB"/>
              </w:rPr>
            </w:pPr>
            <w:r w:rsidRPr="009A0E24">
              <w:rPr>
                <w:szCs w:val="18"/>
              </w:rPr>
              <w:t xml:space="preserve">Provide a reference to the </w:t>
            </w:r>
            <w:r w:rsidRPr="009A0E24">
              <w:rPr>
                <w:i/>
                <w:szCs w:val="18"/>
              </w:rPr>
              <w:t>Australian Government Guidance</w:t>
            </w:r>
            <w:r w:rsidRPr="009A0E24">
              <w:rPr>
                <w:szCs w:val="18"/>
              </w:rPr>
              <w:t xml:space="preserve"> relating to Australian Government agencies’ roles and relevance under the OPGGS Act, within the </w:t>
            </w:r>
            <w:r w:rsidRPr="009A0E24">
              <w:rPr>
                <w:i/>
                <w:szCs w:val="18"/>
              </w:rPr>
              <w:t>Environment Plan Content Requirements Guidance Note</w:t>
            </w:r>
            <w:r w:rsidRPr="009A0E24">
              <w:rPr>
                <w:szCs w:val="18"/>
              </w:rPr>
              <w:t>, to increase awareness of titleholders of the availability of Department of Environment (DOE) [now DAWE] to provide advice related to matters protected under Part 3 of the EPBC Act.</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2E39A8E7" w14:textId="417761FF" w:rsidR="007C15D8" w:rsidRDefault="007C15D8" w:rsidP="00AC121F">
            <w:pPr>
              <w:pStyle w:val="BodyCopyNEW"/>
              <w:rPr>
                <w:szCs w:val="18"/>
                <w:lang w:val="en-GB"/>
              </w:rPr>
            </w:pPr>
            <w:r w:rsidRPr="009A0E24">
              <w:rPr>
                <w:szCs w:val="18"/>
              </w:rPr>
              <w:t xml:space="preserve">References to </w:t>
            </w:r>
            <w:r w:rsidRPr="009A0E24">
              <w:rPr>
                <w:i/>
                <w:szCs w:val="18"/>
              </w:rPr>
              <w:t>Australian Government Guidance</w:t>
            </w:r>
            <w:r w:rsidRPr="009A0E24">
              <w:rPr>
                <w:szCs w:val="18"/>
              </w:rPr>
              <w:t xml:space="preserve"> are now incorporated in the </w:t>
            </w:r>
            <w:r w:rsidRPr="009A0E24">
              <w:rPr>
                <w:i/>
                <w:szCs w:val="18"/>
              </w:rPr>
              <w:t>Environment Plan Content Requirements</w:t>
            </w:r>
            <w:r w:rsidRPr="009A0E24">
              <w:rPr>
                <w:szCs w:val="18"/>
              </w:rPr>
              <w:t xml:space="preserve"> N04750-GN1344 (see A339814).</w:t>
            </w:r>
            <w:r w:rsidRPr="009A0E24">
              <w:rPr>
                <w:szCs w:val="18"/>
              </w:rPr>
              <w:br/>
              <w:t xml:space="preserve">Note that NOPSEMA is proposing to provide further update to reference to the </w:t>
            </w:r>
            <w:r w:rsidRPr="009A0E24">
              <w:rPr>
                <w:i/>
                <w:szCs w:val="18"/>
              </w:rPr>
              <w:t>Australian Government Consultation Guidance</w:t>
            </w:r>
            <w:r w:rsidRPr="009A0E24">
              <w:rPr>
                <w:szCs w:val="18"/>
              </w:rPr>
              <w:t xml:space="preserve"> (see A705589). </w:t>
            </w:r>
          </w:p>
        </w:tc>
      </w:tr>
      <w:tr w:rsidR="007C15D8" w14:paraId="650678BB"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39AFDA8C" w14:textId="1BF757BE" w:rsidR="007C15D8" w:rsidRDefault="007C15D8" w:rsidP="00AC121F">
            <w:pPr>
              <w:pStyle w:val="BodyCopyNEW"/>
              <w:rPr>
                <w:szCs w:val="18"/>
                <w:lang w:val="en-GB"/>
              </w:rPr>
            </w:pPr>
            <w:r w:rsidRPr="009A0E24">
              <w:rPr>
                <w:szCs w:val="18"/>
              </w:rPr>
              <w:t>I-4</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2A600A99" w14:textId="7AEDE145" w:rsidR="007C15D8" w:rsidRDefault="007C15D8" w:rsidP="00AC121F">
            <w:pPr>
              <w:pStyle w:val="BodyCopyNEW"/>
              <w:rPr>
                <w:szCs w:val="18"/>
                <w:lang w:val="en-GB"/>
              </w:rPr>
            </w:pPr>
            <w:r w:rsidRPr="009A0E24">
              <w:rPr>
                <w:szCs w:val="18"/>
              </w:rPr>
              <w:t>Examine further opportunities to share resources and or information between NOPSEMA and DOE [now DAWE] where relevant.</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41834BF9" w14:textId="12E81EB0" w:rsidR="007C15D8" w:rsidRDefault="007C15D8" w:rsidP="00AC121F">
            <w:pPr>
              <w:pStyle w:val="BodyCopyNEW"/>
              <w:rPr>
                <w:szCs w:val="18"/>
                <w:lang w:val="en-GB"/>
              </w:rPr>
            </w:pPr>
            <w:r w:rsidRPr="009A0E24">
              <w:rPr>
                <w:szCs w:val="18"/>
              </w:rPr>
              <w:t>The Administrative Arrangements have been revised and are in place. NOPSEMA and DAWE indicated that there are regular meetings which are reported by both parties as an effective means to stay up to date with proposals, new guidance, statutory instrument status and reviews to policy. </w:t>
            </w:r>
          </w:p>
        </w:tc>
      </w:tr>
      <w:tr w:rsidR="007C15D8" w14:paraId="73DB27C1"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44527FA4" w14:textId="6DEDFAE9" w:rsidR="007C15D8" w:rsidRDefault="007C15D8" w:rsidP="00AC121F">
            <w:pPr>
              <w:pStyle w:val="BodyCopyNEW"/>
              <w:rPr>
                <w:szCs w:val="18"/>
                <w:lang w:val="en-GB"/>
              </w:rPr>
            </w:pPr>
            <w:r w:rsidRPr="009A0E24">
              <w:rPr>
                <w:szCs w:val="18"/>
              </w:rPr>
              <w:t>I-5</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2BF78B06" w14:textId="740695BD" w:rsidR="007C15D8" w:rsidRDefault="007C15D8" w:rsidP="00AC121F">
            <w:pPr>
              <w:pStyle w:val="BodyCopyNEW"/>
              <w:rPr>
                <w:szCs w:val="18"/>
                <w:lang w:val="en-GB"/>
              </w:rPr>
            </w:pPr>
            <w:r w:rsidRPr="009A0E24">
              <w:rPr>
                <w:szCs w:val="18"/>
              </w:rPr>
              <w:t xml:space="preserve">Review the search criteria applied for the EP submission and summaries search tool and consider functionalities to allow searches such as using radius/coordinates or environmental features (e.g. </w:t>
            </w:r>
            <w:r w:rsidR="00450AC7" w:rsidRPr="009A0E24">
              <w:rPr>
                <w:szCs w:val="18"/>
              </w:rPr>
              <w:t>B</w:t>
            </w:r>
            <w:r w:rsidR="00450AC7">
              <w:rPr>
                <w:szCs w:val="18"/>
              </w:rPr>
              <w:t>iologically important areas</w:t>
            </w:r>
            <w:r w:rsidR="00450AC7" w:rsidRPr="009A0E24">
              <w:rPr>
                <w:szCs w:val="18"/>
              </w:rPr>
              <w:t>, W</w:t>
            </w:r>
            <w:r w:rsidR="00450AC7">
              <w:rPr>
                <w:szCs w:val="18"/>
              </w:rPr>
              <w:t xml:space="preserve">orld </w:t>
            </w:r>
            <w:r w:rsidR="00450AC7" w:rsidRPr="009A0E24">
              <w:rPr>
                <w:szCs w:val="18"/>
              </w:rPr>
              <w:t>H</w:t>
            </w:r>
            <w:r w:rsidR="00450AC7">
              <w:rPr>
                <w:szCs w:val="18"/>
              </w:rPr>
              <w:t xml:space="preserve">eritage </w:t>
            </w:r>
            <w:r w:rsidR="00D1289F">
              <w:rPr>
                <w:szCs w:val="18"/>
              </w:rPr>
              <w:t>Place</w:t>
            </w:r>
            <w:r w:rsidR="00450AC7" w:rsidRPr="009A0E24">
              <w:rPr>
                <w:szCs w:val="18"/>
              </w:rPr>
              <w:t>, C</w:t>
            </w:r>
            <w:r w:rsidR="00450AC7">
              <w:rPr>
                <w:szCs w:val="18"/>
              </w:rPr>
              <w:t xml:space="preserve">ommonwealth </w:t>
            </w:r>
            <w:r w:rsidR="00450AC7" w:rsidRPr="009A0E24">
              <w:rPr>
                <w:szCs w:val="18"/>
              </w:rPr>
              <w:t>M</w:t>
            </w:r>
            <w:r w:rsidR="00450AC7">
              <w:rPr>
                <w:szCs w:val="18"/>
              </w:rPr>
              <w:t>arine Parks</w:t>
            </w:r>
            <w:r w:rsidR="00450AC7" w:rsidRPr="009A0E24">
              <w:rPr>
                <w:szCs w:val="18"/>
              </w:rPr>
              <w:t>) as references.</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529D33DB" w14:textId="08678485" w:rsidR="007C15D8" w:rsidRDefault="007C15D8" w:rsidP="00AC121F">
            <w:pPr>
              <w:pStyle w:val="BodyCopyNEW"/>
              <w:rPr>
                <w:szCs w:val="18"/>
                <w:lang w:val="en-GB"/>
              </w:rPr>
            </w:pPr>
            <w:r w:rsidRPr="009A0E24">
              <w:rPr>
                <w:szCs w:val="18"/>
              </w:rPr>
              <w:t>NOPSEMA ha</w:t>
            </w:r>
            <w:r w:rsidR="008E0CF8">
              <w:rPr>
                <w:szCs w:val="18"/>
              </w:rPr>
              <w:t>s</w:t>
            </w:r>
            <w:r w:rsidRPr="009A0E24">
              <w:rPr>
                <w:szCs w:val="18"/>
              </w:rPr>
              <w:t xml:space="preserve"> made significant alterations to the EP search tool, including to enable stakeholders to subscribe in order to access to search by activity type, organisation and by location.</w:t>
            </w:r>
          </w:p>
        </w:tc>
      </w:tr>
      <w:tr w:rsidR="007C15D8" w14:paraId="4A180793"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39911717" w14:textId="04778EAD" w:rsidR="007C15D8" w:rsidRDefault="007C15D8" w:rsidP="00AC121F">
            <w:pPr>
              <w:pStyle w:val="BodyCopyNEW"/>
              <w:rPr>
                <w:szCs w:val="18"/>
                <w:lang w:val="en-GB"/>
              </w:rPr>
            </w:pPr>
            <w:r w:rsidRPr="009A0E24">
              <w:rPr>
                <w:szCs w:val="18"/>
              </w:rPr>
              <w:t>I-6</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0E2FB07D" w14:textId="79A9356C" w:rsidR="007C15D8" w:rsidRDefault="007C15D8" w:rsidP="00AC121F">
            <w:pPr>
              <w:pStyle w:val="BodyCopyNEW"/>
              <w:rPr>
                <w:szCs w:val="18"/>
                <w:lang w:val="en-GB"/>
              </w:rPr>
            </w:pPr>
            <w:r w:rsidRPr="009A0E24">
              <w:rPr>
                <w:szCs w:val="18"/>
              </w:rPr>
              <w:t>Examine ongoing opportunities for further data sharing between NOPSEMA, DOE</w:t>
            </w:r>
            <w:r w:rsidR="00450AC7">
              <w:rPr>
                <w:szCs w:val="18"/>
              </w:rPr>
              <w:t xml:space="preserve"> [now DAWE]</w:t>
            </w:r>
            <w:r w:rsidR="00450AC7" w:rsidRPr="009A0E24">
              <w:rPr>
                <w:szCs w:val="18"/>
              </w:rPr>
              <w:t>,</w:t>
            </w:r>
            <w:r w:rsidRPr="009A0E24">
              <w:rPr>
                <w:szCs w:val="18"/>
              </w:rPr>
              <w:t xml:space="preserve"> DOIS </w:t>
            </w:r>
            <w:r w:rsidR="00450AC7">
              <w:rPr>
                <w:szCs w:val="18"/>
              </w:rPr>
              <w:t>[now DISER]</w:t>
            </w:r>
            <w:r w:rsidR="00450AC7" w:rsidRPr="009A0E24">
              <w:rPr>
                <w:szCs w:val="18"/>
              </w:rPr>
              <w:t xml:space="preserve"> </w:t>
            </w:r>
            <w:r w:rsidRPr="009A0E24">
              <w:rPr>
                <w:szCs w:val="18"/>
              </w:rPr>
              <w:t>and titleholders.</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56926ACC" w14:textId="6BC7209A" w:rsidR="007C15D8" w:rsidRDefault="007C15D8" w:rsidP="00AC121F">
            <w:pPr>
              <w:pStyle w:val="BodyCopyNEW"/>
              <w:rPr>
                <w:szCs w:val="18"/>
                <w:lang w:val="en-GB"/>
              </w:rPr>
            </w:pPr>
            <w:r w:rsidRPr="009A0E24">
              <w:rPr>
                <w:szCs w:val="18"/>
              </w:rPr>
              <w:t xml:space="preserve">NOPSEMA reported that they have continued to provide support to DAWE by encouraging </w:t>
            </w:r>
            <w:r>
              <w:rPr>
                <w:szCs w:val="18"/>
              </w:rPr>
              <w:t>title</w:t>
            </w:r>
            <w:r w:rsidRPr="009A0E24">
              <w:rPr>
                <w:szCs w:val="18"/>
              </w:rPr>
              <w:t>holders to provide further information that expands on online available references.</w:t>
            </w:r>
            <w:r>
              <w:rPr>
                <w:szCs w:val="18"/>
              </w:rPr>
              <w:t xml:space="preserve"> Titleholders are understood to be meeting with DAWE during preparation of approval documents and sharing information that they are using as a basis for outcomes presented. </w:t>
            </w:r>
          </w:p>
        </w:tc>
      </w:tr>
      <w:tr w:rsidR="007C15D8" w14:paraId="195A0F49"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16E768B9" w14:textId="513AA8AF" w:rsidR="007C15D8" w:rsidRDefault="007C15D8" w:rsidP="00AC121F">
            <w:pPr>
              <w:pStyle w:val="BodyCopyNEW"/>
              <w:rPr>
                <w:szCs w:val="18"/>
                <w:lang w:val="en-GB"/>
              </w:rPr>
            </w:pPr>
            <w:r w:rsidRPr="009A0E24">
              <w:rPr>
                <w:szCs w:val="18"/>
              </w:rPr>
              <w:t>I-7</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46A93E46" w14:textId="0E3A417C" w:rsidR="007C15D8" w:rsidRDefault="007C15D8" w:rsidP="00AC121F">
            <w:pPr>
              <w:pStyle w:val="BodyCopyNEW"/>
              <w:rPr>
                <w:szCs w:val="18"/>
                <w:lang w:val="en-GB"/>
              </w:rPr>
            </w:pPr>
            <w:r w:rsidRPr="009A0E24">
              <w:rPr>
                <w:szCs w:val="18"/>
              </w:rPr>
              <w:t xml:space="preserve">NOPSEMA to consider notifying DOE </w:t>
            </w:r>
            <w:r w:rsidR="00450AC7">
              <w:rPr>
                <w:szCs w:val="18"/>
              </w:rPr>
              <w:t>[</w:t>
            </w:r>
            <w:r w:rsidRPr="009A0E24">
              <w:rPr>
                <w:szCs w:val="18"/>
              </w:rPr>
              <w:t>now DAWE</w:t>
            </w:r>
            <w:r w:rsidR="00450AC7">
              <w:rPr>
                <w:szCs w:val="18"/>
              </w:rPr>
              <w:t>]</w:t>
            </w:r>
            <w:r w:rsidRPr="009A0E24">
              <w:rPr>
                <w:szCs w:val="18"/>
              </w:rPr>
              <w:t xml:space="preserve"> when an EP is submitted to NOPSEMA for assessment that includes unplanned activities occurring within the boundaries of a </w:t>
            </w:r>
            <w:r w:rsidR="00D1289F">
              <w:rPr>
                <w:szCs w:val="18"/>
              </w:rPr>
              <w:t>World Heritage Place</w:t>
            </w:r>
            <w:r w:rsidRPr="009A0E24">
              <w:rPr>
                <w:szCs w:val="18"/>
              </w:rPr>
              <w:t xml:space="preserve"> or programmed Marine Reserve, to support DOE </w:t>
            </w:r>
            <w:r w:rsidR="00450AC7">
              <w:rPr>
                <w:szCs w:val="18"/>
              </w:rPr>
              <w:t>[</w:t>
            </w:r>
            <w:r w:rsidRPr="009A0E24">
              <w:rPr>
                <w:szCs w:val="18"/>
              </w:rPr>
              <w:t>now DAWE</w:t>
            </w:r>
            <w:r w:rsidR="00450AC7">
              <w:rPr>
                <w:szCs w:val="18"/>
              </w:rPr>
              <w:t>]</w:t>
            </w:r>
            <w:r w:rsidRPr="009A0E24">
              <w:rPr>
                <w:szCs w:val="18"/>
              </w:rPr>
              <w:t xml:space="preserve"> in meeting their reporting obligations.</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65C6DEB1" w14:textId="3236832E" w:rsidR="007C15D8" w:rsidRDefault="007C15D8" w:rsidP="00AC121F">
            <w:pPr>
              <w:pStyle w:val="BodyCopyNEW"/>
              <w:rPr>
                <w:szCs w:val="18"/>
                <w:lang w:val="en-GB"/>
              </w:rPr>
            </w:pPr>
            <w:r w:rsidRPr="009A0E24">
              <w:rPr>
                <w:szCs w:val="18"/>
              </w:rPr>
              <w:t xml:space="preserve">NOPSEMA, at the time of the recommendations, already had in place a process to notify DAWE of any </w:t>
            </w:r>
            <w:r w:rsidR="00450AC7">
              <w:rPr>
                <w:szCs w:val="18"/>
              </w:rPr>
              <w:t>OPPs</w:t>
            </w:r>
            <w:r w:rsidRPr="009A0E24">
              <w:rPr>
                <w:szCs w:val="18"/>
              </w:rPr>
              <w:t xml:space="preserve"> regardless of their proximity to a WHP. In their response to the improvements and observations of the 2015 review, they indicated that they would undertake discussions with DAWE to extend their automatic notification system to EPs.</w:t>
            </w:r>
          </w:p>
        </w:tc>
      </w:tr>
      <w:tr w:rsidR="007C15D8" w14:paraId="5335547A"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2F0914F9" w14:textId="70535519" w:rsidR="007C15D8" w:rsidRDefault="007C15D8" w:rsidP="00AC121F">
            <w:pPr>
              <w:pStyle w:val="BodyCopyNEW"/>
              <w:rPr>
                <w:szCs w:val="18"/>
                <w:lang w:val="en-GB"/>
              </w:rPr>
            </w:pPr>
            <w:r w:rsidRPr="009A0E24">
              <w:rPr>
                <w:szCs w:val="18"/>
              </w:rPr>
              <w:t xml:space="preserve">O-1 </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47F494AC" w14:textId="77777777" w:rsidR="00450AC7" w:rsidRDefault="007C15D8" w:rsidP="00450AC7">
            <w:pPr>
              <w:pStyle w:val="BodyCopyNEW"/>
              <w:rPr>
                <w:szCs w:val="18"/>
              </w:rPr>
            </w:pPr>
            <w:r w:rsidRPr="009A0E24">
              <w:rPr>
                <w:szCs w:val="18"/>
              </w:rPr>
              <w:t>Consider communicating more broadly the applicability of commitment 1.1 and 1.2 to offshore petroleum activities to increase awareness and understanding amongst agency personnel, titleholders and stakeholders.</w:t>
            </w:r>
            <w:r w:rsidR="00450AC7">
              <w:rPr>
                <w:szCs w:val="18"/>
              </w:rPr>
              <w:t xml:space="preserve"> </w:t>
            </w:r>
          </w:p>
          <w:p w14:paraId="0A7669CE" w14:textId="0CF8563E" w:rsidR="007C15D8" w:rsidRDefault="00450AC7" w:rsidP="00AC121F">
            <w:pPr>
              <w:pStyle w:val="BodyCopyNEW"/>
              <w:rPr>
                <w:szCs w:val="18"/>
                <w:lang w:val="en-GB"/>
              </w:rPr>
            </w:pPr>
            <w:r>
              <w:rPr>
                <w:szCs w:val="18"/>
              </w:rPr>
              <w:t xml:space="preserve">[Commitment 1.1: </w:t>
            </w:r>
            <w:r w:rsidRPr="00767D8D">
              <w:rPr>
                <w:szCs w:val="18"/>
              </w:rPr>
              <w:t>NOPSEMA will not accept an EP that involves the activity or part of the activity, other than arrangements for environmental monitoring or responding to an</w:t>
            </w:r>
            <w:r>
              <w:rPr>
                <w:szCs w:val="18"/>
              </w:rPr>
              <w:t xml:space="preserve"> </w:t>
            </w:r>
            <w:r w:rsidRPr="00767D8D">
              <w:rPr>
                <w:szCs w:val="18"/>
              </w:rPr>
              <w:t xml:space="preserve">emergency, being undertaken in any part of a declared World Heritage Property within the </w:t>
            </w:r>
            <w:r w:rsidRPr="00767D8D">
              <w:rPr>
                <w:szCs w:val="18"/>
              </w:rPr>
              <w:lastRenderedPageBreak/>
              <w:t>meaning of the EPBC Act.</w:t>
            </w:r>
            <w:r w:rsidRPr="00767D8D">
              <w:rPr>
                <w:szCs w:val="18"/>
              </w:rPr>
              <w:cr/>
            </w:r>
            <w:r>
              <w:rPr>
                <w:szCs w:val="18"/>
              </w:rPr>
              <w:t xml:space="preserve"> Commitment 1.2: </w:t>
            </w:r>
            <w:r w:rsidRPr="001734D7">
              <w:rPr>
                <w:szCs w:val="18"/>
              </w:rPr>
              <w:t>NOPSEMA will not accept an EP that involves the activity or part of the activity, other than arrangements for environmental monitoring or responding to an</w:t>
            </w:r>
            <w:r>
              <w:rPr>
                <w:szCs w:val="18"/>
              </w:rPr>
              <w:t xml:space="preserve"> </w:t>
            </w:r>
            <w:r w:rsidRPr="001734D7">
              <w:rPr>
                <w:szCs w:val="18"/>
              </w:rPr>
              <w:t>emergency, being undertaken in any part of a declared World Heritage Property within the meaning of the EPBC Act.</w:t>
            </w:r>
            <w:r>
              <w:rPr>
                <w:szCs w:val="18"/>
              </w:rPr>
              <w:t>]</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4DC6231A" w14:textId="77777777" w:rsidR="007C15D8" w:rsidRPr="009A0E24" w:rsidRDefault="007C15D8" w:rsidP="00AC121F">
            <w:pPr>
              <w:pStyle w:val="BodyCopyNEW"/>
              <w:rPr>
                <w:szCs w:val="18"/>
              </w:rPr>
            </w:pPr>
            <w:r>
              <w:rPr>
                <w:szCs w:val="18"/>
              </w:rPr>
              <w:lastRenderedPageBreak/>
              <w:t xml:space="preserve">Based on our analysis, we note </w:t>
            </w:r>
            <w:r w:rsidRPr="009A0E24">
              <w:rPr>
                <w:szCs w:val="18"/>
              </w:rPr>
              <w:t xml:space="preserve">there has been updates to the </w:t>
            </w:r>
            <w:r w:rsidRPr="009A0E24">
              <w:rPr>
                <w:i/>
                <w:szCs w:val="18"/>
              </w:rPr>
              <w:t>Environment Plan Content Requirements</w:t>
            </w:r>
            <w:r w:rsidRPr="009A0E24">
              <w:rPr>
                <w:szCs w:val="18"/>
              </w:rPr>
              <w:t xml:space="preserve"> N04750-GN1344 (see A339814) and </w:t>
            </w:r>
            <w:r w:rsidRPr="009A0E24">
              <w:rPr>
                <w:i/>
                <w:szCs w:val="18"/>
              </w:rPr>
              <w:t>Decision Making Guideline</w:t>
            </w:r>
            <w:r w:rsidRPr="009A0E24">
              <w:rPr>
                <w:szCs w:val="18"/>
              </w:rPr>
              <w:t xml:space="preserve"> (see A524696), as well as the </w:t>
            </w:r>
            <w:r w:rsidRPr="009A0E24">
              <w:rPr>
                <w:i/>
                <w:szCs w:val="18"/>
              </w:rPr>
              <w:t>Offshore Project Proposal Content Requirements Guidance Note</w:t>
            </w:r>
            <w:r w:rsidRPr="009A0E24">
              <w:rPr>
                <w:szCs w:val="18"/>
              </w:rPr>
              <w:t xml:space="preserve"> N-04790-GN1663 (see A473026). </w:t>
            </w:r>
          </w:p>
          <w:p w14:paraId="453D7217" w14:textId="77777777" w:rsidR="007C15D8" w:rsidRPr="009A0E24" w:rsidRDefault="007C15D8" w:rsidP="00AC121F">
            <w:pPr>
              <w:pStyle w:val="BodyCopyNEW"/>
              <w:rPr>
                <w:szCs w:val="18"/>
              </w:rPr>
            </w:pPr>
            <w:r w:rsidRPr="009A0E24">
              <w:rPr>
                <w:szCs w:val="18"/>
              </w:rPr>
              <w:t xml:space="preserve">The </w:t>
            </w:r>
            <w:r w:rsidRPr="009A0E24">
              <w:rPr>
                <w:i/>
                <w:szCs w:val="18"/>
              </w:rPr>
              <w:t>Offshore Project Proposal Content Guidance Note</w:t>
            </w:r>
            <w:r w:rsidRPr="009A0E24">
              <w:rPr>
                <w:szCs w:val="18"/>
              </w:rPr>
              <w:t xml:space="preserve"> contains additional information to the </w:t>
            </w:r>
            <w:r w:rsidRPr="009A0E24">
              <w:rPr>
                <w:i/>
                <w:szCs w:val="18"/>
              </w:rPr>
              <w:t>Environment Plan Content Guidance Note</w:t>
            </w:r>
            <w:r w:rsidRPr="009A0E24">
              <w:rPr>
                <w:szCs w:val="18"/>
              </w:rPr>
              <w:t xml:space="preserve">, including a </w:t>
            </w:r>
            <w:r w:rsidRPr="009A0E24">
              <w:rPr>
                <w:szCs w:val="18"/>
              </w:rPr>
              <w:lastRenderedPageBreak/>
              <w:t>conceptual framework for defining acceptable levels and establishing levels of environmental performance.</w:t>
            </w:r>
            <w:r w:rsidRPr="00715AF0">
              <w:rPr>
                <w:rStyle w:val="FootnoteReference"/>
                <w:sz w:val="18"/>
                <w:szCs w:val="18"/>
              </w:rPr>
              <w:footnoteReference w:id="87"/>
            </w:r>
            <w:r w:rsidRPr="009A0E24">
              <w:rPr>
                <w:szCs w:val="18"/>
              </w:rPr>
              <w:t xml:space="preserve"> Given this is a key process for EP preparation in ensuring protection of matters of National Environmental Significance, this should be included in the </w:t>
            </w:r>
            <w:r w:rsidRPr="009A0E24">
              <w:rPr>
                <w:i/>
                <w:szCs w:val="18"/>
              </w:rPr>
              <w:t>Environment Plan Content Guidance Note</w:t>
            </w:r>
            <w:r w:rsidRPr="009A0E24">
              <w:rPr>
                <w:szCs w:val="18"/>
              </w:rPr>
              <w:t xml:space="preserve">. </w:t>
            </w:r>
          </w:p>
          <w:p w14:paraId="4369F6FE" w14:textId="614EA76F" w:rsidR="007C15D8" w:rsidRDefault="007C15D8" w:rsidP="00AC121F">
            <w:pPr>
              <w:pStyle w:val="BodyCopyNEW"/>
              <w:rPr>
                <w:b/>
                <w:szCs w:val="18"/>
                <w:lang w:val="en-GB"/>
              </w:rPr>
            </w:pPr>
            <w:r w:rsidRPr="009A0E24">
              <w:rPr>
                <w:b/>
                <w:color w:val="007680"/>
                <w:szCs w:val="18"/>
              </w:rPr>
              <w:t xml:space="preserve">Recommendation: </w:t>
            </w:r>
            <w:r w:rsidRPr="009A0E24">
              <w:rPr>
                <w:b/>
                <w:szCs w:val="18"/>
              </w:rPr>
              <w:t>Update the Environment Plan Content Requirements N04750-GN1344 (see A339814) to reflect additional information on defining acceptable levels as currently provided in the Offshore Project Proposal Content Requirements Guidance Note N-04790-GN1663 (see A473026).</w:t>
            </w:r>
          </w:p>
        </w:tc>
      </w:tr>
      <w:tr w:rsidR="007C15D8" w14:paraId="0EA2A956"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3FF69CDE" w14:textId="664307AB" w:rsidR="007C15D8" w:rsidRDefault="007C15D8" w:rsidP="00AC121F">
            <w:pPr>
              <w:pStyle w:val="BodyCopyNEW"/>
              <w:rPr>
                <w:szCs w:val="18"/>
                <w:lang w:val="en-GB"/>
              </w:rPr>
            </w:pPr>
            <w:r w:rsidRPr="009A0E24">
              <w:rPr>
                <w:szCs w:val="18"/>
              </w:rPr>
              <w:lastRenderedPageBreak/>
              <w:t xml:space="preserve">O-2 </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72ECD49A" w14:textId="348A22A2" w:rsidR="007C15D8" w:rsidRDefault="007C15D8" w:rsidP="00AC121F">
            <w:pPr>
              <w:pStyle w:val="BodyCopyNEW"/>
              <w:rPr>
                <w:szCs w:val="18"/>
                <w:lang w:val="en-GB"/>
              </w:rPr>
            </w:pPr>
            <w:r w:rsidRPr="009A0E24">
              <w:rPr>
                <w:szCs w:val="18"/>
              </w:rPr>
              <w:t>Consider process (through liaison with titleholders or update of Guidance note) to enable relevant DOE [now DAWE] personnel to be available to titleholders to provide the relevant advice on matters protected under Part 3 of the EPBC Act and associated plans of management.</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02A4FDA1" w14:textId="325F6FD4" w:rsidR="007C15D8" w:rsidRDefault="007C15D8" w:rsidP="00AC121F">
            <w:pPr>
              <w:pStyle w:val="BodyCopyNEW"/>
              <w:rPr>
                <w:szCs w:val="18"/>
                <w:lang w:val="en-GB"/>
              </w:rPr>
            </w:pPr>
            <w:r>
              <w:rPr>
                <w:szCs w:val="18"/>
              </w:rPr>
              <w:t xml:space="preserve">Based on our examination, </w:t>
            </w:r>
            <w:r w:rsidRPr="009A0E24">
              <w:rPr>
                <w:szCs w:val="18"/>
              </w:rPr>
              <w:t xml:space="preserve">the </w:t>
            </w:r>
            <w:r w:rsidRPr="009A0E24">
              <w:rPr>
                <w:i/>
                <w:szCs w:val="18"/>
              </w:rPr>
              <w:t>Offshore Project Proposal Content Requirements Guidance Note</w:t>
            </w:r>
            <w:r w:rsidRPr="009A0E24">
              <w:rPr>
                <w:szCs w:val="18"/>
              </w:rPr>
              <w:t xml:space="preserve"> has a reference to the </w:t>
            </w:r>
            <w:r w:rsidRPr="009A0E24">
              <w:rPr>
                <w:i/>
                <w:szCs w:val="18"/>
              </w:rPr>
              <w:t>Australian Government Guidance</w:t>
            </w:r>
            <w:r w:rsidRPr="009A0E24">
              <w:rPr>
                <w:szCs w:val="18"/>
              </w:rPr>
              <w:t xml:space="preserve">, Australian Government agencies’ roles and relevance under the OPGGS Act. </w:t>
            </w:r>
          </w:p>
        </w:tc>
      </w:tr>
      <w:tr w:rsidR="007C15D8" w14:paraId="3D7F3412"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1147034B" w14:textId="1251DCBA" w:rsidR="007C15D8" w:rsidRDefault="007C15D8" w:rsidP="00AC121F">
            <w:pPr>
              <w:pStyle w:val="BodyCopyNEW"/>
              <w:rPr>
                <w:szCs w:val="18"/>
                <w:lang w:val="en-GB"/>
              </w:rPr>
            </w:pPr>
            <w:r w:rsidRPr="009A0E24">
              <w:rPr>
                <w:szCs w:val="18"/>
              </w:rPr>
              <w:t>O-3</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6C55FD74" w14:textId="78936E8D" w:rsidR="007C15D8" w:rsidRDefault="007C15D8" w:rsidP="00AC121F">
            <w:pPr>
              <w:pStyle w:val="BodyCopyNEW"/>
              <w:rPr>
                <w:szCs w:val="18"/>
                <w:lang w:val="en-GB"/>
              </w:rPr>
            </w:pPr>
            <w:r w:rsidRPr="009A0E24">
              <w:rPr>
                <w:szCs w:val="18"/>
              </w:rPr>
              <w:t>Follow-up inspections should include focus areas, targeting key threats to matters protected under Part 3 of the EPBC Act (vessel movements, noise emissions near values and sensitivities deemed sensitive to noise</w:t>
            </w:r>
            <w:r w:rsidR="00380E8A">
              <w:rPr>
                <w:szCs w:val="18"/>
              </w:rPr>
              <w:t>,</w:t>
            </w:r>
            <w:r w:rsidRPr="009A0E24">
              <w:rPr>
                <w:szCs w:val="18"/>
              </w:rPr>
              <w:t xml:space="preserve"> etc.)</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778E7BA7" w14:textId="720BBCEB" w:rsidR="007C15D8" w:rsidRPr="009A0E24" w:rsidRDefault="007C15D8" w:rsidP="00AC121F">
            <w:pPr>
              <w:pStyle w:val="BodyCopyNEW"/>
              <w:rPr>
                <w:szCs w:val="18"/>
              </w:rPr>
            </w:pPr>
            <w:r w:rsidRPr="009A0E24">
              <w:rPr>
                <w:szCs w:val="18"/>
              </w:rPr>
              <w:t xml:space="preserve">NOPSEMA's </w:t>
            </w:r>
            <w:r w:rsidRPr="009A0E24">
              <w:rPr>
                <w:i/>
                <w:szCs w:val="18"/>
              </w:rPr>
              <w:t>Environment Inspection Policy</w:t>
            </w:r>
            <w:r w:rsidRPr="009A0E24">
              <w:rPr>
                <w:szCs w:val="18"/>
              </w:rPr>
              <w:t xml:space="preserve"> (see A216699) and process for programming inspections is risk-based</w:t>
            </w:r>
            <w:r w:rsidRPr="00715AF0">
              <w:rPr>
                <w:rStyle w:val="FootnoteReference"/>
                <w:sz w:val="18"/>
                <w:szCs w:val="18"/>
              </w:rPr>
              <w:footnoteReference w:id="88"/>
            </w:r>
            <w:r w:rsidR="006A6083" w:rsidRPr="006A6083">
              <w:rPr>
                <w:szCs w:val="18"/>
              </w:rPr>
              <w:t>.</w:t>
            </w:r>
          </w:p>
          <w:p w14:paraId="302AB3B3" w14:textId="77777777" w:rsidR="007C15D8" w:rsidRPr="009A0E24" w:rsidRDefault="007C15D8" w:rsidP="00AC121F">
            <w:pPr>
              <w:pStyle w:val="BodyCopyNEW"/>
              <w:rPr>
                <w:szCs w:val="18"/>
              </w:rPr>
            </w:pPr>
            <w:r w:rsidRPr="009A0E24">
              <w:rPr>
                <w:szCs w:val="18"/>
              </w:rPr>
              <w:t>Environmental risk factors used to inform inspection programming include but are not limited to the environment that may be affected by planned activities and/or unplanned events including matters protected under Part 3 of the EPBC Act.</w:t>
            </w:r>
          </w:p>
          <w:p w14:paraId="6F8ADE4D" w14:textId="713CA195" w:rsidR="007C15D8" w:rsidRDefault="007C15D8" w:rsidP="00AC121F">
            <w:pPr>
              <w:pStyle w:val="BodyCopyNEW"/>
              <w:rPr>
                <w:szCs w:val="18"/>
                <w:lang w:val="en-GB"/>
              </w:rPr>
            </w:pPr>
            <w:r w:rsidRPr="009A0E24">
              <w:rPr>
                <w:szCs w:val="18"/>
              </w:rPr>
              <w:t>For all titleholders undertaking a seismic activity that overlaps habitat critical to survival or biologically important areas during an important life cycle stage for migratory or threatened species listed under the EPBC Act, inspections are required at least once prior to the commencement or during the activity.</w:t>
            </w:r>
          </w:p>
        </w:tc>
      </w:tr>
      <w:tr w:rsidR="007C15D8" w14:paraId="31A4CDD4"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53FD795E" w14:textId="7CCDBF01" w:rsidR="007C15D8" w:rsidRDefault="007C15D8" w:rsidP="00AC121F">
            <w:pPr>
              <w:pStyle w:val="BodyCopyNEW"/>
              <w:rPr>
                <w:szCs w:val="18"/>
                <w:lang w:val="en-GB"/>
              </w:rPr>
            </w:pPr>
            <w:r w:rsidRPr="009A0E24">
              <w:rPr>
                <w:szCs w:val="18"/>
              </w:rPr>
              <w:t xml:space="preserve">O-4 </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3E25FB64" w14:textId="7C257D33" w:rsidR="007C15D8" w:rsidRDefault="007C15D8" w:rsidP="00AC121F">
            <w:pPr>
              <w:pStyle w:val="BodyCopyNEW"/>
              <w:rPr>
                <w:szCs w:val="18"/>
                <w:lang w:val="en-GB"/>
              </w:rPr>
            </w:pPr>
            <w:r w:rsidRPr="009A0E24">
              <w:rPr>
                <w:szCs w:val="18"/>
              </w:rPr>
              <w:t xml:space="preserve">It was recognised during interviews that, although communication and information exchanges between parties has occurred during the </w:t>
            </w:r>
            <w:r w:rsidR="00450AC7">
              <w:rPr>
                <w:szCs w:val="18"/>
              </w:rPr>
              <w:t>[2015] r</w:t>
            </w:r>
            <w:r w:rsidR="00450AC7" w:rsidRPr="009A0E24">
              <w:rPr>
                <w:szCs w:val="18"/>
              </w:rPr>
              <w:t>eview</w:t>
            </w:r>
            <w:r w:rsidRPr="009A0E24">
              <w:rPr>
                <w:szCs w:val="18"/>
              </w:rPr>
              <w:t xml:space="preserve"> period, there is a need for closer relationships to be developed. </w:t>
            </w:r>
            <w:r w:rsidR="00450AC7">
              <w:rPr>
                <w:szCs w:val="18"/>
              </w:rPr>
              <w:t>[ERM]</w:t>
            </w:r>
            <w:r w:rsidRPr="009A0E24">
              <w:rPr>
                <w:szCs w:val="18"/>
              </w:rPr>
              <w:t xml:space="preserve"> noted that increased communication has been reported over the last quarter of the Review period, and it is anticipated that such communication lines would be fostered over time.</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522A08EA" w14:textId="454106D6" w:rsidR="007C15D8" w:rsidRDefault="007C15D8" w:rsidP="00AC121F">
            <w:pPr>
              <w:pStyle w:val="BodyCopyNEW"/>
              <w:rPr>
                <w:szCs w:val="18"/>
                <w:lang w:val="en-GB"/>
              </w:rPr>
            </w:pPr>
            <w:r w:rsidRPr="009A0E24">
              <w:rPr>
                <w:szCs w:val="18"/>
              </w:rPr>
              <w:t xml:space="preserve">Administrative Arrangements have been reviewed </w:t>
            </w:r>
            <w:r w:rsidR="00450AC7">
              <w:rPr>
                <w:szCs w:val="18"/>
              </w:rPr>
              <w:t>in 2017</w:t>
            </w:r>
            <w:r w:rsidR="00450AC7" w:rsidRPr="009A0E24">
              <w:rPr>
                <w:szCs w:val="18"/>
              </w:rPr>
              <w:t xml:space="preserve"> </w:t>
            </w:r>
            <w:r w:rsidRPr="009A0E24">
              <w:rPr>
                <w:szCs w:val="18"/>
              </w:rPr>
              <w:t xml:space="preserve">and changes implemented. Both NOPSEMA and DAWE reported good working relationships evident through regular liaison with Program contacts and recently through the delivery of Work Orders in relation to regulatory advice on assessments under Part 9 of EPBC Act (see A33809). </w:t>
            </w:r>
          </w:p>
        </w:tc>
      </w:tr>
      <w:tr w:rsidR="007C15D8" w14:paraId="308AA517"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1A79092C" w14:textId="6AB01C93" w:rsidR="007C15D8" w:rsidRDefault="007C15D8" w:rsidP="00AC121F">
            <w:pPr>
              <w:pStyle w:val="BodyCopyNEW"/>
              <w:rPr>
                <w:szCs w:val="18"/>
                <w:lang w:val="en-GB"/>
              </w:rPr>
            </w:pPr>
            <w:r w:rsidRPr="009A0E24">
              <w:rPr>
                <w:szCs w:val="18"/>
              </w:rPr>
              <w:t>O-5</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30619794" w14:textId="014535A2" w:rsidR="007C15D8" w:rsidRDefault="007C15D8" w:rsidP="00AC121F">
            <w:pPr>
              <w:pStyle w:val="BodyCopyNEW"/>
              <w:rPr>
                <w:szCs w:val="18"/>
                <w:lang w:val="en-GB"/>
              </w:rPr>
            </w:pPr>
            <w:r w:rsidRPr="009A0E24">
              <w:rPr>
                <w:szCs w:val="18"/>
              </w:rPr>
              <w:t>Consider the benefit in providing publicly additional detail regarding the progress of the authorisation process for submitted EPs.</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57272F7D" w14:textId="3EC2FC6A" w:rsidR="007C15D8" w:rsidRPr="009A0E24" w:rsidRDefault="007C15D8" w:rsidP="00AC121F">
            <w:pPr>
              <w:pStyle w:val="BodyCopyNEW"/>
              <w:rPr>
                <w:szCs w:val="18"/>
              </w:rPr>
            </w:pPr>
            <w:r w:rsidRPr="009A0E24">
              <w:rPr>
                <w:szCs w:val="18"/>
              </w:rPr>
              <w:t xml:space="preserve">The requisite regulations have been amended and systems updated to support greater EP assessment transparency. This includes requirements for the publication of (a) all exploration EPs for a 30-day public comment period and (b) all EPs </w:t>
            </w:r>
            <w:r w:rsidR="000F3BBA">
              <w:rPr>
                <w:szCs w:val="18"/>
              </w:rPr>
              <w:t xml:space="preserve">when </w:t>
            </w:r>
            <w:r w:rsidRPr="009A0E24">
              <w:rPr>
                <w:szCs w:val="18"/>
              </w:rPr>
              <w:t xml:space="preserve">under assessment and accepted in full. NOPSEMA has updated </w:t>
            </w:r>
            <w:r w:rsidRPr="009A0E24">
              <w:rPr>
                <w:szCs w:val="18"/>
              </w:rPr>
              <w:lastRenderedPageBreak/>
              <w:t xml:space="preserve">internal systems and external websites to facilitate transparency and updated procedures and guidance documents. </w:t>
            </w:r>
          </w:p>
          <w:p w14:paraId="5385012B" w14:textId="12A5D692" w:rsidR="007C15D8" w:rsidRDefault="007C15D8" w:rsidP="00AC121F">
            <w:pPr>
              <w:pStyle w:val="BodyCopyNEW"/>
              <w:rPr>
                <w:b/>
                <w:szCs w:val="18"/>
                <w:lang w:val="en-GB"/>
              </w:rPr>
            </w:pPr>
            <w:r w:rsidRPr="009A0E24">
              <w:rPr>
                <w:b/>
                <w:color w:val="007680"/>
                <w:szCs w:val="18"/>
              </w:rPr>
              <w:t>Recommendation:</w:t>
            </w:r>
            <w:r w:rsidRPr="009A0E24">
              <w:rPr>
                <w:b/>
                <w:color w:val="00A3E0"/>
                <w:szCs w:val="18"/>
              </w:rPr>
              <w:t xml:space="preserve"> </w:t>
            </w:r>
            <w:r w:rsidRPr="009A0E24">
              <w:rPr>
                <w:b/>
                <w:szCs w:val="18"/>
              </w:rPr>
              <w:t xml:space="preserve">NOPSEMA should consider further transparency in </w:t>
            </w:r>
            <w:r>
              <w:rPr>
                <w:b/>
                <w:szCs w:val="18"/>
              </w:rPr>
              <w:t xml:space="preserve">the </w:t>
            </w:r>
            <w:r w:rsidRPr="009A0E24">
              <w:rPr>
                <w:b/>
                <w:szCs w:val="18"/>
              </w:rPr>
              <w:t xml:space="preserve">assessment process, including publication of assessment timeline and progress (e.g. the issue of Response to Request for Further Written Information). </w:t>
            </w:r>
          </w:p>
        </w:tc>
      </w:tr>
      <w:tr w:rsidR="007C15D8" w14:paraId="3AC97581"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51EC2E5C" w14:textId="7F25506A" w:rsidR="007C15D8" w:rsidRDefault="007C15D8" w:rsidP="00AC121F">
            <w:pPr>
              <w:pStyle w:val="BodyCopyNEW"/>
              <w:rPr>
                <w:szCs w:val="18"/>
                <w:lang w:val="en-GB"/>
              </w:rPr>
            </w:pPr>
            <w:r w:rsidRPr="00937BB8">
              <w:rPr>
                <w:szCs w:val="18"/>
              </w:rPr>
              <w:lastRenderedPageBreak/>
              <w:t>O-6</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6CBB5271" w14:textId="558AE73F" w:rsidR="007C15D8" w:rsidRDefault="007C15D8" w:rsidP="00AC121F">
            <w:pPr>
              <w:pStyle w:val="BodyCopyNEW"/>
              <w:rPr>
                <w:szCs w:val="18"/>
                <w:lang w:val="en-GB"/>
              </w:rPr>
            </w:pPr>
            <w:r w:rsidRPr="00937BB8">
              <w:rPr>
                <w:szCs w:val="18"/>
              </w:rPr>
              <w:t>DOE [now DAWE] to consider available mechanisms to enable more effective identification by titleholders, stakeholders and NOPSEMA assessment officers of the plans of management relevant to a particular petroleum activity, based on the specific characteristics of that activity (e.g. geography, type of activity, affected matters protected under Part 3 of the EPBC Act)</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18EAFFC6" w14:textId="77777777" w:rsidR="00873AF3" w:rsidRDefault="007C15D8" w:rsidP="00AC121F">
            <w:pPr>
              <w:pStyle w:val="BodyCopyNEW"/>
              <w:rPr>
                <w:szCs w:val="18"/>
              </w:rPr>
            </w:pPr>
            <w:r w:rsidRPr="00937BB8">
              <w:rPr>
                <w:szCs w:val="18"/>
              </w:rPr>
              <w:t>It was reported by NOPSEMA, and supported by titleholders, that the process</w:t>
            </w:r>
            <w:r>
              <w:t xml:space="preserve"> </w:t>
            </w:r>
            <w:r w:rsidRPr="00937BB8">
              <w:rPr>
                <w:szCs w:val="18"/>
              </w:rPr>
              <w:t>currently followed by titleholders is to complete a protected matters search (using a DAWE tool</w:t>
            </w:r>
            <w:r>
              <w:rPr>
                <w:rStyle w:val="FootnoteReference"/>
                <w:szCs w:val="18"/>
              </w:rPr>
              <w:footnoteReference w:id="89"/>
            </w:r>
            <w:r w:rsidRPr="00937BB8">
              <w:rPr>
                <w:szCs w:val="18"/>
              </w:rPr>
              <w:t xml:space="preserve">). The tool provides a list of relevant species for the area of activity. It is up to the titleholder to then search the DAWE website for relevant plans of management. This is currently a manual process, and there would be benefit in further consideration to review the process further with a view to better link the protected matters search tool with relevant </w:t>
            </w:r>
            <w:r w:rsidR="00450AC7">
              <w:rPr>
                <w:szCs w:val="18"/>
              </w:rPr>
              <w:t>Recovery Plans</w:t>
            </w:r>
            <w:r w:rsidRPr="00937BB8">
              <w:rPr>
                <w:szCs w:val="18"/>
              </w:rPr>
              <w:t xml:space="preserve"> and plans for management. </w:t>
            </w:r>
          </w:p>
          <w:p w14:paraId="69569CC7" w14:textId="38470DD9" w:rsidR="007C15D8" w:rsidRDefault="007C15D8" w:rsidP="00AC121F">
            <w:pPr>
              <w:pStyle w:val="BodyCopyNEW"/>
              <w:rPr>
                <w:b/>
                <w:szCs w:val="18"/>
                <w:lang w:val="en-GB"/>
              </w:rPr>
            </w:pPr>
            <w:r w:rsidRPr="00937BB8">
              <w:rPr>
                <w:b/>
                <w:color w:val="007680"/>
                <w:szCs w:val="18"/>
              </w:rPr>
              <w:t xml:space="preserve">Recommendation: </w:t>
            </w:r>
            <w:r w:rsidRPr="00937BB8">
              <w:rPr>
                <w:b/>
                <w:szCs w:val="18"/>
              </w:rPr>
              <w:t>DAWE to consider options to make the process of identifying protected matters and related plans for management more efficient.</w:t>
            </w:r>
          </w:p>
        </w:tc>
      </w:tr>
      <w:tr w:rsidR="007C15D8" w14:paraId="5A88801D"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5DADAF54" w14:textId="07750DEB" w:rsidR="007C15D8" w:rsidRDefault="007C15D8" w:rsidP="00AC121F">
            <w:pPr>
              <w:pStyle w:val="BodyCopyNEW"/>
              <w:rPr>
                <w:szCs w:val="18"/>
                <w:lang w:val="en-GB"/>
              </w:rPr>
            </w:pPr>
            <w:r w:rsidRPr="00937BB8">
              <w:rPr>
                <w:szCs w:val="18"/>
              </w:rPr>
              <w:t>O-7</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6B2BFEB5" w14:textId="30A3983C" w:rsidR="007C15D8" w:rsidRDefault="007C15D8" w:rsidP="00AC121F">
            <w:pPr>
              <w:pStyle w:val="BodyCopyNEW"/>
              <w:rPr>
                <w:szCs w:val="18"/>
                <w:lang w:val="en-GB"/>
              </w:rPr>
            </w:pPr>
            <w:r w:rsidRPr="00937BB8">
              <w:rPr>
                <w:szCs w:val="18"/>
              </w:rPr>
              <w:t>NOPSEMA, and by association, titleholders, rely on information that is available publicly, and this information can be broad and difficult to interpret within the context of a specific activity. DOE [now DAWE] may consider the issue of publicly available advice on standards and best practice applicable to matters protected under Part 3 of the EPBC Act to guide titleholders and stakeholders with ALARP and acceptability criteria applicable to petroleum activities.</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0F14018D" w14:textId="77777777" w:rsidR="007C15D8" w:rsidRPr="00937BB8" w:rsidRDefault="007C15D8" w:rsidP="00AC121F">
            <w:pPr>
              <w:pStyle w:val="BodyCopyNEW"/>
              <w:rPr>
                <w:szCs w:val="18"/>
              </w:rPr>
            </w:pPr>
            <w:r w:rsidRPr="00937BB8">
              <w:rPr>
                <w:szCs w:val="18"/>
              </w:rPr>
              <w:t xml:space="preserve">NOPSEMA has reported utilising relevant documents published on DAWE's website to inform assessments in relation to matters protected under the EPBC Act. This includes statutory plans of management and Recovery Plans for threatened species. </w:t>
            </w:r>
          </w:p>
          <w:p w14:paraId="0D8C4A34" w14:textId="77777777" w:rsidR="007C15D8" w:rsidRPr="00937BB8" w:rsidRDefault="007C15D8" w:rsidP="00AC121F">
            <w:pPr>
              <w:pStyle w:val="BodyCopyNEW"/>
              <w:rPr>
                <w:szCs w:val="18"/>
              </w:rPr>
            </w:pPr>
            <w:r w:rsidRPr="00937BB8">
              <w:rPr>
                <w:szCs w:val="18"/>
              </w:rPr>
              <w:t>NOPSEMA has indicated that further liaison/clarification from DAWE in relation to the interpretation of certain aspects of Recovery Plans may be beneficial to NOPSEMA and industry going forward.</w:t>
            </w:r>
          </w:p>
          <w:p w14:paraId="0C2DF7CF" w14:textId="77777777" w:rsidR="007C15D8" w:rsidRDefault="007C15D8" w:rsidP="00AC121F">
            <w:pPr>
              <w:pStyle w:val="BodyCopyNEW"/>
              <w:rPr>
                <w:szCs w:val="18"/>
                <w:lang w:val="en-GB"/>
              </w:rPr>
            </w:pPr>
          </w:p>
        </w:tc>
      </w:tr>
      <w:tr w:rsidR="007C15D8" w14:paraId="40B10131"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41A7B00D" w14:textId="5A076769" w:rsidR="007C15D8" w:rsidRDefault="007C15D8" w:rsidP="00AC121F">
            <w:pPr>
              <w:pStyle w:val="BodyCopyNEW"/>
              <w:rPr>
                <w:szCs w:val="18"/>
                <w:lang w:val="en-GB"/>
              </w:rPr>
            </w:pPr>
            <w:r w:rsidRPr="00937BB8">
              <w:rPr>
                <w:szCs w:val="18"/>
              </w:rPr>
              <w:t xml:space="preserve">O-8 </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5919C28E" w14:textId="6916FBA9" w:rsidR="007C15D8" w:rsidRDefault="007C15D8" w:rsidP="00AC121F">
            <w:pPr>
              <w:pStyle w:val="BodyCopyNEW"/>
              <w:rPr>
                <w:szCs w:val="18"/>
                <w:lang w:val="en-GB"/>
              </w:rPr>
            </w:pPr>
            <w:r w:rsidRPr="00937BB8">
              <w:rPr>
                <w:szCs w:val="18"/>
              </w:rPr>
              <w:t>Further clarification on the applicability of the Transitional Management Arrangements for CMR would benefit titleholders and stakeholders in understanding the requirements applicable to the undertaking of petroleum activities.</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4C49A7A3" w14:textId="31C17E67" w:rsidR="007C15D8" w:rsidRDefault="007C15D8" w:rsidP="00AC121F">
            <w:pPr>
              <w:pStyle w:val="BodyCopyNEW"/>
              <w:rPr>
                <w:szCs w:val="18"/>
                <w:lang w:val="en-GB"/>
              </w:rPr>
            </w:pPr>
            <w:r w:rsidRPr="00937BB8">
              <w:rPr>
                <w:i/>
                <w:szCs w:val="18"/>
              </w:rPr>
              <w:t>Australian Marine Parks Guidance Note</w:t>
            </w:r>
            <w:r w:rsidRPr="00937BB8">
              <w:rPr>
                <w:szCs w:val="18"/>
              </w:rPr>
              <w:t xml:space="preserve"> (see A620236) is in place. The guidance was developed in close consultation with Parks Australia. The intent of guidance is to assist titleholders in preparing EPs that comply with regulatory requirements.</w:t>
            </w:r>
          </w:p>
        </w:tc>
      </w:tr>
      <w:tr w:rsidR="007C15D8" w14:paraId="75D77EA9"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61877AA2" w14:textId="671B007E" w:rsidR="007C15D8" w:rsidRDefault="007C15D8" w:rsidP="00AC121F">
            <w:pPr>
              <w:pStyle w:val="BodyCopyNEW"/>
              <w:rPr>
                <w:szCs w:val="18"/>
                <w:lang w:val="en-GB"/>
              </w:rPr>
            </w:pPr>
            <w:r w:rsidRPr="00937BB8">
              <w:rPr>
                <w:szCs w:val="18"/>
              </w:rPr>
              <w:t>O-9</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25787DC8" w14:textId="11EEE221" w:rsidR="007C15D8" w:rsidRDefault="007C15D8" w:rsidP="00AC121F">
            <w:pPr>
              <w:pStyle w:val="BodyCopyNEW"/>
              <w:rPr>
                <w:szCs w:val="18"/>
                <w:lang w:val="en-GB"/>
              </w:rPr>
            </w:pPr>
            <w:r w:rsidRPr="00937BB8">
              <w:rPr>
                <w:szCs w:val="18"/>
              </w:rPr>
              <w:t xml:space="preserve">As part of the review and acceptance process for EP summaries, NOPSEMA should ensure that sufficient content related to matters protected under Part 3 of the EPBC Act provided in the EP (e.g. plans of management used in the assessment of impacts and risks) is presented in the EP summaries prepared by titleholders, to provide both DOE [now DAWE] and stakeholders with </w:t>
            </w:r>
            <w:r w:rsidRPr="00937BB8">
              <w:rPr>
                <w:szCs w:val="18"/>
              </w:rPr>
              <w:lastRenderedPageBreak/>
              <w:t>visibility and certainty that the assessed and accepted EP had appropriate consideration for matters protected under Part 3 of the EPBC Act.</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1A7E2ED6" w14:textId="1465C53D" w:rsidR="007C15D8" w:rsidRDefault="007C15D8" w:rsidP="00AC121F">
            <w:pPr>
              <w:pStyle w:val="BodyCopyNEW"/>
              <w:rPr>
                <w:szCs w:val="18"/>
                <w:lang w:val="en-GB"/>
              </w:rPr>
            </w:pPr>
            <w:r w:rsidRPr="00937BB8">
              <w:rPr>
                <w:szCs w:val="18"/>
              </w:rPr>
              <w:lastRenderedPageBreak/>
              <w:t xml:space="preserve">Following the amendments to the OPGGS (Environment) Regulations in April 2019, EPs are published in full for public consumption. This includes all material </w:t>
            </w:r>
            <w:r w:rsidRPr="00937BB8">
              <w:rPr>
                <w:szCs w:val="18"/>
              </w:rPr>
              <w:lastRenderedPageBreak/>
              <w:t>that is relevant to the assessment of impacts on matters protected under the EPBC Act.</w:t>
            </w:r>
          </w:p>
        </w:tc>
      </w:tr>
      <w:tr w:rsidR="007C15D8" w14:paraId="2EC62D8C"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67231F11" w14:textId="1F4C5FF2" w:rsidR="007C15D8" w:rsidRDefault="007C15D8" w:rsidP="00AC121F">
            <w:pPr>
              <w:pStyle w:val="BodyCopyNEW"/>
              <w:rPr>
                <w:szCs w:val="18"/>
                <w:lang w:val="en-GB"/>
              </w:rPr>
            </w:pPr>
            <w:r w:rsidRPr="00937BB8">
              <w:rPr>
                <w:szCs w:val="18"/>
              </w:rPr>
              <w:lastRenderedPageBreak/>
              <w:t>O-10</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496BAAD0" w14:textId="500995E3" w:rsidR="007C15D8" w:rsidRDefault="007C15D8" w:rsidP="00AC121F">
            <w:pPr>
              <w:pStyle w:val="BodyCopyNEW"/>
              <w:rPr>
                <w:szCs w:val="18"/>
                <w:lang w:val="en-GB"/>
              </w:rPr>
            </w:pPr>
            <w:r w:rsidRPr="00937BB8">
              <w:rPr>
                <w:szCs w:val="18"/>
              </w:rPr>
              <w:t>Examine whether the release of information on submission (rather than acceptance) on NOPSEMA’s website meets the needs of DOE [now DAWE] for stakeholder management purposes and international reporting obligations.</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7BBA2263" w14:textId="4B05515C" w:rsidR="007C15D8" w:rsidRPr="00CE2CB1" w:rsidRDefault="00450AC7" w:rsidP="00AC121F">
            <w:pPr>
              <w:pStyle w:val="BodyCopyNEW"/>
              <w:rPr>
                <w:szCs w:val="18"/>
              </w:rPr>
            </w:pPr>
            <w:r w:rsidRPr="009A0E24">
              <w:rPr>
                <w:szCs w:val="18"/>
              </w:rPr>
              <w:t xml:space="preserve">All EPs are now published in full and are available online. It was noted that </w:t>
            </w:r>
            <w:r>
              <w:rPr>
                <w:szCs w:val="18"/>
              </w:rPr>
              <w:t>OPPs</w:t>
            </w:r>
            <w:r w:rsidRPr="009A0E24">
              <w:rPr>
                <w:szCs w:val="18"/>
              </w:rPr>
              <w:t xml:space="preserve"> go through a significant review period offline prior to being made available on NOPSEMA's website</w:t>
            </w:r>
            <w:r>
              <w:rPr>
                <w:szCs w:val="18"/>
              </w:rPr>
              <w:t>, and that this includes notification to DAWE.</w:t>
            </w:r>
            <w:r w:rsidRPr="009A0E24">
              <w:rPr>
                <w:szCs w:val="18"/>
              </w:rPr>
              <w:t xml:space="preserve"> </w:t>
            </w:r>
          </w:p>
        </w:tc>
      </w:tr>
      <w:tr w:rsidR="007C15D8" w14:paraId="3AD1670A"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03CE17D3" w14:textId="082F4744" w:rsidR="007C15D8" w:rsidRDefault="007C15D8" w:rsidP="00AC121F">
            <w:pPr>
              <w:pStyle w:val="BodyCopyNEW"/>
              <w:rPr>
                <w:szCs w:val="18"/>
                <w:lang w:val="en-GB"/>
              </w:rPr>
            </w:pPr>
            <w:r w:rsidRPr="009A0E24">
              <w:rPr>
                <w:szCs w:val="18"/>
              </w:rPr>
              <w:t>O-11</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1474A377" w14:textId="7126FB61" w:rsidR="007C15D8" w:rsidRDefault="007C15D8" w:rsidP="00AC121F">
            <w:pPr>
              <w:pStyle w:val="BodyCopyNEW"/>
              <w:rPr>
                <w:szCs w:val="18"/>
                <w:lang w:val="en-GB"/>
              </w:rPr>
            </w:pPr>
            <w:r w:rsidRPr="009A0E24">
              <w:rPr>
                <w:szCs w:val="18"/>
              </w:rPr>
              <w:t xml:space="preserve">The review identified that the trigger for reporting to DOE [now DAWE] on proposed major developments adjacent to a WHP is not clear to the agencies concerned, both in terms of what constitute ‘major developments’ and to what extent the proximity trigger is applicable. NOPSEMA could consider the requirement for reporting to DOE </w:t>
            </w:r>
            <w:r w:rsidR="00CE2CB1">
              <w:rPr>
                <w:szCs w:val="18"/>
              </w:rPr>
              <w:t>[</w:t>
            </w:r>
            <w:r w:rsidRPr="009A0E24">
              <w:rPr>
                <w:szCs w:val="18"/>
              </w:rPr>
              <w:t>now DAWE</w:t>
            </w:r>
            <w:r w:rsidR="00CE2CB1">
              <w:rPr>
                <w:szCs w:val="18"/>
              </w:rPr>
              <w:t>]</w:t>
            </w:r>
            <w:r w:rsidRPr="009A0E24">
              <w:rPr>
                <w:szCs w:val="18"/>
              </w:rPr>
              <w:t xml:space="preserve"> as part of the consultation requirements associated with proposed petroleum activities.</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276436C3" w14:textId="77777777" w:rsidR="007C15D8" w:rsidRPr="009A0E24" w:rsidRDefault="007C15D8" w:rsidP="00AC121F">
            <w:pPr>
              <w:pStyle w:val="BodyCopyNEW"/>
              <w:rPr>
                <w:szCs w:val="18"/>
              </w:rPr>
            </w:pPr>
            <w:r w:rsidRPr="009A0E24">
              <w:rPr>
                <w:szCs w:val="18"/>
              </w:rPr>
              <w:t xml:space="preserve">NOPSEMA's website's functionality has been enhanced to include the ability for DAWE to subscribe to certain activities and areas of interest. The subscription mechanism for ensuring DAWE stays abreast of relevant assessments is embedded within the Administrative Arrangements. </w:t>
            </w:r>
          </w:p>
          <w:p w14:paraId="7874FB16" w14:textId="44A4429D" w:rsidR="007C15D8" w:rsidRPr="00CE2CB1" w:rsidRDefault="007C15D8" w:rsidP="00AC121F">
            <w:pPr>
              <w:pStyle w:val="BodyCopyNEW"/>
              <w:rPr>
                <w:szCs w:val="18"/>
              </w:rPr>
            </w:pPr>
            <w:r w:rsidRPr="009A0E24">
              <w:rPr>
                <w:szCs w:val="18"/>
              </w:rPr>
              <w:t>As above, it was noted that OPPs go through a significant review period offline prior to being made available on NOPSEMA's website</w:t>
            </w:r>
            <w:r>
              <w:rPr>
                <w:szCs w:val="18"/>
              </w:rPr>
              <w:t>, and that this includes notification to DAWE.</w:t>
            </w:r>
          </w:p>
        </w:tc>
      </w:tr>
      <w:tr w:rsidR="007C15D8" w14:paraId="2CC152AA" w14:textId="77777777" w:rsidTr="00ED2991">
        <w:tc>
          <w:tcPr>
            <w:tcW w:w="1286"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0E6AC1C7" w14:textId="68E4B4B2" w:rsidR="007C15D8" w:rsidRDefault="007C15D8" w:rsidP="00AC121F">
            <w:pPr>
              <w:pStyle w:val="BodyCopyNEW"/>
              <w:rPr>
                <w:szCs w:val="18"/>
                <w:lang w:val="en-GB"/>
              </w:rPr>
            </w:pPr>
            <w:r w:rsidRPr="009A0E24">
              <w:rPr>
                <w:szCs w:val="18"/>
              </w:rPr>
              <w:t>O-12</w:t>
            </w:r>
          </w:p>
        </w:tc>
        <w:tc>
          <w:tcPr>
            <w:tcW w:w="7088"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3098AC49" w14:textId="28F4FA64" w:rsidR="007C15D8" w:rsidRDefault="007C15D8" w:rsidP="00AC121F">
            <w:pPr>
              <w:pStyle w:val="BodyCopyNEW"/>
              <w:rPr>
                <w:szCs w:val="18"/>
                <w:lang w:val="en-GB"/>
              </w:rPr>
            </w:pPr>
            <w:r w:rsidRPr="009A0E24">
              <w:rPr>
                <w:szCs w:val="18"/>
              </w:rPr>
              <w:t>There may be further opportunities to examine the streamlining of conditions set for projects accepted prior to 28 February 2014.</w:t>
            </w:r>
          </w:p>
        </w:tc>
        <w:tc>
          <w:tcPr>
            <w:tcW w:w="6093" w:type="dxa"/>
            <w:tcBorders>
              <w:top w:val="single" w:sz="4" w:space="0" w:color="BFBFBF" w:themeColor="background1" w:themeShade="BF"/>
              <w:left w:val="nil"/>
              <w:bottom w:val="single" w:sz="4" w:space="0" w:color="BFBFBF" w:themeColor="background1" w:themeShade="BF"/>
              <w:right w:val="nil"/>
            </w:tcBorders>
            <w:tcMar>
              <w:top w:w="0" w:type="dxa"/>
              <w:left w:w="108" w:type="dxa"/>
              <w:bottom w:w="0" w:type="dxa"/>
              <w:right w:w="108" w:type="dxa"/>
            </w:tcMar>
          </w:tcPr>
          <w:p w14:paraId="6C1640D0" w14:textId="4AFEB80B" w:rsidR="007C15D8" w:rsidRDefault="007C15D8" w:rsidP="00AC121F">
            <w:pPr>
              <w:pStyle w:val="BodyCopyNEW"/>
              <w:rPr>
                <w:szCs w:val="18"/>
                <w:lang w:val="en-GB"/>
              </w:rPr>
            </w:pPr>
            <w:r w:rsidRPr="009A0E24">
              <w:rPr>
                <w:szCs w:val="18"/>
              </w:rPr>
              <w:t xml:space="preserve">NOPSEMA reported that DAWE has sought advice from NOPSEMA in relation to a number of EPBC Act approval conditions. This has resulted in the majority of offshore developments having 'streamlined </w:t>
            </w:r>
            <w:r w:rsidR="00450AC7">
              <w:rPr>
                <w:szCs w:val="18"/>
              </w:rPr>
              <w:t>conditions’</w:t>
            </w:r>
            <w:r w:rsidR="00450AC7" w:rsidRPr="009A0E24">
              <w:rPr>
                <w:szCs w:val="18"/>
              </w:rPr>
              <w:t>.</w:t>
            </w:r>
            <w:r w:rsidRPr="009A0E24">
              <w:rPr>
                <w:szCs w:val="18"/>
              </w:rPr>
              <w:t xml:space="preserve"> </w:t>
            </w:r>
            <w:r w:rsidR="00873AF3">
              <w:rPr>
                <w:szCs w:val="18"/>
              </w:rPr>
              <w:t>T</w:t>
            </w:r>
            <w:r w:rsidRPr="009A0E24">
              <w:rPr>
                <w:szCs w:val="18"/>
              </w:rPr>
              <w:t xml:space="preserve">itleholders can </w:t>
            </w:r>
            <w:r w:rsidR="00873AF3">
              <w:rPr>
                <w:szCs w:val="18"/>
              </w:rPr>
              <w:t>then</w:t>
            </w:r>
            <w:r w:rsidRPr="009A0E24">
              <w:rPr>
                <w:szCs w:val="18"/>
              </w:rPr>
              <w:t xml:space="preserve"> choose to seek clearance of conditions by way of an EP assessment and acceptance or continue to gain clearance via approval by DAWE/Minister (e.g. see A441867).</w:t>
            </w:r>
          </w:p>
        </w:tc>
      </w:tr>
    </w:tbl>
    <w:p w14:paraId="0F8D1B34" w14:textId="375743AF" w:rsidR="007C15D8" w:rsidRPr="00121A19" w:rsidRDefault="007C15D8" w:rsidP="007C15D8">
      <w:pPr>
        <w:pStyle w:val="Caption"/>
        <w:rPr>
          <w:rFonts w:ascii="Calibri Light" w:hAnsi="Calibri Light"/>
          <w:b w:val="0"/>
          <w:i/>
          <w:color w:val="75787B" w:themeColor="accent6"/>
        </w:rPr>
        <w:sectPr w:rsidR="007C15D8" w:rsidRPr="00121A19">
          <w:pgSz w:w="16838" w:h="11906" w:orient="landscape"/>
          <w:pgMar w:top="1021" w:right="1985" w:bottom="1021" w:left="1134" w:header="680" w:footer="425" w:gutter="0"/>
          <w:cols w:space="720"/>
        </w:sectPr>
      </w:pPr>
      <w:r w:rsidRPr="00121A19">
        <w:rPr>
          <w:b w:val="0"/>
          <w:i/>
          <w:color w:val="75787B" w:themeColor="accent6"/>
        </w:rPr>
        <w:t xml:space="preserve">Source: ERM 2015 Endorsed Program </w:t>
      </w:r>
      <w:r w:rsidR="00BC7157">
        <w:rPr>
          <w:b w:val="0"/>
          <w:i/>
          <w:color w:val="75787B" w:themeColor="accent6"/>
        </w:rPr>
        <w:t>Assessment</w:t>
      </w:r>
      <w:r w:rsidRPr="00121A19">
        <w:rPr>
          <w:b w:val="0"/>
          <w:i/>
          <w:color w:val="75787B" w:themeColor="accent6"/>
        </w:rPr>
        <w:t>, Deloitte analysis</w:t>
      </w:r>
    </w:p>
    <w:tbl>
      <w:tblPr>
        <w:tblStyle w:val="TableGrid"/>
        <w:tblW w:w="0" w:type="auto"/>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D84F71" w:rsidRPr="00733441" w14:paraId="5F603733" w14:textId="77777777" w:rsidTr="00144BA2">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5EDD0045" w14:textId="77777777" w:rsidR="00D84F71" w:rsidRPr="00733441" w:rsidRDefault="00D84F71" w:rsidP="00144BA2">
            <w:pPr>
              <w:pStyle w:val="TableHeadingLeft"/>
            </w:pPr>
            <w:r w:rsidRPr="00733441">
              <w:lastRenderedPageBreak/>
              <w:t>Recommendation</w:t>
            </w:r>
            <w:r>
              <w:t xml:space="preserve"> EPBC-R-3</w:t>
            </w:r>
          </w:p>
        </w:tc>
      </w:tr>
      <w:tr w:rsidR="00D84F71" w:rsidRPr="00733441" w14:paraId="34918FEE" w14:textId="77777777" w:rsidTr="00144BA2">
        <w:tc>
          <w:tcPr>
            <w:tcW w:w="9864" w:type="dxa"/>
            <w:tcBorders>
              <w:bottom w:val="nil"/>
            </w:tcBorders>
            <w:shd w:val="clear" w:color="auto" w:fill="F2F2F2" w:themeFill="background1" w:themeFillShade="F2"/>
          </w:tcPr>
          <w:p w14:paraId="09327B18" w14:textId="50E3884E" w:rsidR="00D84F71" w:rsidRPr="00BE23B8" w:rsidRDefault="00D84F71" w:rsidP="00144BA2">
            <w:pPr>
              <w:pStyle w:val="BodyCopyNEW"/>
              <w:rPr>
                <w:szCs w:val="18"/>
              </w:rPr>
            </w:pPr>
            <w:r>
              <w:rPr>
                <w:szCs w:val="18"/>
              </w:rPr>
              <w:t>I</w:t>
            </w:r>
            <w:r w:rsidRPr="00BE23B8">
              <w:rPr>
                <w:szCs w:val="18"/>
              </w:rPr>
              <w:t xml:space="preserve">n reference to the opportunities for improvement and observations from the 2015 </w:t>
            </w:r>
            <w:r w:rsidR="00BC7157">
              <w:rPr>
                <w:szCs w:val="18"/>
              </w:rPr>
              <w:t>Endorsed Program Assessment</w:t>
            </w:r>
            <w:r w:rsidRPr="00BE23B8">
              <w:rPr>
                <w:szCs w:val="18"/>
              </w:rPr>
              <w:t>:</w:t>
            </w:r>
          </w:p>
          <w:p w14:paraId="70A8F9D8" w14:textId="77777777" w:rsidR="00D84F71" w:rsidRPr="00BE23B8" w:rsidRDefault="00D84F71" w:rsidP="00144BA2">
            <w:pPr>
              <w:pStyle w:val="BodyBullet1"/>
              <w:ind w:left="368"/>
              <w:rPr>
                <w:szCs w:val="18"/>
              </w:rPr>
            </w:pPr>
            <w:r>
              <w:rPr>
                <w:szCs w:val="18"/>
              </w:rPr>
              <w:t>NOPSEMA should u</w:t>
            </w:r>
            <w:r w:rsidRPr="00BE23B8">
              <w:rPr>
                <w:szCs w:val="18"/>
              </w:rPr>
              <w:t xml:space="preserve">pdate the </w:t>
            </w:r>
            <w:r w:rsidRPr="001879E4">
              <w:rPr>
                <w:i/>
                <w:iCs/>
                <w:szCs w:val="18"/>
              </w:rPr>
              <w:t>Environment Plan Content Requirements</w:t>
            </w:r>
            <w:r w:rsidRPr="00BE23B8">
              <w:rPr>
                <w:szCs w:val="18"/>
              </w:rPr>
              <w:t xml:space="preserve"> </w:t>
            </w:r>
            <w:r w:rsidRPr="006D6552">
              <w:rPr>
                <w:szCs w:val="18"/>
              </w:rPr>
              <w:t>N-04750-GN1344 (A339814)</w:t>
            </w:r>
            <w:r w:rsidRPr="00BE23B8">
              <w:rPr>
                <w:szCs w:val="18"/>
              </w:rPr>
              <w:t xml:space="preserve"> to reflect additional information on defining acceptable levels as currently provided in the </w:t>
            </w:r>
            <w:r w:rsidRPr="001879E4">
              <w:rPr>
                <w:i/>
                <w:iCs/>
                <w:szCs w:val="18"/>
              </w:rPr>
              <w:t>Offshore Project Proposal Content Requirements Guidance Note</w:t>
            </w:r>
            <w:r w:rsidRPr="00BE23B8">
              <w:rPr>
                <w:szCs w:val="18"/>
              </w:rPr>
              <w:t xml:space="preserve"> N-04790-GN1663 (A473026)</w:t>
            </w:r>
          </w:p>
          <w:p w14:paraId="1D85C12B" w14:textId="77777777" w:rsidR="00D84F71" w:rsidRDefault="00D84F71" w:rsidP="00144BA2">
            <w:pPr>
              <w:pStyle w:val="BodyBullet1"/>
              <w:ind w:left="368"/>
              <w:rPr>
                <w:szCs w:val="18"/>
              </w:rPr>
            </w:pPr>
            <w:r>
              <w:rPr>
                <w:szCs w:val="18"/>
              </w:rPr>
              <w:t>NOPSEMA should c</w:t>
            </w:r>
            <w:r w:rsidRPr="00BE23B8">
              <w:rPr>
                <w:szCs w:val="18"/>
              </w:rPr>
              <w:t>onsider further transparency in</w:t>
            </w:r>
            <w:r>
              <w:rPr>
                <w:szCs w:val="18"/>
              </w:rPr>
              <w:t xml:space="preserve"> the</w:t>
            </w:r>
            <w:r w:rsidRPr="00BE23B8">
              <w:rPr>
                <w:szCs w:val="18"/>
              </w:rPr>
              <w:t xml:space="preserve"> assessment process, including publication of assessment timeline and progress (e.g. the issue of Response to Request for Further Written Information)</w:t>
            </w:r>
          </w:p>
          <w:p w14:paraId="2F503F1A" w14:textId="77777777" w:rsidR="00D84F71" w:rsidRPr="00026E3D" w:rsidRDefault="00D84F71" w:rsidP="00144BA2">
            <w:pPr>
              <w:pStyle w:val="BodyBullet1"/>
              <w:ind w:left="368"/>
            </w:pPr>
            <w:r w:rsidRPr="002213D9">
              <w:rPr>
                <w:szCs w:val="18"/>
              </w:rPr>
              <w:t>DAWE should consider options to make the process of identifying protected matters and related plans for management more efficient.</w:t>
            </w:r>
          </w:p>
        </w:tc>
      </w:tr>
    </w:tbl>
    <w:p w14:paraId="5E83103F" w14:textId="77777777" w:rsidR="00586F5C" w:rsidRDefault="00586F5C" w:rsidP="00797E24">
      <w:pPr>
        <w:pStyle w:val="Heading3"/>
      </w:pPr>
      <w:bookmarkStart w:id="211" w:name="_Ref63183464"/>
      <w:r w:rsidRPr="007E2DA9">
        <w:t xml:space="preserve">NOPSEMA’s </w:t>
      </w:r>
      <w:r>
        <w:t>implementation of</w:t>
      </w:r>
      <w:r w:rsidRPr="007E2DA9">
        <w:t xml:space="preserve"> the Administrative Arrangements</w:t>
      </w:r>
      <w:bookmarkEnd w:id="211"/>
    </w:p>
    <w:p w14:paraId="720F0F8B" w14:textId="0B1398C0" w:rsidR="005E5085" w:rsidRDefault="005E5085" w:rsidP="005E5085">
      <w:pPr>
        <w:pStyle w:val="BodyCopyNEW"/>
        <w:rPr>
          <w:szCs w:val="18"/>
        </w:rPr>
      </w:pPr>
      <w:r>
        <w:rPr>
          <w:szCs w:val="18"/>
        </w:rPr>
        <w:t xml:space="preserve">To review the </w:t>
      </w:r>
      <w:r w:rsidR="008E155C">
        <w:rPr>
          <w:szCs w:val="18"/>
        </w:rPr>
        <w:t xml:space="preserve">required </w:t>
      </w:r>
      <w:r>
        <w:rPr>
          <w:szCs w:val="18"/>
        </w:rPr>
        <w:t xml:space="preserve">actions of </w:t>
      </w:r>
      <w:r w:rsidR="008E155C">
        <w:rPr>
          <w:szCs w:val="18"/>
        </w:rPr>
        <w:t>NOPSEMA</w:t>
      </w:r>
      <w:r>
        <w:rPr>
          <w:szCs w:val="18"/>
        </w:rPr>
        <w:t xml:space="preserve"> </w:t>
      </w:r>
      <w:r w:rsidR="008E155C">
        <w:rPr>
          <w:szCs w:val="18"/>
        </w:rPr>
        <w:t>specified</w:t>
      </w:r>
      <w:r>
        <w:rPr>
          <w:szCs w:val="18"/>
        </w:rPr>
        <w:t xml:space="preserve"> under the Administrative Arrangements and provide advice on if all commitments are being met, we have considered whether: </w:t>
      </w:r>
    </w:p>
    <w:p w14:paraId="46D43989" w14:textId="77777777" w:rsidR="005E5085" w:rsidRPr="00124405" w:rsidRDefault="005E5085" w:rsidP="005447CC">
      <w:pPr>
        <w:pStyle w:val="BodycopyNEW0"/>
        <w:numPr>
          <w:ilvl w:val="0"/>
          <w:numId w:val="23"/>
        </w:numPr>
        <w:ind w:left="378"/>
      </w:pPr>
      <w:r w:rsidRPr="00124405">
        <w:rPr>
          <w:szCs w:val="18"/>
        </w:rPr>
        <w:t>NOPSEMA successfully shares information with and advises DAWE on post approval matters and their approval conditions</w:t>
      </w:r>
    </w:p>
    <w:p w14:paraId="56B0284A" w14:textId="79999844" w:rsidR="005E5085" w:rsidRDefault="005E5085" w:rsidP="005447CC">
      <w:pPr>
        <w:pStyle w:val="BodycopyNEW0"/>
        <w:numPr>
          <w:ilvl w:val="0"/>
          <w:numId w:val="23"/>
        </w:numPr>
        <w:ind w:left="378"/>
        <w:rPr>
          <w:szCs w:val="18"/>
        </w:rPr>
      </w:pPr>
      <w:r>
        <w:rPr>
          <w:szCs w:val="18"/>
        </w:rPr>
        <w:t xml:space="preserve">NOPSEMA and DAWE collaborate in an open </w:t>
      </w:r>
      <w:r w:rsidR="006F0E2E">
        <w:rPr>
          <w:szCs w:val="18"/>
        </w:rPr>
        <w:t xml:space="preserve">and constructive </w:t>
      </w:r>
      <w:r>
        <w:rPr>
          <w:szCs w:val="18"/>
        </w:rPr>
        <w:t>manner</w:t>
      </w:r>
    </w:p>
    <w:p w14:paraId="3F0691D3" w14:textId="7E8689CB" w:rsidR="005E5085" w:rsidRDefault="005E5085" w:rsidP="005447CC">
      <w:pPr>
        <w:pStyle w:val="BodycopyNEW0"/>
        <w:numPr>
          <w:ilvl w:val="0"/>
          <w:numId w:val="23"/>
        </w:numPr>
        <w:ind w:left="378"/>
        <w:rPr>
          <w:szCs w:val="18"/>
        </w:rPr>
      </w:pPr>
      <w:r>
        <w:rPr>
          <w:szCs w:val="18"/>
        </w:rPr>
        <w:t xml:space="preserve">NOPSEMA </w:t>
      </w:r>
      <w:r w:rsidR="006F0E2E">
        <w:rPr>
          <w:szCs w:val="18"/>
        </w:rPr>
        <w:t>is</w:t>
      </w:r>
      <w:r>
        <w:rPr>
          <w:szCs w:val="18"/>
        </w:rPr>
        <w:t xml:space="preserve"> meeting </w:t>
      </w:r>
      <w:r w:rsidR="006F0E2E">
        <w:rPr>
          <w:szCs w:val="18"/>
        </w:rPr>
        <w:t>its</w:t>
      </w:r>
      <w:r>
        <w:rPr>
          <w:szCs w:val="18"/>
        </w:rPr>
        <w:t xml:space="preserve"> agreed actions. </w:t>
      </w:r>
    </w:p>
    <w:p w14:paraId="3AFB5C98" w14:textId="15CB982F" w:rsidR="005E5085" w:rsidRDefault="005E5085" w:rsidP="005E5085">
      <w:pPr>
        <w:pStyle w:val="Heading4"/>
      </w:pPr>
      <w:r>
        <w:t>Context to the Administrative Arrangements</w:t>
      </w:r>
    </w:p>
    <w:p w14:paraId="170C9E9A" w14:textId="204FA2C1" w:rsidR="000C361E" w:rsidRDefault="003466A1" w:rsidP="003466A1">
      <w:pPr>
        <w:pStyle w:val="BodyCopyNEW"/>
        <w:rPr>
          <w:i/>
          <w:szCs w:val="18"/>
        </w:rPr>
      </w:pPr>
      <w:r w:rsidRPr="009C6A6D">
        <w:rPr>
          <w:szCs w:val="18"/>
        </w:rPr>
        <w:t>NOPSEMA must engage closely with two Commonwealth government departments on environmental policy issues</w:t>
      </w:r>
      <w:r w:rsidR="00F476EB">
        <w:rPr>
          <w:szCs w:val="18"/>
        </w:rPr>
        <w:t xml:space="preserve">: </w:t>
      </w:r>
      <w:r w:rsidRPr="009C6A6D">
        <w:rPr>
          <w:szCs w:val="18"/>
        </w:rPr>
        <w:t>DISER for offshore resources environment matters and DAWE for select environment-related matters. DAWE continue</w:t>
      </w:r>
      <w:r w:rsidR="0084110B">
        <w:rPr>
          <w:szCs w:val="18"/>
        </w:rPr>
        <w:t>s</w:t>
      </w:r>
      <w:r w:rsidRPr="009C6A6D">
        <w:rPr>
          <w:szCs w:val="18"/>
        </w:rPr>
        <w:t xml:space="preserve"> to hold relevant policy responsibility for environmental protection matters, which NOPSEMA must comply with in its </w:t>
      </w:r>
      <w:r w:rsidRPr="00617A80">
        <w:rPr>
          <w:szCs w:val="18"/>
        </w:rPr>
        <w:t>assessment</w:t>
      </w:r>
      <w:r w:rsidR="00334B1B">
        <w:rPr>
          <w:szCs w:val="18"/>
        </w:rPr>
        <w:t xml:space="preserve"> processes</w:t>
      </w:r>
      <w:r w:rsidRPr="009C6A6D">
        <w:rPr>
          <w:i/>
          <w:szCs w:val="18"/>
        </w:rPr>
        <w:t xml:space="preserve">. </w:t>
      </w:r>
    </w:p>
    <w:p w14:paraId="699BA6CD" w14:textId="5575D0B1" w:rsidR="003466A1" w:rsidRPr="009C6A6D" w:rsidRDefault="003466A1" w:rsidP="003466A1">
      <w:pPr>
        <w:pStyle w:val="BodyCopyNEW"/>
        <w:rPr>
          <w:szCs w:val="18"/>
        </w:rPr>
      </w:pPr>
      <w:r w:rsidRPr="00835CC1">
        <w:rPr>
          <w:iCs/>
          <w:szCs w:val="18"/>
        </w:rPr>
        <w:t>An Administrative Arrangement</w:t>
      </w:r>
      <w:r w:rsidRPr="009C6A6D">
        <w:rPr>
          <w:szCs w:val="18"/>
        </w:rPr>
        <w:t xml:space="preserve"> was agreed </w:t>
      </w:r>
      <w:r w:rsidR="00B03F6A">
        <w:rPr>
          <w:szCs w:val="18"/>
        </w:rPr>
        <w:t>between</w:t>
      </w:r>
      <w:r w:rsidRPr="009C6A6D">
        <w:rPr>
          <w:szCs w:val="18"/>
        </w:rPr>
        <w:t xml:space="preserve"> NOPSEMA and DAWE following the establishment of the Endorsed Program and subsequently updated in 2017. Among other matters, the Administrative Arrangements set out the information sharing and consultation arrangements between the parties.</w:t>
      </w:r>
    </w:p>
    <w:p w14:paraId="14C3B63C" w14:textId="1541C439" w:rsidR="007C15D8" w:rsidRDefault="003466A1" w:rsidP="007C15D8">
      <w:pPr>
        <w:pStyle w:val="BodyCopyNEW"/>
        <w:rPr>
          <w:szCs w:val="18"/>
        </w:rPr>
      </w:pPr>
      <w:r>
        <w:rPr>
          <w:szCs w:val="18"/>
        </w:rPr>
        <w:t>T</w:t>
      </w:r>
      <w:r w:rsidR="007C15D8">
        <w:rPr>
          <w:szCs w:val="18"/>
        </w:rPr>
        <w:t xml:space="preserve">he </w:t>
      </w:r>
      <w:r>
        <w:rPr>
          <w:szCs w:val="18"/>
        </w:rPr>
        <w:t xml:space="preserve">May 2017 update to the </w:t>
      </w:r>
      <w:r w:rsidR="007C15D8">
        <w:rPr>
          <w:szCs w:val="18"/>
        </w:rPr>
        <w:t xml:space="preserve">Administrative Arrangements </w:t>
      </w:r>
      <w:r>
        <w:rPr>
          <w:szCs w:val="18"/>
        </w:rPr>
        <w:t>was undertaken</w:t>
      </w:r>
      <w:r w:rsidR="007C15D8">
        <w:rPr>
          <w:szCs w:val="18"/>
        </w:rPr>
        <w:t xml:space="preserve"> to reflect key learnings and current agency arrangements and practices for administering the </w:t>
      </w:r>
      <w:r w:rsidR="00586F5C">
        <w:rPr>
          <w:szCs w:val="18"/>
        </w:rPr>
        <w:t xml:space="preserve">Endorsed </w:t>
      </w:r>
      <w:r w:rsidR="00586F5C" w:rsidRPr="00B007F0">
        <w:rPr>
          <w:szCs w:val="18"/>
        </w:rPr>
        <w:t>Program.</w:t>
      </w:r>
      <w:r w:rsidR="007C15D8">
        <w:rPr>
          <w:szCs w:val="18"/>
        </w:rPr>
        <w:t xml:space="preserve"> At this time, NOPSEMA also published a guideline on </w:t>
      </w:r>
      <w:r w:rsidR="007C15D8">
        <w:rPr>
          <w:i/>
          <w:iCs/>
          <w:szCs w:val="18"/>
        </w:rPr>
        <w:t>Environment Plan Decision-making</w:t>
      </w:r>
      <w:r w:rsidR="007C15D8">
        <w:rPr>
          <w:szCs w:val="18"/>
        </w:rPr>
        <w:t xml:space="preserve"> (see GL1721). The guideline explains how NOPSEMA makes an administrative decision to accept an EP under the OPGGS (Environment) Regulations and how NOPSEMA assesses the requirements for impacts on EPBC Act protected matters to be of an acceptable level. </w:t>
      </w:r>
    </w:p>
    <w:p w14:paraId="3F775FE7" w14:textId="77777777" w:rsidR="007C15D8" w:rsidRDefault="007C15D8" w:rsidP="007C15D8">
      <w:pPr>
        <w:pStyle w:val="BodyCopyNEW"/>
        <w:rPr>
          <w:szCs w:val="18"/>
        </w:rPr>
      </w:pPr>
      <w:r>
        <w:rPr>
          <w:szCs w:val="18"/>
        </w:rPr>
        <w:t>NOPSEMA continues to report annually to the Minister for the Environment.</w:t>
      </w:r>
    </w:p>
    <w:p w14:paraId="1F937C8F" w14:textId="020BE605" w:rsidR="0077063C" w:rsidRDefault="0077063C" w:rsidP="0077063C">
      <w:pPr>
        <w:pStyle w:val="BodyCopyNEW"/>
        <w:rPr>
          <w:szCs w:val="18"/>
        </w:rPr>
      </w:pPr>
      <w:r>
        <w:rPr>
          <w:szCs w:val="18"/>
        </w:rPr>
        <w:t>Based on the information we have examined, NOPSEMA is meeting its Administrative Arrangement commitments</w:t>
      </w:r>
      <w:r w:rsidR="000E27D8">
        <w:rPr>
          <w:rStyle w:val="FootnoteReference"/>
          <w:szCs w:val="18"/>
        </w:rPr>
        <w:footnoteReference w:id="90"/>
      </w:r>
      <w:r w:rsidR="00A52A77" w:rsidRPr="00B007F0">
        <w:rPr>
          <w:szCs w:val="18"/>
        </w:rPr>
        <w:t>.</w:t>
      </w:r>
      <w:r w:rsidRPr="00B007F0">
        <w:rPr>
          <w:szCs w:val="18"/>
        </w:rPr>
        <w:t xml:space="preserve"> </w:t>
      </w:r>
      <w:r w:rsidR="00332629">
        <w:rPr>
          <w:szCs w:val="18"/>
        </w:rPr>
        <w:t>NOPSEMA and DAWE</w:t>
      </w:r>
      <w:r w:rsidRPr="00B007F0">
        <w:rPr>
          <w:szCs w:val="18"/>
        </w:rPr>
        <w:t xml:space="preserve"> have established robust and frequent mechanisms for engagement to ensure their respective obligations are fulfilled.</w:t>
      </w:r>
    </w:p>
    <w:p w14:paraId="1ABC48DE" w14:textId="57C7E9F1" w:rsidR="007C15D8" w:rsidRDefault="007C15D8" w:rsidP="00B02FE5">
      <w:pPr>
        <w:pStyle w:val="Heading4"/>
        <w:numPr>
          <w:ilvl w:val="3"/>
          <w:numId w:val="1"/>
        </w:numPr>
      </w:pPr>
      <w:r>
        <w:t>NOPSEMA’s relationship with DAWE, including Parks Australia and the Australian Antarctic Division</w:t>
      </w:r>
    </w:p>
    <w:p w14:paraId="4444310F" w14:textId="77777777" w:rsidR="007C15D8" w:rsidRDefault="007C15D8" w:rsidP="007C15D8">
      <w:pPr>
        <w:pStyle w:val="Heading3NoNumber"/>
      </w:pPr>
      <w:r>
        <w:t>Collaboration with DAWE is positive, with opportunities to work together to improve key resources</w:t>
      </w:r>
    </w:p>
    <w:p w14:paraId="071AE013" w14:textId="4DEB68A1" w:rsidR="007C15D8" w:rsidRPr="009C6A6D" w:rsidRDefault="007C15D8" w:rsidP="007C15D8">
      <w:pPr>
        <w:pStyle w:val="BodyCopyNEW"/>
        <w:rPr>
          <w:b/>
          <w:i/>
          <w:szCs w:val="18"/>
        </w:rPr>
      </w:pPr>
      <w:r w:rsidRPr="009C6A6D">
        <w:rPr>
          <w:szCs w:val="18"/>
        </w:rPr>
        <w:t>NOPSEMA’s engagement with DAWE and portfolio agencies Parks Australia and the Australian Antarctic Division is generally positive</w:t>
      </w:r>
      <w:r w:rsidR="006D7675">
        <w:rPr>
          <w:szCs w:val="18"/>
        </w:rPr>
        <w:t xml:space="preserve"> and constructive</w:t>
      </w:r>
      <w:r w:rsidRPr="009C6A6D">
        <w:rPr>
          <w:szCs w:val="18"/>
        </w:rPr>
        <w:t xml:space="preserve">, </w:t>
      </w:r>
      <w:r w:rsidR="006D7675">
        <w:rPr>
          <w:szCs w:val="18"/>
        </w:rPr>
        <w:t>appropriately frequent</w:t>
      </w:r>
      <w:r w:rsidR="008A6342">
        <w:rPr>
          <w:szCs w:val="18"/>
        </w:rPr>
        <w:t>,</w:t>
      </w:r>
      <w:r w:rsidRPr="009C6A6D">
        <w:rPr>
          <w:szCs w:val="18"/>
        </w:rPr>
        <w:t xml:space="preserve"> and proactive. </w:t>
      </w:r>
    </w:p>
    <w:p w14:paraId="32DD8A38" w14:textId="77777777" w:rsidR="007C15D8" w:rsidRPr="009C6A6D" w:rsidRDefault="007C15D8" w:rsidP="007C15D8">
      <w:pPr>
        <w:pStyle w:val="BodyCopyNEW"/>
        <w:rPr>
          <w:szCs w:val="18"/>
        </w:rPr>
      </w:pPr>
      <w:r w:rsidRPr="009C6A6D">
        <w:rPr>
          <w:szCs w:val="18"/>
        </w:rPr>
        <w:t xml:space="preserve">As part of the Administrative Arrangement, DAWE and NOPSEMA hold monthly meetings to discuss the pipeline of work and approvals under consideration as well as relevant guidelines or statutory instruments. The parties also hold frequent ad hoc meetings on specific approval matters as required. </w:t>
      </w:r>
    </w:p>
    <w:p w14:paraId="780C437B" w14:textId="46BCFE7D" w:rsidR="007C15D8" w:rsidRPr="009C6A6D" w:rsidRDefault="007C15D8" w:rsidP="007C15D8">
      <w:pPr>
        <w:pStyle w:val="BodyCopyNEW"/>
        <w:rPr>
          <w:szCs w:val="18"/>
        </w:rPr>
      </w:pPr>
      <w:r w:rsidRPr="009C6A6D">
        <w:rPr>
          <w:szCs w:val="18"/>
        </w:rPr>
        <w:t xml:space="preserve">NOPSEMA can only accept an EP </w:t>
      </w:r>
      <w:r w:rsidRPr="0075105C">
        <w:rPr>
          <w:szCs w:val="18"/>
        </w:rPr>
        <w:t>if it meets the acceptance criteria outlined in the Environment Regulations and is not inconsistent with a relevant recovery plan or threat abatement plan for a listed species or ecological community (referred to as Recovery Plans)</w:t>
      </w:r>
      <w:r w:rsidRPr="009C6A6D">
        <w:rPr>
          <w:szCs w:val="18"/>
        </w:rPr>
        <w:t xml:space="preserve">. Recovery Plans are made or adopted under the EPBC Act and remain in force until the species is removed from the list. These plans are binding on the Australian government – once a plan is in place, all relevant Australian government agencies must act in accordance with the Recovery Plan. Therefore, it is essential that NOPSEMA has a clear view of upcoming Recovery Plans for endorsement to ensure they </w:t>
      </w:r>
      <w:r w:rsidRPr="009C6A6D">
        <w:rPr>
          <w:szCs w:val="18"/>
        </w:rPr>
        <w:lastRenderedPageBreak/>
        <w:t>remain compliant. DAWE provides a weekly update to NOPSEMA on new Recovery Plans or updates to existing Recovery Plans. NOPSEMA has a dedicated resource monitoring notifications and ensuring they are effectively disseminated across NOPSEMA. This process</w:t>
      </w:r>
      <w:r>
        <w:rPr>
          <w:szCs w:val="18"/>
        </w:rPr>
        <w:t xml:space="preserve"> has</w:t>
      </w:r>
      <w:r w:rsidRPr="009C6A6D">
        <w:rPr>
          <w:szCs w:val="18"/>
        </w:rPr>
        <w:t xml:space="preserve"> improved since its establishment in 2015 and is functioning well. </w:t>
      </w:r>
    </w:p>
    <w:p w14:paraId="0985CE48" w14:textId="7A263966" w:rsidR="007C15D8" w:rsidRPr="009C6A6D" w:rsidRDefault="007C15D8" w:rsidP="007C15D8">
      <w:pPr>
        <w:pStyle w:val="BodyCopyNEW"/>
        <w:rPr>
          <w:szCs w:val="18"/>
        </w:rPr>
      </w:pPr>
      <w:r w:rsidRPr="009C6A6D">
        <w:rPr>
          <w:szCs w:val="18"/>
        </w:rPr>
        <w:t>Recovery Plans are listed on the Species Profile and Threats (</w:t>
      </w:r>
      <w:r w:rsidRPr="009C6A6D">
        <w:rPr>
          <w:b/>
          <w:szCs w:val="18"/>
        </w:rPr>
        <w:t>SPRAT</w:t>
      </w:r>
      <w:r w:rsidRPr="009C6A6D">
        <w:rPr>
          <w:szCs w:val="18"/>
        </w:rPr>
        <w:t>) database, hosted by DAWE. NOPSEMA utilises the</w:t>
      </w:r>
      <w:r>
        <w:rPr>
          <w:szCs w:val="18"/>
        </w:rPr>
        <w:t xml:space="preserve"> SPRAT database, and the </w:t>
      </w:r>
      <w:r w:rsidRPr="00170A48">
        <w:rPr>
          <w:szCs w:val="18"/>
        </w:rPr>
        <w:t>NC</w:t>
      </w:r>
      <w:r w:rsidR="00170A48" w:rsidRPr="00170A48">
        <w:rPr>
          <w:szCs w:val="18"/>
        </w:rPr>
        <w:t>V</w:t>
      </w:r>
      <w:r w:rsidRPr="00170A48">
        <w:rPr>
          <w:szCs w:val="18"/>
        </w:rPr>
        <w:t>A</w:t>
      </w:r>
      <w:r w:rsidR="00170A48" w:rsidRPr="00170A48">
        <w:rPr>
          <w:szCs w:val="18"/>
        </w:rPr>
        <w:t xml:space="preserve"> </w:t>
      </w:r>
      <w:r>
        <w:rPr>
          <w:szCs w:val="18"/>
        </w:rPr>
        <w:t>amongst other information to inform assessments and provided advice to titleholders. The NC</w:t>
      </w:r>
      <w:r w:rsidR="00545497">
        <w:rPr>
          <w:szCs w:val="18"/>
        </w:rPr>
        <w:t>V</w:t>
      </w:r>
      <w:r>
        <w:rPr>
          <w:szCs w:val="18"/>
        </w:rPr>
        <w:t>A is</w:t>
      </w:r>
      <w:r w:rsidRPr="009C6A6D">
        <w:rPr>
          <w:szCs w:val="18"/>
        </w:rPr>
        <w:t xml:space="preserve"> an interactive mapping tool </w:t>
      </w:r>
      <w:r>
        <w:rPr>
          <w:szCs w:val="18"/>
        </w:rPr>
        <w:t>developed to support implementation of Marine Bioregional Plans</w:t>
      </w:r>
      <w:r w:rsidRPr="009C6A6D">
        <w:rPr>
          <w:szCs w:val="18"/>
        </w:rPr>
        <w:t xml:space="preserve">. </w:t>
      </w:r>
      <w:r>
        <w:rPr>
          <w:szCs w:val="18"/>
        </w:rPr>
        <w:t>It</w:t>
      </w:r>
      <w:r w:rsidRPr="0017661B">
        <w:rPr>
          <w:szCs w:val="18"/>
        </w:rPr>
        <w:t xml:space="preserve"> incorporates a range of data on Australia's marine environment as well as specific information on the location and area of important marine habitats, ecological features, known breeding and feeding areas for protected species and other conservation values in the marine regions.</w:t>
      </w:r>
      <w:r>
        <w:rPr>
          <w:szCs w:val="18"/>
        </w:rPr>
        <w:t xml:space="preserve"> It was raised in meetings with DAWE that t</w:t>
      </w:r>
      <w:r w:rsidRPr="009C6A6D">
        <w:rPr>
          <w:szCs w:val="18"/>
        </w:rPr>
        <w:t xml:space="preserve">here is an opportunity for improvement of the </w:t>
      </w:r>
      <w:r>
        <w:rPr>
          <w:szCs w:val="18"/>
        </w:rPr>
        <w:t>NCVA</w:t>
      </w:r>
      <w:r w:rsidRPr="009C6A6D">
        <w:rPr>
          <w:szCs w:val="18"/>
        </w:rPr>
        <w:t xml:space="preserve"> via enhancement of the functionality and timeliness of updates. This could be an opportunity for further collaboration between NOPSEMA and DAWE. There may also be additional opportunity for NOPSEMA to provide input to new or updated threatened marine species Recovery Plans, to better ensure that they are constructed in a way that allows industry to understand and interpret its responsibilities in submitting the relevant EP to NOPSEMA. </w:t>
      </w:r>
      <w:r w:rsidR="00293768" w:rsidRPr="00293768">
        <w:rPr>
          <w:szCs w:val="18"/>
        </w:rPr>
        <w:t>We would encourage DAWE to continue to improve the Recovery Plans to be fit for purpose, and to engage closely with NOPSEMA in this process.</w:t>
      </w:r>
    </w:p>
    <w:p w14:paraId="6C129C77" w14:textId="77777777" w:rsidR="007C15D8" w:rsidRDefault="007C15D8" w:rsidP="007C15D8">
      <w:pPr>
        <w:pStyle w:val="Heading3NoNumber"/>
      </w:pPr>
      <w:r>
        <w:t>NOPSEMA cooperates effectively with Parks Australia and the Australian Antarctic Division</w:t>
      </w:r>
    </w:p>
    <w:p w14:paraId="210970A7" w14:textId="77777777" w:rsidR="007C15D8" w:rsidRPr="009C6A6D" w:rsidRDefault="007C15D8" w:rsidP="007C15D8">
      <w:pPr>
        <w:pStyle w:val="BodyCopyNEW"/>
        <w:rPr>
          <w:szCs w:val="18"/>
        </w:rPr>
      </w:pPr>
      <w:r w:rsidRPr="009C6A6D">
        <w:rPr>
          <w:szCs w:val="18"/>
        </w:rPr>
        <w:t xml:space="preserve">We heard from stakeholders that NOPSEMA and Parks Australia work collaboratively on issues of overlap and mutual interest. </w:t>
      </w:r>
    </w:p>
    <w:p w14:paraId="02336E0B" w14:textId="77777777" w:rsidR="007C15D8" w:rsidRPr="009C6A6D" w:rsidRDefault="007C15D8" w:rsidP="007C15D8">
      <w:pPr>
        <w:pStyle w:val="BodyCopyNEW"/>
        <w:rPr>
          <w:szCs w:val="18"/>
        </w:rPr>
      </w:pPr>
      <w:r w:rsidRPr="009C6A6D">
        <w:rPr>
          <w:szCs w:val="18"/>
        </w:rPr>
        <w:t xml:space="preserve">Parks Australia are considered a ‘relevant person’ under the OPGGS Act, so will be notified directly when an EP has been assessed. Titleholders will also contact Parks Australia when they are entering a Marine Park to conduct specified activities, and NOPSEMA has a role in facilitating ‘relevant persons’ correspondence. </w:t>
      </w:r>
    </w:p>
    <w:p w14:paraId="0A115864" w14:textId="10E5CA2D" w:rsidR="007C15D8" w:rsidRDefault="007C15D8" w:rsidP="007C15D8">
      <w:pPr>
        <w:pStyle w:val="BodyCopyNEW"/>
        <w:rPr>
          <w:szCs w:val="18"/>
        </w:rPr>
      </w:pPr>
      <w:r w:rsidRPr="009C6A6D">
        <w:rPr>
          <w:szCs w:val="18"/>
        </w:rPr>
        <w:t xml:space="preserve">There is evidence of a collaborative relationship between NOPSEMA and Parks Australia. For example, NOPSEMA worked with Parks Australia to revise NOPSEMA’s guidance note on petroleum activities within Commonwealth Marine Reserves to reflect contemporary expectations for titleholder consultation with </w:t>
      </w:r>
      <w:r>
        <w:rPr>
          <w:szCs w:val="18"/>
        </w:rPr>
        <w:t>the Director of National Parks</w:t>
      </w:r>
      <w:r w:rsidR="005727A7">
        <w:rPr>
          <w:szCs w:val="18"/>
        </w:rPr>
        <w:t xml:space="preserve"> (see GN1565)</w:t>
      </w:r>
      <w:r w:rsidRPr="009C6A6D">
        <w:rPr>
          <w:rStyle w:val="FootnoteReference"/>
          <w:sz w:val="18"/>
          <w:szCs w:val="18"/>
        </w:rPr>
        <w:footnoteReference w:id="91"/>
      </w:r>
      <w:r w:rsidRPr="009C6A6D">
        <w:rPr>
          <w:szCs w:val="18"/>
        </w:rPr>
        <w:t xml:space="preserve"> </w:t>
      </w:r>
      <w:r w:rsidR="005727A7" w:rsidRPr="00542CDD">
        <w:rPr>
          <w:rStyle w:val="FootnoteReference"/>
          <w:sz w:val="18"/>
          <w:szCs w:val="18"/>
        </w:rPr>
        <w:footnoteReference w:id="92"/>
      </w:r>
      <w:r w:rsidR="00866EDB">
        <w:rPr>
          <w:szCs w:val="18"/>
        </w:rPr>
        <w:t>.</w:t>
      </w:r>
      <w:r w:rsidR="005727A7">
        <w:rPr>
          <w:szCs w:val="18"/>
        </w:rPr>
        <w:t xml:space="preserve"> </w:t>
      </w:r>
      <w:r>
        <w:rPr>
          <w:szCs w:val="18"/>
        </w:rPr>
        <w:t>NOPSEMA has also conducted a number</w:t>
      </w:r>
      <w:r w:rsidRPr="009C6A6D">
        <w:rPr>
          <w:szCs w:val="18"/>
        </w:rPr>
        <w:t xml:space="preserve"> of workshops for Parks Australia outlining the offshore petroleum environment regulation framework.</w:t>
      </w:r>
      <w:r w:rsidR="005727A7" w:rsidRPr="005727A7">
        <w:rPr>
          <w:szCs w:val="18"/>
        </w:rPr>
        <w:t xml:space="preserve"> </w:t>
      </w:r>
      <w:r w:rsidR="005727A7">
        <w:rPr>
          <w:szCs w:val="18"/>
        </w:rPr>
        <w:t>This guideline also covers interaction</w:t>
      </w:r>
      <w:r w:rsidR="00FE1359">
        <w:rPr>
          <w:szCs w:val="18"/>
        </w:rPr>
        <w:t>s</w:t>
      </w:r>
      <w:r w:rsidR="005727A7">
        <w:rPr>
          <w:szCs w:val="18"/>
        </w:rPr>
        <w:t xml:space="preserve"> with DAWE, in relation to the EPBC Act, the </w:t>
      </w:r>
      <w:r w:rsidR="005727A7">
        <w:rPr>
          <w:i/>
          <w:iCs/>
          <w:szCs w:val="18"/>
        </w:rPr>
        <w:t>Historic Shipwrecks Act 1976</w:t>
      </w:r>
      <w:r w:rsidR="005727A7">
        <w:rPr>
          <w:szCs w:val="18"/>
        </w:rPr>
        <w:t xml:space="preserve"> and the </w:t>
      </w:r>
      <w:r w:rsidR="005727A7">
        <w:rPr>
          <w:i/>
          <w:iCs/>
          <w:szCs w:val="18"/>
        </w:rPr>
        <w:t>Environment Protection (Sea Dumping) Act 1981</w:t>
      </w:r>
      <w:r w:rsidR="005727A7">
        <w:rPr>
          <w:szCs w:val="18"/>
        </w:rPr>
        <w:t>, which also apply in the Commonwealth Marine Area.</w:t>
      </w:r>
    </w:p>
    <w:p w14:paraId="5678B73E" w14:textId="2D69F4E7" w:rsidR="007C15D8" w:rsidRPr="009C6A6D" w:rsidRDefault="007C15D8" w:rsidP="007C15D8">
      <w:pPr>
        <w:pStyle w:val="BodyCopyNEW"/>
        <w:rPr>
          <w:szCs w:val="18"/>
        </w:rPr>
      </w:pPr>
      <w:r w:rsidRPr="009C6A6D">
        <w:rPr>
          <w:szCs w:val="18"/>
        </w:rPr>
        <w:t>Although outside the review period, we note that an MOU between Parks Australia and NOPSEMA was executed on 28 August 2020</w:t>
      </w:r>
      <w:r w:rsidR="00866EDB" w:rsidRPr="009C6A6D">
        <w:rPr>
          <w:rStyle w:val="FootnoteReference"/>
          <w:sz w:val="18"/>
          <w:szCs w:val="18"/>
        </w:rPr>
        <w:footnoteReference w:id="93"/>
      </w:r>
      <w:r w:rsidRPr="009C6A6D">
        <w:rPr>
          <w:szCs w:val="18"/>
        </w:rPr>
        <w:t xml:space="preserve">. The MOU with Parks Australia is intended to outline arrangements for cooperation and collaboration between the parties in performing statutory functions regarding environmental management of offshore petroleum and GHG storage activities that may impact Australian Marine Parks. </w:t>
      </w:r>
    </w:p>
    <w:p w14:paraId="701A97DC" w14:textId="1870CCB8" w:rsidR="007C15D8" w:rsidRPr="009C6A6D" w:rsidRDefault="007C15D8" w:rsidP="007C15D8">
      <w:pPr>
        <w:pStyle w:val="BodyCopyNEW"/>
        <w:rPr>
          <w:szCs w:val="18"/>
        </w:rPr>
      </w:pPr>
      <w:r w:rsidRPr="009C6A6D">
        <w:rPr>
          <w:szCs w:val="18"/>
        </w:rPr>
        <w:t xml:space="preserve">The </w:t>
      </w:r>
      <w:r w:rsidR="001634F5">
        <w:rPr>
          <w:szCs w:val="18"/>
        </w:rPr>
        <w:t>AAD</w:t>
      </w:r>
      <w:r w:rsidRPr="009C6A6D">
        <w:rPr>
          <w:szCs w:val="18"/>
        </w:rPr>
        <w:t xml:space="preserve"> is contracted by NOPSEMA to provide specialist advice on cetacean related matters. For instance, NOPSEMA and AAD also worked together to bring a proposal to the Australian Government Business Research and Innovation Initiative, to improve the detection and identification of whales during marine seismic surveys</w:t>
      </w:r>
      <w:r w:rsidR="00866EDB" w:rsidRPr="009C6A6D">
        <w:rPr>
          <w:rStyle w:val="FootnoteReference"/>
          <w:sz w:val="18"/>
          <w:szCs w:val="18"/>
        </w:rPr>
        <w:footnoteReference w:id="94"/>
      </w:r>
      <w:r w:rsidRPr="009C6A6D">
        <w:rPr>
          <w:szCs w:val="18"/>
        </w:rPr>
        <w:t xml:space="preserve">. We understand up to $2.4 million may be available to support industry to conduct feasibility studies and build automated and integrated whale detection systems for vessels while conducting seismic surveys. </w:t>
      </w:r>
      <w:r>
        <w:rPr>
          <w:szCs w:val="18"/>
        </w:rPr>
        <w:t>Based on the information we examined,</w:t>
      </w:r>
      <w:r w:rsidRPr="009C6A6D">
        <w:rPr>
          <w:szCs w:val="18"/>
        </w:rPr>
        <w:t xml:space="preserve"> </w:t>
      </w:r>
      <w:r>
        <w:rPr>
          <w:szCs w:val="18"/>
        </w:rPr>
        <w:t>we</w:t>
      </w:r>
      <w:r w:rsidDel="00731504">
        <w:rPr>
          <w:szCs w:val="18"/>
        </w:rPr>
        <w:t xml:space="preserve"> consider</w:t>
      </w:r>
      <w:r>
        <w:rPr>
          <w:szCs w:val="18"/>
        </w:rPr>
        <w:t xml:space="preserve"> the relationship between </w:t>
      </w:r>
      <w:r w:rsidRPr="009C6A6D">
        <w:rPr>
          <w:szCs w:val="18"/>
        </w:rPr>
        <w:t xml:space="preserve">NOPSEMA and AAD to be effective and highlight the innovative approach adopted by the parties </w:t>
      </w:r>
      <w:r>
        <w:rPr>
          <w:szCs w:val="18"/>
        </w:rPr>
        <w:t xml:space="preserve">in </w:t>
      </w:r>
      <w:r w:rsidRPr="009C6A6D">
        <w:rPr>
          <w:szCs w:val="18"/>
        </w:rPr>
        <w:t>supporting desired regulatory outcomes.</w:t>
      </w:r>
    </w:p>
    <w:p w14:paraId="6FF06FF5" w14:textId="7F3EF042" w:rsidR="00CF3C4E" w:rsidRDefault="00CF3C4E" w:rsidP="00CF3C4E">
      <w:pPr>
        <w:pStyle w:val="Heading3"/>
      </w:pPr>
      <w:bookmarkStart w:id="212" w:name="_Ref63977596"/>
      <w:r>
        <w:t>NOPSEMA’s environment plan assessment</w:t>
      </w:r>
      <w:r w:rsidR="0057658E">
        <w:t>s</w:t>
      </w:r>
      <w:bookmarkEnd w:id="212"/>
    </w:p>
    <w:p w14:paraId="492A2B32" w14:textId="1F41375F" w:rsidR="0057658E" w:rsidRDefault="0057658E" w:rsidP="0057658E">
      <w:pPr>
        <w:pStyle w:val="Heading4"/>
      </w:pPr>
      <w:r>
        <w:t>The assessment process</w:t>
      </w:r>
    </w:p>
    <w:p w14:paraId="2E9F7F30" w14:textId="77777777" w:rsidR="00890AAC" w:rsidRDefault="00CF3C4E" w:rsidP="00890AAC">
      <w:pPr>
        <w:rPr>
          <w:rFonts w:ascii="Calibri Light" w:hAnsi="Calibri Light" w:cs="Calibri Light"/>
        </w:rPr>
      </w:pPr>
      <w:r>
        <w:rPr>
          <w:rFonts w:ascii="Calibri Light" w:hAnsi="Calibri Light" w:cs="Calibri Light"/>
        </w:rPr>
        <w:t>NOPSEMA’s EP assessment process is an integral part of ensuring NOPSEMA adheres to its commitments and obligations under the Endorsed Program and the relevant Objects of regulations and legislation. T</w:t>
      </w:r>
      <w:r w:rsidR="00E35134">
        <w:rPr>
          <w:rFonts w:ascii="Calibri Light" w:hAnsi="Calibri Light" w:cs="Calibri Light"/>
        </w:rPr>
        <w:t>o</w:t>
      </w:r>
      <w:r>
        <w:rPr>
          <w:rFonts w:ascii="Calibri Light" w:hAnsi="Calibri Light" w:cs="Calibri Light"/>
        </w:rPr>
        <w:t xml:space="preserve"> be effective, </w:t>
      </w:r>
      <w:r w:rsidRPr="007D4209">
        <w:rPr>
          <w:rFonts w:ascii="Calibri Light" w:hAnsi="Calibri Light" w:cs="Calibri Light"/>
        </w:rPr>
        <w:t xml:space="preserve">NOPSEMA’s environment plan assessment process </w:t>
      </w:r>
      <w:r>
        <w:rPr>
          <w:rFonts w:ascii="Calibri Light" w:hAnsi="Calibri Light" w:cs="Calibri Light"/>
        </w:rPr>
        <w:t>should be</w:t>
      </w:r>
      <w:r w:rsidRPr="007D4209">
        <w:rPr>
          <w:rFonts w:ascii="Calibri Light" w:hAnsi="Calibri Light" w:cs="Calibri Light"/>
        </w:rPr>
        <w:t xml:space="preserve"> risk based, reliable, consistent, </w:t>
      </w:r>
      <w:r>
        <w:rPr>
          <w:rFonts w:ascii="Calibri Light" w:hAnsi="Calibri Light" w:cs="Calibri Light"/>
        </w:rPr>
        <w:t xml:space="preserve">and </w:t>
      </w:r>
      <w:r w:rsidRPr="007D4209">
        <w:rPr>
          <w:rFonts w:ascii="Calibri Light" w:hAnsi="Calibri Light" w:cs="Calibri Light"/>
        </w:rPr>
        <w:t>integrated with other NOPSEMA monitoring, compliance, and enforcement processes.</w:t>
      </w:r>
      <w:r>
        <w:rPr>
          <w:rFonts w:ascii="Calibri Light" w:hAnsi="Calibri Light" w:cs="Calibri Light"/>
        </w:rPr>
        <w:t xml:space="preserve"> </w:t>
      </w:r>
      <w:r w:rsidR="00E92CC2">
        <w:rPr>
          <w:rFonts w:ascii="Calibri Light" w:hAnsi="Calibri Light" w:cs="Calibri Light"/>
        </w:rPr>
        <w:t xml:space="preserve">Additionally, the </w:t>
      </w:r>
      <w:r w:rsidR="00E92CC2" w:rsidRPr="00E92CC2">
        <w:rPr>
          <w:rFonts w:ascii="Calibri Light" w:hAnsi="Calibri Light" w:cs="Calibri Light"/>
        </w:rPr>
        <w:t xml:space="preserve">EP assessment processes </w:t>
      </w:r>
      <w:r w:rsidR="00E92CC2">
        <w:rPr>
          <w:rFonts w:ascii="Calibri Light" w:hAnsi="Calibri Light" w:cs="Calibri Light"/>
        </w:rPr>
        <w:t>should be</w:t>
      </w:r>
      <w:r w:rsidR="00E92CC2" w:rsidRPr="00E92CC2">
        <w:rPr>
          <w:rFonts w:ascii="Calibri Light" w:hAnsi="Calibri Light" w:cs="Calibri Light"/>
        </w:rPr>
        <w:t xml:space="preserve"> efficient and streamlined relative to arrangements prior to the Endorsed Program being in effect.</w:t>
      </w:r>
      <w:r w:rsidR="00E92CC2">
        <w:rPr>
          <w:rFonts w:ascii="Calibri Light" w:hAnsi="Calibri Light" w:cs="Calibri Light"/>
        </w:rPr>
        <w:t xml:space="preserve"> </w:t>
      </w:r>
      <w:r>
        <w:rPr>
          <w:rFonts w:ascii="Calibri Light" w:hAnsi="Calibri Light" w:cs="Calibri Light"/>
        </w:rPr>
        <w:t xml:space="preserve">The following sections examine NOPSEMA’s environment assessment process. </w:t>
      </w:r>
    </w:p>
    <w:p w14:paraId="13368E85" w14:textId="44A95144" w:rsidR="00CF3C4E" w:rsidRPr="00890AAC" w:rsidRDefault="00CF3C4E" w:rsidP="00890AAC">
      <w:pPr>
        <w:rPr>
          <w:rFonts w:ascii="Calibri Light" w:hAnsi="Calibri Light" w:cs="Calibri Light"/>
        </w:rPr>
      </w:pPr>
      <w:r w:rsidRPr="00890AAC">
        <w:rPr>
          <w:rFonts w:ascii="Calibri Light" w:hAnsi="Calibri Light" w:cs="Calibri Light"/>
        </w:rPr>
        <w:lastRenderedPageBreak/>
        <w:t xml:space="preserve">The process for assessment via RMS relies on the operator submitting a safety case, or a titleholder submitting a WOMP or EP (relevantly here), to NOPSEMA for evaluation. When submitted, the documents are triaged, an assessment brief created, and review team assigned. </w:t>
      </w:r>
      <w:r w:rsidR="00DF1DD0" w:rsidRPr="00890AAC">
        <w:rPr>
          <w:rFonts w:ascii="Calibri Light" w:hAnsi="Calibri Light" w:cs="Calibri Light"/>
        </w:rPr>
        <w:t>NOPSEMA manages the process through RMS</w:t>
      </w:r>
      <w:r w:rsidRPr="00890AAC">
        <w:rPr>
          <w:rFonts w:ascii="Calibri Light" w:hAnsi="Calibri Light" w:cs="Calibri Light"/>
        </w:rPr>
        <w:t>.</w:t>
      </w:r>
    </w:p>
    <w:p w14:paraId="2F063F49" w14:textId="77777777" w:rsidR="00CF3C4E" w:rsidRPr="00D77818" w:rsidRDefault="00CF3C4E" w:rsidP="00CF3C4E">
      <w:pPr>
        <w:pStyle w:val="BodyCopyNEW"/>
        <w:rPr>
          <w:szCs w:val="18"/>
        </w:rPr>
      </w:pPr>
      <w:r w:rsidRPr="00D77818">
        <w:rPr>
          <w:szCs w:val="18"/>
        </w:rPr>
        <w:t>Upon receiving a permissioning document for assessment, NOPSEMA conducts a pre-assessment or a completeness check for completeness of information provided (i.e. that no critical information is missing). The pre-assessment or completeness check is a critical upfront component of the process, which is used to determine if there are any critical deficiencies in the documents submitted.</w:t>
      </w:r>
    </w:p>
    <w:p w14:paraId="1DB6AB7D" w14:textId="2E9E65E9" w:rsidR="00CF3C4E" w:rsidRPr="00D77818" w:rsidRDefault="00CF3C4E" w:rsidP="00CF3C4E">
      <w:pPr>
        <w:pStyle w:val="BodyCopyNEW"/>
        <w:rPr>
          <w:szCs w:val="18"/>
        </w:rPr>
      </w:pPr>
      <w:r w:rsidRPr="00D77818">
        <w:rPr>
          <w:szCs w:val="18"/>
        </w:rPr>
        <w:t>Once the responsible party has developed and formally submitted the permissioning document, the assessment process is conducted. If critical deficiencies are identified within the permissioning document, the assessment is aborted, findings captured, reviewed by the Lead Assessor</w:t>
      </w:r>
      <w:r w:rsidR="00451CCA">
        <w:rPr>
          <w:szCs w:val="18"/>
        </w:rPr>
        <w:t>,</w:t>
      </w:r>
      <w:r w:rsidRPr="00D77818">
        <w:rPr>
          <w:szCs w:val="18"/>
        </w:rPr>
        <w:t xml:space="preserve"> and </w:t>
      </w:r>
      <w:r w:rsidR="00451CCA">
        <w:rPr>
          <w:szCs w:val="18"/>
        </w:rPr>
        <w:t xml:space="preserve">then </w:t>
      </w:r>
      <w:r w:rsidRPr="00D77818">
        <w:rPr>
          <w:szCs w:val="18"/>
        </w:rPr>
        <w:t xml:space="preserve">communicated </w:t>
      </w:r>
      <w:r w:rsidR="00876A53">
        <w:rPr>
          <w:szCs w:val="18"/>
        </w:rPr>
        <w:t xml:space="preserve">back </w:t>
      </w:r>
      <w:r w:rsidRPr="00D77818">
        <w:rPr>
          <w:szCs w:val="18"/>
        </w:rPr>
        <w:t xml:space="preserve">to the </w:t>
      </w:r>
      <w:r w:rsidR="00876A53">
        <w:rPr>
          <w:szCs w:val="18"/>
        </w:rPr>
        <w:t>responsible</w:t>
      </w:r>
      <w:r w:rsidRPr="00D77818">
        <w:rPr>
          <w:szCs w:val="18"/>
        </w:rPr>
        <w:t xml:space="preserve"> party. NOPSEMA aborts the assessment where critical deficiencies are identified to enable the efficient and effective use of NOPSEMA resources – so as to not invest time in permissioning documents that do not meet minimum expectations. NOPSEMA also has powers to request further information to support a permissioning document assessment – however, these are generally limited to two requests for new permissioning documents and one for revised documents.</w:t>
      </w:r>
    </w:p>
    <w:p w14:paraId="03DD9755" w14:textId="64882A82" w:rsidR="00CF3C4E" w:rsidRPr="00D77818" w:rsidRDefault="00CF3C4E" w:rsidP="00CF3C4E">
      <w:pPr>
        <w:pStyle w:val="BodyCopyNEW"/>
        <w:rPr>
          <w:b/>
          <w:bCs/>
          <w:szCs w:val="18"/>
        </w:rPr>
      </w:pPr>
      <w:r w:rsidRPr="00D77818">
        <w:rPr>
          <w:szCs w:val="18"/>
        </w:rPr>
        <w:t xml:space="preserve">In </w:t>
      </w:r>
      <w:r w:rsidR="00EF7245">
        <w:rPr>
          <w:szCs w:val="18"/>
        </w:rPr>
        <w:t>exceptional</w:t>
      </w:r>
      <w:r w:rsidRPr="00D77818">
        <w:rPr>
          <w:szCs w:val="18"/>
        </w:rPr>
        <w:t xml:space="preserve"> circumstances, NOPSEMA </w:t>
      </w:r>
      <w:r w:rsidR="00EF7245">
        <w:rPr>
          <w:szCs w:val="18"/>
        </w:rPr>
        <w:t>may</w:t>
      </w:r>
      <w:r w:rsidRPr="00D77818">
        <w:rPr>
          <w:szCs w:val="18"/>
        </w:rPr>
        <w:t xml:space="preserve"> “conditionally accept” a permissioning document or apply limitations. If there is a decision to accept with conditions or limitations, the </w:t>
      </w:r>
      <w:r w:rsidR="00A27958">
        <w:rPr>
          <w:szCs w:val="18"/>
        </w:rPr>
        <w:t>Representative of NOPSEMA</w:t>
      </w:r>
      <w:r w:rsidRPr="00D77818">
        <w:rPr>
          <w:szCs w:val="18"/>
        </w:rPr>
        <w:t xml:space="preserve"> </w:t>
      </w:r>
      <w:r w:rsidR="002B3E3B">
        <w:rPr>
          <w:szCs w:val="18"/>
        </w:rPr>
        <w:t>(</w:t>
      </w:r>
      <w:r w:rsidR="002B3E3B" w:rsidRPr="002B3E3B">
        <w:rPr>
          <w:b/>
          <w:bCs/>
          <w:szCs w:val="18"/>
        </w:rPr>
        <w:t>RON</w:t>
      </w:r>
      <w:r w:rsidR="002B3E3B">
        <w:rPr>
          <w:szCs w:val="18"/>
        </w:rPr>
        <w:t xml:space="preserve">) </w:t>
      </w:r>
      <w:r w:rsidRPr="00D77818">
        <w:rPr>
          <w:szCs w:val="18"/>
        </w:rPr>
        <w:t xml:space="preserve">escalates the decision for discussion and agreement with the Head of Division or the CEO for approval. </w:t>
      </w:r>
    </w:p>
    <w:p w14:paraId="67033ED7" w14:textId="7F10DC60" w:rsidR="00CF3C4E" w:rsidRPr="00D77818" w:rsidRDefault="00CF3C4E" w:rsidP="001E3A71">
      <w:pPr>
        <w:pStyle w:val="Heading3NoNumber"/>
      </w:pPr>
      <w:r w:rsidRPr="00D77818">
        <w:t xml:space="preserve">Safeguards are built into the </w:t>
      </w:r>
      <w:r w:rsidR="00475791">
        <w:t xml:space="preserve">NOPSEMA Permissioning Document </w:t>
      </w:r>
      <w:r w:rsidRPr="00D77818">
        <w:t>Assessment Framework to protect the integrity of assessments</w:t>
      </w:r>
    </w:p>
    <w:p w14:paraId="028EA955" w14:textId="176CBBC2" w:rsidR="00CF3C4E" w:rsidRPr="00D77818" w:rsidRDefault="00CF3C4E" w:rsidP="00CF3C4E">
      <w:pPr>
        <w:pStyle w:val="BodyCopyNEW"/>
        <w:rPr>
          <w:szCs w:val="18"/>
        </w:rPr>
      </w:pPr>
      <w:r w:rsidRPr="00D77818">
        <w:rPr>
          <w:szCs w:val="18"/>
        </w:rPr>
        <w:t xml:space="preserve">Safeguards are built into the </w:t>
      </w:r>
      <w:r w:rsidR="00475791">
        <w:rPr>
          <w:szCs w:val="18"/>
        </w:rPr>
        <w:t xml:space="preserve">NOPSEMA Permissioning Document </w:t>
      </w:r>
      <w:r w:rsidRPr="00D77818">
        <w:rPr>
          <w:szCs w:val="18"/>
        </w:rPr>
        <w:t>Assessment Framework to deliver consistency and quality by means of oversight and assurance at important decision points by the Team Manager/RON, including:</w:t>
      </w:r>
    </w:p>
    <w:p w14:paraId="3602D295" w14:textId="77777777" w:rsidR="00CF3C4E" w:rsidRPr="00D77818" w:rsidRDefault="00CF3C4E" w:rsidP="00CF3C4E">
      <w:pPr>
        <w:pStyle w:val="BodycopyNEW0"/>
        <w:numPr>
          <w:ilvl w:val="0"/>
          <w:numId w:val="23"/>
        </w:numPr>
        <w:ind w:left="378"/>
        <w:rPr>
          <w:rFonts w:cs="Calibri Light"/>
          <w:szCs w:val="18"/>
        </w:rPr>
      </w:pPr>
      <w:r w:rsidRPr="00D77818">
        <w:rPr>
          <w:rFonts w:cs="Calibri Light"/>
          <w:szCs w:val="18"/>
        </w:rPr>
        <w:t>Review and approval of the assessment brief (team, scope) within RMS, including the variation to an assessment scope</w:t>
      </w:r>
    </w:p>
    <w:p w14:paraId="25557A85" w14:textId="77777777" w:rsidR="00CF3C4E" w:rsidRPr="00D77818" w:rsidRDefault="00CF3C4E" w:rsidP="00CF3C4E">
      <w:pPr>
        <w:pStyle w:val="BodycopyNEW0"/>
        <w:numPr>
          <w:ilvl w:val="0"/>
          <w:numId w:val="23"/>
        </w:numPr>
        <w:ind w:left="378"/>
        <w:rPr>
          <w:rFonts w:cs="Calibri Light"/>
          <w:szCs w:val="18"/>
        </w:rPr>
      </w:pPr>
      <w:r w:rsidRPr="00D77818">
        <w:rPr>
          <w:rFonts w:cs="Calibri Light"/>
          <w:szCs w:val="18"/>
        </w:rPr>
        <w:t>Involvement in abandoning assessments based on early general assessment of material outlined in the permissioning documents</w:t>
      </w:r>
    </w:p>
    <w:p w14:paraId="5B4A095F" w14:textId="51FB8390" w:rsidR="00CF3C4E" w:rsidRPr="00D77818" w:rsidRDefault="00CF3C4E" w:rsidP="00CF3C4E">
      <w:pPr>
        <w:pStyle w:val="BodycopyNEW0"/>
        <w:numPr>
          <w:ilvl w:val="0"/>
          <w:numId w:val="23"/>
        </w:numPr>
        <w:ind w:left="378"/>
        <w:rPr>
          <w:rFonts w:cs="Calibri Light"/>
          <w:szCs w:val="18"/>
        </w:rPr>
      </w:pPr>
      <w:r w:rsidRPr="00D77818">
        <w:rPr>
          <w:rFonts w:cs="Calibri Light"/>
          <w:szCs w:val="18"/>
        </w:rPr>
        <w:t>Issu</w:t>
      </w:r>
      <w:r w:rsidR="001C7F95">
        <w:rPr>
          <w:rFonts w:cs="Calibri Light"/>
          <w:szCs w:val="18"/>
        </w:rPr>
        <w:t>e</w:t>
      </w:r>
      <w:r w:rsidRPr="00D77818">
        <w:rPr>
          <w:rFonts w:cs="Calibri Light"/>
          <w:szCs w:val="18"/>
        </w:rPr>
        <w:t xml:space="preserve"> of requests for further information or finalised assessment outcomes</w:t>
      </w:r>
    </w:p>
    <w:p w14:paraId="42565F2C" w14:textId="416BCBA8" w:rsidR="00CF3C4E" w:rsidRPr="00D77818" w:rsidRDefault="00CF3C4E" w:rsidP="00CF3C4E">
      <w:pPr>
        <w:pStyle w:val="BodycopyNEW0"/>
        <w:numPr>
          <w:ilvl w:val="0"/>
          <w:numId w:val="23"/>
        </w:numPr>
        <w:ind w:left="378"/>
        <w:rPr>
          <w:rFonts w:cs="Calibri Light"/>
          <w:szCs w:val="18"/>
        </w:rPr>
      </w:pPr>
      <w:r w:rsidRPr="00D77818">
        <w:rPr>
          <w:rFonts w:cs="Calibri Light"/>
          <w:szCs w:val="18"/>
        </w:rPr>
        <w:t>Review and approval of reports and involvement in titleholder feedback meetings.</w:t>
      </w:r>
    </w:p>
    <w:p w14:paraId="068DF6C6" w14:textId="77777777" w:rsidR="00CF3C4E" w:rsidRDefault="00CF3C4E" w:rsidP="00CF3C4E">
      <w:pPr>
        <w:rPr>
          <w:rFonts w:ascii="Calibri Light" w:hAnsi="Calibri Light" w:cs="Calibri Light"/>
        </w:rPr>
      </w:pPr>
      <w:r w:rsidRPr="00D77818">
        <w:rPr>
          <w:rFonts w:ascii="Calibri Light" w:hAnsi="Calibri Light" w:cs="Calibri Light"/>
        </w:rPr>
        <w:t>In summary, our analysis shows that NOPSEMA has established a robust and better practice approach to assessing permissioning documents submitted by industry.</w:t>
      </w:r>
    </w:p>
    <w:p w14:paraId="0F40D0F7" w14:textId="5BED552A" w:rsidR="00CF3C4E" w:rsidRDefault="00CF3C4E" w:rsidP="00CF3C4E">
      <w:pPr>
        <w:rPr>
          <w:rFonts w:ascii="Calibri Light" w:hAnsi="Calibri Light" w:cs="Calibri Light"/>
        </w:rPr>
      </w:pPr>
      <w:r>
        <w:rPr>
          <w:rFonts w:ascii="Calibri Light" w:hAnsi="Calibri Light" w:cs="Calibri Light"/>
        </w:rPr>
        <w:t xml:space="preserve">For further detail on NOPSEMA’s assessment process and an examination of its monitoring, compliance, and enforcement processes via RMS, please refer to </w:t>
      </w:r>
      <w:r w:rsidR="00F01102" w:rsidRPr="00276A29">
        <w:rPr>
          <w:rFonts w:ascii="Calibri Light" w:hAnsi="Calibri Light"/>
          <w:b/>
        </w:rPr>
        <w:t xml:space="preserve">Section </w:t>
      </w:r>
      <w:r w:rsidR="00F01102" w:rsidRPr="00276A29">
        <w:rPr>
          <w:rFonts w:ascii="Calibri Light" w:hAnsi="Calibri Light"/>
          <w:b/>
        </w:rPr>
        <w:fldChar w:fldCharType="begin"/>
      </w:r>
      <w:r w:rsidR="00F01102" w:rsidRPr="00276A29">
        <w:rPr>
          <w:rFonts w:ascii="Calibri Light" w:hAnsi="Calibri Light"/>
          <w:b/>
        </w:rPr>
        <w:instrText xml:space="preserve"> REF _Ref55978299 \r \h  \* MERGEFORMAT </w:instrText>
      </w:r>
      <w:r w:rsidR="00F01102" w:rsidRPr="00276A29">
        <w:rPr>
          <w:rFonts w:ascii="Calibri Light" w:hAnsi="Calibri Light"/>
          <w:b/>
        </w:rPr>
      </w:r>
      <w:r w:rsidR="00F01102" w:rsidRPr="00276A29">
        <w:rPr>
          <w:rFonts w:ascii="Calibri Light" w:hAnsi="Calibri Light"/>
          <w:b/>
        </w:rPr>
        <w:fldChar w:fldCharType="separate"/>
      </w:r>
      <w:r w:rsidR="00E816B8">
        <w:rPr>
          <w:rFonts w:ascii="Calibri Light" w:hAnsi="Calibri Light"/>
          <w:b/>
        </w:rPr>
        <w:t>6</w:t>
      </w:r>
      <w:r w:rsidR="00F01102" w:rsidRPr="00276A29">
        <w:rPr>
          <w:rFonts w:ascii="Calibri Light" w:hAnsi="Calibri Light"/>
          <w:b/>
        </w:rPr>
        <w:fldChar w:fldCharType="end"/>
      </w:r>
      <w:r>
        <w:rPr>
          <w:rFonts w:ascii="Calibri Light" w:hAnsi="Calibri Light" w:cs="Calibri Light"/>
        </w:rPr>
        <w:t>.</w:t>
      </w:r>
    </w:p>
    <w:p w14:paraId="754CF376" w14:textId="633C9DAB" w:rsidR="007C15D8" w:rsidRDefault="0057658E" w:rsidP="00923A5E">
      <w:pPr>
        <w:pStyle w:val="Heading4"/>
      </w:pPr>
      <w:r>
        <w:t>The assessment process in practice: Case studies</w:t>
      </w:r>
    </w:p>
    <w:p w14:paraId="2424DEC5" w14:textId="77777777" w:rsidR="007C15D8" w:rsidRDefault="007C15D8" w:rsidP="007C15D8">
      <w:pPr>
        <w:spacing w:after="120"/>
        <w:rPr>
          <w:rFonts w:ascii="Calibri Light" w:hAnsi="Calibri Light" w:cs="Calibri Light"/>
          <w:b/>
          <w:bCs/>
          <w:sz w:val="20"/>
          <w:szCs w:val="20"/>
        </w:rPr>
      </w:pPr>
      <w:r>
        <w:rPr>
          <w:rFonts w:ascii="Calibri Light" w:hAnsi="Calibri Light" w:cs="Calibri Light"/>
          <w:b/>
          <w:bCs/>
          <w:sz w:val="20"/>
          <w:szCs w:val="20"/>
        </w:rPr>
        <w:t>There is a robust approach for undertaking assessment processes</w:t>
      </w:r>
    </w:p>
    <w:p w14:paraId="3582EA6F" w14:textId="204B08D0" w:rsidR="007C15D8" w:rsidRDefault="007C15D8" w:rsidP="007C15D8">
      <w:pPr>
        <w:pStyle w:val="BodyCopyNEW"/>
        <w:rPr>
          <w:szCs w:val="18"/>
        </w:rPr>
      </w:pPr>
      <w:r>
        <w:rPr>
          <w:szCs w:val="18"/>
        </w:rPr>
        <w:t xml:space="preserve">We have considered the EP assessment process through discussions with NOPSEMA and our review of the </w:t>
      </w:r>
      <w:r>
        <w:rPr>
          <w:i/>
          <w:iCs/>
          <w:szCs w:val="18"/>
        </w:rPr>
        <w:t>Environment Plan</w:t>
      </w:r>
      <w:r>
        <w:rPr>
          <w:i/>
          <w:szCs w:val="18"/>
        </w:rPr>
        <w:t xml:space="preserve"> Assessment Procedure</w:t>
      </w:r>
      <w:r w:rsidR="00866EDB">
        <w:rPr>
          <w:rStyle w:val="FootnoteReference"/>
          <w:sz w:val="18"/>
          <w:szCs w:val="18"/>
        </w:rPr>
        <w:footnoteReference w:id="95"/>
      </w:r>
      <w:r>
        <w:rPr>
          <w:szCs w:val="18"/>
        </w:rPr>
        <w:t>. In addition, NOPSEMA provided assessment training packages that outlined the process undertaken by assessors to identify which protect matters are to be considered in their assessment.</w:t>
      </w:r>
    </w:p>
    <w:p w14:paraId="7A686702" w14:textId="77777777" w:rsidR="007C15D8" w:rsidRDefault="007C15D8" w:rsidP="007C15D8">
      <w:pPr>
        <w:pStyle w:val="BodyCopyNEW"/>
        <w:rPr>
          <w:szCs w:val="18"/>
        </w:rPr>
      </w:pPr>
      <w:r>
        <w:rPr>
          <w:szCs w:val="18"/>
        </w:rPr>
        <w:t xml:space="preserve">NOPSEMA’s approach to assessment is to undertake both a general and topic-related assessment. The general assessment is undertaken to consider whether NOPSEMA should be reasonably satisfied that the EP submission, taken as a whole, meets the criteria set out under section 10A of the OPGGS (Environment) Regulations (criteria for acceptance). </w:t>
      </w:r>
    </w:p>
    <w:p w14:paraId="1244AAE5" w14:textId="77777777" w:rsidR="007C15D8" w:rsidRDefault="007C15D8" w:rsidP="007C15D8">
      <w:pPr>
        <w:pStyle w:val="BodyCopyNEW"/>
        <w:rPr>
          <w:szCs w:val="18"/>
        </w:rPr>
      </w:pPr>
      <w:r>
        <w:rPr>
          <w:szCs w:val="18"/>
        </w:rPr>
        <w:t xml:space="preserve">The general assessment process involves an assessment of the whole EP, including: </w:t>
      </w:r>
    </w:p>
    <w:p w14:paraId="6F5CCDB5" w14:textId="77777777" w:rsidR="007C15D8" w:rsidRDefault="007C15D8" w:rsidP="000950C7">
      <w:pPr>
        <w:pStyle w:val="BodycopyNEW0"/>
        <w:numPr>
          <w:ilvl w:val="0"/>
          <w:numId w:val="23"/>
        </w:numPr>
        <w:ind w:left="378"/>
        <w:rPr>
          <w:szCs w:val="18"/>
        </w:rPr>
      </w:pPr>
      <w:r>
        <w:rPr>
          <w:szCs w:val="18"/>
        </w:rPr>
        <w:t xml:space="preserve">A </w:t>
      </w:r>
      <w:r w:rsidRPr="000950C7">
        <w:rPr>
          <w:rFonts w:cs="Calibri Light"/>
          <w:szCs w:val="18"/>
        </w:rPr>
        <w:t>critical</w:t>
      </w:r>
      <w:r>
        <w:rPr>
          <w:szCs w:val="18"/>
        </w:rPr>
        <w:t xml:space="preserve"> assessment of the submission to determine whether, as a whole, the EP has appropriate systems, processes and methods applied to environmental impact, risk assessment and management. This critical assessment is made in the context of all acceptance criteria of the OPGGS (Environment) Regulations and the </w:t>
      </w:r>
      <w:r w:rsidRPr="001879E4">
        <w:rPr>
          <w:i/>
          <w:szCs w:val="18"/>
        </w:rPr>
        <w:t>Environment Plan Decision-making Guidelines</w:t>
      </w:r>
      <w:r>
        <w:rPr>
          <w:szCs w:val="18"/>
        </w:rPr>
        <w:t xml:space="preserve"> N-04750-GL1721 (see A524696)</w:t>
      </w:r>
    </w:p>
    <w:p w14:paraId="564C93A3" w14:textId="3A856FC7" w:rsidR="007C15D8" w:rsidRDefault="001E132B" w:rsidP="000950C7">
      <w:pPr>
        <w:pStyle w:val="BodycopyNEW0"/>
        <w:numPr>
          <w:ilvl w:val="0"/>
          <w:numId w:val="23"/>
        </w:numPr>
        <w:ind w:left="378"/>
        <w:rPr>
          <w:szCs w:val="18"/>
        </w:rPr>
      </w:pPr>
      <w:r>
        <w:rPr>
          <w:szCs w:val="18"/>
        </w:rPr>
        <w:t>C</w:t>
      </w:r>
      <w:r w:rsidR="007C15D8">
        <w:rPr>
          <w:szCs w:val="18"/>
        </w:rPr>
        <w:t>onsider</w:t>
      </w:r>
      <w:r w:rsidR="00C02216">
        <w:rPr>
          <w:szCs w:val="18"/>
        </w:rPr>
        <w:t>ation of</w:t>
      </w:r>
      <w:r w:rsidR="007C15D8">
        <w:rPr>
          <w:szCs w:val="18"/>
        </w:rPr>
        <w:t xml:space="preserve"> public comments </w:t>
      </w:r>
      <w:r w:rsidR="00C02216">
        <w:rPr>
          <w:szCs w:val="18"/>
        </w:rPr>
        <w:t xml:space="preserve">made </w:t>
      </w:r>
      <w:r w:rsidR="007C15D8">
        <w:rPr>
          <w:szCs w:val="18"/>
        </w:rPr>
        <w:t xml:space="preserve">in the course of the assessment and decision-making process as part of determining if </w:t>
      </w:r>
      <w:r w:rsidR="007C15D8" w:rsidRPr="000950C7">
        <w:rPr>
          <w:rFonts w:cs="Calibri Light"/>
          <w:szCs w:val="18"/>
        </w:rPr>
        <w:t>acceptance</w:t>
      </w:r>
      <w:r w:rsidR="007C15D8">
        <w:rPr>
          <w:szCs w:val="18"/>
        </w:rPr>
        <w:t xml:space="preserve"> criteria for an EP have been met</w:t>
      </w:r>
      <w:r>
        <w:rPr>
          <w:szCs w:val="18"/>
        </w:rPr>
        <w:t xml:space="preserve"> (exploration EPs only)</w:t>
      </w:r>
    </w:p>
    <w:p w14:paraId="52C8A9DB" w14:textId="77777777" w:rsidR="007C15D8" w:rsidRDefault="007C15D8" w:rsidP="000950C7">
      <w:pPr>
        <w:pStyle w:val="BodycopyNEW0"/>
        <w:numPr>
          <w:ilvl w:val="0"/>
          <w:numId w:val="23"/>
        </w:numPr>
        <w:ind w:left="378"/>
        <w:rPr>
          <w:szCs w:val="18"/>
        </w:rPr>
      </w:pPr>
      <w:r w:rsidRPr="000950C7">
        <w:rPr>
          <w:rFonts w:cs="Calibri Light"/>
          <w:szCs w:val="18"/>
        </w:rPr>
        <w:lastRenderedPageBreak/>
        <w:t>Establishing</w:t>
      </w:r>
      <w:r>
        <w:rPr>
          <w:szCs w:val="18"/>
        </w:rPr>
        <w:t xml:space="preserve"> whether there are appropriate environmental performance outcomes and standards and if these are consistent with the accepted OPP or EPBC Act requirements (where applicable). </w:t>
      </w:r>
    </w:p>
    <w:p w14:paraId="772927FF" w14:textId="77777777" w:rsidR="007C15D8" w:rsidRDefault="007C15D8" w:rsidP="007C15D8">
      <w:pPr>
        <w:pStyle w:val="BodyCopyNEW"/>
        <w:rPr>
          <w:szCs w:val="18"/>
        </w:rPr>
      </w:pPr>
      <w:r>
        <w:rPr>
          <w:szCs w:val="18"/>
        </w:rPr>
        <w:t>Topic assessments consider the extent to which the EP meets the selected criteria under section 10A of the OPGGS (Environment) Regulations (criteria for acceptance) with respect to the topic. The topic assessment is undertaken by an assessor and should record the findings that support:</w:t>
      </w:r>
    </w:p>
    <w:p w14:paraId="00F061FE" w14:textId="77777777" w:rsidR="007C15D8" w:rsidRDefault="007C15D8" w:rsidP="000950C7">
      <w:pPr>
        <w:pStyle w:val="BodycopyNEW0"/>
        <w:numPr>
          <w:ilvl w:val="0"/>
          <w:numId w:val="23"/>
        </w:numPr>
        <w:ind w:left="378"/>
        <w:rPr>
          <w:szCs w:val="18"/>
        </w:rPr>
      </w:pPr>
      <w:r>
        <w:rPr>
          <w:szCs w:val="18"/>
        </w:rPr>
        <w:t xml:space="preserve">A </w:t>
      </w:r>
      <w:r w:rsidRPr="000950C7">
        <w:rPr>
          <w:rFonts w:cs="Calibri Light"/>
          <w:szCs w:val="18"/>
        </w:rPr>
        <w:t>critical</w:t>
      </w:r>
      <w:r>
        <w:rPr>
          <w:szCs w:val="18"/>
        </w:rPr>
        <w:t xml:space="preserve"> assessment of all parts of the EP relevant to the topic to determine whether all the selected acceptance criteria of the Environment Regulations, in the context of the </w:t>
      </w:r>
      <w:r w:rsidRPr="001879E4">
        <w:rPr>
          <w:i/>
          <w:szCs w:val="18"/>
        </w:rPr>
        <w:t>Environment Plan Decision-making Guidelines</w:t>
      </w:r>
      <w:r>
        <w:rPr>
          <w:szCs w:val="18"/>
        </w:rPr>
        <w:t xml:space="preserve"> N-04750-GL1721 (see A524696) and the EP assessment principles in the N04750-PL1347 – </w:t>
      </w:r>
      <w:r w:rsidR="00265BFE" w:rsidRPr="001879E4">
        <w:rPr>
          <w:i/>
          <w:iCs/>
          <w:szCs w:val="18"/>
        </w:rPr>
        <w:t>Environment Plan Assessment Policy</w:t>
      </w:r>
      <w:r>
        <w:rPr>
          <w:szCs w:val="18"/>
        </w:rPr>
        <w:t xml:space="preserve"> (A343085), have broadly been met</w:t>
      </w:r>
    </w:p>
    <w:p w14:paraId="20EC0699" w14:textId="0F87AACC" w:rsidR="007C15D8" w:rsidRDefault="00BA7BD6" w:rsidP="000950C7">
      <w:pPr>
        <w:pStyle w:val="BodycopyNEW0"/>
        <w:numPr>
          <w:ilvl w:val="0"/>
          <w:numId w:val="23"/>
        </w:numPr>
        <w:ind w:left="378"/>
        <w:rPr>
          <w:szCs w:val="18"/>
        </w:rPr>
      </w:pPr>
      <w:r>
        <w:rPr>
          <w:szCs w:val="18"/>
        </w:rPr>
        <w:t>C</w:t>
      </w:r>
      <w:r w:rsidR="007C15D8">
        <w:rPr>
          <w:szCs w:val="18"/>
        </w:rPr>
        <w:t>onsider</w:t>
      </w:r>
      <w:r>
        <w:rPr>
          <w:szCs w:val="18"/>
        </w:rPr>
        <w:t>ation of</w:t>
      </w:r>
      <w:r w:rsidR="007C15D8">
        <w:rPr>
          <w:szCs w:val="18"/>
        </w:rPr>
        <w:t xml:space="preserve"> public comments </w:t>
      </w:r>
      <w:r>
        <w:rPr>
          <w:szCs w:val="18"/>
        </w:rPr>
        <w:t>made i</w:t>
      </w:r>
      <w:r w:rsidR="007C15D8">
        <w:rPr>
          <w:szCs w:val="18"/>
        </w:rPr>
        <w:t xml:space="preserve">n the course of the assessment and decision-making process as part of determining if </w:t>
      </w:r>
      <w:r w:rsidR="007C15D8" w:rsidRPr="000950C7">
        <w:rPr>
          <w:rFonts w:cs="Calibri Light"/>
          <w:szCs w:val="18"/>
        </w:rPr>
        <w:t>selected</w:t>
      </w:r>
      <w:r w:rsidR="007C15D8">
        <w:rPr>
          <w:szCs w:val="18"/>
        </w:rPr>
        <w:t xml:space="preserve"> acceptance criteria for an EP have been met </w:t>
      </w:r>
      <w:r>
        <w:rPr>
          <w:szCs w:val="18"/>
        </w:rPr>
        <w:t>(</w:t>
      </w:r>
      <w:r w:rsidR="007C3653">
        <w:rPr>
          <w:szCs w:val="18"/>
        </w:rPr>
        <w:t>e</w:t>
      </w:r>
      <w:r>
        <w:rPr>
          <w:szCs w:val="18"/>
        </w:rPr>
        <w:t>xploration EPs only)</w:t>
      </w:r>
    </w:p>
    <w:p w14:paraId="19C5CD57" w14:textId="77777777" w:rsidR="007C15D8" w:rsidRDefault="007C15D8" w:rsidP="000950C7">
      <w:pPr>
        <w:pStyle w:val="BodycopyNEW0"/>
        <w:numPr>
          <w:ilvl w:val="0"/>
          <w:numId w:val="23"/>
        </w:numPr>
        <w:ind w:left="378"/>
        <w:rPr>
          <w:szCs w:val="18"/>
        </w:rPr>
      </w:pPr>
      <w:r>
        <w:rPr>
          <w:szCs w:val="18"/>
        </w:rPr>
        <w:t xml:space="preserve">A </w:t>
      </w:r>
      <w:r w:rsidRPr="000950C7">
        <w:rPr>
          <w:rFonts w:cs="Calibri Light"/>
          <w:szCs w:val="18"/>
        </w:rPr>
        <w:t>critical</w:t>
      </w:r>
      <w:r>
        <w:rPr>
          <w:szCs w:val="18"/>
        </w:rPr>
        <w:t xml:space="preserve"> assessment of the topic considering matters protected under the EPBC Act in the context of relevant </w:t>
      </w:r>
      <w:r w:rsidR="00265BFE">
        <w:rPr>
          <w:szCs w:val="18"/>
        </w:rPr>
        <w:t xml:space="preserve">Endorsed </w:t>
      </w:r>
      <w:r w:rsidR="00265BFE" w:rsidRPr="00B007F0">
        <w:rPr>
          <w:szCs w:val="18"/>
        </w:rPr>
        <w:t>Program commitments</w:t>
      </w:r>
    </w:p>
    <w:p w14:paraId="54633299" w14:textId="77777777" w:rsidR="007C15D8" w:rsidRDefault="007C15D8" w:rsidP="000950C7">
      <w:pPr>
        <w:pStyle w:val="BodycopyNEW0"/>
        <w:numPr>
          <w:ilvl w:val="0"/>
          <w:numId w:val="23"/>
        </w:numPr>
        <w:ind w:left="378"/>
        <w:rPr>
          <w:szCs w:val="18"/>
        </w:rPr>
      </w:pPr>
      <w:r>
        <w:rPr>
          <w:szCs w:val="18"/>
        </w:rPr>
        <w:t>Assist with informing the general assessment regarding application of appropriate systems, processes and methods to environmental impact/risk assessment and management.</w:t>
      </w:r>
    </w:p>
    <w:p w14:paraId="7C98EB50" w14:textId="5195AFE8" w:rsidR="007C15D8" w:rsidRDefault="007C15D8" w:rsidP="007C15D8">
      <w:pPr>
        <w:pStyle w:val="BodyCopyNEW"/>
        <w:rPr>
          <w:szCs w:val="18"/>
        </w:rPr>
      </w:pPr>
      <w:r>
        <w:rPr>
          <w:szCs w:val="18"/>
        </w:rPr>
        <w:t>NOPSEMA</w:t>
      </w:r>
      <w:r w:rsidR="00451CCA">
        <w:rPr>
          <w:szCs w:val="18"/>
        </w:rPr>
        <w:t>’s</w:t>
      </w:r>
      <w:r>
        <w:rPr>
          <w:szCs w:val="18"/>
        </w:rPr>
        <w:t xml:space="preserve"> assessment procedures state that the assessment team decide on the number of topics commensurate to the nature and scale of the activity. In making this decision, they consider: </w:t>
      </w:r>
    </w:p>
    <w:p w14:paraId="11884869" w14:textId="77777777" w:rsidR="007C15D8" w:rsidRDefault="007C15D8" w:rsidP="000950C7">
      <w:pPr>
        <w:pStyle w:val="BodycopyNEW0"/>
        <w:numPr>
          <w:ilvl w:val="0"/>
          <w:numId w:val="23"/>
        </w:numPr>
        <w:ind w:left="378"/>
        <w:rPr>
          <w:szCs w:val="18"/>
        </w:rPr>
      </w:pPr>
      <w:r>
        <w:rPr>
          <w:szCs w:val="18"/>
        </w:rPr>
        <w:t xml:space="preserve">The </w:t>
      </w:r>
      <w:r w:rsidRPr="000950C7">
        <w:rPr>
          <w:rFonts w:cs="Calibri Light"/>
          <w:szCs w:val="18"/>
        </w:rPr>
        <w:t>scope</w:t>
      </w:r>
      <w:r>
        <w:rPr>
          <w:szCs w:val="18"/>
        </w:rPr>
        <w:t>, complexity, timing and location of the activities to be conducted</w:t>
      </w:r>
    </w:p>
    <w:p w14:paraId="344EB0CC" w14:textId="77777777" w:rsidR="007C15D8" w:rsidRDefault="007C15D8" w:rsidP="000950C7">
      <w:pPr>
        <w:pStyle w:val="BodycopyNEW0"/>
        <w:numPr>
          <w:ilvl w:val="0"/>
          <w:numId w:val="23"/>
        </w:numPr>
        <w:ind w:left="378"/>
        <w:rPr>
          <w:szCs w:val="18"/>
        </w:rPr>
      </w:pPr>
      <w:r>
        <w:rPr>
          <w:szCs w:val="18"/>
        </w:rPr>
        <w:t xml:space="preserve">The </w:t>
      </w:r>
      <w:r w:rsidRPr="000950C7">
        <w:rPr>
          <w:rFonts w:cs="Calibri Light"/>
          <w:szCs w:val="18"/>
        </w:rPr>
        <w:t>environmental</w:t>
      </w:r>
      <w:r>
        <w:rPr>
          <w:szCs w:val="18"/>
        </w:rPr>
        <w:t xml:space="preserve"> impacts and risks of the activity</w:t>
      </w:r>
    </w:p>
    <w:p w14:paraId="49E154FB" w14:textId="77777777" w:rsidR="007C15D8" w:rsidRDefault="007C15D8" w:rsidP="000950C7">
      <w:pPr>
        <w:pStyle w:val="BodycopyNEW0"/>
        <w:numPr>
          <w:ilvl w:val="0"/>
          <w:numId w:val="23"/>
        </w:numPr>
        <w:ind w:left="378"/>
        <w:rPr>
          <w:szCs w:val="18"/>
        </w:rPr>
      </w:pPr>
      <w:r w:rsidRPr="000950C7">
        <w:rPr>
          <w:rFonts w:cs="Calibri Light"/>
          <w:szCs w:val="18"/>
        </w:rPr>
        <w:t>Number</w:t>
      </w:r>
      <w:r>
        <w:rPr>
          <w:szCs w:val="18"/>
        </w:rPr>
        <w:t xml:space="preserve"> and types of issues raised during consultation</w:t>
      </w:r>
    </w:p>
    <w:p w14:paraId="6485F6F9" w14:textId="77777777" w:rsidR="007C15D8" w:rsidRDefault="007C15D8" w:rsidP="000950C7">
      <w:pPr>
        <w:pStyle w:val="BodycopyNEW0"/>
        <w:numPr>
          <w:ilvl w:val="0"/>
          <w:numId w:val="23"/>
        </w:numPr>
        <w:ind w:left="378"/>
        <w:rPr>
          <w:szCs w:val="18"/>
        </w:rPr>
      </w:pPr>
      <w:r w:rsidRPr="000950C7">
        <w:rPr>
          <w:rFonts w:cs="Calibri Light"/>
          <w:szCs w:val="18"/>
        </w:rPr>
        <w:t>Uncertainty</w:t>
      </w:r>
      <w:r>
        <w:rPr>
          <w:szCs w:val="18"/>
        </w:rPr>
        <w:t>, use of innovative technology</w:t>
      </w:r>
    </w:p>
    <w:p w14:paraId="0260ADD7" w14:textId="77777777" w:rsidR="007C15D8" w:rsidRDefault="007C15D8" w:rsidP="000950C7">
      <w:pPr>
        <w:pStyle w:val="BodycopyNEW0"/>
        <w:numPr>
          <w:ilvl w:val="0"/>
          <w:numId w:val="23"/>
        </w:numPr>
        <w:ind w:left="378"/>
        <w:rPr>
          <w:szCs w:val="18"/>
        </w:rPr>
      </w:pPr>
      <w:r>
        <w:rPr>
          <w:szCs w:val="18"/>
        </w:rPr>
        <w:t>Relevant information from prior incidents, inspections, enforcement and assessments associated with the titleholder in question, similar activities or other activities undertaken by the same titleholder</w:t>
      </w:r>
    </w:p>
    <w:p w14:paraId="51F9BC7D" w14:textId="77777777" w:rsidR="007C15D8" w:rsidRDefault="007C15D8" w:rsidP="000950C7">
      <w:pPr>
        <w:pStyle w:val="BodycopyNEW0"/>
        <w:numPr>
          <w:ilvl w:val="0"/>
          <w:numId w:val="23"/>
        </w:numPr>
        <w:ind w:left="378"/>
        <w:rPr>
          <w:szCs w:val="18"/>
        </w:rPr>
      </w:pPr>
      <w:r w:rsidRPr="000950C7">
        <w:rPr>
          <w:rFonts w:cs="Calibri Light"/>
          <w:szCs w:val="18"/>
        </w:rPr>
        <w:t>Current</w:t>
      </w:r>
      <w:r>
        <w:rPr>
          <w:szCs w:val="18"/>
        </w:rPr>
        <w:t xml:space="preserve"> industry and regulatory issues.</w:t>
      </w:r>
    </w:p>
    <w:p w14:paraId="74C0E7C4" w14:textId="77777777" w:rsidR="007C15D8" w:rsidRDefault="007C15D8" w:rsidP="007C15D8">
      <w:pPr>
        <w:pStyle w:val="BodyCopyNEW"/>
        <w:rPr>
          <w:szCs w:val="18"/>
        </w:rPr>
      </w:pPr>
      <w:r>
        <w:rPr>
          <w:szCs w:val="18"/>
        </w:rPr>
        <w:t xml:space="preserve">It is not clear whether there are criteria for each of the decision factors above, and whether decisions are made consistently across assessors. </w:t>
      </w:r>
    </w:p>
    <w:p w14:paraId="278851AD" w14:textId="77777777" w:rsidR="007C15D8" w:rsidRDefault="007C15D8" w:rsidP="007C15D8">
      <w:pPr>
        <w:pStyle w:val="BodyCopyNEW"/>
        <w:rPr>
          <w:szCs w:val="18"/>
        </w:rPr>
      </w:pPr>
      <w:r>
        <w:rPr>
          <w:szCs w:val="18"/>
        </w:rPr>
        <w:t>NOPSEMA considers that those activities which pose fewer or less severe risks and impacts should receive less ‘regulatory attention’ (including a smaller team, fewer technical topics). This is in contrast to those activities which are located near sensitive environmental features and have extensive impacts and risks. NOPSEMA’s expectation is that titleholders complete an evaluation of impacts and risks appropriate to the nature and scale of each of the impacts and risks so that a greater evidence base/robust supporting information is applied in those activity circumstances with potential for significant environmental effects on sensitive environments. NOPSEMA reported during the review that this is a subjective judgement by the assessment team and decision-maker and could appear inconsistent to external audiences who may be attempting to compare EP assessment outcomes without fully assessing each EP.</w:t>
      </w:r>
    </w:p>
    <w:p w14:paraId="33B21CE9" w14:textId="77777777" w:rsidR="007C15D8" w:rsidRDefault="007C15D8" w:rsidP="007C15D8">
      <w:pPr>
        <w:pStyle w:val="BodyCopyNEW"/>
        <w:rPr>
          <w:szCs w:val="18"/>
        </w:rPr>
      </w:pPr>
      <w:r>
        <w:rPr>
          <w:szCs w:val="18"/>
        </w:rPr>
        <w:t xml:space="preserve">Titleholders generally arrange a pre-submission meeting with NOPSEMA to introduce the activity, provide key information and to seek any advice NOPSEMA is able to provide outside of the formal assessment process. </w:t>
      </w:r>
    </w:p>
    <w:p w14:paraId="530BDFEC" w14:textId="7089C839" w:rsidR="007C15D8" w:rsidRDefault="007C15D8" w:rsidP="007C15D8">
      <w:pPr>
        <w:pStyle w:val="BodyCopyNEW"/>
        <w:rPr>
          <w:szCs w:val="18"/>
        </w:rPr>
      </w:pPr>
      <w:r>
        <w:rPr>
          <w:szCs w:val="18"/>
        </w:rPr>
        <w:t>We consider that there may be further opportunities</w:t>
      </w:r>
      <w:r w:rsidR="009F3A32">
        <w:rPr>
          <w:szCs w:val="18"/>
        </w:rPr>
        <w:t>, including</w:t>
      </w:r>
      <w:r>
        <w:rPr>
          <w:szCs w:val="18"/>
        </w:rPr>
        <w:t>:</w:t>
      </w:r>
    </w:p>
    <w:p w14:paraId="099A534E" w14:textId="77777777" w:rsidR="007C15D8" w:rsidRPr="00F237E7" w:rsidRDefault="007C15D8" w:rsidP="000950C7">
      <w:pPr>
        <w:pStyle w:val="BodycopyNEW0"/>
        <w:numPr>
          <w:ilvl w:val="0"/>
          <w:numId w:val="23"/>
        </w:numPr>
        <w:ind w:left="378"/>
      </w:pPr>
      <w:r>
        <w:rPr>
          <w:szCs w:val="18"/>
        </w:rPr>
        <w:t>Pre-submission for alignment with NOPSEMA on key issues associated with an activity, and/or the development of decision criteria to enable increased transparency in the decisions made by assessment officers as to the topic and greater certainty in the required level of detail in the assessment</w:t>
      </w:r>
    </w:p>
    <w:p w14:paraId="007A8067" w14:textId="77777777" w:rsidR="007C15D8" w:rsidRDefault="007C15D8" w:rsidP="000950C7">
      <w:pPr>
        <w:pStyle w:val="BodycopyNEW0"/>
        <w:numPr>
          <w:ilvl w:val="0"/>
          <w:numId w:val="23"/>
        </w:numPr>
        <w:ind w:left="378"/>
        <w:rPr>
          <w:szCs w:val="18"/>
        </w:rPr>
      </w:pPr>
      <w:r>
        <w:rPr>
          <w:szCs w:val="18"/>
        </w:rPr>
        <w:t xml:space="preserve">To develop decision criteria that supports and enables consistent decisions between assessment officers as to the topic and level of </w:t>
      </w:r>
      <w:r w:rsidRPr="000950C7">
        <w:rPr>
          <w:rFonts w:cs="Calibri Light"/>
          <w:szCs w:val="18"/>
        </w:rPr>
        <w:t>detail</w:t>
      </w:r>
      <w:r>
        <w:rPr>
          <w:szCs w:val="18"/>
        </w:rPr>
        <w:t xml:space="preserve"> in the assessment and provide more certainty for industry.</w:t>
      </w:r>
    </w:p>
    <w:p w14:paraId="769C9135" w14:textId="1898DEE3" w:rsidR="00265BFE" w:rsidRPr="00056425" w:rsidRDefault="00265BFE" w:rsidP="00265BFE">
      <w:pPr>
        <w:pStyle w:val="BodyCopyNEW"/>
        <w:rPr>
          <w:szCs w:val="18"/>
        </w:rPr>
      </w:pPr>
      <w:r w:rsidRPr="00B007F0">
        <w:rPr>
          <w:szCs w:val="18"/>
        </w:rPr>
        <w:t xml:space="preserve">These opportunities are incorporated within </w:t>
      </w:r>
      <w:r w:rsidRPr="00056425">
        <w:rPr>
          <w:b/>
          <w:szCs w:val="18"/>
        </w:rPr>
        <w:t xml:space="preserve">recommendation 3 </w:t>
      </w:r>
      <w:r w:rsidRPr="00056425">
        <w:rPr>
          <w:szCs w:val="18"/>
        </w:rPr>
        <w:t>(refer to</w:t>
      </w:r>
      <w:r w:rsidRPr="00056425">
        <w:rPr>
          <w:b/>
          <w:szCs w:val="18"/>
        </w:rPr>
        <w:t xml:space="preserve"> Section </w:t>
      </w:r>
      <w:r w:rsidR="004467D2">
        <w:rPr>
          <w:b/>
          <w:szCs w:val="18"/>
        </w:rPr>
        <w:fldChar w:fldCharType="begin"/>
      </w:r>
      <w:r w:rsidR="004467D2">
        <w:rPr>
          <w:b/>
          <w:szCs w:val="18"/>
        </w:rPr>
        <w:instrText xml:space="preserve"> REF _Ref56369209 \r \h </w:instrText>
      </w:r>
      <w:r w:rsidR="004467D2">
        <w:rPr>
          <w:b/>
          <w:szCs w:val="18"/>
        </w:rPr>
      </w:r>
      <w:r w:rsidR="004467D2">
        <w:rPr>
          <w:b/>
          <w:szCs w:val="18"/>
        </w:rPr>
        <w:fldChar w:fldCharType="separate"/>
      </w:r>
      <w:r w:rsidR="00E816B8">
        <w:rPr>
          <w:b/>
          <w:szCs w:val="18"/>
        </w:rPr>
        <w:t>6.1.4</w:t>
      </w:r>
      <w:r w:rsidR="004467D2">
        <w:rPr>
          <w:b/>
          <w:szCs w:val="18"/>
        </w:rPr>
        <w:fldChar w:fldCharType="end"/>
      </w:r>
      <w:r w:rsidRPr="00056425">
        <w:rPr>
          <w:szCs w:val="18"/>
        </w:rPr>
        <w:t>)</w:t>
      </w:r>
      <w:r w:rsidRPr="00056425">
        <w:rPr>
          <w:b/>
          <w:szCs w:val="18"/>
        </w:rPr>
        <w:t>.</w:t>
      </w:r>
    </w:p>
    <w:p w14:paraId="6F7B9B62" w14:textId="0D9C0701" w:rsidR="007C15D8" w:rsidRPr="00056425" w:rsidRDefault="007C15D8" w:rsidP="007C15D8">
      <w:pPr>
        <w:pStyle w:val="BodyCopyNEW"/>
        <w:rPr>
          <w:szCs w:val="18"/>
        </w:rPr>
      </w:pPr>
      <w:r w:rsidRPr="00056425">
        <w:rPr>
          <w:szCs w:val="18"/>
        </w:rPr>
        <w:t>Implementing these opportunities may provide more focused assessment on significant issues</w:t>
      </w:r>
      <w:r w:rsidR="00056425">
        <w:rPr>
          <w:szCs w:val="18"/>
        </w:rPr>
        <w:t xml:space="preserve"> </w:t>
      </w:r>
      <w:r w:rsidRPr="00056425">
        <w:rPr>
          <w:szCs w:val="18"/>
        </w:rPr>
        <w:t xml:space="preserve">and reduce uncertainty and rates of EPs requiring resubmission. </w:t>
      </w:r>
    </w:p>
    <w:p w14:paraId="7404F104" w14:textId="77777777" w:rsidR="007C15D8" w:rsidRPr="00056425" w:rsidRDefault="007C15D8" w:rsidP="007C15D8">
      <w:pPr>
        <w:pStyle w:val="BodyCopyNEW"/>
        <w:rPr>
          <w:szCs w:val="18"/>
        </w:rPr>
      </w:pPr>
      <w:r w:rsidRPr="00056425">
        <w:rPr>
          <w:szCs w:val="18"/>
        </w:rPr>
        <w:t xml:space="preserve">Further to this, there may be identified topics of the assessment that are consistently lower risk or level of impact, which could be considered for processes to standardise. NOPSEMA reported to us that there is no </w:t>
      </w:r>
      <w:r w:rsidRPr="00056425">
        <w:rPr>
          <w:color w:val="000000"/>
          <w:szCs w:val="18"/>
          <w:lang w:val="en-GB"/>
        </w:rPr>
        <w:t>single authoritative source of agreed</w:t>
      </w:r>
      <w:r w:rsidRPr="00056425">
        <w:rPr>
          <w:szCs w:val="18"/>
          <w:lang w:val="en-GB"/>
        </w:rPr>
        <w:t xml:space="preserve"> defined </w:t>
      </w:r>
      <w:r w:rsidRPr="00056425">
        <w:rPr>
          <w:szCs w:val="18"/>
          <w:lang w:val="en-GB"/>
        </w:rPr>
        <w:lastRenderedPageBreak/>
        <w:t xml:space="preserve">acceptable levels of environmental </w:t>
      </w:r>
      <w:r w:rsidRPr="00056425">
        <w:rPr>
          <w:color w:val="000000"/>
          <w:szCs w:val="18"/>
          <w:lang w:val="en-GB"/>
        </w:rPr>
        <w:t>impacts and risks, but there are many sources that can be used to provide context and inform definitions. </w:t>
      </w:r>
    </w:p>
    <w:p w14:paraId="7C9F0E60" w14:textId="38CC91E3" w:rsidR="007C15D8" w:rsidRDefault="007C15D8" w:rsidP="007C15D8">
      <w:pPr>
        <w:pStyle w:val="BodyCopyNEW"/>
        <w:rPr>
          <w:szCs w:val="18"/>
        </w:rPr>
      </w:pPr>
      <w:r w:rsidRPr="00056425">
        <w:rPr>
          <w:szCs w:val="18"/>
        </w:rPr>
        <w:t xml:space="preserve">NOPSEMA has also noted that it is the responsibility of titleholders to ensure that they have appropriately qualified and experienced environmental impact assessment practitioners and where necessary, technical specialists, in the same way that it is NOPSEMA’s responsibility to ensure the appropriate qualifications of </w:t>
      </w:r>
      <w:r w:rsidR="0051325D" w:rsidRPr="00056425">
        <w:rPr>
          <w:szCs w:val="18"/>
        </w:rPr>
        <w:t>personnel</w:t>
      </w:r>
      <w:r w:rsidRPr="00056425">
        <w:rPr>
          <w:szCs w:val="18"/>
        </w:rPr>
        <w:t xml:space="preserve">. While we agree with this in principle, it has been reported by stakeholders that even the most experienced environmental impact assessment professionals find the assessment process challenging and carrying a high degree of uncertainty as to NOPSEMA’s expectations. </w:t>
      </w:r>
      <w:r w:rsidR="00877ACB" w:rsidRPr="00056425">
        <w:rPr>
          <w:szCs w:val="18"/>
        </w:rPr>
        <w:t>O</w:t>
      </w:r>
      <w:r w:rsidR="00265BFE" w:rsidRPr="00056425">
        <w:rPr>
          <w:szCs w:val="18"/>
        </w:rPr>
        <w:t xml:space="preserve">ur view is that NOPSEMA and industry must collaborate to address these challenges, which is also </w:t>
      </w:r>
      <w:r w:rsidRPr="00056425">
        <w:rPr>
          <w:szCs w:val="18"/>
        </w:rPr>
        <w:t xml:space="preserve">reflected in </w:t>
      </w:r>
      <w:r w:rsidRPr="00056425">
        <w:rPr>
          <w:b/>
          <w:szCs w:val="18"/>
        </w:rPr>
        <w:t xml:space="preserve">recommendation 3 </w:t>
      </w:r>
      <w:r w:rsidR="00265BFE" w:rsidRPr="00056425">
        <w:rPr>
          <w:szCs w:val="18"/>
        </w:rPr>
        <w:t>(refer to</w:t>
      </w:r>
      <w:r w:rsidR="00265BFE" w:rsidRPr="00056425">
        <w:rPr>
          <w:b/>
          <w:bCs/>
          <w:szCs w:val="18"/>
        </w:rPr>
        <w:t xml:space="preserve"> </w:t>
      </w:r>
      <w:r w:rsidR="00265BFE" w:rsidRPr="00056425">
        <w:rPr>
          <w:b/>
          <w:szCs w:val="18"/>
        </w:rPr>
        <w:t xml:space="preserve">Section </w:t>
      </w:r>
      <w:r w:rsidR="00EA2368">
        <w:rPr>
          <w:b/>
          <w:szCs w:val="18"/>
        </w:rPr>
        <w:fldChar w:fldCharType="begin"/>
      </w:r>
      <w:r w:rsidR="00EA2368">
        <w:rPr>
          <w:b/>
          <w:szCs w:val="18"/>
        </w:rPr>
        <w:instrText xml:space="preserve"> REF _Ref56369209 \r \h </w:instrText>
      </w:r>
      <w:r w:rsidR="00EA2368">
        <w:rPr>
          <w:b/>
          <w:szCs w:val="18"/>
        </w:rPr>
      </w:r>
      <w:r w:rsidR="00EA2368">
        <w:rPr>
          <w:b/>
          <w:szCs w:val="18"/>
        </w:rPr>
        <w:fldChar w:fldCharType="separate"/>
      </w:r>
      <w:r w:rsidR="00E816B8">
        <w:rPr>
          <w:b/>
          <w:szCs w:val="18"/>
        </w:rPr>
        <w:t>6.1.4</w:t>
      </w:r>
      <w:r w:rsidR="00EA2368">
        <w:rPr>
          <w:b/>
          <w:szCs w:val="18"/>
        </w:rPr>
        <w:fldChar w:fldCharType="end"/>
      </w:r>
      <w:r w:rsidR="00265BFE" w:rsidRPr="00056425">
        <w:rPr>
          <w:szCs w:val="18"/>
        </w:rPr>
        <w:t>)</w:t>
      </w:r>
      <w:r w:rsidR="00265BFE" w:rsidRPr="00EA2368">
        <w:rPr>
          <w:szCs w:val="18"/>
        </w:rPr>
        <w:t>.</w:t>
      </w:r>
      <w:r w:rsidRPr="00B007F0">
        <w:rPr>
          <w:b/>
          <w:szCs w:val="18"/>
        </w:rPr>
        <w:t xml:space="preserve"> </w:t>
      </w:r>
    </w:p>
    <w:p w14:paraId="7CF776AD" w14:textId="77777777" w:rsidR="007C15D8" w:rsidRDefault="007C15D8" w:rsidP="007C15D8">
      <w:pPr>
        <w:pStyle w:val="BodyCopyNEW"/>
        <w:rPr>
          <w:szCs w:val="18"/>
        </w:rPr>
      </w:pPr>
      <w:r>
        <w:rPr>
          <w:szCs w:val="18"/>
        </w:rPr>
        <w:t xml:space="preserve">NOPSEMA noted in the review </w:t>
      </w:r>
      <w:r>
        <w:rPr>
          <w:szCs w:val="18"/>
          <w:lang w:val="en-GB"/>
        </w:rPr>
        <w:t>that their assessment system affords industry an opportunity to make their case based on particular activity circumstances for why potential impacts are considered acceptable. They raised that the alternative is a very high</w:t>
      </w:r>
      <w:r w:rsidRPr="00B007F0">
        <w:rPr>
          <w:szCs w:val="18"/>
          <w:lang w:val="en-GB"/>
        </w:rPr>
        <w:t xml:space="preserve"> </w:t>
      </w:r>
      <w:r>
        <w:rPr>
          <w:szCs w:val="18"/>
          <w:lang w:val="en-GB"/>
        </w:rPr>
        <w:t>level of prescription relating to acceptable levels of impact which presents other challenges. We consider there are some instances when prescribed criteria are established prior to the submission of an EP may result in increased certainty and consistency.</w:t>
      </w:r>
    </w:p>
    <w:tbl>
      <w:tblPr>
        <w:tblStyle w:val="TableGrid"/>
        <w:tblW w:w="0" w:type="auto"/>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265BFE" w:rsidRPr="00733441" w14:paraId="19A80506" w14:textId="77777777" w:rsidTr="00144BA2">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3C90CA27" w14:textId="77777777" w:rsidR="00265BFE" w:rsidRPr="00733441" w:rsidRDefault="00265BFE" w:rsidP="00144BA2">
            <w:pPr>
              <w:pStyle w:val="TableHeadingLeft"/>
            </w:pPr>
            <w:r w:rsidRPr="00733441">
              <w:t>Recommendation</w:t>
            </w:r>
            <w:r>
              <w:t xml:space="preserve"> EPBC-R-4</w:t>
            </w:r>
          </w:p>
        </w:tc>
      </w:tr>
      <w:tr w:rsidR="00265BFE" w:rsidRPr="00733441" w14:paraId="281E8716" w14:textId="77777777" w:rsidTr="00144BA2">
        <w:tc>
          <w:tcPr>
            <w:tcW w:w="9864" w:type="dxa"/>
            <w:tcBorders>
              <w:bottom w:val="nil"/>
            </w:tcBorders>
            <w:shd w:val="clear" w:color="auto" w:fill="F2F2F2" w:themeFill="background1" w:themeFillShade="F2"/>
          </w:tcPr>
          <w:p w14:paraId="5DD57C43" w14:textId="77777777" w:rsidR="00265BFE" w:rsidRPr="00BE23B8" w:rsidRDefault="00265BFE" w:rsidP="00144BA2">
            <w:pPr>
              <w:pStyle w:val="BodyCopyNEW"/>
              <w:rPr>
                <w:szCs w:val="18"/>
                <w:lang w:val="en-GB"/>
              </w:rPr>
            </w:pPr>
            <w:r w:rsidRPr="00BE23B8">
              <w:rPr>
                <w:szCs w:val="18"/>
                <w:lang w:val="en-GB"/>
              </w:rPr>
              <w:t>NOPSEMA</w:t>
            </w:r>
            <w:r>
              <w:rPr>
                <w:szCs w:val="18"/>
                <w:lang w:val="en-GB"/>
              </w:rPr>
              <w:t>,</w:t>
            </w:r>
            <w:r w:rsidRPr="00BE23B8">
              <w:rPr>
                <w:szCs w:val="18"/>
                <w:lang w:val="en-GB"/>
              </w:rPr>
              <w:t xml:space="preserve"> in consultation with DAWE</w:t>
            </w:r>
            <w:r>
              <w:rPr>
                <w:szCs w:val="18"/>
                <w:lang w:val="en-GB"/>
              </w:rPr>
              <w:t>,</w:t>
            </w:r>
            <w:r w:rsidRPr="00BE23B8">
              <w:rPr>
                <w:szCs w:val="18"/>
                <w:lang w:val="en-GB"/>
              </w:rPr>
              <w:t xml:space="preserve"> should agree acceptable levels on particular sensitive receptors, or within a significant location (such as a BIA). This could support an outcome to improve cumulative impact assessments on key species at certain locations.</w:t>
            </w:r>
          </w:p>
          <w:p w14:paraId="620D024F" w14:textId="77777777" w:rsidR="00265BFE" w:rsidRPr="005E7A26" w:rsidRDefault="00265BFE" w:rsidP="00144BA2">
            <w:pPr>
              <w:pStyle w:val="BodyCopyNEW"/>
              <w:rPr>
                <w:color w:val="FF0000"/>
              </w:rPr>
            </w:pPr>
            <w:r w:rsidRPr="00BE23B8">
              <w:rPr>
                <w:szCs w:val="18"/>
                <w:lang w:val="en-GB"/>
              </w:rPr>
              <w:t xml:space="preserve">This recommendation should be read in conjunction with </w:t>
            </w:r>
            <w:r w:rsidRPr="00153E2D">
              <w:rPr>
                <w:b/>
                <w:bCs/>
                <w:szCs w:val="18"/>
                <w:lang w:val="en-GB"/>
              </w:rPr>
              <w:t>recommendation EPBC-R-2</w:t>
            </w:r>
            <w:r w:rsidRPr="00153E2D">
              <w:rPr>
                <w:szCs w:val="18"/>
                <w:lang w:val="en-GB"/>
              </w:rPr>
              <w:t>.</w:t>
            </w:r>
          </w:p>
        </w:tc>
      </w:tr>
    </w:tbl>
    <w:p w14:paraId="09DD16DB" w14:textId="77777777" w:rsidR="0064296F" w:rsidRPr="00D45F86" w:rsidRDefault="0064296F" w:rsidP="0064296F">
      <w:pPr>
        <w:pStyle w:val="Heading4"/>
        <w:rPr>
          <w:i/>
        </w:rPr>
      </w:pPr>
      <w:r w:rsidRPr="0064296F">
        <w:t>Stakeholder</w:t>
      </w:r>
      <w:r w:rsidRPr="00D45F86">
        <w:t xml:space="preserve"> perspectives regarding NOPSEMA’s environment assessments </w:t>
      </w:r>
    </w:p>
    <w:p w14:paraId="01C298C5" w14:textId="77777777" w:rsidR="0064296F" w:rsidRDefault="0064296F" w:rsidP="0064296F">
      <w:pPr>
        <w:pStyle w:val="Heading3NoNumber"/>
      </w:pPr>
      <w:r>
        <w:t>Stakeholders have</w:t>
      </w:r>
      <w:r w:rsidRPr="00CE1A0F">
        <w:t xml:space="preserve"> concerns with the </w:t>
      </w:r>
      <w:r>
        <w:t>complexity of</w:t>
      </w:r>
      <w:r w:rsidRPr="00CE1A0F">
        <w:t xml:space="preserve"> permissioning documents, prescription in NOPSEMA’s approach</w:t>
      </w:r>
      <w:r>
        <w:t>,</w:t>
      </w:r>
      <w:r w:rsidRPr="00CE1A0F">
        <w:t xml:space="preserve"> and level of effort in the process </w:t>
      </w:r>
    </w:p>
    <w:p w14:paraId="2EC6083C" w14:textId="66129FD7" w:rsidR="0064296F" w:rsidRDefault="0064296F" w:rsidP="0064296F">
      <w:pPr>
        <w:pStyle w:val="BodyCopyNEW"/>
        <w:rPr>
          <w:szCs w:val="18"/>
        </w:rPr>
      </w:pPr>
      <w:r w:rsidRPr="00B007F0">
        <w:rPr>
          <w:szCs w:val="18"/>
        </w:rPr>
        <w:t xml:space="preserve">Feedback from industry and other stakeholders noted NOPSEMA’s requirements for increasingly complex and lengthy EPs. Stakeholders provided feedback that NOPSEMA’s assessment processes are perceived to have become lengthier, more resource intensive and requiring greater coordination across permissioning documents. </w:t>
      </w:r>
      <w:r w:rsidR="00475791">
        <w:rPr>
          <w:szCs w:val="18"/>
        </w:rPr>
        <w:t>For example, o</w:t>
      </w:r>
      <w:r w:rsidRPr="00B007F0">
        <w:rPr>
          <w:szCs w:val="18"/>
        </w:rPr>
        <w:t>nly 21% of stakeholders we surveyed agreed that the level of effort in demonstrating acceptability with regard to environmental impacts and risks was reasonable.</w:t>
      </w:r>
      <w:r w:rsidR="00B943CF">
        <w:rPr>
          <w:szCs w:val="18"/>
        </w:rPr>
        <w:t xml:space="preserve"> </w:t>
      </w:r>
      <w:r w:rsidR="00B943CF" w:rsidRPr="00B943CF">
        <w:rPr>
          <w:szCs w:val="18"/>
        </w:rPr>
        <w:t>Specific feedback was provided on Recovery Plans including information lacking specificity and not</w:t>
      </w:r>
      <w:r w:rsidR="00890AAC">
        <w:rPr>
          <w:szCs w:val="18"/>
        </w:rPr>
        <w:t xml:space="preserve"> being</w:t>
      </w:r>
      <w:r w:rsidR="00B943CF" w:rsidRPr="00B943CF">
        <w:rPr>
          <w:szCs w:val="18"/>
        </w:rPr>
        <w:t xml:space="preserve"> fit for purpose for the industry being regulated. As DAWE has responsibility for Recovery Plans, this is an area where collaboration </w:t>
      </w:r>
      <w:r w:rsidR="00890AAC">
        <w:rPr>
          <w:szCs w:val="18"/>
        </w:rPr>
        <w:t>would</w:t>
      </w:r>
      <w:r w:rsidR="00B943CF" w:rsidRPr="00B943CF">
        <w:rPr>
          <w:szCs w:val="18"/>
        </w:rPr>
        <w:t xml:space="preserve"> be required to further </w:t>
      </w:r>
      <w:r w:rsidR="00890AAC">
        <w:rPr>
          <w:szCs w:val="18"/>
        </w:rPr>
        <w:t>enable</w:t>
      </w:r>
      <w:r w:rsidR="00B943CF" w:rsidRPr="00B943CF">
        <w:rPr>
          <w:szCs w:val="18"/>
        </w:rPr>
        <w:t xml:space="preserve"> continuous improvement.</w:t>
      </w:r>
    </w:p>
    <w:p w14:paraId="7811B605" w14:textId="3D28B33E" w:rsidR="0091531E" w:rsidRDefault="0091531E" w:rsidP="0091531E">
      <w:pPr>
        <w:pStyle w:val="BodyCopyNEW"/>
        <w:rPr>
          <w:szCs w:val="18"/>
        </w:rPr>
      </w:pPr>
      <w:r w:rsidRPr="00B007F0">
        <w:rPr>
          <w:szCs w:val="18"/>
        </w:rPr>
        <w:t xml:space="preserve">Please see </w:t>
      </w:r>
      <w:bookmarkStart w:id="213" w:name="_Hlk58954808"/>
      <w:r w:rsidRPr="00276A29">
        <w:rPr>
          <w:b/>
        </w:rPr>
        <w:t xml:space="preserve">Section </w:t>
      </w:r>
      <w:r w:rsidRPr="00276A29">
        <w:rPr>
          <w:b/>
        </w:rPr>
        <w:fldChar w:fldCharType="begin"/>
      </w:r>
      <w:r w:rsidRPr="00276A29">
        <w:rPr>
          <w:b/>
        </w:rPr>
        <w:instrText xml:space="preserve"> REF _Ref55978299 \r \h  \* MERGEFORMAT </w:instrText>
      </w:r>
      <w:r w:rsidRPr="00276A29">
        <w:rPr>
          <w:b/>
        </w:rPr>
      </w:r>
      <w:r w:rsidRPr="00276A29">
        <w:rPr>
          <w:b/>
        </w:rPr>
        <w:fldChar w:fldCharType="separate"/>
      </w:r>
      <w:r w:rsidR="00E816B8">
        <w:rPr>
          <w:b/>
        </w:rPr>
        <w:t>6</w:t>
      </w:r>
      <w:r w:rsidRPr="00276A29">
        <w:rPr>
          <w:b/>
        </w:rPr>
        <w:fldChar w:fldCharType="end"/>
      </w:r>
      <w:r w:rsidRPr="00B007F0">
        <w:rPr>
          <w:b/>
          <w:bCs/>
          <w:szCs w:val="18"/>
        </w:rPr>
        <w:t xml:space="preserve"> </w:t>
      </w:r>
      <w:bookmarkEnd w:id="213"/>
      <w:r>
        <w:rPr>
          <w:szCs w:val="18"/>
        </w:rPr>
        <w:t>for a detailed assessment</w:t>
      </w:r>
      <w:r w:rsidRPr="00B007F0">
        <w:rPr>
          <w:szCs w:val="18"/>
        </w:rPr>
        <w:t xml:space="preserve"> on </w:t>
      </w:r>
      <w:r>
        <w:rPr>
          <w:szCs w:val="18"/>
        </w:rPr>
        <w:t xml:space="preserve">all </w:t>
      </w:r>
      <w:r w:rsidRPr="00B007F0">
        <w:rPr>
          <w:szCs w:val="18"/>
        </w:rPr>
        <w:t>permissioning documents</w:t>
      </w:r>
      <w:r>
        <w:rPr>
          <w:szCs w:val="18"/>
        </w:rPr>
        <w:t xml:space="preserve"> (i.e. EPs, safety cases and well operation management plans)</w:t>
      </w:r>
      <w:r w:rsidR="00866EDB" w:rsidRPr="00866EDB">
        <w:rPr>
          <w:rStyle w:val="FootnoteReference"/>
          <w:szCs w:val="18"/>
        </w:rPr>
        <w:t xml:space="preserve"> </w:t>
      </w:r>
      <w:r w:rsidR="00866EDB">
        <w:rPr>
          <w:rStyle w:val="FootnoteReference"/>
          <w:szCs w:val="18"/>
        </w:rPr>
        <w:footnoteReference w:id="96"/>
      </w:r>
      <w:r>
        <w:rPr>
          <w:szCs w:val="18"/>
        </w:rPr>
        <w:t xml:space="preserve">. </w:t>
      </w:r>
      <w:r w:rsidR="00682AA9">
        <w:rPr>
          <w:szCs w:val="18"/>
        </w:rPr>
        <w:t>The challenges with permissioning documents cut across all permissioning documents, not just EPs, and must be addressed in a collaborative manner by NOPSEMA and industry.</w:t>
      </w:r>
    </w:p>
    <w:p w14:paraId="2AFC86FD" w14:textId="3F1383C9" w:rsidR="007C15D8" w:rsidRDefault="00EA40B2" w:rsidP="0068769E">
      <w:pPr>
        <w:pStyle w:val="Heading4"/>
      </w:pPr>
      <w:r>
        <w:t>Looking forward: o</w:t>
      </w:r>
      <w:r w:rsidR="007C15D8">
        <w:t xml:space="preserve">pportunities for improvement </w:t>
      </w:r>
    </w:p>
    <w:p w14:paraId="34D36DA1" w14:textId="0EC73C0F" w:rsidR="007C15D8" w:rsidRDefault="007C15D8" w:rsidP="007C15D8">
      <w:pPr>
        <w:pStyle w:val="Heading3NoNumber"/>
      </w:pPr>
      <w:r>
        <w:t xml:space="preserve">The </w:t>
      </w:r>
      <w:r w:rsidR="00961B1D" w:rsidRPr="00961B1D">
        <w:t>National Conservation Values Atlas</w:t>
      </w:r>
      <w:r w:rsidR="00961B1D" w:rsidRPr="00961B1D" w:rsidDel="00961B1D">
        <w:t xml:space="preserve"> </w:t>
      </w:r>
      <w:r w:rsidR="00693BB3">
        <w:t xml:space="preserve">is </w:t>
      </w:r>
      <w:r>
        <w:t>a valuable resource in environmental assessments and consistency with other databases and Recovery Plans should be an area of focus</w:t>
      </w:r>
    </w:p>
    <w:p w14:paraId="2E218B89" w14:textId="2CB7647A" w:rsidR="007C15D8" w:rsidRPr="00B007F0" w:rsidRDefault="007C15D8" w:rsidP="007C15D8">
      <w:pPr>
        <w:pStyle w:val="BodyCopyNEW"/>
        <w:rPr>
          <w:szCs w:val="18"/>
        </w:rPr>
      </w:pPr>
      <w:r w:rsidRPr="00B007F0">
        <w:rPr>
          <w:szCs w:val="18"/>
        </w:rPr>
        <w:t xml:space="preserve">NOPSEMA refers </w:t>
      </w:r>
      <w:r w:rsidR="00682AA9">
        <w:rPr>
          <w:szCs w:val="18"/>
        </w:rPr>
        <w:t>titleholders</w:t>
      </w:r>
      <w:r w:rsidRPr="00B007F0">
        <w:rPr>
          <w:szCs w:val="18"/>
        </w:rPr>
        <w:t xml:space="preserve"> to the </w:t>
      </w:r>
      <w:r w:rsidR="005E60D0">
        <w:rPr>
          <w:szCs w:val="18"/>
        </w:rPr>
        <w:t>NCVA</w:t>
      </w:r>
      <w:r w:rsidRPr="00B007F0">
        <w:rPr>
          <w:szCs w:val="18"/>
        </w:rPr>
        <w:t>, which is an interactive web-based tool designed to support implementation of the Marine Bioregional Plans</w:t>
      </w:r>
      <w:r w:rsidR="00866EDB" w:rsidRPr="00B007F0">
        <w:rPr>
          <w:rStyle w:val="FootnoteReference"/>
          <w:sz w:val="18"/>
          <w:szCs w:val="18"/>
        </w:rPr>
        <w:footnoteReference w:id="97"/>
      </w:r>
      <w:r w:rsidRPr="00B007F0">
        <w:rPr>
          <w:szCs w:val="18"/>
        </w:rPr>
        <w:t>. The</w:t>
      </w:r>
      <w:r w:rsidRPr="00B007F0" w:rsidDel="005E60D0">
        <w:rPr>
          <w:szCs w:val="18"/>
        </w:rPr>
        <w:t xml:space="preserve"> </w:t>
      </w:r>
      <w:r w:rsidR="005E60D0">
        <w:rPr>
          <w:szCs w:val="18"/>
        </w:rPr>
        <w:t>NCVA</w:t>
      </w:r>
      <w:r w:rsidRPr="00B007F0">
        <w:rPr>
          <w:szCs w:val="18"/>
        </w:rPr>
        <w:t xml:space="preserve"> incorporates national data on the marine environment as well as specific information on the locations of important marine habitats, ecological features, known breeding and feeding areas for protected species and other conservation values in the marine regions. </w:t>
      </w:r>
      <w:r>
        <w:rPr>
          <w:szCs w:val="18"/>
        </w:rPr>
        <w:t>This is one source of publicly available information that NOPSEMA advises industry to use as part of the EP preparation where it is relevant for a proposed activity.</w:t>
      </w:r>
    </w:p>
    <w:p w14:paraId="57F2DCA3" w14:textId="3026213E" w:rsidR="007C15D8" w:rsidRPr="00B007F0" w:rsidRDefault="007C15D8" w:rsidP="007C15D8">
      <w:pPr>
        <w:pStyle w:val="BodyCopyNEW"/>
        <w:rPr>
          <w:szCs w:val="18"/>
        </w:rPr>
      </w:pPr>
      <w:r w:rsidRPr="00B007F0">
        <w:rPr>
          <w:szCs w:val="18"/>
        </w:rPr>
        <w:t xml:space="preserve">The </w:t>
      </w:r>
      <w:r w:rsidR="005E60D0">
        <w:rPr>
          <w:szCs w:val="18"/>
        </w:rPr>
        <w:t>NCVA</w:t>
      </w:r>
      <w:r w:rsidR="005E60D0" w:rsidRPr="00B007F0">
        <w:rPr>
          <w:szCs w:val="18"/>
        </w:rPr>
        <w:t xml:space="preserve"> </w:t>
      </w:r>
      <w:r w:rsidRPr="00B007F0">
        <w:rPr>
          <w:szCs w:val="18"/>
        </w:rPr>
        <w:t xml:space="preserve">is described as presenting </w:t>
      </w:r>
      <w:r w:rsidRPr="00B007F0">
        <w:rPr>
          <w:i/>
          <w:iCs/>
          <w:szCs w:val="18"/>
        </w:rPr>
        <w:t>‘an interactive information base for all of Australia’s marine regions. It is a source of data for people who wish to undertake new ocean-based developments as well as providing information for anyone who has a responsibility or interest in conserving marine habitats and species</w:t>
      </w:r>
      <w:r w:rsidR="00866EDB" w:rsidRPr="00B007F0">
        <w:rPr>
          <w:rStyle w:val="FootnoteReference"/>
          <w:i/>
          <w:iCs/>
          <w:sz w:val="18"/>
          <w:szCs w:val="18"/>
        </w:rPr>
        <w:footnoteReference w:id="98"/>
      </w:r>
      <w:r w:rsidRPr="00B007F0">
        <w:rPr>
          <w:i/>
          <w:iCs/>
          <w:szCs w:val="18"/>
        </w:rPr>
        <w:t>.</w:t>
      </w:r>
      <w:r w:rsidRPr="00B007F0">
        <w:rPr>
          <w:szCs w:val="18"/>
        </w:rPr>
        <w:t xml:space="preserve">’ We understand from DAWE that the </w:t>
      </w:r>
      <w:r w:rsidR="005E60D0">
        <w:rPr>
          <w:szCs w:val="18"/>
        </w:rPr>
        <w:t>NCVA</w:t>
      </w:r>
      <w:r w:rsidR="005E60D0" w:rsidRPr="00B007F0">
        <w:rPr>
          <w:szCs w:val="18"/>
        </w:rPr>
        <w:t xml:space="preserve"> </w:t>
      </w:r>
      <w:r w:rsidRPr="00B007F0">
        <w:rPr>
          <w:szCs w:val="18"/>
        </w:rPr>
        <w:t xml:space="preserve">was not intended to be used for environmental </w:t>
      </w:r>
      <w:r>
        <w:rPr>
          <w:szCs w:val="18"/>
        </w:rPr>
        <w:t xml:space="preserve">impact </w:t>
      </w:r>
      <w:r w:rsidRPr="00B007F0">
        <w:rPr>
          <w:szCs w:val="18"/>
        </w:rPr>
        <w:t>assessments</w:t>
      </w:r>
      <w:r>
        <w:rPr>
          <w:szCs w:val="18"/>
        </w:rPr>
        <w:t>, however it is currently the only spatial tool that shows the BIAs so that proponents can locate the BIA in reference to their proposed activities.</w:t>
      </w:r>
    </w:p>
    <w:p w14:paraId="1B073933" w14:textId="7EC2D301" w:rsidR="007C15D8" w:rsidRPr="00B007F0" w:rsidRDefault="007C15D8" w:rsidP="007C15D8">
      <w:pPr>
        <w:pStyle w:val="BodyCopyNEW"/>
        <w:rPr>
          <w:szCs w:val="18"/>
        </w:rPr>
      </w:pPr>
      <w:r w:rsidRPr="00B007F0">
        <w:rPr>
          <w:szCs w:val="18"/>
        </w:rPr>
        <w:lastRenderedPageBreak/>
        <w:t xml:space="preserve">In the absence of another national database with this coverage and data, this is an important resource for NOPSEMA and proponents (e.g. </w:t>
      </w:r>
      <w:r w:rsidR="0068769E" w:rsidRPr="00B007F0">
        <w:rPr>
          <w:szCs w:val="18"/>
        </w:rPr>
        <w:t xml:space="preserve">please refer to the Pygmy blue whale example </w:t>
      </w:r>
      <w:r w:rsidR="00936282">
        <w:rPr>
          <w:szCs w:val="18"/>
        </w:rPr>
        <w:t>indicated previously</w:t>
      </w:r>
      <w:r w:rsidR="0068769E" w:rsidRPr="00B007F0">
        <w:rPr>
          <w:szCs w:val="18"/>
        </w:rPr>
        <w:t xml:space="preserve"> </w:t>
      </w:r>
      <w:r w:rsidR="0068769E">
        <w:rPr>
          <w:szCs w:val="18"/>
        </w:rPr>
        <w:t>(</w:t>
      </w:r>
      <w:r w:rsidR="00D77386">
        <w:rPr>
          <w:szCs w:val="18"/>
        </w:rPr>
        <w:t>ref. CS006</w:t>
      </w:r>
      <w:r w:rsidR="0068769E" w:rsidRPr="00B007F0">
        <w:rPr>
          <w:szCs w:val="18"/>
        </w:rPr>
        <w:t>)</w:t>
      </w:r>
      <w:r w:rsidR="00447BD5">
        <w:rPr>
          <w:szCs w:val="18"/>
        </w:rPr>
        <w:t>)</w:t>
      </w:r>
      <w:r w:rsidR="0068769E" w:rsidRPr="00B007F0">
        <w:rPr>
          <w:szCs w:val="18"/>
        </w:rPr>
        <w:t>.</w:t>
      </w:r>
    </w:p>
    <w:p w14:paraId="7F2A2726" w14:textId="44224A00" w:rsidR="007C15D8" w:rsidRDefault="007C15D8" w:rsidP="007C15D8">
      <w:pPr>
        <w:pStyle w:val="BodyCopyNEW"/>
        <w:rPr>
          <w:szCs w:val="18"/>
        </w:rPr>
      </w:pPr>
      <w:r>
        <w:rPr>
          <w:szCs w:val="18"/>
        </w:rPr>
        <w:t xml:space="preserve">BIAs were first identified using expert scientific knowledge about </w:t>
      </w:r>
      <w:r w:rsidR="00430D49">
        <w:rPr>
          <w:szCs w:val="18"/>
        </w:rPr>
        <w:t xml:space="preserve">a </w:t>
      </w:r>
      <w:r>
        <w:rPr>
          <w:szCs w:val="18"/>
        </w:rPr>
        <w:t xml:space="preserve">species’ distribution, abundance and behaviour, and how that relates to </w:t>
      </w:r>
      <w:r w:rsidR="00430D49">
        <w:rPr>
          <w:szCs w:val="18"/>
        </w:rPr>
        <w:t xml:space="preserve">the </w:t>
      </w:r>
      <w:r>
        <w:rPr>
          <w:szCs w:val="18"/>
        </w:rPr>
        <w:t xml:space="preserve">marine </w:t>
      </w:r>
      <w:r w:rsidR="00A918E8">
        <w:rPr>
          <w:szCs w:val="18"/>
        </w:rPr>
        <w:t>environments’</w:t>
      </w:r>
      <w:r>
        <w:rPr>
          <w:szCs w:val="18"/>
        </w:rPr>
        <w:t xml:space="preserve"> importan</w:t>
      </w:r>
      <w:r w:rsidR="002264AA">
        <w:rPr>
          <w:szCs w:val="18"/>
        </w:rPr>
        <w:t>ce</w:t>
      </w:r>
      <w:r>
        <w:rPr>
          <w:szCs w:val="18"/>
        </w:rPr>
        <w:t xml:space="preserve"> at particular stage</w:t>
      </w:r>
      <w:r w:rsidR="0087372C">
        <w:rPr>
          <w:szCs w:val="18"/>
        </w:rPr>
        <w:t>s</w:t>
      </w:r>
      <w:r>
        <w:rPr>
          <w:szCs w:val="18"/>
        </w:rPr>
        <w:t xml:space="preserve"> of </w:t>
      </w:r>
      <w:r w:rsidR="00430D49">
        <w:rPr>
          <w:szCs w:val="18"/>
        </w:rPr>
        <w:t>that</w:t>
      </w:r>
      <w:r>
        <w:rPr>
          <w:szCs w:val="18"/>
        </w:rPr>
        <w:t xml:space="preserve"> species</w:t>
      </w:r>
      <w:r w:rsidR="00000A0E">
        <w:rPr>
          <w:szCs w:val="18"/>
        </w:rPr>
        <w:t>’</w:t>
      </w:r>
      <w:r>
        <w:rPr>
          <w:szCs w:val="18"/>
        </w:rPr>
        <w:t xml:space="preserve"> lifecycle. As they are an important consideration in decision-making under the EPBC Act and, by extension, the OPGGS (Environment) Regulations</w:t>
      </w:r>
      <w:r w:rsidR="002264AA">
        <w:rPr>
          <w:szCs w:val="18"/>
        </w:rPr>
        <w:t>,</w:t>
      </w:r>
      <w:r>
        <w:rPr>
          <w:szCs w:val="18"/>
        </w:rPr>
        <w:t xml:space="preserve"> BIA’s location and other information should be kept up to date with the latest available knowledge.</w:t>
      </w:r>
    </w:p>
    <w:p w14:paraId="0F2CE3E7" w14:textId="37EAB163" w:rsidR="007C15D8" w:rsidRDefault="007C15D8" w:rsidP="007C15D8">
      <w:pPr>
        <w:pStyle w:val="BodyCopyNEW"/>
        <w:rPr>
          <w:szCs w:val="18"/>
        </w:rPr>
      </w:pPr>
      <w:r>
        <w:rPr>
          <w:szCs w:val="18"/>
        </w:rPr>
        <w:t xml:space="preserve">However, NOPSEMA indicated that there is some </w:t>
      </w:r>
      <w:r w:rsidR="00CB5CAD">
        <w:rPr>
          <w:szCs w:val="18"/>
        </w:rPr>
        <w:t xml:space="preserve">inconsistency within the NCVA and between the NCVA and other </w:t>
      </w:r>
      <w:r>
        <w:rPr>
          <w:szCs w:val="18"/>
        </w:rPr>
        <w:t xml:space="preserve">data sources held by DAWE. For example, the layers in the </w:t>
      </w:r>
      <w:r w:rsidR="005E60D0">
        <w:rPr>
          <w:szCs w:val="18"/>
        </w:rPr>
        <w:t xml:space="preserve">NCVA </w:t>
      </w:r>
      <w:r>
        <w:rPr>
          <w:szCs w:val="18"/>
        </w:rPr>
        <w:t xml:space="preserve">may not align with a threatened species Recovery Plan. While there are caveats in the </w:t>
      </w:r>
      <w:r w:rsidR="005E60D0">
        <w:rPr>
          <w:szCs w:val="18"/>
        </w:rPr>
        <w:t xml:space="preserve">NCVA </w:t>
      </w:r>
      <w:r>
        <w:rPr>
          <w:szCs w:val="18"/>
        </w:rPr>
        <w:t xml:space="preserve">application stating that it relates to BIA and not species distribution data, this can lead to confusion and complexity for titleholders and decision makers. NOPSEMA considered that the </w:t>
      </w:r>
      <w:r w:rsidR="005E60D0">
        <w:rPr>
          <w:szCs w:val="18"/>
        </w:rPr>
        <w:t xml:space="preserve">NCVA </w:t>
      </w:r>
      <w:r>
        <w:rPr>
          <w:szCs w:val="18"/>
        </w:rPr>
        <w:t xml:space="preserve">could become even more authoritative if it could also hold external, peer reviewed data. We also understand from NOPSEMA that the </w:t>
      </w:r>
      <w:r w:rsidR="005E60D0">
        <w:rPr>
          <w:szCs w:val="18"/>
        </w:rPr>
        <w:t xml:space="preserve">NCVA </w:t>
      </w:r>
      <w:r>
        <w:rPr>
          <w:szCs w:val="18"/>
        </w:rPr>
        <w:t>may not be continued in its current form due to the migration of relevant data to the “Digital Environmental Assessment Program” (</w:t>
      </w:r>
      <w:r>
        <w:rPr>
          <w:b/>
          <w:bCs/>
          <w:szCs w:val="18"/>
        </w:rPr>
        <w:t>DEAP</w:t>
      </w:r>
      <w:r>
        <w:rPr>
          <w:szCs w:val="18"/>
        </w:rPr>
        <w:t xml:space="preserve">). </w:t>
      </w:r>
    </w:p>
    <w:p w14:paraId="482FDB93" w14:textId="44329A0D" w:rsidR="007C15D8" w:rsidRDefault="007C15D8" w:rsidP="007C15D8">
      <w:pPr>
        <w:pStyle w:val="BodyCopyNEW"/>
        <w:rPr>
          <w:szCs w:val="18"/>
        </w:rPr>
      </w:pPr>
      <w:r>
        <w:rPr>
          <w:szCs w:val="18"/>
        </w:rPr>
        <w:t>The</w:t>
      </w:r>
      <w:r w:rsidDel="003C3C9B">
        <w:rPr>
          <w:szCs w:val="18"/>
        </w:rPr>
        <w:t xml:space="preserve"> </w:t>
      </w:r>
      <w:r w:rsidR="003C3C9B">
        <w:rPr>
          <w:szCs w:val="18"/>
        </w:rPr>
        <w:t>NCVA</w:t>
      </w:r>
      <w:r>
        <w:rPr>
          <w:szCs w:val="18"/>
        </w:rPr>
        <w:t xml:space="preserve"> is an important resource, and we recommend that it is upgraded to be able to be utilised in environmental assessments, and that the information (e.g. from new threatened species plans) is updated as close to real time as possible.</w:t>
      </w:r>
      <w:r w:rsidR="0068769E" w:rsidRPr="00B007F0">
        <w:rPr>
          <w:szCs w:val="18"/>
        </w:rPr>
        <w:t xml:space="preserve"> </w:t>
      </w:r>
    </w:p>
    <w:tbl>
      <w:tblPr>
        <w:tblStyle w:val="TableGrid"/>
        <w:tblW w:w="0" w:type="auto"/>
        <w:tblBorders>
          <w:bottom w:val="single" w:sz="4" w:space="0" w:color="0076A8"/>
        </w:tblBorders>
        <w:tblCellMar>
          <w:top w:w="57" w:type="dxa"/>
          <w:left w:w="57" w:type="dxa"/>
          <w:bottom w:w="57" w:type="dxa"/>
          <w:right w:w="57" w:type="dxa"/>
        </w:tblCellMar>
        <w:tblLook w:val="04A0" w:firstRow="1" w:lastRow="0" w:firstColumn="1" w:lastColumn="0" w:noHBand="0" w:noVBand="1"/>
      </w:tblPr>
      <w:tblGrid>
        <w:gridCol w:w="9864"/>
      </w:tblGrid>
      <w:tr w:rsidR="0068769E" w:rsidRPr="00733441" w14:paraId="0D105930" w14:textId="77777777" w:rsidTr="00144BA2">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6F077B41" w14:textId="77777777" w:rsidR="0068769E" w:rsidRPr="00733441" w:rsidRDefault="0068769E" w:rsidP="00144BA2">
            <w:pPr>
              <w:pStyle w:val="TableHeadingLeft"/>
            </w:pPr>
            <w:r w:rsidRPr="00733441">
              <w:t>Recommendation</w:t>
            </w:r>
            <w:r>
              <w:t xml:space="preserve"> EPBC-R-5</w:t>
            </w:r>
          </w:p>
        </w:tc>
      </w:tr>
      <w:tr w:rsidR="00703852" w:rsidRPr="00733441" w14:paraId="20F1CA7E" w14:textId="77777777" w:rsidTr="00144BA2">
        <w:tc>
          <w:tcPr>
            <w:tcW w:w="9864" w:type="dxa"/>
            <w:tcBorders>
              <w:bottom w:val="nil"/>
            </w:tcBorders>
            <w:shd w:val="clear" w:color="auto" w:fill="F2F2F2" w:themeFill="background1" w:themeFillShade="F2"/>
          </w:tcPr>
          <w:p w14:paraId="473A418E" w14:textId="0F1A6CDD" w:rsidR="00703852" w:rsidRPr="00B007F0" w:rsidRDefault="00703852" w:rsidP="00703852">
            <w:pPr>
              <w:pStyle w:val="BodyCopyNEW"/>
              <w:rPr>
                <w:color w:val="FF0000"/>
                <w:szCs w:val="18"/>
              </w:rPr>
            </w:pPr>
            <w:r w:rsidRPr="00F346F5">
              <w:rPr>
                <w:color w:val="000000"/>
                <w:lang w:val="en-GB"/>
              </w:rPr>
              <w:t xml:space="preserve">DAWE, in consultation with NOPSEMA, should focus on ensuring Recovery Plans that are relevant to the offshore petroleum industry are unambiguous, contain contemporary information and fit for purpose. Further, DAWE, in consultation with NOPSEMA should upgrade interactive IT tools such as the </w:t>
            </w:r>
            <w:r w:rsidRPr="00703852">
              <w:rPr>
                <w:color w:val="000000"/>
                <w:lang w:val="en-GB"/>
              </w:rPr>
              <w:t>NCVA</w:t>
            </w:r>
            <w:r w:rsidRPr="00F346F5">
              <w:rPr>
                <w:color w:val="000000"/>
                <w:lang w:val="en-GB"/>
              </w:rPr>
              <w:t xml:space="preserve"> (or a subsequent platform with relevant data) to be consistent with marine threatened species Recovery Plans. Information in those tools should be updated close to real time when the Recovery Plans are made or amended.</w:t>
            </w:r>
          </w:p>
        </w:tc>
      </w:tr>
    </w:tbl>
    <w:p w14:paraId="655EB2BB" w14:textId="31E8BE15" w:rsidR="00EA40B2" w:rsidRDefault="00EA40B2" w:rsidP="00EA40B2">
      <w:pPr>
        <w:pStyle w:val="Heading3NoNumber"/>
      </w:pPr>
      <w:r>
        <w:t xml:space="preserve">Stakeholders identified a number of risks and trends </w:t>
      </w:r>
      <w:r w:rsidR="0057658E">
        <w:t>of relevance for NOPSEMA’s regulation of environment matters</w:t>
      </w:r>
    </w:p>
    <w:p w14:paraId="57E408BF" w14:textId="0FB672CC" w:rsidR="00EA40B2" w:rsidRPr="00B007F0" w:rsidRDefault="00EA40B2" w:rsidP="00EA40B2">
      <w:pPr>
        <w:pStyle w:val="BodyCopyNEW"/>
        <w:rPr>
          <w:szCs w:val="18"/>
        </w:rPr>
      </w:pPr>
      <w:r w:rsidRPr="00B007F0">
        <w:rPr>
          <w:szCs w:val="18"/>
        </w:rPr>
        <w:t xml:space="preserve">With a view to the future, key risks and trends identified by stakeholders in relation to the environment were: </w:t>
      </w:r>
    </w:p>
    <w:p w14:paraId="62305F80" w14:textId="4A15F8DD" w:rsidR="00EA40B2" w:rsidRPr="00B007F0" w:rsidRDefault="00EA40B2" w:rsidP="000950C7">
      <w:pPr>
        <w:pStyle w:val="BodycopyNEW0"/>
        <w:numPr>
          <w:ilvl w:val="0"/>
          <w:numId w:val="23"/>
        </w:numPr>
        <w:ind w:left="378"/>
        <w:rPr>
          <w:szCs w:val="18"/>
        </w:rPr>
      </w:pPr>
      <w:r w:rsidRPr="000950C7">
        <w:rPr>
          <w:rFonts w:cs="Calibri Light"/>
          <w:szCs w:val="18"/>
        </w:rPr>
        <w:t>Climate</w:t>
      </w:r>
      <w:r w:rsidRPr="00B007F0">
        <w:rPr>
          <w:szCs w:val="18"/>
        </w:rPr>
        <w:t xml:space="preserve"> change and increasing pressure to </w:t>
      </w:r>
      <w:r w:rsidR="00D64CA3">
        <w:rPr>
          <w:szCs w:val="18"/>
        </w:rPr>
        <w:t>transition to lower carbon emissions</w:t>
      </w:r>
    </w:p>
    <w:p w14:paraId="74CCA2B7" w14:textId="77777777" w:rsidR="00EA40B2" w:rsidRPr="00B007F0" w:rsidRDefault="00EA40B2" w:rsidP="000950C7">
      <w:pPr>
        <w:pStyle w:val="BodycopyNEW0"/>
        <w:numPr>
          <w:ilvl w:val="0"/>
          <w:numId w:val="23"/>
        </w:numPr>
        <w:ind w:left="378"/>
        <w:rPr>
          <w:szCs w:val="18"/>
        </w:rPr>
      </w:pPr>
      <w:r w:rsidRPr="000950C7">
        <w:rPr>
          <w:rFonts w:cs="Calibri Light"/>
          <w:szCs w:val="18"/>
        </w:rPr>
        <w:t>Alternative</w:t>
      </w:r>
      <w:r w:rsidRPr="00B007F0">
        <w:rPr>
          <w:szCs w:val="18"/>
        </w:rPr>
        <w:t xml:space="preserve"> offshore energy solutions </w:t>
      </w:r>
    </w:p>
    <w:p w14:paraId="698B31ED" w14:textId="77777777" w:rsidR="00EA40B2" w:rsidRPr="00B007F0" w:rsidRDefault="00EA40B2" w:rsidP="000950C7">
      <w:pPr>
        <w:pStyle w:val="BodycopyNEW0"/>
        <w:numPr>
          <w:ilvl w:val="0"/>
          <w:numId w:val="23"/>
        </w:numPr>
        <w:ind w:left="378"/>
        <w:rPr>
          <w:szCs w:val="18"/>
        </w:rPr>
      </w:pPr>
      <w:r w:rsidRPr="000950C7">
        <w:rPr>
          <w:rFonts w:cs="Calibri Light"/>
          <w:szCs w:val="18"/>
        </w:rPr>
        <w:t>Decommissioning</w:t>
      </w:r>
      <w:r w:rsidRPr="00B007F0">
        <w:rPr>
          <w:szCs w:val="18"/>
        </w:rPr>
        <w:t xml:space="preserve"> impacts on the environment </w:t>
      </w:r>
    </w:p>
    <w:p w14:paraId="1C073D39" w14:textId="77777777" w:rsidR="00EA40B2" w:rsidRPr="00B007F0" w:rsidRDefault="00EA40B2" w:rsidP="000950C7">
      <w:pPr>
        <w:pStyle w:val="BodycopyNEW0"/>
        <w:numPr>
          <w:ilvl w:val="0"/>
          <w:numId w:val="23"/>
        </w:numPr>
        <w:ind w:left="378"/>
        <w:rPr>
          <w:szCs w:val="18"/>
        </w:rPr>
      </w:pPr>
      <w:r w:rsidRPr="000950C7">
        <w:rPr>
          <w:rFonts w:cs="Calibri Light"/>
          <w:szCs w:val="18"/>
        </w:rPr>
        <w:t>Potential</w:t>
      </w:r>
      <w:r w:rsidRPr="00B007F0">
        <w:rPr>
          <w:szCs w:val="18"/>
        </w:rPr>
        <w:t xml:space="preserve"> risks from seismic activity.</w:t>
      </w:r>
    </w:p>
    <w:p w14:paraId="5CC46B4D" w14:textId="77777777" w:rsidR="00EA40B2" w:rsidRPr="00D96FD8" w:rsidRDefault="00EA40B2" w:rsidP="00EA40B2">
      <w:pPr>
        <w:pStyle w:val="BodyCopyNEW"/>
        <w:rPr>
          <w:szCs w:val="18"/>
        </w:rPr>
      </w:pPr>
      <w:r w:rsidRPr="00B007F0">
        <w:rPr>
          <w:szCs w:val="18"/>
        </w:rPr>
        <w:t xml:space="preserve">Drivers for </w:t>
      </w:r>
      <w:r w:rsidRPr="00D96FD8">
        <w:rPr>
          <w:szCs w:val="18"/>
        </w:rPr>
        <w:t xml:space="preserve">these risks </w:t>
      </w:r>
      <w:r w:rsidRPr="00D96FD8">
        <w:rPr>
          <w:rStyle w:val="CommentReference"/>
          <w:sz w:val="18"/>
          <w:szCs w:val="18"/>
        </w:rPr>
        <w:t>were stated by stakeholders to be</w:t>
      </w:r>
      <w:r w:rsidRPr="00D96FD8">
        <w:rPr>
          <w:szCs w:val="18"/>
        </w:rPr>
        <w:t>:</w:t>
      </w:r>
    </w:p>
    <w:p w14:paraId="765560A1" w14:textId="77777777" w:rsidR="00EA40B2" w:rsidRPr="00B007F0" w:rsidRDefault="00EA40B2" w:rsidP="000950C7">
      <w:pPr>
        <w:pStyle w:val="BodycopyNEW0"/>
        <w:numPr>
          <w:ilvl w:val="0"/>
          <w:numId w:val="23"/>
        </w:numPr>
        <w:ind w:left="378"/>
        <w:rPr>
          <w:szCs w:val="18"/>
        </w:rPr>
      </w:pPr>
      <w:r w:rsidRPr="00D96FD8">
        <w:rPr>
          <w:szCs w:val="18"/>
        </w:rPr>
        <w:t xml:space="preserve">A </w:t>
      </w:r>
      <w:r w:rsidRPr="000950C7">
        <w:rPr>
          <w:rFonts w:cs="Calibri Light"/>
          <w:szCs w:val="18"/>
        </w:rPr>
        <w:t>lack</w:t>
      </w:r>
      <w:r w:rsidRPr="00D96FD8">
        <w:rPr>
          <w:szCs w:val="18"/>
        </w:rPr>
        <w:t xml:space="preserve"> of agreement on ALARP and ‘acceptability’ criteria between stakeholder</w:t>
      </w:r>
      <w:r w:rsidRPr="00B007F0">
        <w:rPr>
          <w:szCs w:val="18"/>
        </w:rPr>
        <w:t xml:space="preserve"> groups </w:t>
      </w:r>
    </w:p>
    <w:p w14:paraId="446903C3" w14:textId="77777777" w:rsidR="00EA40B2" w:rsidRPr="00B007F0" w:rsidRDefault="00EA40B2" w:rsidP="000950C7">
      <w:pPr>
        <w:pStyle w:val="BodycopyNEW0"/>
        <w:numPr>
          <w:ilvl w:val="0"/>
          <w:numId w:val="23"/>
        </w:numPr>
        <w:ind w:left="378"/>
        <w:rPr>
          <w:szCs w:val="18"/>
        </w:rPr>
      </w:pPr>
      <w:r w:rsidRPr="000950C7">
        <w:rPr>
          <w:rFonts w:cs="Calibri Light"/>
          <w:szCs w:val="18"/>
        </w:rPr>
        <w:t>Societal</w:t>
      </w:r>
      <w:r w:rsidRPr="00B007F0">
        <w:rPr>
          <w:szCs w:val="18"/>
        </w:rPr>
        <w:t xml:space="preserve"> expectations for a low carbon future </w:t>
      </w:r>
    </w:p>
    <w:p w14:paraId="0BC232AC" w14:textId="77777777" w:rsidR="00EA40B2" w:rsidRPr="00B007F0" w:rsidRDefault="00EA40B2" w:rsidP="000950C7">
      <w:pPr>
        <w:pStyle w:val="BodycopyNEW0"/>
        <w:numPr>
          <w:ilvl w:val="0"/>
          <w:numId w:val="23"/>
        </w:numPr>
        <w:ind w:left="378"/>
        <w:rPr>
          <w:szCs w:val="18"/>
        </w:rPr>
      </w:pPr>
      <w:r w:rsidRPr="000950C7">
        <w:rPr>
          <w:rFonts w:cs="Calibri Light"/>
          <w:szCs w:val="18"/>
        </w:rPr>
        <w:t>Societal</w:t>
      </w:r>
      <w:r w:rsidRPr="00B007F0">
        <w:rPr>
          <w:szCs w:val="18"/>
        </w:rPr>
        <w:t xml:space="preserve"> acceptance of petroleum activities.</w:t>
      </w:r>
    </w:p>
    <w:p w14:paraId="341EBA5D" w14:textId="77777777" w:rsidR="00EA40B2" w:rsidRPr="00B007F0" w:rsidRDefault="00EA40B2" w:rsidP="00EA40B2">
      <w:pPr>
        <w:pStyle w:val="BodyCopyNEW"/>
        <w:rPr>
          <w:szCs w:val="18"/>
        </w:rPr>
      </w:pPr>
      <w:r w:rsidRPr="00B007F0">
        <w:rPr>
          <w:szCs w:val="18"/>
        </w:rPr>
        <w:t>Stakeholders viewed the implications of these drivers as:</w:t>
      </w:r>
    </w:p>
    <w:p w14:paraId="19E05F60" w14:textId="77777777" w:rsidR="00EA40B2" w:rsidRPr="00B007F0" w:rsidRDefault="00EA40B2" w:rsidP="000950C7">
      <w:pPr>
        <w:pStyle w:val="BodycopyNEW0"/>
        <w:numPr>
          <w:ilvl w:val="0"/>
          <w:numId w:val="23"/>
        </w:numPr>
        <w:ind w:left="378"/>
        <w:rPr>
          <w:szCs w:val="18"/>
        </w:rPr>
      </w:pPr>
      <w:r w:rsidRPr="000950C7">
        <w:rPr>
          <w:rFonts w:cs="Calibri Light"/>
          <w:szCs w:val="18"/>
        </w:rPr>
        <w:t>Leading</w:t>
      </w:r>
      <w:r w:rsidRPr="00B007F0">
        <w:rPr>
          <w:szCs w:val="18"/>
        </w:rPr>
        <w:t xml:space="preserve"> to controversy, including policy gaps regarding how the industry can reduce emissions </w:t>
      </w:r>
    </w:p>
    <w:p w14:paraId="4FB79454" w14:textId="77777777" w:rsidR="00EA40B2" w:rsidRPr="00B007F0" w:rsidRDefault="00EA40B2" w:rsidP="000950C7">
      <w:pPr>
        <w:pStyle w:val="BodycopyNEW0"/>
        <w:numPr>
          <w:ilvl w:val="0"/>
          <w:numId w:val="23"/>
        </w:numPr>
        <w:ind w:left="378"/>
        <w:rPr>
          <w:szCs w:val="18"/>
        </w:rPr>
      </w:pPr>
      <w:r w:rsidRPr="000950C7">
        <w:rPr>
          <w:rFonts w:cs="Calibri Light"/>
          <w:szCs w:val="18"/>
        </w:rPr>
        <w:t>Potential</w:t>
      </w:r>
      <w:r w:rsidRPr="00B007F0">
        <w:rPr>
          <w:szCs w:val="18"/>
        </w:rPr>
        <w:t xml:space="preserve"> reputational damage to industry and delays to projects.</w:t>
      </w:r>
    </w:p>
    <w:p w14:paraId="50C24C08" w14:textId="77777777" w:rsidR="00EA40B2" w:rsidRPr="00B007F0" w:rsidRDefault="00EA40B2" w:rsidP="00EA40B2">
      <w:pPr>
        <w:pStyle w:val="BodyCopyNEW"/>
        <w:rPr>
          <w:szCs w:val="18"/>
        </w:rPr>
      </w:pPr>
      <w:r w:rsidRPr="00B007F0">
        <w:rPr>
          <w:szCs w:val="18"/>
        </w:rPr>
        <w:t xml:space="preserve">Views from stakeholders as to how NOPSEMA could more effectively respond to risks and trends included: </w:t>
      </w:r>
    </w:p>
    <w:p w14:paraId="48EBAFDD" w14:textId="766DEE41" w:rsidR="00EA40B2" w:rsidRPr="00B007F0" w:rsidRDefault="00EA40B2" w:rsidP="000950C7">
      <w:pPr>
        <w:pStyle w:val="BodycopyNEW0"/>
        <w:numPr>
          <w:ilvl w:val="0"/>
          <w:numId w:val="23"/>
        </w:numPr>
        <w:ind w:left="378"/>
        <w:rPr>
          <w:szCs w:val="18"/>
        </w:rPr>
      </w:pPr>
      <w:r w:rsidRPr="00B007F0">
        <w:rPr>
          <w:szCs w:val="18"/>
        </w:rPr>
        <w:t xml:space="preserve">Addressing scientific research gaps or inconsistency between advice (for instance, by introducing a compulsory levy for research </w:t>
      </w:r>
      <w:r w:rsidRPr="000950C7">
        <w:rPr>
          <w:rFonts w:cs="Calibri Light"/>
          <w:szCs w:val="18"/>
        </w:rPr>
        <w:t>funding</w:t>
      </w:r>
      <w:r w:rsidR="004861E2">
        <w:rPr>
          <w:szCs w:val="18"/>
        </w:rPr>
        <w:t>)</w:t>
      </w:r>
    </w:p>
    <w:p w14:paraId="14C68CC7" w14:textId="77777777" w:rsidR="00EA40B2" w:rsidRPr="00B007F0" w:rsidRDefault="00EA40B2" w:rsidP="000950C7">
      <w:pPr>
        <w:pStyle w:val="BodycopyNEW0"/>
        <w:numPr>
          <w:ilvl w:val="0"/>
          <w:numId w:val="23"/>
        </w:numPr>
        <w:ind w:left="378"/>
        <w:rPr>
          <w:szCs w:val="18"/>
        </w:rPr>
      </w:pPr>
      <w:r w:rsidRPr="00B007F0">
        <w:rPr>
          <w:szCs w:val="18"/>
        </w:rPr>
        <w:t xml:space="preserve">Working on additional guidance for what ‘ALARP’ means, and communicate it more effectively with industry and other </w:t>
      </w:r>
      <w:r w:rsidRPr="000950C7">
        <w:rPr>
          <w:rFonts w:cs="Calibri Light"/>
          <w:szCs w:val="18"/>
        </w:rPr>
        <w:t>stakeholder</w:t>
      </w:r>
      <w:r w:rsidRPr="00B007F0">
        <w:rPr>
          <w:szCs w:val="18"/>
        </w:rPr>
        <w:t xml:space="preserve"> groups </w:t>
      </w:r>
    </w:p>
    <w:p w14:paraId="20135974" w14:textId="77777777" w:rsidR="00EA40B2" w:rsidRPr="00B007F0" w:rsidRDefault="00EA40B2" w:rsidP="000950C7">
      <w:pPr>
        <w:pStyle w:val="BodycopyNEW0"/>
        <w:numPr>
          <w:ilvl w:val="0"/>
          <w:numId w:val="23"/>
        </w:numPr>
        <w:ind w:left="378"/>
        <w:rPr>
          <w:szCs w:val="18"/>
        </w:rPr>
      </w:pPr>
      <w:r w:rsidRPr="00B007F0">
        <w:rPr>
          <w:szCs w:val="18"/>
        </w:rPr>
        <w:t xml:space="preserve">Considering how issues with stakeholder fatigue could be addressed or how engagement could be more targeted and appropriate (e.g. </w:t>
      </w:r>
      <w:r w:rsidRPr="000950C7">
        <w:rPr>
          <w:rFonts w:cs="Calibri Light"/>
          <w:szCs w:val="18"/>
        </w:rPr>
        <w:t>relating</w:t>
      </w:r>
      <w:r w:rsidRPr="00B007F0">
        <w:rPr>
          <w:szCs w:val="18"/>
        </w:rPr>
        <w:t xml:space="preserve"> to EPs which can be in the order of 500 pages) </w:t>
      </w:r>
    </w:p>
    <w:p w14:paraId="215B8298" w14:textId="77777777" w:rsidR="00EA40B2" w:rsidRPr="00B007F0" w:rsidRDefault="00EA40B2" w:rsidP="000950C7">
      <w:pPr>
        <w:pStyle w:val="BodycopyNEW0"/>
        <w:numPr>
          <w:ilvl w:val="0"/>
          <w:numId w:val="23"/>
        </w:numPr>
        <w:ind w:left="378"/>
        <w:rPr>
          <w:szCs w:val="18"/>
        </w:rPr>
      </w:pPr>
      <w:r w:rsidRPr="00B007F0">
        <w:rPr>
          <w:szCs w:val="18"/>
        </w:rPr>
        <w:t xml:space="preserve">Increasing coordination in seeking stakeholder feedback (e.g. coordination between feedback on draft EPs where they </w:t>
      </w:r>
      <w:r w:rsidRPr="000950C7">
        <w:rPr>
          <w:rFonts w:cs="Calibri Light"/>
          <w:szCs w:val="18"/>
        </w:rPr>
        <w:t>geographically</w:t>
      </w:r>
      <w:r w:rsidRPr="00B007F0">
        <w:rPr>
          <w:szCs w:val="18"/>
        </w:rPr>
        <w:t xml:space="preserve"> overlap)</w:t>
      </w:r>
    </w:p>
    <w:p w14:paraId="4EADD7AF" w14:textId="77777777" w:rsidR="00EA40B2" w:rsidRPr="00B007F0" w:rsidRDefault="00EA40B2" w:rsidP="000950C7">
      <w:pPr>
        <w:pStyle w:val="BodycopyNEW0"/>
        <w:numPr>
          <w:ilvl w:val="0"/>
          <w:numId w:val="23"/>
        </w:numPr>
        <w:ind w:left="378"/>
        <w:rPr>
          <w:szCs w:val="18"/>
        </w:rPr>
      </w:pPr>
      <w:r w:rsidRPr="000950C7">
        <w:rPr>
          <w:rFonts w:cs="Calibri Light"/>
          <w:szCs w:val="18"/>
        </w:rPr>
        <w:lastRenderedPageBreak/>
        <w:t>Considering</w:t>
      </w:r>
      <w:r w:rsidRPr="00B007F0">
        <w:rPr>
          <w:szCs w:val="18"/>
        </w:rPr>
        <w:t xml:space="preserve"> the role of regulators in a low carbon future. Some stakeholders thought NOPSEMA should take a policy position on controversial issues, which as we note through our report, is not a role of the regulator</w:t>
      </w:r>
    </w:p>
    <w:p w14:paraId="61A1A4BC" w14:textId="578B2279" w:rsidR="00EA40B2" w:rsidRPr="00EA40B2" w:rsidRDefault="00EA40B2" w:rsidP="000950C7">
      <w:pPr>
        <w:pStyle w:val="BodycopyNEW0"/>
        <w:numPr>
          <w:ilvl w:val="0"/>
          <w:numId w:val="23"/>
        </w:numPr>
        <w:ind w:left="378"/>
        <w:rPr>
          <w:szCs w:val="18"/>
        </w:rPr>
      </w:pPr>
      <w:r w:rsidRPr="00B007F0">
        <w:rPr>
          <w:szCs w:val="18"/>
        </w:rPr>
        <w:t xml:space="preserve">Continuing to improve transparency and consider issues from the perspective of adjacent industries (e.g. other users of the </w:t>
      </w:r>
      <w:r w:rsidRPr="000950C7">
        <w:rPr>
          <w:rFonts w:cs="Calibri Light"/>
          <w:szCs w:val="18"/>
        </w:rPr>
        <w:t>marine</w:t>
      </w:r>
      <w:r w:rsidRPr="00B007F0">
        <w:rPr>
          <w:szCs w:val="18"/>
        </w:rPr>
        <w:t xml:space="preserve"> estate, such as fisheries).</w:t>
      </w:r>
    </w:p>
    <w:p w14:paraId="4C58B00E" w14:textId="6200D822" w:rsidR="00F54A63" w:rsidRDefault="006F3301" w:rsidP="00E177A8">
      <w:pPr>
        <w:pStyle w:val="Heading1"/>
        <w:ind w:right="5044"/>
      </w:pPr>
      <w:bookmarkStart w:id="214" w:name="_Toc63970849"/>
      <w:bookmarkStart w:id="215" w:name="_Ref63975462"/>
      <w:bookmarkStart w:id="216" w:name="_Ref63975827"/>
      <w:bookmarkStart w:id="217" w:name="_Ref63975870"/>
      <w:bookmarkStart w:id="218" w:name="_Ref63976321"/>
      <w:bookmarkStart w:id="219" w:name="_Ref63978242"/>
      <w:r w:rsidRPr="00DA0585">
        <w:rPr>
          <w:noProof/>
          <w:lang w:eastAsia="en-AU"/>
        </w:rPr>
        <w:lastRenderedPageBreak/>
        <w:drawing>
          <wp:anchor distT="0" distB="0" distL="114300" distR="114300" simplePos="0" relativeHeight="251658250" behindDoc="1" locked="0" layoutInCell="1" allowOverlap="1" wp14:anchorId="3164EF57" wp14:editId="58893BE3">
            <wp:simplePos x="0" y="0"/>
            <wp:positionH relativeFrom="page">
              <wp:posOffset>0</wp:posOffset>
            </wp:positionH>
            <wp:positionV relativeFrom="paragraph">
              <wp:posOffset>-1258239</wp:posOffset>
            </wp:positionV>
            <wp:extent cx="7559675" cy="10693400"/>
            <wp:effectExtent l="0" t="0" r="3175" b="0"/>
            <wp:wrapNone/>
            <wp:docPr id="1179951905" name="Picture 117995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r w:rsidR="00F54A63">
        <w:t xml:space="preserve">Strategic matters: Looking to the future </w:t>
      </w:r>
      <w:r w:rsidR="00A06337">
        <w:t>industry</w:t>
      </w:r>
      <w:bookmarkEnd w:id="184"/>
      <w:bookmarkEnd w:id="214"/>
      <w:bookmarkEnd w:id="215"/>
      <w:bookmarkEnd w:id="216"/>
      <w:bookmarkEnd w:id="217"/>
      <w:bookmarkEnd w:id="218"/>
      <w:bookmarkEnd w:id="219"/>
      <w:r w:rsidR="00F54A63">
        <w:t xml:space="preserve"> </w:t>
      </w:r>
    </w:p>
    <w:p w14:paraId="1AF1AC7B" w14:textId="77777777" w:rsidR="00E177A8" w:rsidRDefault="00E177A8" w:rsidP="00E177A8">
      <w:pPr>
        <w:pStyle w:val="Keypoints"/>
      </w:pPr>
    </w:p>
    <w:p w14:paraId="1DB2FC98" w14:textId="77777777" w:rsidR="008B2735" w:rsidRDefault="008B2735" w:rsidP="00E177A8">
      <w:pPr>
        <w:pStyle w:val="Keypoints"/>
      </w:pPr>
    </w:p>
    <w:p w14:paraId="4472A2A8" w14:textId="62FEBF61" w:rsidR="00E177A8" w:rsidRPr="00A706C4" w:rsidRDefault="00E177A8" w:rsidP="00E177A8">
      <w:pPr>
        <w:pStyle w:val="Keypoints"/>
      </w:pPr>
      <w:r w:rsidRPr="00A706C4">
        <w:t>Key points</w:t>
      </w:r>
    </w:p>
    <w:tbl>
      <w:tblPr>
        <w:tblStyle w:val="TableGrid"/>
        <w:tblW w:w="10065" w:type="dxa"/>
        <w:tblCellMar>
          <w:top w:w="57" w:type="dxa"/>
          <w:left w:w="57" w:type="dxa"/>
          <w:bottom w:w="57" w:type="dxa"/>
          <w:right w:w="170" w:type="dxa"/>
        </w:tblCellMar>
        <w:tblLook w:val="04A0" w:firstRow="1" w:lastRow="0" w:firstColumn="1" w:lastColumn="0" w:noHBand="0" w:noVBand="1"/>
      </w:tblPr>
      <w:tblGrid>
        <w:gridCol w:w="4536"/>
        <w:gridCol w:w="5529"/>
      </w:tblGrid>
      <w:tr w:rsidR="00E177A8" w14:paraId="7B0E266E" w14:textId="77777777" w:rsidTr="008A6C0D">
        <w:trPr>
          <w:cnfStyle w:val="100000000000" w:firstRow="1" w:lastRow="0" w:firstColumn="0" w:lastColumn="0" w:oddVBand="0" w:evenVBand="0" w:oddHBand="0" w:evenHBand="0" w:firstRowFirstColumn="0" w:firstRowLastColumn="0" w:lastRowFirstColumn="0" w:lastRowLastColumn="0"/>
        </w:trPr>
        <w:tc>
          <w:tcPr>
            <w:tcW w:w="4536" w:type="dxa"/>
            <w:shd w:val="clear" w:color="auto" w:fill="auto"/>
          </w:tcPr>
          <w:p w14:paraId="4C3DA437" w14:textId="4776569C" w:rsidR="00E177A8" w:rsidRPr="00DA0585" w:rsidRDefault="00F13856" w:rsidP="008B2735">
            <w:pPr>
              <w:widowControl w:val="0"/>
              <w:spacing w:after="80"/>
              <w:rPr>
                <w:rFonts w:ascii="Calibri" w:hAnsi="Calibri"/>
                <w:b/>
                <w:bCs/>
                <w:sz w:val="20"/>
                <w:szCs w:val="20"/>
              </w:rPr>
            </w:pPr>
            <w:r w:rsidRPr="00DA0585">
              <w:rPr>
                <w:rFonts w:ascii="Calibri" w:hAnsi="Calibri"/>
                <w:b/>
                <w:bCs/>
                <w:sz w:val="20"/>
                <w:szCs w:val="20"/>
              </w:rPr>
              <w:t>NOPSEMA’s ability to manage decommissioning must meet the needs of the maturing industry</w:t>
            </w:r>
          </w:p>
          <w:p w14:paraId="6699C06B" w14:textId="773E6E2C" w:rsidR="00F13856" w:rsidRPr="00F2700F" w:rsidRDefault="00F13856">
            <w:pPr>
              <w:spacing w:after="120"/>
              <w:rPr>
                <w:rFonts w:ascii="Calibri Light" w:hAnsi="Calibri Light"/>
              </w:rPr>
            </w:pPr>
            <w:r w:rsidRPr="00F2700F">
              <w:rPr>
                <w:rFonts w:ascii="Calibri Light" w:hAnsi="Calibri Light"/>
              </w:rPr>
              <w:t>NOPSEMA will need to ensure capability and capacity is in place to meet the ‘demand’ of the industry</w:t>
            </w:r>
            <w:r w:rsidR="00B715EF" w:rsidRPr="00F2700F">
              <w:rPr>
                <w:rFonts w:ascii="Calibri Light" w:hAnsi="Calibri Light"/>
              </w:rPr>
              <w:t xml:space="preserve"> in relation to decommissioning</w:t>
            </w:r>
            <w:r w:rsidRPr="00F2700F">
              <w:rPr>
                <w:rFonts w:ascii="Calibri Light" w:hAnsi="Calibri Light"/>
              </w:rPr>
              <w:t xml:space="preserve">. A reliable forecast of decommissioning activity should be relied on for management planning. For existing financial </w:t>
            </w:r>
            <w:r w:rsidR="00DC4D78" w:rsidRPr="00F2700F">
              <w:rPr>
                <w:rFonts w:ascii="Calibri Light" w:hAnsi="Calibri Light"/>
              </w:rPr>
              <w:t xml:space="preserve">capacity assurance, NOPSEMA will need to take a staged approach to </w:t>
            </w:r>
            <w:r w:rsidR="00CB53D0" w:rsidRPr="00F2700F">
              <w:rPr>
                <w:rFonts w:ascii="Calibri Light" w:hAnsi="Calibri Light"/>
              </w:rPr>
              <w:t>this program of work. This should be risk</w:t>
            </w:r>
            <w:r w:rsidR="00876E25" w:rsidRPr="00F2700F">
              <w:rPr>
                <w:rFonts w:ascii="Calibri Light" w:hAnsi="Calibri Light"/>
              </w:rPr>
              <w:t>-</w:t>
            </w:r>
            <w:r w:rsidR="00CB53D0" w:rsidRPr="00F2700F">
              <w:rPr>
                <w:rFonts w:ascii="Calibri Light" w:hAnsi="Calibri Light"/>
              </w:rPr>
              <w:t>based</w:t>
            </w:r>
            <w:r w:rsidR="004D09F6" w:rsidRPr="00F2700F">
              <w:rPr>
                <w:rFonts w:ascii="Calibri Light" w:hAnsi="Calibri Light"/>
              </w:rPr>
              <w:t xml:space="preserve"> and consider titleholder financial capacity across </w:t>
            </w:r>
            <w:r w:rsidR="004C3AE3" w:rsidRPr="00F2700F">
              <w:rPr>
                <w:rFonts w:ascii="Calibri Light" w:hAnsi="Calibri Light"/>
              </w:rPr>
              <w:t>the full portfolio of a titleholder’s assets.</w:t>
            </w:r>
          </w:p>
          <w:p w14:paraId="3377AFD3" w14:textId="77777777" w:rsidR="00F8720F" w:rsidRPr="00DA0585" w:rsidRDefault="00F8720F" w:rsidP="00F8720F">
            <w:pPr>
              <w:spacing w:after="120"/>
              <w:rPr>
                <w:rFonts w:ascii="Calibri" w:hAnsi="Calibri"/>
                <w:b/>
                <w:bCs/>
                <w:sz w:val="20"/>
                <w:szCs w:val="20"/>
              </w:rPr>
            </w:pPr>
            <w:r w:rsidRPr="00DA0585">
              <w:rPr>
                <w:rFonts w:ascii="Calibri" w:hAnsi="Calibri"/>
                <w:b/>
                <w:bCs/>
                <w:sz w:val="20"/>
                <w:szCs w:val="20"/>
              </w:rPr>
              <w:t>Exploration of a unified model could be given but governance challenges in managing these purviews must be addressed</w:t>
            </w:r>
          </w:p>
          <w:p w14:paraId="11A0FB29" w14:textId="107072CD" w:rsidR="00F8720F" w:rsidRPr="00F2700F" w:rsidRDefault="00F8720F" w:rsidP="00F8720F">
            <w:pPr>
              <w:spacing w:after="120"/>
              <w:ind w:left="12"/>
              <w:rPr>
                <w:rFonts w:ascii="Calibri Light" w:hAnsi="Calibri Light"/>
              </w:rPr>
            </w:pPr>
            <w:r w:rsidRPr="00F2700F">
              <w:rPr>
                <w:rFonts w:ascii="Calibri Light" w:hAnsi="Calibri Light"/>
              </w:rPr>
              <w:t xml:space="preserve">To manage an increasingly complex and maturing industry, greater collaboration and coordination across the regulatory system is required – as we discuss in relation to the concept of a ‘One Government’ approach </w:t>
            </w:r>
            <w:r w:rsidR="00D91D57" w:rsidRPr="00F2700F">
              <w:rPr>
                <w:rFonts w:ascii="Calibri Light" w:hAnsi="Calibri Light"/>
              </w:rPr>
              <w:t xml:space="preserve">in </w:t>
            </w:r>
            <w:r w:rsidR="008E10F8" w:rsidRPr="008E10F8">
              <w:rPr>
                <w:rFonts w:ascii="Calibri Light" w:hAnsi="Calibri Light"/>
                <w:b/>
                <w:bCs/>
              </w:rPr>
              <w:t xml:space="preserve">Section </w:t>
            </w:r>
            <w:r w:rsidR="00A66AA1">
              <w:rPr>
                <w:rFonts w:ascii="Calibri Light" w:hAnsi="Calibri Light"/>
                <w:b/>
                <w:bCs/>
              </w:rPr>
              <w:fldChar w:fldCharType="begin"/>
            </w:r>
            <w:r w:rsidR="00A66AA1">
              <w:rPr>
                <w:rFonts w:ascii="Calibri Light" w:hAnsi="Calibri Light"/>
                <w:b/>
                <w:bCs/>
              </w:rPr>
              <w:instrText xml:space="preserve"> REF _Ref63329962 \r \h </w:instrText>
            </w:r>
            <w:r w:rsidR="00A66AA1">
              <w:rPr>
                <w:rFonts w:ascii="Calibri Light" w:hAnsi="Calibri Light"/>
                <w:b/>
                <w:bCs/>
              </w:rPr>
            </w:r>
            <w:r w:rsidR="00A66AA1">
              <w:rPr>
                <w:rFonts w:ascii="Calibri Light" w:hAnsi="Calibri Light"/>
                <w:b/>
                <w:bCs/>
              </w:rPr>
              <w:fldChar w:fldCharType="separate"/>
            </w:r>
            <w:r w:rsidR="00E816B8">
              <w:rPr>
                <w:rFonts w:ascii="Calibri Light" w:hAnsi="Calibri Light"/>
                <w:b/>
                <w:bCs/>
              </w:rPr>
              <w:t>9</w:t>
            </w:r>
            <w:r w:rsidR="00A66AA1">
              <w:rPr>
                <w:rFonts w:ascii="Calibri Light" w:hAnsi="Calibri Light"/>
                <w:b/>
                <w:bCs/>
              </w:rPr>
              <w:fldChar w:fldCharType="end"/>
            </w:r>
            <w:r w:rsidRPr="00F2700F">
              <w:rPr>
                <w:rFonts w:ascii="Calibri Light" w:hAnsi="Calibri Light"/>
              </w:rPr>
              <w:t xml:space="preserve">. A natural question is whether the current offshore model (i.e. NOPTA and NOPSEMA as separate entities) remains fit-for-purpose to deliver a cohesive approach to regulation and administration. We have not taken a position on the answer to this question – as it is beyond the scope of our review and requires further analysis – but </w:t>
            </w:r>
            <w:r w:rsidR="00C44021">
              <w:rPr>
                <w:rFonts w:ascii="Calibri Light" w:hAnsi="Calibri Light"/>
              </w:rPr>
              <w:t>there is</w:t>
            </w:r>
            <w:r w:rsidRPr="00F2700F">
              <w:rPr>
                <w:rFonts w:ascii="Calibri Light" w:hAnsi="Calibri Light"/>
              </w:rPr>
              <w:t xml:space="preserve"> merit in the concept being explored further. </w:t>
            </w:r>
          </w:p>
          <w:p w14:paraId="36BA953D" w14:textId="5F332EBB" w:rsidR="00F8720F" w:rsidRPr="00901C7B" w:rsidRDefault="00F8720F" w:rsidP="00901C7B">
            <w:pPr>
              <w:spacing w:after="120"/>
            </w:pPr>
            <w:r w:rsidRPr="00F2700F">
              <w:rPr>
                <w:rFonts w:ascii="Calibri Light" w:hAnsi="Calibri Light"/>
              </w:rPr>
              <w:t xml:space="preserve">NOPTA and NOPSEMA were established as separate entities to avoid actual or perceived conflicts of interest and to ensure there is a distinct separation between the administration and assessment of titles applications (NOPTA), the decision makers (the Joint Authorities), and the regulatory objectives for safety, well integrity and the environment (NOPSEMA). Among other matters, a unified model would need to determine how the independence of regulatory functions from titles administration functions would be maintained. </w:t>
            </w:r>
          </w:p>
        </w:tc>
        <w:tc>
          <w:tcPr>
            <w:tcW w:w="5529" w:type="dxa"/>
            <w:shd w:val="clear" w:color="auto" w:fill="auto"/>
          </w:tcPr>
          <w:p w14:paraId="4D663B1F" w14:textId="13827313" w:rsidR="008B2735" w:rsidRPr="008B2735" w:rsidRDefault="008B2735" w:rsidP="008B2735">
            <w:pPr>
              <w:spacing w:after="80"/>
              <w:rPr>
                <w:rFonts w:ascii="Calibri" w:hAnsi="Calibri"/>
                <w:b/>
                <w:bCs/>
                <w:sz w:val="20"/>
                <w:szCs w:val="20"/>
              </w:rPr>
            </w:pPr>
            <w:r w:rsidRPr="008B2735">
              <w:rPr>
                <w:rFonts w:ascii="Calibri" w:hAnsi="Calibri"/>
                <w:b/>
                <w:bCs/>
                <w:sz w:val="20"/>
                <w:szCs w:val="20"/>
              </w:rPr>
              <w:t xml:space="preserve">The energy transition from non-renewable to renewable sources of energy production will have implications for NOPSEMA </w:t>
            </w:r>
            <w:r w:rsidR="002738BA">
              <w:rPr>
                <w:rFonts w:ascii="Calibri" w:hAnsi="Calibri"/>
                <w:b/>
                <w:bCs/>
                <w:sz w:val="20"/>
                <w:szCs w:val="20"/>
              </w:rPr>
              <w:t>if it takes on a role in this space</w:t>
            </w:r>
            <w:r w:rsidRPr="008B2735">
              <w:rPr>
                <w:rFonts w:ascii="Calibri" w:hAnsi="Calibri"/>
                <w:b/>
                <w:bCs/>
                <w:sz w:val="20"/>
                <w:szCs w:val="20"/>
              </w:rPr>
              <w:t xml:space="preserve"> </w:t>
            </w:r>
          </w:p>
          <w:p w14:paraId="65F6F00C" w14:textId="4BA0768A" w:rsidR="008B2735" w:rsidRPr="00F2700F" w:rsidRDefault="008B2735" w:rsidP="008B2735">
            <w:pPr>
              <w:widowControl w:val="0"/>
              <w:spacing w:after="80"/>
              <w:rPr>
                <w:rFonts w:ascii="Calibri Light" w:hAnsi="Calibri Light"/>
              </w:rPr>
            </w:pPr>
            <w:r w:rsidRPr="00F2700F">
              <w:rPr>
                <w:rFonts w:ascii="Calibri Light" w:hAnsi="Calibri Light"/>
              </w:rPr>
              <w:t xml:space="preserve">NOPSEMA </w:t>
            </w:r>
            <w:r w:rsidR="00824502" w:rsidRPr="00F2700F">
              <w:rPr>
                <w:rFonts w:ascii="Calibri Light" w:hAnsi="Calibri Light"/>
              </w:rPr>
              <w:t>may</w:t>
            </w:r>
            <w:r w:rsidRPr="00F2700F">
              <w:rPr>
                <w:rFonts w:ascii="Calibri Light" w:hAnsi="Calibri Light"/>
              </w:rPr>
              <w:t xml:space="preserve"> </w:t>
            </w:r>
            <w:r w:rsidR="00A67A53" w:rsidRPr="00F2700F">
              <w:rPr>
                <w:rFonts w:ascii="Calibri Light" w:hAnsi="Calibri Light"/>
              </w:rPr>
              <w:t xml:space="preserve">assume </w:t>
            </w:r>
            <w:r w:rsidRPr="00F2700F">
              <w:rPr>
                <w:rFonts w:ascii="Calibri Light" w:hAnsi="Calibri Light"/>
              </w:rPr>
              <w:t>the role of offshore renewables safety and environment regulation</w:t>
            </w:r>
            <w:r w:rsidR="002738BA" w:rsidRPr="00F2700F">
              <w:rPr>
                <w:rFonts w:ascii="Calibri Light" w:hAnsi="Calibri Light"/>
              </w:rPr>
              <w:t xml:space="preserve"> but this is subject to formal agreement by the Government</w:t>
            </w:r>
            <w:r w:rsidRPr="00F2700F">
              <w:rPr>
                <w:rFonts w:ascii="Calibri Light" w:hAnsi="Calibri Light"/>
              </w:rPr>
              <w:t xml:space="preserve">. </w:t>
            </w:r>
          </w:p>
          <w:p w14:paraId="4D63E9C1" w14:textId="77777777" w:rsidR="008B2735" w:rsidRPr="00F2700F" w:rsidRDefault="008B2735" w:rsidP="008B2735">
            <w:pPr>
              <w:widowControl w:val="0"/>
              <w:spacing w:after="80"/>
              <w:rPr>
                <w:rFonts w:ascii="Calibri Light" w:hAnsi="Calibri Light"/>
              </w:rPr>
            </w:pPr>
            <w:r w:rsidRPr="00F2700F">
              <w:rPr>
                <w:rFonts w:ascii="Calibri Light" w:hAnsi="Calibri Light"/>
              </w:rPr>
              <w:t xml:space="preserve">While the addition of offshore renewables to NOPSEMA’s remit is a logical decision, it does present NOPSEMA with several management challenges, including the ability to manage competing and highly complex industries, different sets of technologies, and new and unfamiliar risks. </w:t>
            </w:r>
          </w:p>
          <w:p w14:paraId="07A7AB77" w14:textId="2D7C0722" w:rsidR="00641B36" w:rsidRPr="00F2700F" w:rsidRDefault="00E66F44" w:rsidP="008B2735">
            <w:pPr>
              <w:widowControl w:val="0"/>
              <w:spacing w:after="80"/>
              <w:rPr>
                <w:rFonts w:ascii="Calibri Light" w:hAnsi="Calibri Light"/>
              </w:rPr>
            </w:pPr>
            <w:r w:rsidRPr="00F2700F">
              <w:rPr>
                <w:rFonts w:ascii="Calibri Light" w:hAnsi="Calibri Light"/>
              </w:rPr>
              <w:t xml:space="preserve">Should its remit be expanded, </w:t>
            </w:r>
            <w:r w:rsidR="00641B36" w:rsidRPr="00F2700F">
              <w:rPr>
                <w:rFonts w:ascii="Calibri Light" w:hAnsi="Calibri Light"/>
              </w:rPr>
              <w:t xml:space="preserve">NOPSEMA will need to ensure it appropriately plans to build capabilities, utilising its relationships with regulators internationally (who oversee emergent renewables markets) for </w:t>
            </w:r>
            <w:r w:rsidRPr="00F2700F">
              <w:rPr>
                <w:rFonts w:ascii="Calibri Light" w:hAnsi="Calibri Light"/>
              </w:rPr>
              <w:t xml:space="preserve">identification of </w:t>
            </w:r>
            <w:r w:rsidR="00641B36" w:rsidRPr="00F2700F">
              <w:rPr>
                <w:rFonts w:ascii="Calibri Light" w:hAnsi="Calibri Light"/>
              </w:rPr>
              <w:t>lessons learned.</w:t>
            </w:r>
          </w:p>
          <w:p w14:paraId="1AA9F2EE" w14:textId="2AF61752" w:rsidR="00E66F44" w:rsidRPr="008B2735" w:rsidRDefault="00E66F44" w:rsidP="00E66F44">
            <w:pPr>
              <w:spacing w:after="80"/>
              <w:rPr>
                <w:rFonts w:ascii="Calibri" w:hAnsi="Calibri"/>
                <w:b/>
                <w:bCs/>
                <w:sz w:val="20"/>
                <w:szCs w:val="20"/>
              </w:rPr>
            </w:pPr>
            <w:r w:rsidRPr="008B2735">
              <w:rPr>
                <w:rFonts w:ascii="Calibri" w:hAnsi="Calibri"/>
                <w:b/>
                <w:bCs/>
                <w:sz w:val="20"/>
                <w:szCs w:val="20"/>
              </w:rPr>
              <w:t>NOPSEMA should be given greater access to lead indicator data</w:t>
            </w:r>
            <w:r>
              <w:rPr>
                <w:rFonts w:ascii="Calibri" w:hAnsi="Calibri"/>
                <w:b/>
                <w:bCs/>
                <w:sz w:val="20"/>
                <w:szCs w:val="20"/>
              </w:rPr>
              <w:t xml:space="preserve"> and make use of advanced technologies where it makes sense</w:t>
            </w:r>
          </w:p>
          <w:p w14:paraId="04D95ECB" w14:textId="0A2A69DD" w:rsidR="00E66F44" w:rsidRPr="00F2700F" w:rsidRDefault="00E66F44" w:rsidP="00E66F44">
            <w:pPr>
              <w:widowControl w:val="0"/>
              <w:spacing w:after="80"/>
              <w:rPr>
                <w:rFonts w:ascii="Calibri Light" w:hAnsi="Calibri Light"/>
              </w:rPr>
            </w:pPr>
            <w:r w:rsidRPr="00F2700F">
              <w:rPr>
                <w:rFonts w:ascii="Calibri Light" w:hAnsi="Calibri Light"/>
              </w:rPr>
              <w:t>NOPSEMA is limited in the data and lead indicators it receives, with the majority of data and metrics provided to NOPSEMA by industry relating to lag indicators of performance (e.g. accidents, injuries, or near misses).</w:t>
            </w:r>
          </w:p>
          <w:p w14:paraId="22164C6B" w14:textId="701162C2" w:rsidR="00E66F44" w:rsidRPr="00F2700F" w:rsidRDefault="00C07F60" w:rsidP="00E66F44">
            <w:pPr>
              <w:widowControl w:val="0"/>
              <w:spacing w:after="80"/>
              <w:rPr>
                <w:rFonts w:ascii="Calibri Light" w:hAnsi="Calibri Light"/>
              </w:rPr>
            </w:pPr>
            <w:r>
              <w:rPr>
                <w:rFonts w:ascii="Calibri Light" w:hAnsi="Calibri Light"/>
              </w:rPr>
              <w:t>T</w:t>
            </w:r>
            <w:r w:rsidR="00E66F44" w:rsidRPr="00F2700F">
              <w:rPr>
                <w:rFonts w:ascii="Calibri Light" w:hAnsi="Calibri Light"/>
              </w:rPr>
              <w:t xml:space="preserve">he provision of lead indicators to be an essential aspect to effective regulation, particularly as the industry matures and becomes increasingly complex. </w:t>
            </w:r>
          </w:p>
          <w:p w14:paraId="4C2AA287" w14:textId="65CAA6DD" w:rsidR="00E66F44" w:rsidRPr="00F2700F" w:rsidRDefault="00E66F44" w:rsidP="008B2735">
            <w:pPr>
              <w:widowControl w:val="0"/>
              <w:spacing w:after="80"/>
              <w:rPr>
                <w:rFonts w:ascii="Calibri Light" w:hAnsi="Calibri Light"/>
              </w:rPr>
            </w:pPr>
            <w:r w:rsidRPr="00F2700F">
              <w:rPr>
                <w:rFonts w:ascii="Calibri Light" w:hAnsi="Calibri Light"/>
              </w:rPr>
              <w:t xml:space="preserve">The application of advanced </w:t>
            </w:r>
            <w:r w:rsidR="00526521" w:rsidRPr="00F2700F">
              <w:rPr>
                <w:rFonts w:ascii="Calibri Light" w:hAnsi="Calibri Light"/>
              </w:rPr>
              <w:t xml:space="preserve">technologies </w:t>
            </w:r>
            <w:r w:rsidR="00642B74" w:rsidRPr="00F2700F">
              <w:rPr>
                <w:rFonts w:ascii="Calibri Light" w:hAnsi="Calibri Light"/>
              </w:rPr>
              <w:t xml:space="preserve">(such as advanced analytics or remote operating vehicles) could be used to supplement (but not replace) existing </w:t>
            </w:r>
            <w:r w:rsidR="00545506" w:rsidRPr="00F2700F">
              <w:rPr>
                <w:rFonts w:ascii="Calibri Light" w:hAnsi="Calibri Light"/>
              </w:rPr>
              <w:t>inspections.</w:t>
            </w:r>
          </w:p>
          <w:p w14:paraId="0BE06982" w14:textId="575A4F44" w:rsidR="00E66F44" w:rsidRDefault="00545506" w:rsidP="008B2735">
            <w:pPr>
              <w:widowControl w:val="0"/>
              <w:spacing w:after="80"/>
              <w:rPr>
                <w:rFonts w:ascii="Calibri Light" w:hAnsi="Calibri Light"/>
              </w:rPr>
            </w:pPr>
            <w:r w:rsidRPr="00F2700F">
              <w:rPr>
                <w:rFonts w:ascii="Calibri Light" w:hAnsi="Calibri Light"/>
              </w:rPr>
              <w:t xml:space="preserve">NOPSEMA </w:t>
            </w:r>
            <w:r w:rsidR="00552DD0">
              <w:rPr>
                <w:rFonts w:ascii="Calibri Light" w:hAnsi="Calibri Light"/>
              </w:rPr>
              <w:t>is</w:t>
            </w:r>
            <w:r w:rsidRPr="00F2700F">
              <w:rPr>
                <w:rFonts w:ascii="Calibri Light" w:hAnsi="Calibri Light"/>
              </w:rPr>
              <w:t xml:space="preserve"> encouraged to apply an innovative mindset, even when it may not be possible or prudent to be at the ‘leading edge’ due to the high</w:t>
            </w:r>
            <w:r w:rsidR="00582B78" w:rsidRPr="00F2700F">
              <w:rPr>
                <w:rFonts w:ascii="Calibri Light" w:hAnsi="Calibri Light"/>
              </w:rPr>
              <w:t>-</w:t>
            </w:r>
            <w:r w:rsidRPr="00F2700F">
              <w:rPr>
                <w:rFonts w:ascii="Calibri Light" w:hAnsi="Calibri Light"/>
              </w:rPr>
              <w:t xml:space="preserve">risk nature of the activities </w:t>
            </w:r>
            <w:r w:rsidR="00AC7371" w:rsidRPr="00F2700F">
              <w:rPr>
                <w:rFonts w:ascii="Calibri Light" w:hAnsi="Calibri Light"/>
              </w:rPr>
              <w:t>NOPSEMA</w:t>
            </w:r>
            <w:r w:rsidRPr="00F2700F">
              <w:rPr>
                <w:rFonts w:ascii="Calibri Light" w:hAnsi="Calibri Light"/>
              </w:rPr>
              <w:t xml:space="preserve"> regulates.</w:t>
            </w:r>
          </w:p>
          <w:p w14:paraId="4194EC9D" w14:textId="77777777" w:rsidR="00F2700F" w:rsidRPr="00F2700F" w:rsidRDefault="00F2700F" w:rsidP="008B2735">
            <w:pPr>
              <w:widowControl w:val="0"/>
              <w:spacing w:after="80"/>
              <w:rPr>
                <w:rFonts w:ascii="Calibri Light" w:hAnsi="Calibri Light"/>
              </w:rPr>
            </w:pPr>
          </w:p>
          <w:p w14:paraId="41434B8A" w14:textId="12B071E4" w:rsidR="008B2735" w:rsidRPr="004367F1" w:rsidRDefault="008B2735" w:rsidP="008B2735">
            <w:pPr>
              <w:spacing w:after="120"/>
              <w:rPr>
                <w:rFonts w:ascii="Calibri" w:hAnsi="Calibri" w:cs="Calibri"/>
                <w:b/>
                <w:color w:val="00ABAB"/>
              </w:rPr>
            </w:pPr>
            <w:r w:rsidRPr="004367F1">
              <w:rPr>
                <w:rFonts w:ascii="Calibri" w:hAnsi="Calibri" w:cs="Calibri"/>
                <w:b/>
              </w:rPr>
              <w:t xml:space="preserve">Recommendations: </w:t>
            </w:r>
            <w:r w:rsidR="004367F1">
              <w:rPr>
                <w:rFonts w:ascii="Calibri" w:hAnsi="Calibri" w:cs="Calibri"/>
                <w:b/>
                <w:color w:val="00ABAB"/>
              </w:rPr>
              <w:t>23, 24, 25, 26</w:t>
            </w:r>
          </w:p>
          <w:p w14:paraId="00BD590E" w14:textId="307E9032" w:rsidR="00E177A8" w:rsidRPr="00915DBA" w:rsidRDefault="008B2735" w:rsidP="008B2735">
            <w:pPr>
              <w:spacing w:after="80"/>
              <w:rPr>
                <w:rFonts w:ascii="Calibri Light" w:hAnsi="Calibri Light"/>
                <w:sz w:val="20"/>
                <w:szCs w:val="20"/>
              </w:rPr>
            </w:pPr>
            <w:r w:rsidRPr="004367F1">
              <w:rPr>
                <w:rFonts w:ascii="Calibri" w:hAnsi="Calibri" w:cs="Calibri"/>
                <w:b/>
              </w:rPr>
              <w:t xml:space="preserve">Opportunities: </w:t>
            </w:r>
            <w:r w:rsidR="007F1CE7" w:rsidRPr="004367F1">
              <w:rPr>
                <w:rFonts w:ascii="Calibri" w:hAnsi="Calibri" w:cs="Calibri"/>
                <w:b/>
                <w:color w:val="00ABAB"/>
              </w:rPr>
              <w:t>2</w:t>
            </w:r>
            <w:r w:rsidR="004367F1">
              <w:rPr>
                <w:rFonts w:ascii="Calibri" w:hAnsi="Calibri" w:cs="Calibri"/>
                <w:b/>
                <w:color w:val="00ABAB"/>
              </w:rPr>
              <w:t>1</w:t>
            </w:r>
          </w:p>
        </w:tc>
      </w:tr>
    </w:tbl>
    <w:p w14:paraId="2048693B" w14:textId="6D4CBEB8" w:rsidR="00E177A8" w:rsidRPr="008A6C0D" w:rsidRDefault="0031779C" w:rsidP="008A6C0D">
      <w:pPr>
        <w:spacing w:after="0" w:line="240" w:lineRule="auto"/>
        <w:rPr>
          <w:sz w:val="2"/>
          <w:szCs w:val="2"/>
        </w:rPr>
        <w:sectPr w:rsidR="00E177A8" w:rsidRPr="008A6C0D" w:rsidSect="00A30201">
          <w:headerReference w:type="default" r:id="rId78"/>
          <w:type w:val="continuous"/>
          <w:pgSz w:w="11906" w:h="16838" w:code="9"/>
          <w:pgMar w:top="1985" w:right="1021" w:bottom="1134" w:left="1021" w:header="680" w:footer="425" w:gutter="0"/>
          <w:cols w:space="284"/>
          <w:docGrid w:linePitch="360"/>
        </w:sectPr>
      </w:pPr>
      <w:r w:rsidRPr="008B2735">
        <w:rPr>
          <w:sz w:val="2"/>
          <w:szCs w:val="2"/>
        </w:rPr>
        <w:br w:type="page"/>
      </w:r>
    </w:p>
    <w:p w14:paraId="0166DC09" w14:textId="199C880D" w:rsidR="00F54A63" w:rsidRDefault="00BE2CF0" w:rsidP="000D4CE1">
      <w:pPr>
        <w:pStyle w:val="BodyCopyNEW"/>
      </w:pPr>
      <w:r w:rsidRPr="00BE2CF0">
        <w:lastRenderedPageBreak/>
        <w:t>In this section we look to the future and seek to answer the question of how the facets of Australia’s offshore legislative framework might best position themselves to respond to the key risks and trends we have observed. We draw on our</w:t>
      </w:r>
      <w:r w:rsidR="009128D3">
        <w:t xml:space="preserve"> experience</w:t>
      </w:r>
      <w:r w:rsidR="00D737B9">
        <w:t>, industry knowledge, and</w:t>
      </w:r>
      <w:r w:rsidRPr="00BE2CF0">
        <w:t xml:space="preserve"> findings and observations made across the review to inform these views.</w:t>
      </w:r>
    </w:p>
    <w:p w14:paraId="5A6707E0" w14:textId="360155B2" w:rsidR="009D6FAD" w:rsidRDefault="009D6FAD" w:rsidP="000D4CE1">
      <w:pPr>
        <w:pStyle w:val="BodyCopyNEW"/>
      </w:pPr>
      <w:r>
        <w:t>We begin with a discussion on NOPSEMA’s oversight over a changing industry</w:t>
      </w:r>
      <w:r w:rsidR="005437B2">
        <w:t xml:space="preserve"> – specifically how it relates to decommissioning (</w:t>
      </w:r>
      <w:r w:rsidR="005437B2" w:rsidRPr="00901C7B">
        <w:rPr>
          <w:b/>
          <w:bCs/>
        </w:rPr>
        <w:t xml:space="preserve">subsection </w:t>
      </w:r>
      <w:r w:rsidR="00C951B7">
        <w:rPr>
          <w:b/>
          <w:bCs/>
        </w:rPr>
        <w:fldChar w:fldCharType="begin"/>
      </w:r>
      <w:r w:rsidR="00C951B7">
        <w:rPr>
          <w:b/>
          <w:bCs/>
        </w:rPr>
        <w:instrText xml:space="preserve"> REF _Ref58594910 \r \h </w:instrText>
      </w:r>
      <w:r w:rsidR="00C951B7">
        <w:rPr>
          <w:b/>
          <w:bCs/>
        </w:rPr>
      </w:r>
      <w:r w:rsidR="00C951B7">
        <w:rPr>
          <w:b/>
          <w:bCs/>
        </w:rPr>
        <w:fldChar w:fldCharType="separate"/>
      </w:r>
      <w:r w:rsidR="00E816B8">
        <w:rPr>
          <w:b/>
          <w:bCs/>
        </w:rPr>
        <w:t>12.1</w:t>
      </w:r>
      <w:r w:rsidR="00C951B7">
        <w:rPr>
          <w:b/>
          <w:bCs/>
        </w:rPr>
        <w:fldChar w:fldCharType="end"/>
      </w:r>
      <w:r w:rsidR="00E646BD">
        <w:t>). We then discuss NOPSEMA’s hypothetical role as the offshore renewables regulator and the challenges this might bring (</w:t>
      </w:r>
      <w:r w:rsidR="00E646BD" w:rsidRPr="00901C7B">
        <w:rPr>
          <w:b/>
          <w:bCs/>
        </w:rPr>
        <w:t xml:space="preserve">subsection </w:t>
      </w:r>
      <w:r w:rsidR="00C951B7">
        <w:rPr>
          <w:b/>
          <w:bCs/>
        </w:rPr>
        <w:fldChar w:fldCharType="begin"/>
      </w:r>
      <w:r w:rsidR="00C951B7">
        <w:rPr>
          <w:b/>
          <w:bCs/>
        </w:rPr>
        <w:instrText xml:space="preserve"> REF _Ref58594916 \r \h </w:instrText>
      </w:r>
      <w:r w:rsidR="00C951B7">
        <w:rPr>
          <w:b/>
          <w:bCs/>
        </w:rPr>
      </w:r>
      <w:r w:rsidR="00C951B7">
        <w:rPr>
          <w:b/>
          <w:bCs/>
        </w:rPr>
        <w:fldChar w:fldCharType="separate"/>
      </w:r>
      <w:r w:rsidR="00E816B8">
        <w:rPr>
          <w:b/>
          <w:bCs/>
        </w:rPr>
        <w:t>12.2</w:t>
      </w:r>
      <w:r w:rsidR="00C951B7">
        <w:rPr>
          <w:b/>
          <w:bCs/>
        </w:rPr>
        <w:fldChar w:fldCharType="end"/>
      </w:r>
      <w:r w:rsidR="00E646BD">
        <w:t xml:space="preserve">). Next, </w:t>
      </w:r>
      <w:r w:rsidR="00B9194A">
        <w:t>we discuss whether there is merit considering the bringing together of the administrative and regulatory arms of the offshore legislative framework through</w:t>
      </w:r>
      <w:r w:rsidR="00C951B7">
        <w:t xml:space="preserve"> the incorporation of NOPTA’s functions within NOPSEMA (</w:t>
      </w:r>
      <w:r w:rsidR="00C951B7" w:rsidRPr="00901C7B">
        <w:rPr>
          <w:b/>
          <w:bCs/>
        </w:rPr>
        <w:t xml:space="preserve">subsection </w:t>
      </w:r>
      <w:r w:rsidR="00C951B7">
        <w:rPr>
          <w:b/>
          <w:bCs/>
        </w:rPr>
        <w:fldChar w:fldCharType="begin"/>
      </w:r>
      <w:r w:rsidR="00C951B7">
        <w:rPr>
          <w:b/>
          <w:bCs/>
        </w:rPr>
        <w:instrText xml:space="preserve"> REF _Ref58594921 \r \h </w:instrText>
      </w:r>
      <w:r w:rsidR="00C951B7">
        <w:rPr>
          <w:b/>
          <w:bCs/>
        </w:rPr>
      </w:r>
      <w:r w:rsidR="00C951B7">
        <w:rPr>
          <w:b/>
          <w:bCs/>
        </w:rPr>
        <w:fldChar w:fldCharType="separate"/>
      </w:r>
      <w:r w:rsidR="00E816B8">
        <w:rPr>
          <w:b/>
          <w:bCs/>
        </w:rPr>
        <w:t>12.3</w:t>
      </w:r>
      <w:r w:rsidR="00C951B7">
        <w:rPr>
          <w:b/>
          <w:bCs/>
        </w:rPr>
        <w:fldChar w:fldCharType="end"/>
      </w:r>
      <w:r w:rsidR="00C951B7">
        <w:t>). Finally, we conclude with a look ahead to the ‘future of regulation’ and what opportunities there might be to apply newer technologies to assist in regulatory activities (</w:t>
      </w:r>
      <w:r w:rsidR="00C951B7" w:rsidRPr="00901C7B">
        <w:rPr>
          <w:b/>
          <w:bCs/>
        </w:rPr>
        <w:t xml:space="preserve">subsection </w:t>
      </w:r>
      <w:r w:rsidR="00C951B7">
        <w:rPr>
          <w:b/>
          <w:bCs/>
        </w:rPr>
        <w:fldChar w:fldCharType="begin"/>
      </w:r>
      <w:r w:rsidR="00C951B7">
        <w:rPr>
          <w:b/>
          <w:bCs/>
        </w:rPr>
        <w:instrText xml:space="preserve"> REF _Ref58594926 \r \h </w:instrText>
      </w:r>
      <w:r w:rsidR="00C951B7">
        <w:rPr>
          <w:b/>
          <w:bCs/>
        </w:rPr>
      </w:r>
      <w:r w:rsidR="00C951B7">
        <w:rPr>
          <w:b/>
          <w:bCs/>
        </w:rPr>
        <w:fldChar w:fldCharType="separate"/>
      </w:r>
      <w:r w:rsidR="00E816B8">
        <w:rPr>
          <w:b/>
          <w:bCs/>
        </w:rPr>
        <w:t>12.4</w:t>
      </w:r>
      <w:r w:rsidR="00C951B7">
        <w:rPr>
          <w:b/>
          <w:bCs/>
        </w:rPr>
        <w:fldChar w:fldCharType="end"/>
      </w:r>
      <w:r w:rsidR="00C951B7">
        <w:t>).</w:t>
      </w:r>
    </w:p>
    <w:p w14:paraId="6213FBAA" w14:textId="77777777" w:rsidR="00F54A63" w:rsidRDefault="00F54A63" w:rsidP="00AE2D6E">
      <w:pPr>
        <w:pStyle w:val="Heading2"/>
      </w:pPr>
      <w:bookmarkStart w:id="220" w:name="_Ref58594910"/>
      <w:r>
        <w:t>Overseeing a changing industry</w:t>
      </w:r>
      <w:bookmarkEnd w:id="220"/>
    </w:p>
    <w:p w14:paraId="57A9DCAB" w14:textId="4D40DC12" w:rsidR="00F54A63" w:rsidRPr="00547DEA" w:rsidRDefault="00F54A63" w:rsidP="000D4CE1">
      <w:pPr>
        <w:pStyle w:val="Heading3NoNumber"/>
      </w:pPr>
      <w:r>
        <w:t>NOPSEMA’s abilit</w:t>
      </w:r>
      <w:r w:rsidR="0094180D">
        <w:t>y</w:t>
      </w:r>
      <w:r>
        <w:t xml:space="preserve"> to manage decommissioning must </w:t>
      </w:r>
      <w:r w:rsidR="00505B2D">
        <w:t>meet the needs of the maturing industry</w:t>
      </w:r>
    </w:p>
    <w:p w14:paraId="59D4E733" w14:textId="74502F7C" w:rsidR="00505B2D" w:rsidRDefault="00505B2D" w:rsidP="000D4CE1">
      <w:pPr>
        <w:pStyle w:val="BodyCopyNEW"/>
      </w:pPr>
      <w:r>
        <w:t xml:space="preserve">The 2015 Operational Review </w:t>
      </w:r>
      <w:r w:rsidR="009E264C">
        <w:t>recommended that</w:t>
      </w:r>
      <w:r>
        <w:t xml:space="preserve"> </w:t>
      </w:r>
      <w:r w:rsidR="0059771B" w:rsidRPr="00901C7B">
        <w:rPr>
          <w:i/>
          <w:iCs/>
        </w:rPr>
        <w:t>“</w:t>
      </w:r>
      <w:r w:rsidR="009E264C" w:rsidRPr="00901C7B">
        <w:rPr>
          <w:i/>
          <w:iCs/>
        </w:rPr>
        <w:t xml:space="preserve">NOPSEMA should prepare for increased decommissioning activity in the future by working with the Department of Industry and Science (now </w:t>
      </w:r>
      <w:r w:rsidR="0059771B" w:rsidRPr="00901C7B">
        <w:rPr>
          <w:i/>
          <w:iCs/>
        </w:rPr>
        <w:t>DISER</w:t>
      </w:r>
      <w:r w:rsidR="009E264C" w:rsidRPr="00901C7B">
        <w:rPr>
          <w:i/>
          <w:iCs/>
        </w:rPr>
        <w:t>), industry stakeholders and relevant parties to develop guidance notes on decommissioning</w:t>
      </w:r>
      <w:r w:rsidR="0059771B" w:rsidRPr="00901C7B">
        <w:rPr>
          <w:i/>
          <w:iCs/>
        </w:rPr>
        <w:t>.”</w:t>
      </w:r>
      <w:r w:rsidR="0059771B">
        <w:t xml:space="preserve"> We consider that progress has been made on this </w:t>
      </w:r>
      <w:r w:rsidR="00384744">
        <w:t>recommendation,</w:t>
      </w:r>
      <w:r w:rsidR="0059771B">
        <w:t xml:space="preserve"> but that </w:t>
      </w:r>
      <w:r w:rsidR="006212A1">
        <w:t xml:space="preserve">renewed focus will be required to ensure capabilities across people, process, and technology support NOPSEMA in </w:t>
      </w:r>
      <w:r w:rsidR="00384744">
        <w:t>regulating the risks arising from future decommissioning activities.</w:t>
      </w:r>
    </w:p>
    <w:p w14:paraId="1B5FBBD3" w14:textId="2E08EA4A" w:rsidR="00830BE5" w:rsidRDefault="00F54A63" w:rsidP="000D4CE1">
      <w:pPr>
        <w:pStyle w:val="BodyCopyNEW"/>
      </w:pPr>
      <w:r>
        <w:t>At the time of writing this report, the draft policy framework for offshore decommissioning has not been released</w:t>
      </w:r>
      <w:r w:rsidR="00522F09">
        <w:t xml:space="preserve"> by DISER</w:t>
      </w:r>
      <w:r w:rsidR="00804D8D">
        <w:t xml:space="preserve"> for consultation</w:t>
      </w:r>
      <w:r w:rsidR="00855B45">
        <w:t>. The draft decommissioning framework</w:t>
      </w:r>
      <w:r w:rsidR="00804D8D">
        <w:t xml:space="preserve"> will outline</w:t>
      </w:r>
      <w:r w:rsidR="00855B45">
        <w:t xml:space="preserve"> proposals for</w:t>
      </w:r>
      <w:r w:rsidR="00804D8D">
        <w:t xml:space="preserve"> how decommissioning risks will be managed within the offshore legislative framework. </w:t>
      </w:r>
    </w:p>
    <w:p w14:paraId="2A83740C" w14:textId="1C0A765D" w:rsidR="00F54A63" w:rsidRDefault="00F54A63" w:rsidP="000D4CE1">
      <w:pPr>
        <w:pStyle w:val="BodyCopyNEW"/>
      </w:pPr>
      <w:r>
        <w:t>NOPSEMA</w:t>
      </w:r>
      <w:r w:rsidR="00031E12">
        <w:t>, under its current powers</w:t>
      </w:r>
      <w:r w:rsidR="00026F1A">
        <w:t xml:space="preserve"> and responsibilities</w:t>
      </w:r>
      <w:r w:rsidR="00031E12">
        <w:t xml:space="preserve"> within the OPGGS Act,</w:t>
      </w:r>
      <w:r>
        <w:t xml:space="preserve"> will </w:t>
      </w:r>
      <w:r w:rsidR="00026F1A">
        <w:t xml:space="preserve">at minimum </w:t>
      </w:r>
      <w:r w:rsidR="00843907">
        <w:t xml:space="preserve">undertake </w:t>
      </w:r>
      <w:r w:rsidR="00031E12">
        <w:t>‘</w:t>
      </w:r>
      <w:r w:rsidR="00843907">
        <w:t>financial assurance</w:t>
      </w:r>
      <w:r w:rsidR="00031E12">
        <w:t>’</w:t>
      </w:r>
      <w:r w:rsidR="00843907">
        <w:t xml:space="preserve"> over </w:t>
      </w:r>
      <w:r>
        <w:t xml:space="preserve">a </w:t>
      </w:r>
      <w:r w:rsidR="00804D8D">
        <w:t>titleholder’s</w:t>
      </w:r>
      <w:r>
        <w:t xml:space="preserve"> financial capacity to fund an asset’s whole-of-life costs</w:t>
      </w:r>
      <w:r w:rsidR="00843907">
        <w:t xml:space="preserve"> (including decommissioning activities)</w:t>
      </w:r>
      <w:r>
        <w:t xml:space="preserve">. Where a </w:t>
      </w:r>
      <w:r w:rsidR="00855B45">
        <w:t>title</w:t>
      </w:r>
      <w:r w:rsidR="001003B9">
        <w:t>holder</w:t>
      </w:r>
      <w:r>
        <w:t xml:space="preserve"> </w:t>
      </w:r>
      <w:r w:rsidR="00855B45">
        <w:t xml:space="preserve">is identified to have </w:t>
      </w:r>
      <w:r>
        <w:t xml:space="preserve">insufficient financial capacity, </w:t>
      </w:r>
      <w:r w:rsidR="00855B45">
        <w:t xml:space="preserve">they </w:t>
      </w:r>
      <w:r w:rsidR="00325B40">
        <w:t>would not be able to proceed with</w:t>
      </w:r>
      <w:r w:rsidR="002C7B58">
        <w:t xml:space="preserve"> their proposed activities</w:t>
      </w:r>
      <w:r w:rsidR="00194382">
        <w:t xml:space="preserve"> and</w:t>
      </w:r>
      <w:r w:rsidR="00204F03">
        <w:t>,</w:t>
      </w:r>
      <w:r w:rsidR="00194382">
        <w:t xml:space="preserve"> for existing as</w:t>
      </w:r>
      <w:r w:rsidR="00204F03">
        <w:t>sets, the</w:t>
      </w:r>
      <w:r>
        <w:t xml:space="preserve"> asset(s) in question may have their permissioning document </w:t>
      </w:r>
      <w:r w:rsidR="00325B40">
        <w:t xml:space="preserve">acceptance </w:t>
      </w:r>
      <w:r>
        <w:t>withdrawn by NOPSEMA.</w:t>
      </w:r>
    </w:p>
    <w:p w14:paraId="7737A1E0" w14:textId="6E22F7F3" w:rsidR="00026686" w:rsidRDefault="009A64CE" w:rsidP="000D4CE1">
      <w:pPr>
        <w:pStyle w:val="BodyCopyNEW"/>
      </w:pPr>
      <w:r>
        <w:t xml:space="preserve">To meet the needs of an evolving industry and apply the powers noted above, </w:t>
      </w:r>
      <w:r w:rsidR="008700C2" w:rsidRPr="00A272D7">
        <w:t>NOPSEMA will need to ensure it</w:t>
      </w:r>
      <w:r w:rsidR="00026686" w:rsidRPr="00A272D7">
        <w:t>:</w:t>
      </w:r>
    </w:p>
    <w:p w14:paraId="66D7B996" w14:textId="33D016B3" w:rsidR="008700C2" w:rsidRDefault="00026686" w:rsidP="000C1F53">
      <w:pPr>
        <w:pStyle w:val="BodycopyNEW0"/>
        <w:numPr>
          <w:ilvl w:val="0"/>
          <w:numId w:val="23"/>
        </w:numPr>
        <w:ind w:left="378"/>
      </w:pPr>
      <w:r>
        <w:t>I</w:t>
      </w:r>
      <w:r w:rsidR="009250CC">
        <w:t>dentifies a reliable source</w:t>
      </w:r>
      <w:r w:rsidR="004E1CA1">
        <w:t xml:space="preserve"> </w:t>
      </w:r>
      <w:r>
        <w:t>for forecasting decommissioning activities</w:t>
      </w:r>
      <w:r w:rsidR="007F14DD">
        <w:t xml:space="preserve"> to enable it to anticipate regulatory capacity requirements</w:t>
      </w:r>
      <w:r w:rsidR="00026F1A">
        <w:t xml:space="preserve"> and make management plans accordi</w:t>
      </w:r>
      <w:r w:rsidR="00EA5B3F">
        <w:t xml:space="preserve">ngly. While it is widely known that decommissioning activities </w:t>
      </w:r>
      <w:r w:rsidR="00792A39">
        <w:t xml:space="preserve">will increase in future, it will be important for NOPSEMA to </w:t>
      </w:r>
      <w:r w:rsidR="00411F37">
        <w:t>ascertain as best it can when</w:t>
      </w:r>
      <w:r w:rsidR="00A85C50">
        <w:t xml:space="preserve"> significant decommissioning milestones might take place</w:t>
      </w:r>
    </w:p>
    <w:p w14:paraId="55E4DFE4" w14:textId="72016717" w:rsidR="00AF5D09" w:rsidRDefault="00E45DE5" w:rsidP="000C1F53">
      <w:pPr>
        <w:pStyle w:val="BodycopyNEW0"/>
        <w:numPr>
          <w:ilvl w:val="0"/>
          <w:numId w:val="23"/>
        </w:numPr>
        <w:ind w:left="378"/>
      </w:pPr>
      <w:r>
        <w:t>Works closely with</w:t>
      </w:r>
      <w:r w:rsidR="00A04491">
        <w:t xml:space="preserve"> titleholders i</w:t>
      </w:r>
      <w:r w:rsidR="00AF5D09">
        <w:t>n the lead up to these decommissioning milestones</w:t>
      </w:r>
    </w:p>
    <w:p w14:paraId="3B58CF2A" w14:textId="598DD7FC" w:rsidR="00691E41" w:rsidRDefault="00691E41" w:rsidP="000C1F53">
      <w:pPr>
        <w:pStyle w:val="BodycopyNEW0"/>
        <w:numPr>
          <w:ilvl w:val="0"/>
          <w:numId w:val="23"/>
        </w:numPr>
        <w:ind w:left="378"/>
      </w:pPr>
      <w:r>
        <w:t xml:space="preserve">Considers the cumulative impact of </w:t>
      </w:r>
      <w:r w:rsidR="00A85695">
        <w:t xml:space="preserve">decommissioning costs for a titleholder’s </w:t>
      </w:r>
      <w:r w:rsidR="00864CF1">
        <w:t xml:space="preserve">full </w:t>
      </w:r>
      <w:r w:rsidR="00A85695">
        <w:t xml:space="preserve">portfolio of assets </w:t>
      </w:r>
      <w:r w:rsidR="00097007">
        <w:t xml:space="preserve">and the </w:t>
      </w:r>
      <w:r w:rsidR="00864CF1">
        <w:t xml:space="preserve">financial </w:t>
      </w:r>
      <w:r w:rsidR="00097007">
        <w:t>capacity of the titleholder to meet these commitments</w:t>
      </w:r>
      <w:r w:rsidR="00864CF1">
        <w:t xml:space="preserve">. That is, </w:t>
      </w:r>
      <w:r w:rsidR="00CA7B88">
        <w:t>decommissioning costs should be considered in aggregate for a titleholder</w:t>
      </w:r>
    </w:p>
    <w:p w14:paraId="135F0961" w14:textId="5E3C8179" w:rsidR="00BD6EE7" w:rsidRDefault="007F14DD" w:rsidP="000C1F53">
      <w:pPr>
        <w:pStyle w:val="BodycopyNEW0"/>
        <w:numPr>
          <w:ilvl w:val="0"/>
          <w:numId w:val="23"/>
        </w:numPr>
        <w:ind w:left="378"/>
      </w:pPr>
      <w:r>
        <w:t xml:space="preserve">Allows for a suitable lag time for sourcing </w:t>
      </w:r>
      <w:r w:rsidR="00A40CED">
        <w:t>talent and building other organisational capabilities required, given that expertise for decommissioning is likely to be scarce</w:t>
      </w:r>
      <w:r w:rsidR="001356C3">
        <w:t xml:space="preserve"> and therefore challenging to source</w:t>
      </w:r>
      <w:r w:rsidR="00C731C7">
        <w:t xml:space="preserve">. NOPSEMA will need to have capabilities in place before decommissioning </w:t>
      </w:r>
      <w:r w:rsidR="001356C3">
        <w:t>milestones</w:t>
      </w:r>
      <w:r w:rsidR="00C731C7">
        <w:t xml:space="preserve"> </w:t>
      </w:r>
      <w:r w:rsidR="00BC035D">
        <w:t>occur</w:t>
      </w:r>
    </w:p>
    <w:p w14:paraId="465439B0" w14:textId="40D1DDDE" w:rsidR="0044747A" w:rsidRDefault="0044747A" w:rsidP="000C1F53">
      <w:pPr>
        <w:pStyle w:val="BodycopyNEW0"/>
        <w:numPr>
          <w:ilvl w:val="0"/>
          <w:numId w:val="23"/>
        </w:numPr>
        <w:ind w:left="378"/>
      </w:pPr>
      <w:r>
        <w:t xml:space="preserve">Proactively ascertains titleholder financial capacity </w:t>
      </w:r>
      <w:r w:rsidR="005B4FCD">
        <w:t xml:space="preserve">for existing </w:t>
      </w:r>
      <w:r w:rsidR="001356C3">
        <w:t>assets</w:t>
      </w:r>
      <w:r>
        <w:t xml:space="preserve"> </w:t>
      </w:r>
      <w:r w:rsidR="00817B75">
        <w:t xml:space="preserve">in regard to decommissioning </w:t>
      </w:r>
      <w:r w:rsidR="001356C3">
        <w:t>by applying</w:t>
      </w:r>
      <w:r w:rsidR="00A54A6B">
        <w:t xml:space="preserve"> a risk-based approach</w:t>
      </w:r>
      <w:r w:rsidR="001356C3">
        <w:t xml:space="preserve">. </w:t>
      </w:r>
      <w:r w:rsidR="00BD6EE7">
        <w:t xml:space="preserve">NOPSEMA will be required to assess financial capacity of existing titleholder assets and so will need some degree of capability built in this area now. </w:t>
      </w:r>
      <w:r w:rsidR="001356C3">
        <w:t xml:space="preserve">NOPSEMA’s </w:t>
      </w:r>
      <w:r w:rsidR="00832099">
        <w:t>operational bandwidth will require a staged approach to</w:t>
      </w:r>
      <w:r w:rsidR="001356C3">
        <w:t xml:space="preserve"> </w:t>
      </w:r>
      <w:r w:rsidR="0086475B">
        <w:t>examin</w:t>
      </w:r>
      <w:r w:rsidR="00832099">
        <w:t>ing</w:t>
      </w:r>
      <w:r w:rsidR="0086475B">
        <w:t xml:space="preserve"> all </w:t>
      </w:r>
      <w:r w:rsidR="00C6630D">
        <w:t>existing titleholder’s financial capacity</w:t>
      </w:r>
      <w:r w:rsidR="00980196">
        <w:t xml:space="preserve"> and the allocation of </w:t>
      </w:r>
      <w:r w:rsidR="00AE078B">
        <w:t>this work program should be risk-based</w:t>
      </w:r>
      <w:r w:rsidR="00E02476">
        <w:t xml:space="preserve"> (e.g. </w:t>
      </w:r>
      <w:r w:rsidR="00AE078B">
        <w:t xml:space="preserve">NOPSEMA </w:t>
      </w:r>
      <w:r w:rsidR="00B878A3">
        <w:t>could establish a set of criteria to ‘triage’</w:t>
      </w:r>
    </w:p>
    <w:p w14:paraId="3FABA7E7" w14:textId="57F02A37" w:rsidR="00A40CED" w:rsidRDefault="00A40CED" w:rsidP="000C1F53">
      <w:pPr>
        <w:pStyle w:val="BodycopyNEW0"/>
        <w:numPr>
          <w:ilvl w:val="0"/>
          <w:numId w:val="23"/>
        </w:numPr>
        <w:ind w:left="378"/>
      </w:pPr>
      <w:r>
        <w:t xml:space="preserve">Coordinates </w:t>
      </w:r>
      <w:r w:rsidR="00A272D7">
        <w:t xml:space="preserve">and collaborates with NOPTA on opportunities to build shared capabilities </w:t>
      </w:r>
      <w:r w:rsidR="00E02476">
        <w:t>to support the above, minimising duplication of effort and capability</w:t>
      </w:r>
      <w:r w:rsidR="00A272D7">
        <w:t>.</w:t>
      </w:r>
    </w:p>
    <w:p w14:paraId="0AC604C0" w14:textId="4E396FF4" w:rsidR="00D134E4" w:rsidRDefault="00D134E4" w:rsidP="000D4CE1">
      <w:pPr>
        <w:pStyle w:val="BodyCopyNEW"/>
      </w:pPr>
      <w:r>
        <w:t xml:space="preserve">Given we make recommendations earlier </w:t>
      </w:r>
      <w:r w:rsidR="004F590C">
        <w:t xml:space="preserve">regarding the building of capability in this area, </w:t>
      </w:r>
      <w:r w:rsidR="00876E25">
        <w:t xml:space="preserve">our recommendation offered here relates to the </w:t>
      </w:r>
      <w:r w:rsidR="00990821">
        <w:t>planning for and execution of a work program</w:t>
      </w:r>
      <w:r w:rsidR="00BA3920">
        <w:t>.</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876E25" w:rsidRPr="00DA0585" w14:paraId="0290A265" w14:textId="77777777" w:rsidTr="00751AB3">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70442D74" w14:textId="745BB0CF" w:rsidR="00876E25" w:rsidRPr="00A470B1" w:rsidRDefault="00876E25" w:rsidP="00751AB3">
            <w:pPr>
              <w:pStyle w:val="TableHeadingLeft"/>
              <w:rPr>
                <w:bCs/>
              </w:rPr>
            </w:pPr>
            <w:r w:rsidRPr="00A470B1">
              <w:rPr>
                <w:bCs/>
              </w:rPr>
              <w:t>Recommendation #</w:t>
            </w:r>
            <w:r w:rsidR="00AE6646" w:rsidRPr="00A470B1">
              <w:rPr>
                <w:bCs/>
              </w:rPr>
              <w:t>2</w:t>
            </w:r>
            <w:r w:rsidR="005E06AF">
              <w:rPr>
                <w:bCs/>
              </w:rPr>
              <w:t>3</w:t>
            </w:r>
          </w:p>
        </w:tc>
      </w:tr>
      <w:tr w:rsidR="00DA0585" w:rsidRPr="00DA0585" w14:paraId="5A3F2E52" w14:textId="77777777" w:rsidTr="00751AB3">
        <w:tc>
          <w:tcPr>
            <w:tcW w:w="9864" w:type="dxa"/>
            <w:tcBorders>
              <w:bottom w:val="nil"/>
            </w:tcBorders>
            <w:shd w:val="clear" w:color="auto" w:fill="F2F2F2" w:themeFill="background1" w:themeFillShade="F2"/>
          </w:tcPr>
          <w:p w14:paraId="67559B99" w14:textId="0C88C979" w:rsidR="00876E25" w:rsidRPr="00DA0585" w:rsidRDefault="00691F60" w:rsidP="00901C7B">
            <w:pPr>
              <w:pStyle w:val="BodyBullet1"/>
              <w:numPr>
                <w:ilvl w:val="0"/>
                <w:numId w:val="0"/>
              </w:numPr>
              <w:rPr>
                <w:rFonts w:cs="OpenSansRegular"/>
              </w:rPr>
            </w:pPr>
            <w:r w:rsidRPr="00DA0585">
              <w:rPr>
                <w:szCs w:val="18"/>
              </w:rPr>
              <w:t>NOPSEMA should develop a staged and risk-based work program for assessing existing titleholder financial capacity, applying a portfolio lens to these assessments.</w:t>
            </w:r>
          </w:p>
        </w:tc>
      </w:tr>
    </w:tbl>
    <w:p w14:paraId="1D09FC89" w14:textId="73E4C619" w:rsidR="00C17F9B" w:rsidRDefault="003656C3" w:rsidP="00901C7B">
      <w:pPr>
        <w:pStyle w:val="BodyCopyNEW"/>
        <w:spacing w:before="120"/>
      </w:pPr>
      <w:r>
        <w:lastRenderedPageBreak/>
        <w:t>It is also conceivable that NOPSEMA’s relationship with industry will als</w:t>
      </w:r>
      <w:r w:rsidR="00BC5014">
        <w:t xml:space="preserve">o undergo a shift with the more extensive application of </w:t>
      </w:r>
      <w:r w:rsidR="004D09F6">
        <w:t xml:space="preserve">their </w:t>
      </w:r>
      <w:r w:rsidR="007833D2">
        <w:t xml:space="preserve">financial assurance powers. </w:t>
      </w:r>
      <w:r w:rsidR="009643F1">
        <w:t xml:space="preserve">There may also be a role for NOPSEMA in helping administer other </w:t>
      </w:r>
      <w:r w:rsidR="00BB1845">
        <w:t>mechanisms</w:t>
      </w:r>
      <w:r w:rsidR="00A51CEE">
        <w:t xml:space="preserve"> (should they be proposed</w:t>
      </w:r>
      <w:r w:rsidR="004D09F6">
        <w:t xml:space="preserve"> under the draft decommissioning framework</w:t>
      </w:r>
      <w:r w:rsidR="00A51CEE">
        <w:t>)</w:t>
      </w:r>
      <w:r w:rsidR="00BB1845">
        <w:t xml:space="preserve">, such as a trailing liability </w:t>
      </w:r>
      <w:r w:rsidR="00776646" w:rsidRPr="00776646">
        <w:t>whereby a titleholder would be continually liable for the</w:t>
      </w:r>
      <w:r w:rsidR="00776646">
        <w:t xml:space="preserve"> </w:t>
      </w:r>
      <w:r w:rsidR="00776646" w:rsidRPr="00776646">
        <w:t>decommissioning and removal of its offshore assets, even after selling its interests in a title</w:t>
      </w:r>
      <w:r w:rsidR="00776646">
        <w:t xml:space="preserve"> </w:t>
      </w:r>
      <w:r w:rsidR="00776646" w:rsidRPr="00776646">
        <w:t>on to a different titleholder</w:t>
      </w:r>
      <w:r w:rsidR="000C76E0">
        <w:t xml:space="preserve">. </w:t>
      </w:r>
    </w:p>
    <w:p w14:paraId="309F2D7F" w14:textId="334EEFA6" w:rsidR="00516E8E" w:rsidRPr="00A727CD" w:rsidRDefault="008113C9" w:rsidP="00901C7B">
      <w:pPr>
        <w:pStyle w:val="Heading2"/>
        <w:spacing w:before="120"/>
        <w:rPr>
          <w:lang w:eastAsia="en-AU"/>
        </w:rPr>
      </w:pPr>
      <w:bookmarkStart w:id="221" w:name="_Ref58594916"/>
      <w:r>
        <w:rPr>
          <w:lang w:eastAsia="en-AU"/>
        </w:rPr>
        <w:t>T</w:t>
      </w:r>
      <w:r w:rsidR="00516E8E" w:rsidRPr="00A727CD">
        <w:rPr>
          <w:lang w:eastAsia="en-AU"/>
        </w:rPr>
        <w:t xml:space="preserve">ransition to a lower carbon </w:t>
      </w:r>
      <w:r>
        <w:rPr>
          <w:lang w:eastAsia="en-AU"/>
        </w:rPr>
        <w:t xml:space="preserve">energy </w:t>
      </w:r>
      <w:r w:rsidR="00516E8E" w:rsidRPr="00A727CD">
        <w:rPr>
          <w:lang w:eastAsia="en-AU"/>
        </w:rPr>
        <w:t>future</w:t>
      </w:r>
      <w:bookmarkEnd w:id="221"/>
    </w:p>
    <w:p w14:paraId="65A13CD9" w14:textId="27E96EDC" w:rsidR="00516E8E" w:rsidRPr="00547DEA" w:rsidRDefault="00516E8E" w:rsidP="000D4CE1">
      <w:pPr>
        <w:pStyle w:val="Heading3NoNumber"/>
      </w:pPr>
      <w:r w:rsidRPr="00547DEA">
        <w:t>The transition from non-renewable to renewable sources of energy production will have implications for NOP</w:t>
      </w:r>
      <w:r>
        <w:t>SEM</w:t>
      </w:r>
      <w:r w:rsidRPr="00547DEA">
        <w:t xml:space="preserve">A </w:t>
      </w:r>
      <w:r w:rsidR="00E219AB" w:rsidRPr="0002523B">
        <w:t xml:space="preserve">if it </w:t>
      </w:r>
      <w:r w:rsidR="003C5C02" w:rsidRPr="0002523B">
        <w:t xml:space="preserve">takes on </w:t>
      </w:r>
      <w:r w:rsidR="009078AC" w:rsidRPr="0002523B">
        <w:t xml:space="preserve">a role </w:t>
      </w:r>
      <w:r w:rsidR="007130B3" w:rsidRPr="0002523B">
        <w:t>in this space</w:t>
      </w:r>
    </w:p>
    <w:p w14:paraId="75A83742" w14:textId="414EA3DF" w:rsidR="00516E8E" w:rsidRDefault="00516E8E" w:rsidP="000D4CE1">
      <w:pPr>
        <w:pStyle w:val="BodyCopyNEW"/>
      </w:pPr>
      <w:r w:rsidRPr="00826575">
        <w:t>NOP</w:t>
      </w:r>
      <w:r>
        <w:t>SEM</w:t>
      </w:r>
      <w:r w:rsidRPr="00826575">
        <w:t xml:space="preserve">A </w:t>
      </w:r>
      <w:r w:rsidR="006245BB">
        <w:t xml:space="preserve">may </w:t>
      </w:r>
      <w:r w:rsidR="008113C9">
        <w:t xml:space="preserve">assume </w:t>
      </w:r>
      <w:r>
        <w:t>the</w:t>
      </w:r>
      <w:r w:rsidRPr="00826575">
        <w:t xml:space="preserve"> </w:t>
      </w:r>
      <w:r>
        <w:t>regulation</w:t>
      </w:r>
      <w:r w:rsidRPr="00826575">
        <w:t xml:space="preserve"> </w:t>
      </w:r>
      <w:r>
        <w:t>of</w:t>
      </w:r>
      <w:r w:rsidRPr="00826575">
        <w:t xml:space="preserve"> offshore renewables </w:t>
      </w:r>
      <w:r>
        <w:t>safety and environment</w:t>
      </w:r>
      <w:r w:rsidR="008F36C0">
        <w:t xml:space="preserve">, although this has yet to be decided by </w:t>
      </w:r>
      <w:r w:rsidR="00FF4289">
        <w:t>G</w:t>
      </w:r>
      <w:r w:rsidR="008F36C0">
        <w:t>overnment</w:t>
      </w:r>
      <w:r w:rsidRPr="00826575">
        <w:t xml:space="preserve">. </w:t>
      </w:r>
      <w:r w:rsidR="00FF4289">
        <w:t>Regulation of offshore renewables</w:t>
      </w:r>
      <w:r>
        <w:t xml:space="preserve"> would be in addition to its current remit covering offshore petroleum and GHG storage regulation. </w:t>
      </w:r>
      <w:r w:rsidR="00CC4D8F">
        <w:t>The following discussion is based on the premise that NOPSEMA does inherit this function.</w:t>
      </w:r>
    </w:p>
    <w:p w14:paraId="515CC46E" w14:textId="00F17EF7" w:rsidR="00516E8E" w:rsidRPr="00826575" w:rsidRDefault="00516E8E" w:rsidP="000D4CE1">
      <w:pPr>
        <w:pStyle w:val="BodyCopyNEW"/>
      </w:pPr>
      <w:r>
        <w:t xml:space="preserve">There is rationale for NOPSEMA assuming this role given its existing capabilities and investments made to support the offshore petroleum </w:t>
      </w:r>
      <w:r w:rsidR="009211AB">
        <w:t>and GHG</w:t>
      </w:r>
      <w:r>
        <w:t xml:space="preserve"> regulation, established processes and relationships with industry, and the benefits of a unified, nationally consistent regulatory framework spanning fossil fuels</w:t>
      </w:r>
      <w:r w:rsidR="009211AB">
        <w:t>, GHG storage,</w:t>
      </w:r>
      <w:r>
        <w:t xml:space="preserve"> and renewables.</w:t>
      </w:r>
    </w:p>
    <w:p w14:paraId="6EE887B3" w14:textId="502ADACA" w:rsidR="00516E8E" w:rsidRDefault="00516E8E" w:rsidP="000D4CE1">
      <w:pPr>
        <w:pStyle w:val="BodyCopyNEW"/>
      </w:pPr>
      <w:r>
        <w:t>While</w:t>
      </w:r>
      <w:r w:rsidR="00EA1C04">
        <w:t xml:space="preserve"> </w:t>
      </w:r>
      <w:r w:rsidR="00D737B9">
        <w:t>there is</w:t>
      </w:r>
      <w:r w:rsidR="00EA1C04">
        <w:t xml:space="preserve"> inherent logic in</w:t>
      </w:r>
      <w:r>
        <w:t xml:space="preserve"> the addition of offshore renewables to NOPSEMA’s remit, it </w:t>
      </w:r>
      <w:r w:rsidR="00A7131E">
        <w:t xml:space="preserve">would </w:t>
      </w:r>
      <w:r>
        <w:t>present NOPSEMA with several management challenges:</w:t>
      </w:r>
    </w:p>
    <w:p w14:paraId="69AAD2C3" w14:textId="42F19FDD" w:rsidR="00516E8E" w:rsidRPr="000D4CE1" w:rsidRDefault="00516E8E" w:rsidP="000C1F53">
      <w:pPr>
        <w:pStyle w:val="BodycopyNEW0"/>
        <w:numPr>
          <w:ilvl w:val="0"/>
          <w:numId w:val="23"/>
        </w:numPr>
        <w:ind w:left="378"/>
      </w:pPr>
      <w:r w:rsidRPr="000D4CE1">
        <w:rPr>
          <w:b/>
          <w:bCs/>
        </w:rPr>
        <w:t xml:space="preserve">A dual focus with different needs. </w:t>
      </w:r>
      <w:r w:rsidRPr="000D4CE1">
        <w:t xml:space="preserve">NOPSEMA </w:t>
      </w:r>
      <w:r w:rsidR="00BF1AF6">
        <w:t>would</w:t>
      </w:r>
      <w:r w:rsidRPr="000D4CE1">
        <w:t xml:space="preserve"> be overseeing a set of industries each in distinct stages of their respective lifecycles. That is, offshore petroleum is an industry that will likely decline over the long-term but with increasing complexity (and therefore requirements for oversight) over the medium-term. Conversely, GHG storage and offshore renewables are burgeoning industries that will require careful cultivation in order to flourish. These industries, from a regulatory and policy standpoint, have different needs and the building of confidence, certainty and stability for investment is important</w:t>
      </w:r>
    </w:p>
    <w:p w14:paraId="19134655" w14:textId="28C09D4E" w:rsidR="00C46F06" w:rsidRPr="000D4CE1" w:rsidRDefault="00C46F06" w:rsidP="000C1F53">
      <w:pPr>
        <w:pStyle w:val="BodycopyNEW0"/>
        <w:numPr>
          <w:ilvl w:val="0"/>
          <w:numId w:val="23"/>
        </w:numPr>
        <w:ind w:left="378"/>
      </w:pPr>
      <w:r w:rsidRPr="000D4CE1">
        <w:rPr>
          <w:b/>
          <w:bCs/>
        </w:rPr>
        <w:t xml:space="preserve">Competing industries. </w:t>
      </w:r>
      <w:r w:rsidRPr="000D4CE1">
        <w:t xml:space="preserve">Some, but not all, stakeholders may see renewables and petroleum industries as being in competition with one another. Stakeholders will likely be looking carefully for signs for perceived preferential treatment of one group over another. If anything, this will place even greater need on </w:t>
      </w:r>
      <w:r w:rsidR="006C5614" w:rsidRPr="000D4CE1">
        <w:t>NOPSEMA</w:t>
      </w:r>
      <w:r w:rsidR="00814519" w:rsidRPr="000D4CE1">
        <w:t xml:space="preserve"> </w:t>
      </w:r>
      <w:r w:rsidRPr="000D4CE1">
        <w:t xml:space="preserve">for being transparent and consistent in its approach </w:t>
      </w:r>
    </w:p>
    <w:p w14:paraId="5964830A" w14:textId="3DECFCD0" w:rsidR="00516E8E" w:rsidRPr="000D4CE1" w:rsidRDefault="00516E8E" w:rsidP="000C1F53">
      <w:pPr>
        <w:pStyle w:val="BodycopyNEW0"/>
        <w:numPr>
          <w:ilvl w:val="0"/>
          <w:numId w:val="23"/>
        </w:numPr>
        <w:ind w:left="378"/>
      </w:pPr>
      <w:r w:rsidRPr="000D4CE1">
        <w:rPr>
          <w:b/>
          <w:bCs/>
        </w:rPr>
        <w:t xml:space="preserve">Financial sustainability. </w:t>
      </w:r>
      <w:r w:rsidRPr="000D4CE1">
        <w:t>NOPSEMA’s financial sustainability may be challenged as revenue streams from assessment fees decrease (in response to reduced exploration activity volumes and fewer greenfield developments) whilst the complexity of the regulatory environment will likely increase. In addition, there may be a risk that the requirement to invest in building capabilities to support the offshore renewables industry will likely occur ahead of the revenue streams from renewables fees and levies</w:t>
      </w:r>
    </w:p>
    <w:p w14:paraId="00040EAC" w14:textId="564BF59D" w:rsidR="00516E8E" w:rsidRPr="000D4CE1" w:rsidRDefault="00516E8E" w:rsidP="000C1F53">
      <w:pPr>
        <w:pStyle w:val="BodycopyNEW0"/>
        <w:numPr>
          <w:ilvl w:val="0"/>
          <w:numId w:val="23"/>
        </w:numPr>
        <w:ind w:left="378"/>
      </w:pPr>
      <w:r w:rsidRPr="000D4CE1">
        <w:rPr>
          <w:b/>
          <w:bCs/>
        </w:rPr>
        <w:t>An unfamiliar industry.</w:t>
      </w:r>
      <w:r w:rsidRPr="000D4CE1">
        <w:t xml:space="preserve"> The need to build capabilities and manage risks</w:t>
      </w:r>
      <w:r w:rsidR="00A65FAE" w:rsidRPr="000D4CE1">
        <w:t xml:space="preserve"> (including OHS and environment related risks</w:t>
      </w:r>
      <w:r w:rsidR="002041B1" w:rsidRPr="000D4CE1">
        <w:t xml:space="preserve"> and supply chain risks</w:t>
      </w:r>
      <w:r w:rsidR="00A65FAE" w:rsidRPr="000D4CE1">
        <w:t>)</w:t>
      </w:r>
      <w:r w:rsidRPr="000D4CE1">
        <w:t xml:space="preserve"> for an industry where Australia has relatively little experience – the ability to attract and retain the right and scarce talent will be a key challenge.</w:t>
      </w:r>
      <w:r w:rsidR="00305B21" w:rsidRPr="000D4CE1">
        <w:t xml:space="preserve"> In addition, the renewables </w:t>
      </w:r>
      <w:r w:rsidR="008733C9" w:rsidRPr="000D4CE1">
        <w:t>industry itself is complex and could include a variety of technologies and solutions, each at different stages of development and maturity.</w:t>
      </w:r>
    </w:p>
    <w:p w14:paraId="4C9AF0FA" w14:textId="19EADAC1" w:rsidR="00562B6D" w:rsidRPr="00562B6D" w:rsidRDefault="00B90715" w:rsidP="000D4CE1">
      <w:pPr>
        <w:pStyle w:val="BodyCopyNEW"/>
        <w:rPr>
          <w:rFonts w:asciiTheme="majorHAnsi" w:hAnsiTheme="majorHAnsi" w:cs="OpenSansRegular"/>
        </w:rPr>
      </w:pPr>
      <w:r>
        <w:t xml:space="preserve">Going forward, </w:t>
      </w:r>
      <w:r w:rsidR="007B661F">
        <w:t xml:space="preserve">if </w:t>
      </w:r>
      <w:r>
        <w:t>NOP</w:t>
      </w:r>
      <w:r w:rsidR="007306E8">
        <w:t>SEM</w:t>
      </w:r>
      <w:r>
        <w:t xml:space="preserve">A </w:t>
      </w:r>
      <w:r w:rsidR="00AF3F96">
        <w:t xml:space="preserve">assumes </w:t>
      </w:r>
      <w:r>
        <w:t xml:space="preserve">the functions of the offshore renewables </w:t>
      </w:r>
      <w:r w:rsidR="007306E8">
        <w:t>safety and environment regulator, it</w:t>
      </w:r>
      <w:r>
        <w:t xml:space="preserve"> will need to work closely with its partners</w:t>
      </w:r>
      <w:r w:rsidR="007E3296">
        <w:t>, domestic and international,</w:t>
      </w:r>
      <w:r>
        <w:t xml:space="preserve"> to identify capability requirements to support the emerging offshore renewables industry. </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516E8E" w:rsidRPr="00407F7B" w14:paraId="219562D2" w14:textId="77777777" w:rsidTr="00297ED4">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6FC2B4"/>
          </w:tcPr>
          <w:p w14:paraId="36B38F83" w14:textId="085265C2" w:rsidR="00516E8E" w:rsidRPr="00407F7B" w:rsidRDefault="00516E8E" w:rsidP="00053250">
            <w:pPr>
              <w:pStyle w:val="TableHeadingLeft"/>
              <w:rPr>
                <w:bCs/>
              </w:rPr>
            </w:pPr>
            <w:r w:rsidRPr="00407F7B">
              <w:rPr>
                <w:bCs/>
              </w:rPr>
              <w:t>Opportunity #</w:t>
            </w:r>
            <w:r w:rsidR="005930F0" w:rsidRPr="00407F7B">
              <w:rPr>
                <w:bCs/>
              </w:rPr>
              <w:t>2</w:t>
            </w:r>
            <w:r w:rsidR="00C224DC">
              <w:rPr>
                <w:bCs/>
              </w:rPr>
              <w:t>1</w:t>
            </w:r>
          </w:p>
        </w:tc>
      </w:tr>
      <w:tr w:rsidR="00DA0585" w:rsidRPr="00DA0585" w14:paraId="33EC82F1" w14:textId="77777777" w:rsidTr="00297ED4">
        <w:tc>
          <w:tcPr>
            <w:tcW w:w="9864" w:type="dxa"/>
            <w:tcBorders>
              <w:bottom w:val="nil"/>
            </w:tcBorders>
            <w:shd w:val="clear" w:color="auto" w:fill="F2F2F2" w:themeFill="background1" w:themeFillShade="F2"/>
          </w:tcPr>
          <w:p w14:paraId="7267951B" w14:textId="77777777" w:rsidR="007D02B3" w:rsidRPr="00DA0585" w:rsidRDefault="007D02B3" w:rsidP="007D02B3">
            <w:pPr>
              <w:pStyle w:val="BodyCopyNEW"/>
            </w:pPr>
            <w:r w:rsidRPr="00DA0585">
              <w:t>If the Government formally agrees to NOPSEMA assuming the role of regulator for offshore renewables, NOPSEMA would be encouraged to:</w:t>
            </w:r>
          </w:p>
          <w:p w14:paraId="0AD027FF" w14:textId="77777777" w:rsidR="007D02B3" w:rsidRPr="00DA0585" w:rsidRDefault="007D02B3" w:rsidP="000C1F53">
            <w:pPr>
              <w:pStyle w:val="BodycopyNEW0"/>
              <w:numPr>
                <w:ilvl w:val="0"/>
                <w:numId w:val="23"/>
              </w:numPr>
              <w:ind w:left="378"/>
            </w:pPr>
            <w:r w:rsidRPr="00DA0585">
              <w:t>Give sufficient emphasis in its strategic and operational planning to supporting emerging industries within its remit, given in many instances the presence of an established regulatory framework is a clear signal to potential market entrants of ‘industry readiness’ for investment</w:t>
            </w:r>
          </w:p>
          <w:p w14:paraId="6E9B066D" w14:textId="3B92B9C1" w:rsidR="007D02B3" w:rsidRPr="00DA0585" w:rsidRDefault="007D02B3" w:rsidP="000C1F53">
            <w:pPr>
              <w:pStyle w:val="BodycopyNEW0"/>
              <w:numPr>
                <w:ilvl w:val="0"/>
                <w:numId w:val="23"/>
              </w:numPr>
              <w:ind w:left="378"/>
            </w:pPr>
            <w:r w:rsidRPr="00DA0585">
              <w:t>Consider how it might transparently manage perceived conflicts of interest surrounding potentially competing industries (i.e. petroleum and renewables), particularly how governance mechanisms may be structured, and stakeholder confidence built in NOPSEMA’s ability to manage potential conflicts in a transparent and effective manner</w:t>
            </w:r>
          </w:p>
          <w:p w14:paraId="4C52648E" w14:textId="77777777" w:rsidR="007D02B3" w:rsidRPr="00DA0585" w:rsidRDefault="007D02B3" w:rsidP="000C1F53">
            <w:pPr>
              <w:pStyle w:val="BodycopyNEW0"/>
              <w:numPr>
                <w:ilvl w:val="0"/>
                <w:numId w:val="23"/>
              </w:numPr>
              <w:ind w:left="378"/>
            </w:pPr>
            <w:r w:rsidRPr="00DA0585">
              <w:t>As part of its financial scenario modelling processes, forecast its financial sustainability with regards to different industry activity scenarios (e.g. an increase in transactional activity). As part of this, specifically examine the impact of different cost recovery levy and fee structures and how volatility can be managed through different structures</w:t>
            </w:r>
          </w:p>
          <w:p w14:paraId="0FE8773A" w14:textId="77777777" w:rsidR="007D02B3" w:rsidRPr="00DA0585" w:rsidRDefault="007D02B3" w:rsidP="000C1F53">
            <w:pPr>
              <w:pStyle w:val="BodycopyNEW0"/>
              <w:numPr>
                <w:ilvl w:val="0"/>
                <w:numId w:val="23"/>
              </w:numPr>
              <w:ind w:left="378"/>
            </w:pPr>
            <w:r w:rsidRPr="00DA0585">
              <w:lastRenderedPageBreak/>
              <w:t>Avoid duplication of existing capabilities across people, processes and systems, wherever possible when preparing to inherit a new remit. However, in doing so care must be taken to evaluate whether the existing capabilities meet the needs of emerging industries as opposed to the well-established, mature petroleum industry they have been designed for</w:t>
            </w:r>
          </w:p>
          <w:p w14:paraId="11278380" w14:textId="6432A52A" w:rsidR="007D02B3" w:rsidRPr="00DA0585" w:rsidRDefault="007D02B3" w:rsidP="000C1F53">
            <w:pPr>
              <w:pStyle w:val="BodycopyNEW0"/>
              <w:numPr>
                <w:ilvl w:val="0"/>
                <w:numId w:val="23"/>
              </w:numPr>
              <w:ind w:left="378"/>
            </w:pPr>
            <w:r w:rsidRPr="00DA0585">
              <w:t xml:space="preserve">Undertake a capability gap assessment, looking to regulators in select advanced offshore renewables markets to identify what capabilities (e.g. people, process, supply chain, technology) might be required vis-à-vis NOPSEMA’s current capability maturity in these areas. NOPSEMA should leverage its existing international relationships to inform these capability assessments. </w:t>
            </w:r>
          </w:p>
        </w:tc>
      </w:tr>
    </w:tbl>
    <w:p w14:paraId="2080A120" w14:textId="7203E8B1" w:rsidR="00FD5930" w:rsidRDefault="00FD5930" w:rsidP="00901C7B">
      <w:pPr>
        <w:pStyle w:val="Heading2"/>
        <w:spacing w:before="120"/>
        <w:contextualSpacing w:val="0"/>
      </w:pPr>
      <w:bookmarkStart w:id="222" w:name="_Ref56343267"/>
      <w:bookmarkStart w:id="223" w:name="_Ref58594921"/>
      <w:r>
        <w:lastRenderedPageBreak/>
        <w:t xml:space="preserve">Considerations for </w:t>
      </w:r>
      <w:bookmarkEnd w:id="222"/>
      <w:r w:rsidR="007B0699">
        <w:t xml:space="preserve">a </w:t>
      </w:r>
      <w:r w:rsidR="00605F77">
        <w:t>unified offshore resources regulator and administrator</w:t>
      </w:r>
      <w:bookmarkEnd w:id="223"/>
    </w:p>
    <w:p w14:paraId="01B21043" w14:textId="663BF5F1" w:rsidR="00FD5930" w:rsidRPr="00547DEA" w:rsidRDefault="00FD5930" w:rsidP="00901C7B">
      <w:pPr>
        <w:spacing w:after="120"/>
      </w:pPr>
      <w:r w:rsidRPr="00DF522B">
        <w:rPr>
          <w:rFonts w:ascii="Calibri Light" w:hAnsi="Calibri Light"/>
        </w:rPr>
        <w:t xml:space="preserve">The optimal structure of the offshore </w:t>
      </w:r>
      <w:r w:rsidR="00327ACB" w:rsidRPr="00DF522B">
        <w:rPr>
          <w:rFonts w:ascii="Calibri Light" w:hAnsi="Calibri Light"/>
        </w:rPr>
        <w:t>legislative</w:t>
      </w:r>
      <w:r w:rsidRPr="00DF522B">
        <w:rPr>
          <w:rFonts w:ascii="Calibri Light" w:hAnsi="Calibri Light"/>
        </w:rPr>
        <w:t xml:space="preserve"> framework was raised as an open question through the review process. </w:t>
      </w:r>
      <w:r w:rsidR="006D2335" w:rsidRPr="00DF522B">
        <w:rPr>
          <w:rFonts w:ascii="Calibri Light" w:hAnsi="Calibri Light"/>
        </w:rPr>
        <w:t>Specifically, we heard concerns regarding the fitness-for-purpose of the separation of administrative (NOPTA) and regulatory functions (NOPSEMA)</w:t>
      </w:r>
      <w:r w:rsidR="006D2335" w:rsidRPr="002B3EC4">
        <w:rPr>
          <w:rStyle w:val="FootnoteReference"/>
          <w:sz w:val="18"/>
        </w:rPr>
        <w:footnoteReference w:id="99"/>
      </w:r>
      <w:r w:rsidR="006D2335" w:rsidRPr="00DF522B">
        <w:rPr>
          <w:rFonts w:ascii="Calibri Light" w:hAnsi="Calibri Light"/>
        </w:rPr>
        <w:t xml:space="preserve"> of the regime with the respect to the ability for NOPTA and NOPSEMA to effectively and efficiently meet the needs of a more mature industry.</w:t>
      </w:r>
    </w:p>
    <w:p w14:paraId="27268055" w14:textId="18FD618A" w:rsidR="00FD5930" w:rsidRDefault="00252524" w:rsidP="00580D94">
      <w:pPr>
        <w:pStyle w:val="Heading3NoNumber"/>
      </w:pPr>
      <w:r w:rsidRPr="00252524">
        <w:t>Delineation of safety and environment regulation and titles administration considerations is a well-established precedent</w:t>
      </w:r>
      <w:r w:rsidRPr="00252524" w:rsidDel="00252524">
        <w:t xml:space="preserve"> </w:t>
      </w:r>
    </w:p>
    <w:p w14:paraId="2C4A04B7" w14:textId="7800BD89" w:rsidR="00E07D60" w:rsidRPr="00DF522B" w:rsidRDefault="00E07D60" w:rsidP="00E07D60">
      <w:pPr>
        <w:spacing w:after="120"/>
        <w:rPr>
          <w:rFonts w:ascii="Calibri Light" w:hAnsi="Calibri Light"/>
        </w:rPr>
      </w:pPr>
      <w:r w:rsidRPr="00DF522B">
        <w:rPr>
          <w:rFonts w:ascii="Calibri Light" w:hAnsi="Calibri Light"/>
        </w:rPr>
        <w:t xml:space="preserve">There were strong arguments as to why NOPTA and NOPSEMA were established as separate entities. The primary reason being to avoid actual or perceived conflicts of interest and ensure there is a distinct separation between the administration and assessment of titles applications (NOPTA), the decision makers (the Joint Authorities), and the regulatory objectives for safety, well integrity and the environment (NOPSEMA). These arguments are in line with the Hon Lord Cullen’s recommendations from the United Kingdom’s </w:t>
      </w:r>
      <w:r w:rsidRPr="00DF522B">
        <w:rPr>
          <w:rFonts w:ascii="Calibri Light" w:hAnsi="Calibri Light"/>
          <w:i/>
          <w:iCs/>
        </w:rPr>
        <w:t>1990 Public Inquiry into the Piper Alpha Disaster</w:t>
      </w:r>
      <w:r w:rsidR="008D69C2">
        <w:rPr>
          <w:rFonts w:ascii="Calibri Light" w:hAnsi="Calibri Light"/>
        </w:rPr>
        <w:t>.</w:t>
      </w:r>
    </w:p>
    <w:p w14:paraId="2EA3BC58" w14:textId="77777777" w:rsidR="00E07D60" w:rsidRPr="00DF522B" w:rsidRDefault="00E07D60" w:rsidP="00E07D60">
      <w:pPr>
        <w:spacing w:after="120"/>
        <w:rPr>
          <w:rFonts w:ascii="Calibri Light" w:hAnsi="Calibri Light" w:cs="OpenSansRegular"/>
        </w:rPr>
      </w:pPr>
      <w:r w:rsidRPr="00DF522B">
        <w:rPr>
          <w:rFonts w:ascii="Calibri Light" w:hAnsi="Calibri Light" w:cs="OpenSansRegular"/>
        </w:rPr>
        <w:t xml:space="preserve">We observe the general international precedent for offshore petroleum regulatory frameworks to separate administration/licencing from health, safety, and environmental regulation (e.g. as in the United Kingdom and Norway). However, there are jurisdictions which operate what might be described as a ‘unified model’ (e.g. the Canadian C-NLOPB). </w:t>
      </w:r>
    </w:p>
    <w:p w14:paraId="5A7D49F8" w14:textId="593A3AB6" w:rsidR="00E07D60" w:rsidRPr="00DF522B" w:rsidRDefault="00E07D60" w:rsidP="00E07D60">
      <w:pPr>
        <w:spacing w:after="120"/>
        <w:rPr>
          <w:rFonts w:ascii="Calibri Light" w:hAnsi="Calibri Light"/>
        </w:rPr>
      </w:pPr>
      <w:r w:rsidRPr="00DF522B">
        <w:rPr>
          <w:rFonts w:ascii="Calibri Light" w:hAnsi="Calibri Light"/>
        </w:rPr>
        <w:t>As an administrative and advice-giving arm of the offshore legislative framework, NOPTA is not a truly an independent entity, existing as a branch of DISER. Should it be accepted that NOPTA further pursue influential and proactive activities in relation to resources management</w:t>
      </w:r>
      <w:r w:rsidR="00BB1B8E">
        <w:rPr>
          <w:rFonts w:ascii="Calibri Light" w:hAnsi="Calibri Light"/>
        </w:rPr>
        <w:t xml:space="preserve"> – as we recommend in </w:t>
      </w:r>
      <w:r w:rsidR="008E4F0F">
        <w:rPr>
          <w:rFonts w:ascii="Calibri Light" w:hAnsi="Calibri Light"/>
        </w:rPr>
        <w:t xml:space="preserve">the </w:t>
      </w:r>
      <w:r w:rsidR="008E4F0F">
        <w:rPr>
          <w:rFonts w:ascii="Calibri Light" w:hAnsi="Calibri Light"/>
          <w:i/>
          <w:iCs/>
        </w:rPr>
        <w:t>2020 Statutory Review of the National Offshore Petroleum Titles Administrator</w:t>
      </w:r>
      <w:r w:rsidRPr="00DF522B">
        <w:rPr>
          <w:rFonts w:ascii="Calibri Light" w:hAnsi="Calibri Light"/>
        </w:rPr>
        <w:t>, there will be a need to ensure appropriate levels of independence of these functions from regulatory functions.</w:t>
      </w:r>
    </w:p>
    <w:p w14:paraId="19C65C7C" w14:textId="40A5ED13" w:rsidR="00FD5930" w:rsidRPr="0005301A" w:rsidRDefault="00FD5930" w:rsidP="00580D94">
      <w:pPr>
        <w:pStyle w:val="Heading3NoNumber"/>
      </w:pPr>
      <w:r>
        <w:t>There are drivers for revisiting whether the two-entity model remains fit-for-purpose</w:t>
      </w:r>
    </w:p>
    <w:p w14:paraId="02E427B0" w14:textId="3B1657FE" w:rsidR="0012261B" w:rsidRPr="002B3EC4" w:rsidRDefault="0012261B" w:rsidP="00901C7B">
      <w:pPr>
        <w:pStyle w:val="BodyCopyNEW"/>
        <w:rPr>
          <w:rFonts w:cs="OpenSansRegular"/>
          <w:szCs w:val="18"/>
        </w:rPr>
      </w:pPr>
      <w:r w:rsidRPr="002B3EC4">
        <w:rPr>
          <w:rFonts w:cs="OpenSansRegular"/>
          <w:szCs w:val="18"/>
        </w:rPr>
        <w:t>Drivers for bringing together the administrative and regulatory arms of the offshore legislative framework include</w:t>
      </w:r>
      <w:r w:rsidR="00866EDB" w:rsidRPr="002B3EC4">
        <w:rPr>
          <w:rStyle w:val="FootnoteReference"/>
          <w:rFonts w:cs="OpenSansRegular"/>
          <w:sz w:val="18"/>
          <w:szCs w:val="18"/>
        </w:rPr>
        <w:footnoteReference w:id="100"/>
      </w:r>
      <w:r w:rsidRPr="002B3EC4">
        <w:rPr>
          <w:rFonts w:cs="OpenSansRegular"/>
          <w:szCs w:val="18"/>
        </w:rPr>
        <w:t>:</w:t>
      </w:r>
    </w:p>
    <w:p w14:paraId="10197860" w14:textId="77777777" w:rsidR="0012261B" w:rsidRPr="00DF522B" w:rsidRDefault="0012261B" w:rsidP="000C1F53">
      <w:pPr>
        <w:pStyle w:val="ListParagraph"/>
        <w:widowControl w:val="0"/>
        <w:numPr>
          <w:ilvl w:val="0"/>
          <w:numId w:val="19"/>
        </w:numPr>
        <w:spacing w:after="120" w:line="240" w:lineRule="auto"/>
        <w:ind w:left="357" w:hanging="357"/>
        <w:contextualSpacing w:val="0"/>
        <w:rPr>
          <w:rFonts w:ascii="Calibri Light" w:hAnsi="Calibri Light"/>
        </w:rPr>
      </w:pPr>
      <w:r w:rsidRPr="00DF522B">
        <w:rPr>
          <w:rFonts w:ascii="Calibri Light" w:hAnsi="Calibri Light"/>
        </w:rPr>
        <w:t>Minimising the regulatory burden on industry through more efficient and connected regulatory processes – better facilitating a ‘One Government’ approach to administration and regulation and ensuring clearer arrangements where multiple parties are involved</w:t>
      </w:r>
    </w:p>
    <w:p w14:paraId="3C2BB4DF" w14:textId="77777777" w:rsidR="0012261B" w:rsidRPr="00DF522B" w:rsidRDefault="0012261B" w:rsidP="000C1F53">
      <w:pPr>
        <w:pStyle w:val="ListParagraph"/>
        <w:widowControl w:val="0"/>
        <w:numPr>
          <w:ilvl w:val="0"/>
          <w:numId w:val="19"/>
        </w:numPr>
        <w:spacing w:after="120" w:line="240" w:lineRule="auto"/>
        <w:ind w:left="357" w:hanging="357"/>
        <w:contextualSpacing w:val="0"/>
        <w:rPr>
          <w:rFonts w:ascii="Calibri Light" w:hAnsi="Calibri Light"/>
        </w:rPr>
      </w:pPr>
      <w:r w:rsidRPr="00DF522B">
        <w:rPr>
          <w:rFonts w:ascii="Calibri Light" w:hAnsi="Calibri Light"/>
        </w:rPr>
        <w:t>Avoidance of duplication or the risk of conflicting decision-making by administration (NOPTA) and regulation (NOPSEMA) facets of the offshore legislative framework</w:t>
      </w:r>
    </w:p>
    <w:p w14:paraId="73C6991D" w14:textId="77777777" w:rsidR="00FD5930" w:rsidRPr="00DF522B" w:rsidRDefault="00FD5930" w:rsidP="000C1F53">
      <w:pPr>
        <w:pStyle w:val="ListParagraph"/>
        <w:widowControl w:val="0"/>
        <w:numPr>
          <w:ilvl w:val="0"/>
          <w:numId w:val="19"/>
        </w:numPr>
        <w:spacing w:after="120" w:line="240" w:lineRule="auto"/>
        <w:ind w:left="357" w:hanging="357"/>
        <w:contextualSpacing w:val="0"/>
        <w:rPr>
          <w:rFonts w:ascii="Calibri Light" w:hAnsi="Calibri Light"/>
        </w:rPr>
      </w:pPr>
      <w:r w:rsidRPr="00DF522B">
        <w:rPr>
          <w:rFonts w:ascii="Calibri Light" w:hAnsi="Calibri Light"/>
        </w:rPr>
        <w:t xml:space="preserve">A likely increase in the number of industry transactions and areas of </w:t>
      </w:r>
      <w:r w:rsidR="0012261B" w:rsidRPr="00DF522B">
        <w:rPr>
          <w:rFonts w:ascii="Calibri Light" w:hAnsi="Calibri Light"/>
        </w:rPr>
        <w:t>‘regulatory’</w:t>
      </w:r>
      <w:r w:rsidRPr="00DF522B">
        <w:rPr>
          <w:rFonts w:ascii="Calibri Light" w:hAnsi="Calibri Light"/>
        </w:rPr>
        <w:t xml:space="preserve"> overlap between NOPTA and NOPSEMA (both in relation to decommissioning and outside of decommissioning activities)</w:t>
      </w:r>
    </w:p>
    <w:p w14:paraId="24ECE007" w14:textId="77777777" w:rsidR="00FD5930" w:rsidRPr="00DF522B" w:rsidRDefault="00FD5930" w:rsidP="000C1F53">
      <w:pPr>
        <w:pStyle w:val="ListParagraph"/>
        <w:widowControl w:val="0"/>
        <w:numPr>
          <w:ilvl w:val="0"/>
          <w:numId w:val="19"/>
        </w:numPr>
        <w:spacing w:after="120" w:line="240" w:lineRule="auto"/>
        <w:ind w:left="357" w:hanging="357"/>
        <w:contextualSpacing w:val="0"/>
        <w:rPr>
          <w:rFonts w:ascii="Calibri Light" w:hAnsi="Calibri Light"/>
        </w:rPr>
      </w:pPr>
      <w:r w:rsidRPr="00DF522B">
        <w:rPr>
          <w:rFonts w:ascii="Calibri Light" w:hAnsi="Calibri Light"/>
        </w:rPr>
        <w:t xml:space="preserve">Minimising inconsistencies in legislative requirements and decision-making </w:t>
      </w:r>
    </w:p>
    <w:p w14:paraId="2E5B3500" w14:textId="77777777" w:rsidR="0012261B" w:rsidRPr="00DF522B" w:rsidRDefault="0012261B" w:rsidP="000C1F53">
      <w:pPr>
        <w:pStyle w:val="ListParagraph"/>
        <w:widowControl w:val="0"/>
        <w:numPr>
          <w:ilvl w:val="0"/>
          <w:numId w:val="19"/>
        </w:numPr>
        <w:spacing w:after="120" w:line="240" w:lineRule="auto"/>
        <w:ind w:left="357" w:hanging="357"/>
        <w:contextualSpacing w:val="0"/>
        <w:rPr>
          <w:rFonts w:ascii="Calibri Light" w:hAnsi="Calibri Light"/>
        </w:rPr>
      </w:pPr>
      <w:r w:rsidRPr="00DF522B">
        <w:rPr>
          <w:rFonts w:ascii="Calibri Light" w:hAnsi="Calibri Light"/>
        </w:rPr>
        <w:t>Economic efficiency from making better use of scarce skillsets and specialist expertise and an opportunity to better share capabilities and learnings between regulators, including, for example, leveraging data and systems capabilities</w:t>
      </w:r>
    </w:p>
    <w:p w14:paraId="7C0D0D46" w14:textId="77777777" w:rsidR="0012261B" w:rsidRPr="00DF522B" w:rsidRDefault="0012261B" w:rsidP="000C1F53">
      <w:pPr>
        <w:pStyle w:val="ListParagraph"/>
        <w:widowControl w:val="0"/>
        <w:numPr>
          <w:ilvl w:val="0"/>
          <w:numId w:val="19"/>
        </w:numPr>
        <w:spacing w:after="120" w:line="240" w:lineRule="auto"/>
        <w:ind w:left="357" w:hanging="357"/>
        <w:contextualSpacing w:val="0"/>
        <w:rPr>
          <w:rFonts w:ascii="Calibri Light" w:hAnsi="Calibri Light"/>
        </w:rPr>
      </w:pPr>
      <w:r w:rsidRPr="00DF522B">
        <w:rPr>
          <w:rFonts w:ascii="Calibri Light" w:hAnsi="Calibri Light"/>
        </w:rPr>
        <w:t>Greater coordination with regards to GHG storage and petroleum activities.</w:t>
      </w:r>
    </w:p>
    <w:p w14:paraId="2831D8A0" w14:textId="77777777" w:rsidR="0012261B" w:rsidRPr="00DF522B" w:rsidRDefault="0012261B" w:rsidP="002F7580">
      <w:pPr>
        <w:spacing w:after="120"/>
        <w:rPr>
          <w:rFonts w:ascii="Calibri Light" w:hAnsi="Calibri Light"/>
        </w:rPr>
      </w:pPr>
      <w:r w:rsidRPr="00DF522B">
        <w:rPr>
          <w:rFonts w:ascii="Calibri Light" w:hAnsi="Calibri Light"/>
        </w:rPr>
        <w:t>There are a number of options to consider when examining how greater collaboration and coordination might be achieved. Example options to consider include:</w:t>
      </w:r>
    </w:p>
    <w:p w14:paraId="1B503710" w14:textId="77777777" w:rsidR="0012261B" w:rsidRPr="00DF522B" w:rsidRDefault="0012261B" w:rsidP="000C1F53">
      <w:pPr>
        <w:pStyle w:val="ListParagraph"/>
        <w:widowControl w:val="0"/>
        <w:numPr>
          <w:ilvl w:val="0"/>
          <w:numId w:val="19"/>
        </w:numPr>
        <w:spacing w:after="120" w:line="240" w:lineRule="auto"/>
        <w:ind w:left="357" w:hanging="357"/>
        <w:contextualSpacing w:val="0"/>
        <w:rPr>
          <w:rFonts w:ascii="Calibri Light" w:hAnsi="Calibri Light"/>
        </w:rPr>
      </w:pPr>
      <w:r w:rsidRPr="00DF522B">
        <w:rPr>
          <w:rFonts w:ascii="Calibri Light" w:hAnsi="Calibri Light"/>
          <w:b/>
          <w:bCs/>
        </w:rPr>
        <w:t>Option 1: Improved o</w:t>
      </w:r>
      <w:r w:rsidRPr="00DF522B">
        <w:rPr>
          <w:rFonts w:ascii="Calibri Light" w:hAnsi="Calibri Light"/>
          <w:b/>
        </w:rPr>
        <w:t xml:space="preserve">perational interaction. </w:t>
      </w:r>
      <w:r w:rsidRPr="00DF522B">
        <w:rPr>
          <w:rFonts w:ascii="Calibri Light" w:hAnsi="Calibri Light"/>
        </w:rPr>
        <w:t>Under this option,</w:t>
      </w:r>
      <w:r w:rsidRPr="00DF522B">
        <w:rPr>
          <w:rFonts w:ascii="Calibri Light" w:hAnsi="Calibri Light"/>
          <w:b/>
          <w:bCs/>
        </w:rPr>
        <w:t xml:space="preserve"> </w:t>
      </w:r>
      <w:r w:rsidRPr="00DF522B">
        <w:rPr>
          <w:rFonts w:ascii="Calibri Light" w:hAnsi="Calibri Light"/>
        </w:rPr>
        <w:t xml:space="preserve">NOPTA and NOPSEMA would remain separate entities but with more formalised mechanisms for increasing the proximity and interaction of staff and processes. This most closely resembles the current state and the current legislative requirement that the entities cooperate. This ensures a seamless regime and is aimed at </w:t>
      </w:r>
      <w:r w:rsidRPr="00DF522B">
        <w:rPr>
          <w:rFonts w:ascii="Calibri Light" w:hAnsi="Calibri Light"/>
        </w:rPr>
        <w:lastRenderedPageBreak/>
        <w:t xml:space="preserve">minimising ‘silos’. </w:t>
      </w:r>
    </w:p>
    <w:p w14:paraId="6F5D187B" w14:textId="77777777" w:rsidR="00FD5930" w:rsidRPr="00DF522B" w:rsidRDefault="00FD5930" w:rsidP="000C1F53">
      <w:pPr>
        <w:pStyle w:val="ListParagraph"/>
        <w:widowControl w:val="0"/>
        <w:numPr>
          <w:ilvl w:val="0"/>
          <w:numId w:val="19"/>
        </w:numPr>
        <w:spacing w:after="120" w:line="240" w:lineRule="auto"/>
        <w:ind w:left="357" w:hanging="357"/>
        <w:contextualSpacing w:val="0"/>
        <w:rPr>
          <w:rFonts w:ascii="Calibri Light" w:hAnsi="Calibri Light"/>
        </w:rPr>
      </w:pPr>
      <w:r w:rsidRPr="00DF522B">
        <w:rPr>
          <w:rFonts w:ascii="Calibri Light" w:hAnsi="Calibri Light"/>
          <w:b/>
        </w:rPr>
        <w:t>Option 2: Applying a partnership approach.</w:t>
      </w:r>
      <w:r w:rsidRPr="00DF522B">
        <w:rPr>
          <w:rFonts w:ascii="Calibri Light" w:hAnsi="Calibri Light"/>
        </w:rPr>
        <w:t xml:space="preserve"> Under this option, NOPTA and NOPSEMA would remain separate entities but have integrated </w:t>
      </w:r>
      <w:r w:rsidR="0012261B" w:rsidRPr="00DF522B">
        <w:rPr>
          <w:rFonts w:ascii="Calibri Light" w:hAnsi="Calibri Light"/>
        </w:rPr>
        <w:t xml:space="preserve">project </w:t>
      </w:r>
      <w:r w:rsidRPr="00DF522B">
        <w:rPr>
          <w:rFonts w:ascii="Calibri Light" w:hAnsi="Calibri Light"/>
        </w:rPr>
        <w:t>governance processes</w:t>
      </w:r>
      <w:r w:rsidR="0012261B" w:rsidRPr="002B3EC4">
        <w:rPr>
          <w:rStyle w:val="FootnoteReference"/>
          <w:sz w:val="18"/>
        </w:rPr>
        <w:footnoteReference w:id="101"/>
      </w:r>
      <w:r w:rsidRPr="00DF522B">
        <w:rPr>
          <w:rFonts w:ascii="Calibri Light" w:hAnsi="Calibri Light"/>
        </w:rPr>
        <w:t xml:space="preserve"> on key issues, such as decommissioning. In practice this could result in the formation of cross-organisational teams tasked with addressing and coordinating on particular issues</w:t>
      </w:r>
    </w:p>
    <w:p w14:paraId="61812550" w14:textId="77777777" w:rsidR="00FD5930" w:rsidRPr="00DF522B" w:rsidRDefault="00FD5930" w:rsidP="000C1F53">
      <w:pPr>
        <w:pStyle w:val="ListParagraph"/>
        <w:widowControl w:val="0"/>
        <w:numPr>
          <w:ilvl w:val="0"/>
          <w:numId w:val="19"/>
        </w:numPr>
        <w:spacing w:after="120" w:line="240" w:lineRule="auto"/>
        <w:ind w:left="357" w:hanging="357"/>
        <w:contextualSpacing w:val="0"/>
        <w:rPr>
          <w:rFonts w:ascii="Calibri Light" w:hAnsi="Calibri Light"/>
        </w:rPr>
      </w:pPr>
      <w:r w:rsidRPr="00DF522B">
        <w:rPr>
          <w:rFonts w:ascii="Calibri Light" w:hAnsi="Calibri Light"/>
          <w:b/>
        </w:rPr>
        <w:t xml:space="preserve">Option 3: Establishment of a </w:t>
      </w:r>
      <w:r w:rsidR="00C844BB" w:rsidRPr="00DF522B">
        <w:rPr>
          <w:rFonts w:ascii="Calibri Light" w:hAnsi="Calibri Light"/>
          <w:b/>
        </w:rPr>
        <w:t xml:space="preserve">single independent offshore resources </w:t>
      </w:r>
      <w:r w:rsidR="0012261B" w:rsidRPr="00DF522B">
        <w:rPr>
          <w:rFonts w:ascii="Calibri Light" w:hAnsi="Calibri Light"/>
          <w:b/>
        </w:rPr>
        <w:t>model.</w:t>
      </w:r>
      <w:r w:rsidR="0012261B" w:rsidRPr="00DF522B">
        <w:rPr>
          <w:rFonts w:ascii="Calibri Light" w:hAnsi="Calibri Light"/>
        </w:rPr>
        <w:t xml:space="preserve"> Under this option, NOPTA would be moved from DISER and formally integrated into NOPSEMA, thus forming a single independent entity with the remit for the administration and regulation of offshore petroleum and GHG storage matters</w:t>
      </w:r>
      <w:r w:rsidRPr="00DF522B">
        <w:rPr>
          <w:rFonts w:ascii="Calibri Light" w:hAnsi="Calibri Light"/>
        </w:rPr>
        <w:t>.</w:t>
      </w:r>
    </w:p>
    <w:p w14:paraId="32814701" w14:textId="23A297BF" w:rsidR="0012261B" w:rsidRPr="00DF522B" w:rsidRDefault="0012261B" w:rsidP="002F7580">
      <w:pPr>
        <w:spacing w:after="120"/>
        <w:rPr>
          <w:rFonts w:ascii="Calibri Light" w:hAnsi="Calibri Light"/>
        </w:rPr>
      </w:pPr>
      <w:r w:rsidRPr="00DF522B">
        <w:rPr>
          <w:rFonts w:ascii="Calibri Light" w:hAnsi="Calibri Light"/>
        </w:rPr>
        <w:t xml:space="preserve">The question is whether the degree of coordination, cooperation, and collaboration required to support the next phase of Australia’s offshore industry can be achieved through the current model (Options 1 and 2), particularly </w:t>
      </w:r>
      <w:r w:rsidRPr="000500F1">
        <w:rPr>
          <w:rFonts w:ascii="Calibri Light" w:hAnsi="Calibri Light"/>
        </w:rPr>
        <w:t xml:space="preserve">in light of as-yet unaddressed challenges in the effective and efficient sharing of information and data, as discussed in </w:t>
      </w:r>
      <w:r w:rsidRPr="000500F1">
        <w:rPr>
          <w:rFonts w:ascii="Calibri Light" w:hAnsi="Calibri Light"/>
          <w:b/>
        </w:rPr>
        <w:t xml:space="preserve">Section </w:t>
      </w:r>
      <w:r w:rsidR="00897F35">
        <w:rPr>
          <w:rFonts w:ascii="Calibri Light" w:hAnsi="Calibri Light"/>
          <w:b/>
        </w:rPr>
        <w:fldChar w:fldCharType="begin"/>
      </w:r>
      <w:r w:rsidR="00897F35">
        <w:rPr>
          <w:rFonts w:ascii="Calibri Light" w:hAnsi="Calibri Light"/>
          <w:b/>
        </w:rPr>
        <w:instrText xml:space="preserve"> REF _Ref63329962 \r \h </w:instrText>
      </w:r>
      <w:r w:rsidR="00897F35">
        <w:rPr>
          <w:rFonts w:ascii="Calibri Light" w:hAnsi="Calibri Light"/>
          <w:b/>
        </w:rPr>
      </w:r>
      <w:r w:rsidR="00897F35">
        <w:rPr>
          <w:rFonts w:ascii="Calibri Light" w:hAnsi="Calibri Light"/>
          <w:b/>
        </w:rPr>
        <w:fldChar w:fldCharType="separate"/>
      </w:r>
      <w:r w:rsidR="00E816B8">
        <w:rPr>
          <w:rFonts w:ascii="Calibri Light" w:hAnsi="Calibri Light"/>
          <w:b/>
        </w:rPr>
        <w:t>9</w:t>
      </w:r>
      <w:r w:rsidR="00897F35">
        <w:rPr>
          <w:rFonts w:ascii="Calibri Light" w:hAnsi="Calibri Light"/>
          <w:b/>
        </w:rPr>
        <w:fldChar w:fldCharType="end"/>
      </w:r>
      <w:r w:rsidRPr="000500F1">
        <w:rPr>
          <w:rFonts w:ascii="Calibri Light" w:hAnsi="Calibri Light"/>
        </w:rPr>
        <w:t>.</w:t>
      </w:r>
      <w:r w:rsidRPr="00DF522B">
        <w:rPr>
          <w:rFonts w:ascii="Calibri Light" w:hAnsi="Calibri Light"/>
        </w:rPr>
        <w:t xml:space="preserve"> It is noted that the establishment of a unified offshore regulatory model (Option 3) would align to the 2009 Productivity Commission Review, which recommended the establishment of a single national regulator for the offshore oil and gas industry in Commonwealth waters. </w:t>
      </w:r>
    </w:p>
    <w:p w14:paraId="248DBC25" w14:textId="5B079AC3" w:rsidR="0012261B" w:rsidRPr="00DF522B" w:rsidRDefault="0012261B" w:rsidP="002F7580">
      <w:pPr>
        <w:spacing w:after="120"/>
        <w:rPr>
          <w:rFonts w:ascii="Calibri Light" w:hAnsi="Calibri Light"/>
        </w:rPr>
      </w:pPr>
      <w:r w:rsidRPr="00DF522B">
        <w:rPr>
          <w:rFonts w:ascii="Calibri Light" w:hAnsi="Calibri Light"/>
        </w:rPr>
        <w:t xml:space="preserve">In developing our report, we have not taken a position on the question of whether a unified offshore resources model should be established – it requires analysis outside the scope of the current report. However, </w:t>
      </w:r>
      <w:r w:rsidR="00A6159E">
        <w:rPr>
          <w:rFonts w:ascii="Calibri Light" w:hAnsi="Calibri Light"/>
        </w:rPr>
        <w:t>there is</w:t>
      </w:r>
      <w:r w:rsidRPr="00DF522B">
        <w:rPr>
          <w:rFonts w:ascii="Calibri Light" w:hAnsi="Calibri Light"/>
        </w:rPr>
        <w:t xml:space="preserve"> merit in the concept of NOPTA being moved into NOPSEMA being explored further. We also note that the balance of our recommendations have been made on the assumption that the status quo model remains in place. </w:t>
      </w:r>
    </w:p>
    <w:p w14:paraId="6C77958E" w14:textId="77777777" w:rsidR="0012261B" w:rsidRPr="00DF522B" w:rsidRDefault="0012261B" w:rsidP="002F7580">
      <w:pPr>
        <w:spacing w:after="120"/>
        <w:rPr>
          <w:rFonts w:ascii="Calibri Light" w:hAnsi="Calibri Light"/>
        </w:rPr>
      </w:pPr>
      <w:r w:rsidRPr="00DF522B">
        <w:rPr>
          <w:rFonts w:ascii="Calibri Light" w:hAnsi="Calibri Light"/>
        </w:rPr>
        <w:t>For a unified model to be successful, at minimum, the following considerations or questions need to be satisfactorily addressed:</w:t>
      </w:r>
    </w:p>
    <w:p w14:paraId="42B158AE" w14:textId="77777777" w:rsidR="0012261B" w:rsidRPr="00DF522B" w:rsidRDefault="0012261B" w:rsidP="000C1F53">
      <w:pPr>
        <w:pStyle w:val="ListParagraph"/>
        <w:widowControl w:val="0"/>
        <w:numPr>
          <w:ilvl w:val="0"/>
          <w:numId w:val="19"/>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Independence and governance.</w:t>
      </w:r>
      <w:r w:rsidRPr="00DF522B">
        <w:rPr>
          <w:rFonts w:ascii="Calibri Light" w:hAnsi="Calibri Light" w:cs="OpenSansRegular"/>
        </w:rPr>
        <w:t xml:space="preserve"> A unified model would need to determine how independence of safety, well integrity, and environmental regulatory functions from administrative functions would be maintained. A governance model in this context would need to maintain separation of these duties (e.g. through mechanisms such as ‘ring-fencing’ and appropriate internal controls) </w:t>
      </w:r>
    </w:p>
    <w:p w14:paraId="28A3DADD" w14:textId="77777777" w:rsidR="0012261B" w:rsidRPr="00DF522B" w:rsidRDefault="0012261B" w:rsidP="000C1F53">
      <w:pPr>
        <w:pStyle w:val="ListParagraph"/>
        <w:widowControl w:val="0"/>
        <w:numPr>
          <w:ilvl w:val="0"/>
          <w:numId w:val="19"/>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 xml:space="preserve">Coordination and collaboration with the policy arm. </w:t>
      </w:r>
      <w:r w:rsidRPr="00DF522B">
        <w:rPr>
          <w:rFonts w:ascii="Calibri Light" w:hAnsi="Calibri Light" w:cs="OpenSansRegular"/>
        </w:rPr>
        <w:t>As we have outlined above, the ability for the administrative and policy arms of the offshore legislative framework to collaborate and coordinate effectively will remain essential. A unified model must consider how these outcomes will be achieved</w:t>
      </w:r>
    </w:p>
    <w:p w14:paraId="311006FC" w14:textId="77777777" w:rsidR="0012261B" w:rsidRPr="00DF522B" w:rsidRDefault="0012261B" w:rsidP="000C1F53">
      <w:pPr>
        <w:pStyle w:val="ListParagraph"/>
        <w:widowControl w:val="0"/>
        <w:numPr>
          <w:ilvl w:val="0"/>
          <w:numId w:val="19"/>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 xml:space="preserve">Dual focus. </w:t>
      </w:r>
      <w:r w:rsidRPr="00DF522B">
        <w:rPr>
          <w:rFonts w:ascii="Calibri Light" w:hAnsi="Calibri Light" w:cs="OpenSansRegular"/>
        </w:rPr>
        <w:t xml:space="preserve">Assurance must be gained that a unified model is able to give sufficient focus to both NOPTA’s and NOPSEMA’s respective functions – that is, the fulfilment of the regulatory role, does not detract from the fulfilment of the administrative role and vice versa </w:t>
      </w:r>
    </w:p>
    <w:p w14:paraId="4EE8BBF3" w14:textId="77777777" w:rsidR="0012261B" w:rsidRPr="00DF522B" w:rsidRDefault="0012261B" w:rsidP="000C1F53">
      <w:pPr>
        <w:pStyle w:val="ListParagraph"/>
        <w:widowControl w:val="0"/>
        <w:numPr>
          <w:ilvl w:val="0"/>
          <w:numId w:val="19"/>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bCs/>
        </w:rPr>
        <w:t xml:space="preserve">Degree of actual conflicts of interest present. </w:t>
      </w:r>
      <w:r w:rsidRPr="00DF522B">
        <w:rPr>
          <w:rFonts w:ascii="Calibri Light" w:hAnsi="Calibri Light" w:cs="OpenSansRegular"/>
        </w:rPr>
        <w:t>Consideration should be given to the degree of actual conflict of interest present between NOPTA’s objectives and NOPSEMA’s safety and environmental objectives. Consideration needs to be given as to whether, should NOPTA take a more proactive and influential role in industry (with greater decision-making powers as we recommend), this would exacerbate any actual or perceived conflicts of interest if a unified model were established</w:t>
      </w:r>
    </w:p>
    <w:p w14:paraId="517F4147" w14:textId="77777777" w:rsidR="00FD5930" w:rsidRPr="00DF522B" w:rsidRDefault="00FD5930" w:rsidP="000C1F53">
      <w:pPr>
        <w:pStyle w:val="ListParagraph"/>
        <w:widowControl w:val="0"/>
        <w:numPr>
          <w:ilvl w:val="0"/>
          <w:numId w:val="19"/>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rPr>
        <w:t>Stakeholder perceptions.</w:t>
      </w:r>
      <w:r w:rsidRPr="00DF522B">
        <w:rPr>
          <w:rFonts w:ascii="Calibri Light" w:hAnsi="Calibri Light" w:cs="OpenSansRegular"/>
        </w:rPr>
        <w:t xml:space="preserve"> Community and industry confidence in the offshore </w:t>
      </w:r>
      <w:r w:rsidR="00FF2C01" w:rsidRPr="00DF522B">
        <w:rPr>
          <w:rFonts w:ascii="Calibri Light" w:hAnsi="Calibri Light" w:cs="OpenSansRegular"/>
        </w:rPr>
        <w:t xml:space="preserve">legislative </w:t>
      </w:r>
      <w:r w:rsidRPr="00DF522B">
        <w:rPr>
          <w:rFonts w:ascii="Calibri Light" w:hAnsi="Calibri Light" w:cs="OpenSansRegular"/>
        </w:rPr>
        <w:t xml:space="preserve">framework is paramount for retaining a ‘social licence to regulate’. A unified model would need to be able to transparently demonstrate independence of mind and appearance of its functions and not detract from stakeholder confidence </w:t>
      </w:r>
    </w:p>
    <w:p w14:paraId="19F81F21" w14:textId="77777777" w:rsidR="00FD5930" w:rsidRPr="00DF522B" w:rsidRDefault="00FD5930" w:rsidP="000C1F53">
      <w:pPr>
        <w:pStyle w:val="ListParagraph"/>
        <w:widowControl w:val="0"/>
        <w:numPr>
          <w:ilvl w:val="0"/>
          <w:numId w:val="19"/>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rPr>
        <w:t>Joint Authority decision-making.</w:t>
      </w:r>
      <w:r w:rsidRPr="00DF522B">
        <w:rPr>
          <w:rFonts w:ascii="Calibri Light" w:hAnsi="Calibri Light" w:cs="OpenSansRegular"/>
        </w:rPr>
        <w:t xml:space="preserve"> </w:t>
      </w:r>
      <w:r w:rsidR="0012261B" w:rsidRPr="00DF522B">
        <w:rPr>
          <w:rFonts w:ascii="Calibri Light" w:hAnsi="Calibri Light" w:cs="OpenSansRegular"/>
        </w:rPr>
        <w:t>Understanding the role and functions of the Joint Authorities under such an arrangement to ensure oversight and policy input by ministerial decision-makers as appropriate</w:t>
      </w:r>
    </w:p>
    <w:p w14:paraId="5ECF02C3" w14:textId="77777777" w:rsidR="00FD5930" w:rsidRPr="00DF522B" w:rsidRDefault="00FD5930" w:rsidP="000C1F53">
      <w:pPr>
        <w:pStyle w:val="ListParagraph"/>
        <w:widowControl w:val="0"/>
        <w:numPr>
          <w:ilvl w:val="0"/>
          <w:numId w:val="19"/>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rPr>
        <w:t>Impact assessment for policy, legislation, regulations, and operating documents.</w:t>
      </w:r>
      <w:r w:rsidRPr="00DF522B">
        <w:rPr>
          <w:rFonts w:ascii="Calibri Light" w:hAnsi="Calibri Light" w:cs="OpenSansRegular"/>
        </w:rPr>
        <w:t xml:space="preserve"> Consideration would need to be given to the degree of change </w:t>
      </w:r>
      <w:r w:rsidRPr="00DF522B" w:rsidDel="009750B0">
        <w:rPr>
          <w:rFonts w:ascii="Calibri Light" w:hAnsi="Calibri Light" w:cs="OpenSansRegular"/>
        </w:rPr>
        <w:t xml:space="preserve">(if any) </w:t>
      </w:r>
      <w:r w:rsidRPr="00DF522B">
        <w:rPr>
          <w:rFonts w:ascii="Calibri Light" w:hAnsi="Calibri Light" w:cs="OpenSansRegular"/>
        </w:rPr>
        <w:t>to the existing legislative and regulatory framework to establish a unified model. The costs and timescale to effect this change would also need to be examined</w:t>
      </w:r>
    </w:p>
    <w:p w14:paraId="31C1C21B" w14:textId="77777777" w:rsidR="00FD5930" w:rsidRDefault="00FD5930" w:rsidP="000C1F53">
      <w:pPr>
        <w:pStyle w:val="ListParagraph"/>
        <w:widowControl w:val="0"/>
        <w:numPr>
          <w:ilvl w:val="0"/>
          <w:numId w:val="19"/>
        </w:numPr>
        <w:spacing w:before="120" w:after="120" w:line="240" w:lineRule="auto"/>
        <w:ind w:left="357" w:hanging="357"/>
        <w:contextualSpacing w:val="0"/>
        <w:rPr>
          <w:rFonts w:ascii="Calibri Light" w:hAnsi="Calibri Light" w:cs="OpenSansRegular"/>
        </w:rPr>
      </w:pPr>
      <w:r w:rsidRPr="00DF522B">
        <w:rPr>
          <w:rFonts w:ascii="Calibri Light" w:hAnsi="Calibri Light" w:cs="OpenSansRegular"/>
          <w:b/>
        </w:rPr>
        <w:t>Reducing regulatory burden: areas of synergy and cost efficiencies.</w:t>
      </w:r>
      <w:r w:rsidRPr="00DF522B">
        <w:rPr>
          <w:rFonts w:ascii="Calibri Light" w:hAnsi="Calibri Light" w:cs="OpenSansRegular"/>
        </w:rPr>
        <w:t xml:space="preserve"> An evaluation of the actual areas of capability overlap (either in people, processes, or technology) to determine cost saving efficiencies (if present)</w:t>
      </w:r>
    </w:p>
    <w:p w14:paraId="2C76D28A" w14:textId="707E8064" w:rsidR="008D69C2" w:rsidRPr="008D69C2" w:rsidRDefault="00FD5930" w:rsidP="008D69C2">
      <w:pPr>
        <w:pStyle w:val="ListParagraph"/>
        <w:widowControl w:val="0"/>
        <w:numPr>
          <w:ilvl w:val="0"/>
          <w:numId w:val="19"/>
        </w:numPr>
        <w:spacing w:before="120" w:after="120" w:line="240" w:lineRule="auto"/>
        <w:ind w:left="357" w:hanging="357"/>
        <w:contextualSpacing w:val="0"/>
        <w:rPr>
          <w:rFonts w:cs="OpenSansRegular"/>
        </w:rPr>
      </w:pPr>
      <w:r w:rsidRPr="00901C7B">
        <w:rPr>
          <w:rFonts w:ascii="Calibri Light" w:hAnsi="Calibri Light" w:cs="OpenSansRegular"/>
          <w:b/>
        </w:rPr>
        <w:t>Strategic benefits</w:t>
      </w:r>
      <w:r w:rsidRPr="00901C7B">
        <w:rPr>
          <w:rFonts w:ascii="Calibri Light" w:hAnsi="Calibri Light" w:cs="OpenSansRegular"/>
        </w:rPr>
        <w:t xml:space="preserve">. </w:t>
      </w:r>
      <w:r w:rsidR="0012261B" w:rsidRPr="00901C7B">
        <w:rPr>
          <w:rFonts w:ascii="Calibri Light" w:hAnsi="Calibri Light" w:cs="OpenSansRegular"/>
        </w:rPr>
        <w:t>Consider if there are other strategic benefits from a unified model, such as greater coordination and collaboration helping enable a ‘One Government’</w:t>
      </w:r>
      <w:r w:rsidRPr="00901C7B">
        <w:rPr>
          <w:rFonts w:ascii="Calibri Light" w:hAnsi="Calibri Light" w:cs="OpenSansRegular"/>
        </w:rPr>
        <w:t xml:space="preserve"> approach to offshore resource regulation or benefits in making shared use of scarce technical capabilities or sharing of data to inform regulatory activities.</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FD5930" w:rsidRPr="00DA0585" w14:paraId="7539F53A" w14:textId="77777777" w:rsidTr="00297ED4">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4D84A850" w14:textId="5F7A8587" w:rsidR="00FD5930" w:rsidRPr="00A470B1" w:rsidRDefault="00FD5930" w:rsidP="00053250">
            <w:pPr>
              <w:pStyle w:val="TableHeadingLeft"/>
              <w:rPr>
                <w:bCs/>
              </w:rPr>
            </w:pPr>
            <w:r w:rsidRPr="00A470B1">
              <w:rPr>
                <w:bCs/>
              </w:rPr>
              <w:t>Recommendation #</w:t>
            </w:r>
            <w:r w:rsidR="004A59F4" w:rsidRPr="00A470B1">
              <w:rPr>
                <w:bCs/>
              </w:rPr>
              <w:t>2</w:t>
            </w:r>
            <w:r w:rsidR="005E06AF">
              <w:rPr>
                <w:bCs/>
              </w:rPr>
              <w:t>4</w:t>
            </w:r>
          </w:p>
        </w:tc>
      </w:tr>
      <w:tr w:rsidR="00DA0585" w:rsidRPr="00DA0585" w14:paraId="26380A71" w14:textId="77777777" w:rsidTr="00297ED4">
        <w:tc>
          <w:tcPr>
            <w:tcW w:w="9864" w:type="dxa"/>
            <w:tcBorders>
              <w:bottom w:val="nil"/>
            </w:tcBorders>
            <w:shd w:val="clear" w:color="auto" w:fill="F2F2F2" w:themeFill="background1" w:themeFillShade="F2"/>
          </w:tcPr>
          <w:p w14:paraId="5D845E16" w14:textId="77777777" w:rsidR="00691F60" w:rsidRPr="00DA0585" w:rsidRDefault="00691F60" w:rsidP="00691F60">
            <w:pPr>
              <w:spacing w:after="60"/>
              <w:rPr>
                <w:rFonts w:ascii="Calibri Light" w:eastAsia="Verdana" w:hAnsi="Calibri Light" w:cs="Calibri Light"/>
              </w:rPr>
            </w:pPr>
            <w:r w:rsidRPr="00DA0585">
              <w:rPr>
                <w:rFonts w:ascii="Calibri Light" w:eastAsia="Verdana" w:hAnsi="Calibri Light" w:cs="Calibri Light"/>
              </w:rPr>
              <w:t>The Government should, in consultation with other stakeholders as appropriate, consider if there should be a single offshore resources regulator covering:</w:t>
            </w:r>
          </w:p>
          <w:p w14:paraId="3A1A61C9" w14:textId="20BBD3DD" w:rsidR="00691F60" w:rsidRPr="00DA0585" w:rsidRDefault="00691F60" w:rsidP="000C1F53">
            <w:pPr>
              <w:pStyle w:val="BodycopyNEW0"/>
              <w:numPr>
                <w:ilvl w:val="0"/>
                <w:numId w:val="23"/>
              </w:numPr>
              <w:ind w:left="378"/>
              <w:rPr>
                <w:szCs w:val="18"/>
              </w:rPr>
            </w:pPr>
            <w:r w:rsidRPr="00DA0585">
              <w:rPr>
                <w:szCs w:val="18"/>
              </w:rPr>
              <w:lastRenderedPageBreak/>
              <w:t>Offshore petroleum</w:t>
            </w:r>
            <w:r w:rsidR="004A41A9">
              <w:rPr>
                <w:szCs w:val="18"/>
              </w:rPr>
              <w:t>,</w:t>
            </w:r>
            <w:r w:rsidRPr="00DA0585">
              <w:rPr>
                <w:szCs w:val="18"/>
              </w:rPr>
              <w:t xml:space="preserve"> GHG storage</w:t>
            </w:r>
            <w:r w:rsidR="004A41A9">
              <w:rPr>
                <w:szCs w:val="18"/>
              </w:rPr>
              <w:t xml:space="preserve"> and titles administration</w:t>
            </w:r>
          </w:p>
          <w:p w14:paraId="21263629" w14:textId="77777777" w:rsidR="00691F60" w:rsidRPr="00DA0585" w:rsidRDefault="00691F60" w:rsidP="000C1F53">
            <w:pPr>
              <w:pStyle w:val="BodycopyNEW0"/>
              <w:numPr>
                <w:ilvl w:val="0"/>
                <w:numId w:val="23"/>
              </w:numPr>
              <w:ind w:left="378"/>
              <w:rPr>
                <w:szCs w:val="18"/>
              </w:rPr>
            </w:pPr>
            <w:r w:rsidRPr="00DA0585">
              <w:rPr>
                <w:szCs w:val="18"/>
              </w:rPr>
              <w:t>Regulation of safety and environmental matters for offshore petroleum and GHG storage</w:t>
            </w:r>
            <w:r w:rsidRPr="00DA0585" w:rsidDel="00963CB4">
              <w:rPr>
                <w:szCs w:val="18"/>
              </w:rPr>
              <w:t>.</w:t>
            </w:r>
          </w:p>
          <w:p w14:paraId="51F88A13" w14:textId="77777777" w:rsidR="00691F60" w:rsidRPr="00DA0585" w:rsidRDefault="00691F60" w:rsidP="00691F60">
            <w:pPr>
              <w:widowControl w:val="0"/>
              <w:spacing w:after="60" w:line="240" w:lineRule="auto"/>
              <w:rPr>
                <w:rFonts w:ascii="Calibri Light" w:eastAsia="Verdana" w:hAnsi="Calibri Light" w:cs="Calibri Light"/>
              </w:rPr>
            </w:pPr>
            <w:r w:rsidRPr="00DA0585">
              <w:rPr>
                <w:rFonts w:ascii="Calibri Light" w:eastAsia="Verdana" w:hAnsi="Calibri Light" w:cs="Calibri Light"/>
              </w:rPr>
              <w:t>In undertaking this recommendation, there should be regard for:</w:t>
            </w:r>
          </w:p>
          <w:p w14:paraId="46D5EA2C" w14:textId="77777777" w:rsidR="00691F60" w:rsidRPr="00DA0585" w:rsidRDefault="00691F60" w:rsidP="000C1F53">
            <w:pPr>
              <w:pStyle w:val="BodycopyNEW0"/>
              <w:numPr>
                <w:ilvl w:val="0"/>
                <w:numId w:val="23"/>
              </w:numPr>
              <w:ind w:left="378"/>
              <w:rPr>
                <w:szCs w:val="18"/>
              </w:rPr>
            </w:pPr>
            <w:r w:rsidRPr="00DA0585">
              <w:rPr>
                <w:szCs w:val="18"/>
              </w:rPr>
              <w:t>The relative merits of alternative options, such as retaining the current model</w:t>
            </w:r>
          </w:p>
          <w:p w14:paraId="4BC02AD5" w14:textId="178569B6" w:rsidR="00EF7223" w:rsidRPr="00DA0585" w:rsidRDefault="00691F60" w:rsidP="000C1F53">
            <w:pPr>
              <w:pStyle w:val="BodycopyNEW0"/>
              <w:numPr>
                <w:ilvl w:val="0"/>
                <w:numId w:val="23"/>
              </w:numPr>
              <w:ind w:left="378"/>
              <w:rPr>
                <w:szCs w:val="18"/>
              </w:rPr>
            </w:pPr>
            <w:r w:rsidRPr="00DA0585">
              <w:rPr>
                <w:szCs w:val="18"/>
              </w:rPr>
              <w:t>Governance models for such an entity, with reference to how governance structures can ensure the appropriate involvement of the Joint Authorities, maintenance of regulatory independence by NOPSEMA, and independence between titles administration activities and safety and environmental management regulation.</w:t>
            </w:r>
          </w:p>
        </w:tc>
      </w:tr>
    </w:tbl>
    <w:p w14:paraId="6C208F42" w14:textId="77777777" w:rsidR="0042029C" w:rsidRDefault="0042029C" w:rsidP="00901C7B">
      <w:pPr>
        <w:pStyle w:val="Heading2"/>
        <w:spacing w:before="120"/>
        <w:contextualSpacing w:val="0"/>
      </w:pPr>
      <w:bookmarkStart w:id="224" w:name="_Ref58594926"/>
      <w:r>
        <w:lastRenderedPageBreak/>
        <w:t>Future of regulation</w:t>
      </w:r>
      <w:bookmarkEnd w:id="224"/>
    </w:p>
    <w:p w14:paraId="3824BFBA" w14:textId="77777777" w:rsidR="0042029C" w:rsidRDefault="0042029C" w:rsidP="00580D94">
      <w:pPr>
        <w:pStyle w:val="BodyCopyNEW"/>
      </w:pPr>
      <w:r>
        <w:t xml:space="preserve">Having an organisational culture that exhibits innovation and processes to support continuous improvement are key ingredients for finding efficiency improvements and reducing regulatory burden. </w:t>
      </w:r>
    </w:p>
    <w:p w14:paraId="74DC1A02" w14:textId="77777777" w:rsidR="0042029C" w:rsidRDefault="0042029C" w:rsidP="00784E0E">
      <w:pPr>
        <w:pStyle w:val="Heading3"/>
      </w:pPr>
      <w:r>
        <w:t>NOPSEMA initiatives</w:t>
      </w:r>
    </w:p>
    <w:p w14:paraId="3ADEBDF5" w14:textId="5D60A908" w:rsidR="0042029C" w:rsidRDefault="00327ACB" w:rsidP="00580D94">
      <w:pPr>
        <w:pStyle w:val="BodyCopyNEW"/>
      </w:pPr>
      <w:r>
        <w:t>NOPSEMA has</w:t>
      </w:r>
      <w:r w:rsidR="0042029C">
        <w:t xml:space="preserve"> delivered or are delivering a number of initiatives which are expected to have operational improvement benefits. For instance, NOPSEMA: is moving key systems to the cloud to reduce long-term ICT costs and improve NOPSEMA’s digital capabilities; has implemented the procure-to-pay module in TechnologyOne (NOPSEMA’s finance management system) and implementation of the enterprise budgeting model (underway), and; implemented ‘stretch cost reduction targets’ of 3.5% during 2019-20.</w:t>
      </w:r>
      <w:r w:rsidR="0042029C" w:rsidDel="00CB7652">
        <w:t xml:space="preserve"> </w:t>
      </w:r>
    </w:p>
    <w:p w14:paraId="0E2A23F8" w14:textId="77777777" w:rsidR="0042029C" w:rsidRPr="00500B40" w:rsidRDefault="0042029C" w:rsidP="00580D94">
      <w:pPr>
        <w:pStyle w:val="Heading3NoNumber"/>
      </w:pPr>
      <w:r>
        <w:t>Stakeholder perceptions of NOPSEMA’s innovation, seeking of feedback, and use of leading practice were mixed</w:t>
      </w:r>
    </w:p>
    <w:p w14:paraId="01B28AE8" w14:textId="77777777" w:rsidR="0042029C" w:rsidRDefault="0042029C" w:rsidP="00580D94">
      <w:pPr>
        <w:pStyle w:val="BodyCopyNEW"/>
      </w:pPr>
      <w:r>
        <w:t xml:space="preserve">International regulators have positive perceptions of NOPSEMA’s innovation and approach to continuous improvement. For example, international peers noted, based on their interactions with NOPSEMA through forums such as the IRF, NOPSEMA appears to apply leading practice, with several noting that NOPSEMA were their ‘first port of call’ if seeking advice on issues within their jurisdiction. </w:t>
      </w:r>
    </w:p>
    <w:p w14:paraId="1E664D30" w14:textId="13C0F18D" w:rsidR="00F0409D" w:rsidRDefault="0042029C" w:rsidP="00F0409D">
      <w:pPr>
        <w:pStyle w:val="BodyCopyNEW"/>
      </w:pPr>
      <w:r>
        <w:t>In contrast, stakeholders domestically had less favourable perspectives. Referring to</w:t>
      </w:r>
      <w:r w:rsidR="00F0409D">
        <w:t xml:space="preserve"> </w:t>
      </w:r>
      <w:r w:rsidR="00F0409D" w:rsidRPr="00F0409D">
        <w:rPr>
          <w:b/>
          <w:bCs/>
        </w:rPr>
        <w:fldChar w:fldCharType="begin"/>
      </w:r>
      <w:r w:rsidR="00F0409D" w:rsidRPr="00F0409D">
        <w:rPr>
          <w:b/>
          <w:bCs/>
        </w:rPr>
        <w:instrText xml:space="preserve"> REF _Ref63970693 \h </w:instrText>
      </w:r>
      <w:r w:rsidR="00F0409D">
        <w:rPr>
          <w:b/>
          <w:bCs/>
        </w:rPr>
        <w:instrText xml:space="preserve"> \* MERGEFORMAT </w:instrText>
      </w:r>
      <w:r w:rsidR="00F0409D" w:rsidRPr="00F0409D">
        <w:rPr>
          <w:b/>
          <w:bCs/>
        </w:rPr>
      </w:r>
      <w:r w:rsidR="00F0409D" w:rsidRPr="00F0409D">
        <w:rPr>
          <w:b/>
          <w:bCs/>
        </w:rPr>
        <w:fldChar w:fldCharType="separate"/>
      </w:r>
      <w:r w:rsidR="00E816B8" w:rsidRPr="00E816B8">
        <w:rPr>
          <w:b/>
          <w:bCs/>
        </w:rPr>
        <w:t xml:space="preserve">Figure </w:t>
      </w:r>
      <w:r w:rsidR="00E816B8" w:rsidRPr="00E816B8">
        <w:rPr>
          <w:b/>
          <w:bCs/>
          <w:noProof/>
        </w:rPr>
        <w:t>12.1</w:t>
      </w:r>
      <w:r w:rsidR="00F0409D" w:rsidRPr="00F0409D">
        <w:rPr>
          <w:b/>
          <w:bCs/>
        </w:rPr>
        <w:fldChar w:fldCharType="end"/>
      </w:r>
      <w:r w:rsidR="00F0409D">
        <w:t>:</w:t>
      </w:r>
    </w:p>
    <w:p w14:paraId="242DA19E" w14:textId="524439B2" w:rsidR="0042029C" w:rsidRPr="00917B25" w:rsidRDefault="0042029C" w:rsidP="00F0409D">
      <w:pPr>
        <w:pStyle w:val="BodycopyNEW0"/>
        <w:numPr>
          <w:ilvl w:val="0"/>
          <w:numId w:val="23"/>
        </w:numPr>
        <w:ind w:left="378"/>
      </w:pPr>
      <w:r w:rsidRPr="00917B25">
        <w:t>Only 36% of stakeholders surveyed ‘strongly agreed’ or ‘agreed’ that NOPSEMA demonstrates it is an innovative regulator and regularly seeks feedback on how it can improve the delivery of its functions</w:t>
      </w:r>
    </w:p>
    <w:p w14:paraId="059DDF4D" w14:textId="77777777" w:rsidR="0042029C" w:rsidRPr="00917B25" w:rsidRDefault="0042029C" w:rsidP="000C1F53">
      <w:pPr>
        <w:pStyle w:val="BodycopyNEW0"/>
        <w:numPr>
          <w:ilvl w:val="0"/>
          <w:numId w:val="23"/>
        </w:numPr>
        <w:ind w:left="378"/>
      </w:pPr>
      <w:r w:rsidRPr="00917B25">
        <w:t>Similarly, only 48% of stakeholders surveyed ‘strongly agreed’ or ‘agreed’ that NOPSEMA utilises relevant industry leading practice in delivering regulatory activities.</w:t>
      </w:r>
    </w:p>
    <w:p w14:paraId="71BC0F49" w14:textId="3BC361F7" w:rsidR="00105B6A" w:rsidRPr="008D69C2" w:rsidRDefault="0042029C" w:rsidP="008D69C2">
      <w:pPr>
        <w:pStyle w:val="BodyCopyNEW"/>
      </w:pPr>
      <w:r>
        <w:t>The overall sentiment was that NOPSEMA take a conservative approach to innovation and continuous improvement.</w:t>
      </w:r>
      <w:bookmarkStart w:id="225" w:name="_Ref58451348"/>
    </w:p>
    <w:p w14:paraId="36AE04BB" w14:textId="519A937E" w:rsidR="00FA5351" w:rsidRDefault="00FA5351" w:rsidP="008D69C2">
      <w:pPr>
        <w:pStyle w:val="Caption"/>
        <w:keepNext/>
      </w:pPr>
      <w:bookmarkStart w:id="226" w:name="_Ref63970693"/>
      <w:r>
        <w:t xml:space="preserve">Figure </w:t>
      </w:r>
      <w:r w:rsidR="00AD41F8">
        <w:fldChar w:fldCharType="begin"/>
      </w:r>
      <w:r w:rsidR="00AD41F8">
        <w:instrText xml:space="preserve"> STYLEREF 1 \s </w:instrText>
      </w:r>
      <w:r w:rsidR="00AD41F8">
        <w:fldChar w:fldCharType="separate"/>
      </w:r>
      <w:r w:rsidR="00E816B8">
        <w:rPr>
          <w:noProof/>
        </w:rPr>
        <w:t>12</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1</w:t>
      </w:r>
      <w:r w:rsidR="00AD41F8">
        <w:fldChar w:fldCharType="end"/>
      </w:r>
      <w:bookmarkEnd w:id="225"/>
      <w:bookmarkEnd w:id="226"/>
      <w:r>
        <w:t xml:space="preserve">: </w:t>
      </w:r>
      <w:r w:rsidRPr="00B17531">
        <w:t>Survey responses to NOPSEMA's innovation and continuou</w:t>
      </w:r>
      <w:r>
        <w:t>s improvement</w:t>
      </w:r>
    </w:p>
    <w:p w14:paraId="65E384D3" w14:textId="77777777" w:rsidR="0042029C" w:rsidRDefault="0042029C" w:rsidP="0042029C">
      <w:r w:rsidRPr="00ED40A3">
        <w:rPr>
          <w:noProof/>
          <w:lang w:eastAsia="en-AU"/>
        </w:rPr>
        <w:drawing>
          <wp:inline distT="0" distB="0" distL="0" distR="0" wp14:anchorId="5C797B22" wp14:editId="09DB04B0">
            <wp:extent cx="6240780" cy="2664000"/>
            <wp:effectExtent l="0" t="0" r="7620" b="3175"/>
            <wp:docPr id="19" name="Chart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2B41D74-2641-4E46-9673-903866586F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646B8E95" w14:textId="77777777" w:rsidR="0042029C" w:rsidRPr="00BB19F6" w:rsidRDefault="0042029C" w:rsidP="0042029C">
      <w:pPr>
        <w:widowControl w:val="0"/>
        <w:spacing w:before="120" w:after="120" w:line="240" w:lineRule="auto"/>
        <w:rPr>
          <w:rFonts w:ascii="Calibri Light" w:hAnsi="Calibri Light" w:cs="Calibri Light"/>
          <w:sz w:val="14"/>
          <w:szCs w:val="14"/>
        </w:rPr>
      </w:pPr>
      <w:r w:rsidRPr="00BB19F6">
        <w:rPr>
          <w:rFonts w:ascii="Calibri Light" w:hAnsi="Calibri Light" w:cs="Calibri Light"/>
          <w:sz w:val="14"/>
          <w:szCs w:val="14"/>
        </w:rPr>
        <w:t>*NOTE: leading practice could refer to utilising a new technology, technique, process, practice, or other innovation</w:t>
      </w:r>
    </w:p>
    <w:p w14:paraId="0D49D49B" w14:textId="77777777" w:rsidR="0042029C" w:rsidRPr="00BB19F6" w:rsidRDefault="0042029C" w:rsidP="0042029C">
      <w:pPr>
        <w:widowControl w:val="0"/>
        <w:spacing w:before="120" w:after="120" w:line="240" w:lineRule="auto"/>
        <w:rPr>
          <w:rFonts w:ascii="Calibri Light" w:hAnsi="Calibri Light" w:cs="Calibri Light"/>
          <w:sz w:val="14"/>
          <w:szCs w:val="14"/>
        </w:rPr>
      </w:pPr>
      <w:r w:rsidRPr="00BB19F6">
        <w:rPr>
          <w:rFonts w:ascii="Calibri Light" w:hAnsi="Calibri Light" w:cs="Calibri Light"/>
          <w:sz w:val="14"/>
          <w:szCs w:val="14"/>
        </w:rPr>
        <w:t>**NOTE: feedback could be through a survey, meeting, or other form of interaction</w:t>
      </w:r>
    </w:p>
    <w:p w14:paraId="646DF60E" w14:textId="709E5596" w:rsidR="0042029C" w:rsidRPr="00BC60E9" w:rsidRDefault="0042029C" w:rsidP="00A067D9">
      <w:pPr>
        <w:pStyle w:val="Caption"/>
        <w:rPr>
          <w:b w:val="0"/>
          <w:bCs/>
          <w:i/>
          <w:iCs w:val="0"/>
          <w:color w:val="75787B" w:themeColor="accent6"/>
        </w:rPr>
      </w:pPr>
      <w:r w:rsidRPr="00BC60E9">
        <w:rPr>
          <w:b w:val="0"/>
          <w:bCs/>
          <w:i/>
          <w:iCs w:val="0"/>
          <w:color w:val="75787B" w:themeColor="accent6"/>
        </w:rPr>
        <w:t xml:space="preserve">Source: Deloitte Stakeholder Survey, Deloitte analysis </w:t>
      </w:r>
    </w:p>
    <w:p w14:paraId="69855651" w14:textId="0FE1FF84" w:rsidR="0042029C" w:rsidRPr="00CF6FC7" w:rsidRDefault="0042029C" w:rsidP="00580D94">
      <w:pPr>
        <w:pStyle w:val="BodyCopyNEW"/>
      </w:pPr>
      <w:r>
        <w:lastRenderedPageBreak/>
        <w:t>NOPSEMA should not be expected to be at the ‘leading edge’ of innovation given the scope of NOPSEMA’s regulatory remit and the potential risks of utilising unproven methods – it could be a close follower. We encourage NOPSEMA look to advances in regulatory practices in adjacent industries (such as logistics) and to other jurisdiction for identifying potential efficiency and effectiveness improvements. For example, a number of regulators globally are making use of technologies like augmented reality and drones to carry out remote inspections. While these should not be a substitute for in-person inspections, they could be used to supplement an inspection program</w:t>
      </w:r>
      <w:r w:rsidDel="007A4319">
        <w:t>.</w:t>
      </w:r>
    </w:p>
    <w:p w14:paraId="0D5D05FB" w14:textId="4F96BE0C" w:rsidR="009D5D90" w:rsidRDefault="009D5D90" w:rsidP="00784E0E">
      <w:pPr>
        <w:pStyle w:val="Heading3"/>
      </w:pPr>
      <w:bookmarkStart w:id="227" w:name="_Ref56151440"/>
      <w:r>
        <w:t>Future opportunities</w:t>
      </w:r>
      <w:bookmarkEnd w:id="227"/>
    </w:p>
    <w:p w14:paraId="3B4D5C75" w14:textId="4775CD97" w:rsidR="0042029C" w:rsidRPr="00DB57F9" w:rsidRDefault="0042029C" w:rsidP="00580D94">
      <w:pPr>
        <w:pStyle w:val="Heading3NoNumber"/>
      </w:pPr>
      <w:r>
        <w:t>The future of NOPSEMA’s regulatory activities should be underpinned by access to and use of data to drive decisions and technologies enabling remote inspections</w:t>
      </w:r>
    </w:p>
    <w:p w14:paraId="21E0D816" w14:textId="77777777" w:rsidR="0042029C" w:rsidRPr="002B3EC4" w:rsidRDefault="0042029C" w:rsidP="00580D94">
      <w:pPr>
        <w:pStyle w:val="BodyCopyNEW"/>
        <w:rPr>
          <w:szCs w:val="18"/>
        </w:rPr>
      </w:pPr>
      <w:r w:rsidRPr="002B3EC4">
        <w:rPr>
          <w:szCs w:val="18"/>
        </w:rPr>
        <w:t xml:space="preserve">Technological advancements are resulting in change for the regulatory environment and are posing significant challenges for regulators who strive to maintain a balance between achieving regulatory objectives, fostering innovation, and addressing the potential unintended consequences of disruption. A key focus of NOPSEMA should be on identifying opportunities to more effectively and efficiently deliver its functions through more powerful digital capabilities. </w:t>
      </w:r>
    </w:p>
    <w:p w14:paraId="49CE86D4" w14:textId="77777777" w:rsidR="0042029C" w:rsidRPr="002B3EC4" w:rsidRDefault="0042029C" w:rsidP="00580D94">
      <w:pPr>
        <w:pStyle w:val="BodyCopyNEW"/>
        <w:rPr>
          <w:szCs w:val="18"/>
        </w:rPr>
      </w:pPr>
      <w:r w:rsidRPr="002B3EC4">
        <w:rPr>
          <w:szCs w:val="18"/>
        </w:rPr>
        <w:t>There are three areas where technological advancements could be applied:</w:t>
      </w:r>
    </w:p>
    <w:p w14:paraId="13174DC2" w14:textId="77777777" w:rsidR="0042029C" w:rsidRPr="002B3EC4" w:rsidRDefault="0042029C" w:rsidP="000C1F53">
      <w:pPr>
        <w:pStyle w:val="BodycopyNEW0"/>
        <w:numPr>
          <w:ilvl w:val="0"/>
          <w:numId w:val="23"/>
        </w:numPr>
        <w:ind w:left="378"/>
        <w:rPr>
          <w:szCs w:val="18"/>
        </w:rPr>
      </w:pPr>
      <w:r w:rsidRPr="002B3EC4">
        <w:rPr>
          <w:szCs w:val="18"/>
        </w:rPr>
        <w:t>Reducing regulatory burden, particularly in the area of regulatory compliance</w:t>
      </w:r>
    </w:p>
    <w:p w14:paraId="000EBDAF" w14:textId="77777777" w:rsidR="0042029C" w:rsidRPr="002B3EC4" w:rsidRDefault="0042029C" w:rsidP="000C1F53">
      <w:pPr>
        <w:pStyle w:val="BodycopyNEW0"/>
        <w:numPr>
          <w:ilvl w:val="0"/>
          <w:numId w:val="23"/>
        </w:numPr>
        <w:ind w:left="378"/>
        <w:rPr>
          <w:szCs w:val="18"/>
        </w:rPr>
      </w:pPr>
      <w:r w:rsidRPr="002B3EC4">
        <w:rPr>
          <w:szCs w:val="18"/>
        </w:rPr>
        <w:t>Increasing internal efficiency to improve regulatory throughput and decision-making speed</w:t>
      </w:r>
    </w:p>
    <w:p w14:paraId="508F8A83" w14:textId="77777777" w:rsidR="0042029C" w:rsidRPr="002B3EC4" w:rsidRDefault="0042029C" w:rsidP="000C1F53">
      <w:pPr>
        <w:pStyle w:val="BodycopyNEW0"/>
        <w:numPr>
          <w:ilvl w:val="0"/>
          <w:numId w:val="23"/>
        </w:numPr>
        <w:ind w:left="378"/>
        <w:rPr>
          <w:szCs w:val="18"/>
        </w:rPr>
      </w:pPr>
      <w:r w:rsidRPr="002B3EC4">
        <w:rPr>
          <w:szCs w:val="18"/>
        </w:rPr>
        <w:t>Improving regulatory effectiveness through data-driven decision-making and technology-enabled regulatory activity delivery.</w:t>
      </w:r>
    </w:p>
    <w:p w14:paraId="2DC19650" w14:textId="4AE5C5CE" w:rsidR="0042029C" w:rsidRPr="002B3EC4" w:rsidRDefault="0042029C" w:rsidP="00580D94">
      <w:pPr>
        <w:pStyle w:val="BodyCopyNEW"/>
        <w:rPr>
          <w:szCs w:val="18"/>
        </w:rPr>
      </w:pPr>
      <w:r w:rsidRPr="002B3EC4">
        <w:rPr>
          <w:szCs w:val="18"/>
        </w:rPr>
        <w:t>Example technologies being applied by regulators globally are shown in</w:t>
      </w:r>
      <w:r w:rsidR="000E4E5C" w:rsidRPr="002B3EC4">
        <w:rPr>
          <w:b/>
          <w:szCs w:val="18"/>
        </w:rPr>
        <w:t xml:space="preserve"> </w:t>
      </w:r>
      <w:r w:rsidR="000E4E5C" w:rsidRPr="002B3EC4">
        <w:rPr>
          <w:b/>
          <w:szCs w:val="18"/>
        </w:rPr>
        <w:fldChar w:fldCharType="begin"/>
      </w:r>
      <w:r w:rsidR="000E4E5C" w:rsidRPr="002B3EC4">
        <w:rPr>
          <w:b/>
          <w:szCs w:val="18"/>
        </w:rPr>
        <w:instrText xml:space="preserve"> REF _Ref58451401 \h  \* MERGEFORMAT </w:instrText>
      </w:r>
      <w:r w:rsidR="000E4E5C" w:rsidRPr="002B3EC4">
        <w:rPr>
          <w:b/>
          <w:szCs w:val="18"/>
        </w:rPr>
      </w:r>
      <w:r w:rsidR="000E4E5C" w:rsidRPr="002B3EC4">
        <w:rPr>
          <w:b/>
          <w:szCs w:val="18"/>
        </w:rPr>
        <w:fldChar w:fldCharType="separate"/>
      </w:r>
      <w:r w:rsidR="00E816B8" w:rsidRPr="00E816B8">
        <w:rPr>
          <w:b/>
          <w:szCs w:val="18"/>
        </w:rPr>
        <w:t>Figure 12.2</w:t>
      </w:r>
      <w:r w:rsidR="000E4E5C" w:rsidRPr="002B3EC4">
        <w:rPr>
          <w:b/>
          <w:szCs w:val="18"/>
        </w:rPr>
        <w:fldChar w:fldCharType="end"/>
      </w:r>
      <w:r w:rsidRPr="002B3EC4">
        <w:rPr>
          <w:szCs w:val="18"/>
        </w:rPr>
        <w:t>. We have outlined several case studies of successful applications of these technologies by regulators globally below</w:t>
      </w:r>
      <w:r w:rsidR="00866EDB" w:rsidRPr="002B3EC4">
        <w:rPr>
          <w:rStyle w:val="FootnoteReference"/>
          <w:sz w:val="18"/>
          <w:szCs w:val="18"/>
        </w:rPr>
        <w:footnoteReference w:id="102"/>
      </w:r>
      <w:r w:rsidRPr="002B3EC4">
        <w:rPr>
          <w:szCs w:val="18"/>
        </w:rPr>
        <w:t xml:space="preserve">: </w:t>
      </w:r>
    </w:p>
    <w:p w14:paraId="76B0508D" w14:textId="20D63394" w:rsidR="0042029C" w:rsidRPr="002B3EC4" w:rsidRDefault="006E5AC0" w:rsidP="000C1F53">
      <w:pPr>
        <w:pStyle w:val="BodycopyNEW0"/>
        <w:numPr>
          <w:ilvl w:val="0"/>
          <w:numId w:val="23"/>
        </w:numPr>
        <w:ind w:left="378"/>
        <w:rPr>
          <w:szCs w:val="18"/>
        </w:rPr>
      </w:pPr>
      <w:r w:rsidRPr="002B3EC4">
        <w:rPr>
          <w:b/>
          <w:szCs w:val="18"/>
        </w:rPr>
        <w:t>Remote Operating</w:t>
      </w:r>
      <w:r w:rsidR="0042029C" w:rsidRPr="002B3EC4">
        <w:rPr>
          <w:b/>
          <w:szCs w:val="18"/>
        </w:rPr>
        <w:t xml:space="preserve"> Vehicles (</w:t>
      </w:r>
      <w:r w:rsidRPr="002B3EC4">
        <w:rPr>
          <w:b/>
          <w:szCs w:val="18"/>
        </w:rPr>
        <w:t>ROVs)</w:t>
      </w:r>
      <w:r w:rsidR="00CB7CFA" w:rsidRPr="002B3EC4">
        <w:rPr>
          <w:b/>
          <w:szCs w:val="18"/>
        </w:rPr>
        <w:t>.</w:t>
      </w:r>
      <w:r w:rsidR="0042029C" w:rsidRPr="002B3EC4">
        <w:rPr>
          <w:szCs w:val="18"/>
        </w:rPr>
        <w:t xml:space="preserve"> </w:t>
      </w:r>
      <w:r w:rsidRPr="002B3EC4">
        <w:rPr>
          <w:szCs w:val="18"/>
        </w:rPr>
        <w:t>ROVs</w:t>
      </w:r>
      <w:r w:rsidR="0042029C" w:rsidRPr="002B3EC4">
        <w:rPr>
          <w:szCs w:val="18"/>
        </w:rPr>
        <w:t xml:space="preserve"> can be steered from a remote location and controlled with built-in navigation systems that maintain location, altitude, and direction. </w:t>
      </w:r>
      <w:r w:rsidRPr="002B3EC4">
        <w:rPr>
          <w:szCs w:val="18"/>
        </w:rPr>
        <w:t>ROV</w:t>
      </w:r>
      <w:r w:rsidR="0042029C" w:rsidRPr="002B3EC4">
        <w:rPr>
          <w:szCs w:val="18"/>
        </w:rPr>
        <w:t>s can be used to inspect decommissioned facilities (where it may be difficult or hazardous for in-person inspections)</w:t>
      </w:r>
    </w:p>
    <w:p w14:paraId="650F3B17" w14:textId="223B47CD" w:rsidR="0042029C" w:rsidRPr="002B3EC4" w:rsidRDefault="0042029C" w:rsidP="000C1F53">
      <w:pPr>
        <w:pStyle w:val="BodycopyNEW0"/>
        <w:numPr>
          <w:ilvl w:val="0"/>
          <w:numId w:val="23"/>
        </w:numPr>
        <w:ind w:left="378"/>
        <w:rPr>
          <w:szCs w:val="18"/>
        </w:rPr>
      </w:pPr>
      <w:r w:rsidRPr="002B3EC4">
        <w:rPr>
          <w:b/>
          <w:szCs w:val="18"/>
        </w:rPr>
        <w:t>AI</w:t>
      </w:r>
      <w:r w:rsidR="00CB7CFA" w:rsidRPr="002B3EC4">
        <w:rPr>
          <w:b/>
          <w:szCs w:val="18"/>
        </w:rPr>
        <w:t>.</w:t>
      </w:r>
      <w:r w:rsidRPr="002B3EC4">
        <w:rPr>
          <w:szCs w:val="18"/>
        </w:rPr>
        <w:t xml:space="preserve"> A New Zealand government unit has pioneered “legislation by code” by taking the “rules” or components of legislation – its logic, requirements, and exemptions – and rewriting them as software code. When legislation changes, a machine can automatically understand the changes, with no need for a human expert or lawyer to complete the job.</w:t>
      </w:r>
    </w:p>
    <w:p w14:paraId="28E63B61" w14:textId="679B36E4" w:rsidR="000E4E5C" w:rsidRDefault="000E4E5C" w:rsidP="008D69C2">
      <w:pPr>
        <w:pStyle w:val="Caption"/>
        <w:keepNext/>
      </w:pPr>
      <w:bookmarkStart w:id="228" w:name="_Ref58451401"/>
      <w:r>
        <w:t xml:space="preserve">Figure </w:t>
      </w:r>
      <w:r w:rsidR="00AD41F8">
        <w:fldChar w:fldCharType="begin"/>
      </w:r>
      <w:r w:rsidR="00AD41F8">
        <w:instrText xml:space="preserve"> STYLEREF 1 \s </w:instrText>
      </w:r>
      <w:r w:rsidR="00AD41F8">
        <w:fldChar w:fldCharType="separate"/>
      </w:r>
      <w:r w:rsidR="00E816B8">
        <w:rPr>
          <w:noProof/>
        </w:rPr>
        <w:t>12</w:t>
      </w:r>
      <w:r w:rsidR="00AD41F8">
        <w:fldChar w:fldCharType="end"/>
      </w:r>
      <w:r w:rsidR="00AD41F8">
        <w:t>.</w:t>
      </w:r>
      <w:r w:rsidR="00AD41F8">
        <w:fldChar w:fldCharType="begin"/>
      </w:r>
      <w:r w:rsidR="00AD41F8">
        <w:instrText xml:space="preserve"> SEQ Figure \* ARABIC \s 1 </w:instrText>
      </w:r>
      <w:r w:rsidR="00AD41F8">
        <w:fldChar w:fldCharType="separate"/>
      </w:r>
      <w:r w:rsidR="00E816B8">
        <w:rPr>
          <w:noProof/>
        </w:rPr>
        <w:t>2</w:t>
      </w:r>
      <w:r w:rsidR="00AD41F8">
        <w:fldChar w:fldCharType="end"/>
      </w:r>
      <w:bookmarkEnd w:id="228"/>
      <w:r>
        <w:t>: Example technologies being applied by regulators globally</w:t>
      </w:r>
    </w:p>
    <w:p w14:paraId="790E3059" w14:textId="38BBA401" w:rsidR="0042029C" w:rsidRDefault="60F716BB" w:rsidP="00407F7B">
      <w:pPr>
        <w:pStyle w:val="CaptionFigure"/>
        <w:numPr>
          <w:ilvl w:val="8"/>
          <w:numId w:val="0"/>
        </w:numPr>
        <w:spacing w:after="120"/>
      </w:pPr>
      <w:r>
        <w:rPr>
          <w:noProof/>
          <w:lang w:eastAsia="en-AU"/>
        </w:rPr>
        <w:drawing>
          <wp:inline distT="0" distB="0" distL="0" distR="0" wp14:anchorId="34F8E036" wp14:editId="5E479B4E">
            <wp:extent cx="6120002" cy="2665033"/>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0" cstate="print">
                      <a:extLst>
                        <a:ext uri="{28A0092B-C50C-407E-A947-70E740481C1C}">
                          <a14:useLocalDpi xmlns:a14="http://schemas.microsoft.com/office/drawing/2010/main"/>
                        </a:ext>
                      </a:extLst>
                    </a:blip>
                    <a:stretch>
                      <a:fillRect/>
                    </a:stretch>
                  </pic:blipFill>
                  <pic:spPr>
                    <a:xfrm>
                      <a:off x="0" y="0"/>
                      <a:ext cx="6120002" cy="2665033"/>
                    </a:xfrm>
                    <a:prstGeom prst="rect">
                      <a:avLst/>
                    </a:prstGeom>
                  </pic:spPr>
                </pic:pic>
              </a:graphicData>
            </a:graphic>
          </wp:inline>
        </w:drawing>
      </w:r>
      <w:r w:rsidR="006E5AC0" w:rsidRPr="006E5AC0">
        <w:t xml:space="preserve"> </w:t>
      </w:r>
    </w:p>
    <w:p w14:paraId="3061C4E3" w14:textId="292BD87E" w:rsidR="0042029C" w:rsidRDefault="0042029C" w:rsidP="00A067D9">
      <w:pPr>
        <w:pStyle w:val="Caption"/>
        <w:rPr>
          <w:b w:val="0"/>
          <w:bCs/>
          <w:i/>
          <w:iCs w:val="0"/>
          <w:color w:val="75787B" w:themeColor="accent6"/>
        </w:rPr>
      </w:pPr>
      <w:r w:rsidRPr="00D04DE7">
        <w:rPr>
          <w:b w:val="0"/>
          <w:bCs/>
          <w:i/>
          <w:iCs w:val="0"/>
          <w:color w:val="75787B" w:themeColor="accent6"/>
        </w:rPr>
        <w:t>Source: Deloitte Regulator’s New Toolkit</w:t>
      </w:r>
    </w:p>
    <w:p w14:paraId="121D15A5" w14:textId="77777777" w:rsidR="008D69C2" w:rsidRPr="008D69C2" w:rsidRDefault="008D69C2" w:rsidP="008D69C2"/>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DA115C" w:rsidRPr="00DA0585" w14:paraId="201E3158" w14:textId="77777777" w:rsidTr="002F7580">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60DD2D42" w14:textId="055AA31B" w:rsidR="00DA115C" w:rsidRPr="00A470B1" w:rsidRDefault="00DA115C" w:rsidP="002F7580">
            <w:pPr>
              <w:pStyle w:val="TableHeadingLeft"/>
              <w:rPr>
                <w:bCs/>
              </w:rPr>
            </w:pPr>
            <w:r w:rsidRPr="00A470B1">
              <w:rPr>
                <w:bCs/>
              </w:rPr>
              <w:lastRenderedPageBreak/>
              <w:t>Recommendation #</w:t>
            </w:r>
            <w:r w:rsidR="00AE6646" w:rsidRPr="00A470B1">
              <w:rPr>
                <w:bCs/>
              </w:rPr>
              <w:t>2</w:t>
            </w:r>
            <w:r w:rsidR="005E06AF">
              <w:rPr>
                <w:bCs/>
              </w:rPr>
              <w:t>5</w:t>
            </w:r>
          </w:p>
        </w:tc>
      </w:tr>
      <w:tr w:rsidR="00DA0585" w:rsidRPr="00DA0585" w14:paraId="5C9A3144" w14:textId="77777777" w:rsidTr="002F7580">
        <w:tc>
          <w:tcPr>
            <w:tcW w:w="9864" w:type="dxa"/>
            <w:tcBorders>
              <w:bottom w:val="nil"/>
            </w:tcBorders>
            <w:shd w:val="clear" w:color="auto" w:fill="F2F2F2" w:themeFill="background1" w:themeFillShade="F2"/>
          </w:tcPr>
          <w:p w14:paraId="4157B3D1" w14:textId="365F71B9" w:rsidR="00691F60" w:rsidRPr="00DA0585" w:rsidRDefault="00691F60" w:rsidP="00691F60">
            <w:pPr>
              <w:pStyle w:val="BodyCopyNEW"/>
              <w:rPr>
                <w:rFonts w:asciiTheme="majorHAnsi" w:hAnsiTheme="majorHAnsi" w:cs="OpenSansRegular"/>
              </w:rPr>
            </w:pPr>
            <w:r w:rsidRPr="00DA0585">
              <w:rPr>
                <w:szCs w:val="18"/>
              </w:rPr>
              <w:t>NOPSEMA,</w:t>
            </w:r>
            <w:r w:rsidRPr="00DA0585">
              <w:rPr>
                <w:rFonts w:cs="Times New Roman"/>
                <w:szCs w:val="18"/>
              </w:rPr>
              <w:t xml:space="preserve"> in collaboration with other stakeholders as required, </w:t>
            </w:r>
            <w:r w:rsidRPr="00DA0585">
              <w:rPr>
                <w:szCs w:val="18"/>
              </w:rPr>
              <w:t xml:space="preserve">should identify areas where advanced technologies could be applied, particularly for augmenting in-person inspection processes or permissioning document assessments. </w:t>
            </w:r>
          </w:p>
        </w:tc>
      </w:tr>
    </w:tbl>
    <w:p w14:paraId="5BBA41AB" w14:textId="090792B7" w:rsidR="00582A04" w:rsidRDefault="00582A04" w:rsidP="00901C7B">
      <w:pPr>
        <w:pStyle w:val="BodyCopyNEW"/>
        <w:spacing w:before="120"/>
      </w:pPr>
      <w:bookmarkStart w:id="229" w:name="_Ref56450974"/>
      <w:r w:rsidRPr="00901C7B">
        <w:t>In considering this recommendation, NOPSEMA may wish to identify and prioritise specific use cases that present an optimal value-ease of implementation trade-off. An example use case could be unmanned aerial vehicles (</w:t>
      </w:r>
      <w:r w:rsidRPr="00901C7B">
        <w:rPr>
          <w:rFonts w:cs="OpenSansRegular"/>
          <w:b/>
          <w:bCs/>
        </w:rPr>
        <w:t>UAVs</w:t>
      </w:r>
      <w:r w:rsidRPr="00901C7B">
        <w:rPr>
          <w:rFonts w:cs="OpenSansRegular"/>
        </w:rPr>
        <w:t>) – Supporting the inspection of decommissioned facilities or elements of facilities unable to be inspected in person.</w:t>
      </w:r>
    </w:p>
    <w:p w14:paraId="6206E09E" w14:textId="1CB15FF0" w:rsidR="00E71BAB" w:rsidRDefault="00E71BAB" w:rsidP="00784E0E">
      <w:pPr>
        <w:pStyle w:val="Heading3"/>
      </w:pPr>
      <w:r>
        <w:t>Provision of data and lead indicators to NOPSEMA</w:t>
      </w:r>
      <w:bookmarkEnd w:id="229"/>
    </w:p>
    <w:p w14:paraId="3AAC0F34" w14:textId="5BADC66B" w:rsidR="00E71BAB" w:rsidRDefault="008915F5" w:rsidP="00580D94">
      <w:pPr>
        <w:pStyle w:val="BodyCopyNEW"/>
      </w:pPr>
      <w:r>
        <w:t xml:space="preserve">Predictive analytics and </w:t>
      </w:r>
      <w:r w:rsidR="001E1B76">
        <w:t xml:space="preserve">the monitoring of lead indicators should inform NOPSEMA’s approach to regulation – enabling a greater focus on emergent risks. </w:t>
      </w:r>
      <w:r w:rsidR="00E71BAB">
        <w:t xml:space="preserve">We discuss in </w:t>
      </w:r>
      <w:r w:rsidR="00E71BAB" w:rsidRPr="00E71BAB">
        <w:rPr>
          <w:b/>
          <w:bCs/>
        </w:rPr>
        <w:t xml:space="preserve">Section </w:t>
      </w:r>
      <w:r w:rsidR="00E71BAB" w:rsidRPr="00E71BAB">
        <w:rPr>
          <w:b/>
          <w:bCs/>
        </w:rPr>
        <w:fldChar w:fldCharType="begin"/>
      </w:r>
      <w:r w:rsidR="00E71BAB" w:rsidRPr="00E71BAB">
        <w:rPr>
          <w:b/>
          <w:bCs/>
        </w:rPr>
        <w:instrText xml:space="preserve"> REF _Ref55978299 \r \h </w:instrText>
      </w:r>
      <w:r w:rsidR="00E71BAB">
        <w:rPr>
          <w:b/>
          <w:bCs/>
        </w:rPr>
        <w:instrText xml:space="preserve"> \* MERGEFORMAT </w:instrText>
      </w:r>
      <w:r w:rsidR="00E71BAB" w:rsidRPr="00E71BAB">
        <w:rPr>
          <w:b/>
          <w:bCs/>
        </w:rPr>
      </w:r>
      <w:r w:rsidR="00E71BAB" w:rsidRPr="00E71BAB">
        <w:rPr>
          <w:b/>
          <w:bCs/>
        </w:rPr>
        <w:fldChar w:fldCharType="separate"/>
      </w:r>
      <w:r w:rsidR="00E816B8">
        <w:rPr>
          <w:b/>
          <w:bCs/>
        </w:rPr>
        <w:t>6</w:t>
      </w:r>
      <w:r w:rsidR="00E71BAB" w:rsidRPr="00E71BAB">
        <w:rPr>
          <w:b/>
          <w:bCs/>
        </w:rPr>
        <w:fldChar w:fldCharType="end"/>
      </w:r>
      <w:r w:rsidR="00E71BAB">
        <w:t xml:space="preserve"> the need for NOPSEMA to apply a greater risk-based approach to regulation. </w:t>
      </w:r>
    </w:p>
    <w:p w14:paraId="4475BAE9" w14:textId="77777777" w:rsidR="001C194F" w:rsidRDefault="001E1B76" w:rsidP="00580D94">
      <w:pPr>
        <w:pStyle w:val="BodyCopyNEW"/>
      </w:pPr>
      <w:r>
        <w:t xml:space="preserve">However, </w:t>
      </w:r>
      <w:r w:rsidR="00EA2685">
        <w:t>currently, NOPSEMA is limited in the data and lead indicators it receive</w:t>
      </w:r>
      <w:r w:rsidR="00E71BAB">
        <w:t>s</w:t>
      </w:r>
      <w:r w:rsidR="008B72D5">
        <w:t>, with t</w:t>
      </w:r>
      <w:r w:rsidR="00EA2685">
        <w:t xml:space="preserve">he majority of data </w:t>
      </w:r>
      <w:r w:rsidR="00E71BAB">
        <w:t xml:space="preserve">and metrics provided to </w:t>
      </w:r>
      <w:r w:rsidR="0068558A">
        <w:t xml:space="preserve">NOPSEMA </w:t>
      </w:r>
      <w:r w:rsidR="00E71BAB">
        <w:t xml:space="preserve">by industry </w:t>
      </w:r>
      <w:r w:rsidR="0068558A">
        <w:t>relat</w:t>
      </w:r>
      <w:r w:rsidR="008B72D5">
        <w:t xml:space="preserve">ing </w:t>
      </w:r>
      <w:r w:rsidR="0068558A">
        <w:t xml:space="preserve">to </w:t>
      </w:r>
      <w:r w:rsidR="00CE1274">
        <w:t>lag indicators</w:t>
      </w:r>
      <w:r w:rsidR="00E71BAB">
        <w:t xml:space="preserve"> of performance</w:t>
      </w:r>
      <w:r w:rsidR="00CE1274">
        <w:t xml:space="preserve"> </w:t>
      </w:r>
      <w:r w:rsidR="0058457E">
        <w:t xml:space="preserve">(e.g. </w:t>
      </w:r>
      <w:r w:rsidR="008B72D5">
        <w:t>accidents, injuries, or near misses).</w:t>
      </w:r>
      <w:r w:rsidR="00D215BC">
        <w:t xml:space="preserve"> </w:t>
      </w:r>
      <w:r w:rsidR="008B72D5">
        <w:t xml:space="preserve">We understand from NOPSEMA there was an initiative </w:t>
      </w:r>
      <w:r w:rsidR="00E71BAB">
        <w:t xml:space="preserve">early in the review period </w:t>
      </w:r>
      <w:r w:rsidR="008B72D5">
        <w:t>with industry to address barriers to pr</w:t>
      </w:r>
      <w:r w:rsidR="007900C0">
        <w:t>oviding lead indicators</w:t>
      </w:r>
      <w:r w:rsidR="003F738E">
        <w:t xml:space="preserve"> of process </w:t>
      </w:r>
      <w:r w:rsidR="00E71BAB">
        <w:t>safety, but that progress was limited</w:t>
      </w:r>
      <w:r w:rsidR="003F738E">
        <w:t xml:space="preserve">. We consider the provision of lead indicators to be an essential aspect to effective regulation, particularly as the industry matures and becomes increasingly complex. </w:t>
      </w:r>
    </w:p>
    <w:p w14:paraId="0F24400D" w14:textId="0C16AB19" w:rsidR="008B72D5" w:rsidRDefault="000460D5" w:rsidP="00580D94">
      <w:pPr>
        <w:pStyle w:val="BodyCopyNEW"/>
      </w:pPr>
      <w:r>
        <w:t xml:space="preserve">There are barriers to address in the consistency of </w:t>
      </w:r>
      <w:r w:rsidR="007835BB">
        <w:t>the various data standards and metric definitions across a high fragmented industry</w:t>
      </w:r>
      <w:r w:rsidR="000E18D4">
        <w:t>. Nevertheless, we see considerable risk in a ‘do nothing’ scenario</w:t>
      </w:r>
      <w:r w:rsidR="003554EA">
        <w:t xml:space="preserve"> (and conversely, great benefit </w:t>
      </w:r>
      <w:r w:rsidR="00434684">
        <w:t xml:space="preserve">in the provision of further data </w:t>
      </w:r>
      <w:r w:rsidR="00C41F6F">
        <w:t>to NOPSEMA by industry).</w:t>
      </w:r>
      <w:r w:rsidR="00FC2340" w:rsidRPr="00FC2340">
        <w:t xml:space="preserve"> </w:t>
      </w:r>
      <w:r w:rsidR="00FC2340">
        <w:t>The addressing of barriers may be assisted, in part, by looking to other jurisdictions where global operators provide such metrics and data to the equivalent regulator.</w:t>
      </w:r>
    </w:p>
    <w:tbl>
      <w:tblPr>
        <w:tblStyle w:val="TableGrid"/>
        <w:tblW w:w="0" w:type="auto"/>
        <w:tblBorders>
          <w:bottom w:val="single" w:sz="4" w:space="0" w:color="0076A8"/>
        </w:tblBorders>
        <w:tblCellMar>
          <w:top w:w="57" w:type="dxa"/>
          <w:left w:w="85" w:type="dxa"/>
          <w:bottom w:w="57" w:type="dxa"/>
          <w:right w:w="85" w:type="dxa"/>
        </w:tblCellMar>
        <w:tblLook w:val="04A0" w:firstRow="1" w:lastRow="0" w:firstColumn="1" w:lastColumn="0" w:noHBand="0" w:noVBand="1"/>
      </w:tblPr>
      <w:tblGrid>
        <w:gridCol w:w="9864"/>
      </w:tblGrid>
      <w:tr w:rsidR="00E71BAB" w:rsidRPr="00DA0585" w14:paraId="5B2A7119" w14:textId="77777777" w:rsidTr="005110CD">
        <w:trPr>
          <w:cnfStyle w:val="100000000000" w:firstRow="1" w:lastRow="0" w:firstColumn="0" w:lastColumn="0" w:oddVBand="0" w:evenVBand="0" w:oddHBand="0" w:evenHBand="0" w:firstRowFirstColumn="0" w:firstRowLastColumn="0" w:lastRowFirstColumn="0" w:lastRowLastColumn="0"/>
        </w:trPr>
        <w:tc>
          <w:tcPr>
            <w:tcW w:w="9864" w:type="dxa"/>
            <w:shd w:val="clear" w:color="auto" w:fill="007680"/>
          </w:tcPr>
          <w:p w14:paraId="26C47E35" w14:textId="2795255E" w:rsidR="00E71BAB" w:rsidRPr="00A470B1" w:rsidRDefault="00E71BAB" w:rsidP="00053250">
            <w:pPr>
              <w:pStyle w:val="TableHeadingLeft"/>
              <w:rPr>
                <w:bCs/>
              </w:rPr>
            </w:pPr>
            <w:r w:rsidRPr="00A470B1">
              <w:rPr>
                <w:bCs/>
              </w:rPr>
              <w:t xml:space="preserve">Recommendation </w:t>
            </w:r>
            <w:r w:rsidR="0099093E" w:rsidRPr="00A470B1">
              <w:rPr>
                <w:bCs/>
              </w:rPr>
              <w:t>#</w:t>
            </w:r>
            <w:r w:rsidR="00AE6646" w:rsidRPr="00A470B1">
              <w:rPr>
                <w:bCs/>
              </w:rPr>
              <w:t>2</w:t>
            </w:r>
            <w:r w:rsidR="005E06AF">
              <w:rPr>
                <w:bCs/>
              </w:rPr>
              <w:t>6</w:t>
            </w:r>
          </w:p>
        </w:tc>
      </w:tr>
      <w:tr w:rsidR="00DA0585" w:rsidRPr="00DA0585" w14:paraId="41F17DB4" w14:textId="77777777" w:rsidTr="005110CD">
        <w:tc>
          <w:tcPr>
            <w:tcW w:w="9864" w:type="dxa"/>
            <w:tcBorders>
              <w:bottom w:val="nil"/>
            </w:tcBorders>
            <w:shd w:val="clear" w:color="auto" w:fill="F2F2F2" w:themeFill="background1" w:themeFillShade="F2"/>
          </w:tcPr>
          <w:p w14:paraId="315C6DEA" w14:textId="4DC90F3E" w:rsidR="00691F60" w:rsidRPr="00DA0585" w:rsidRDefault="00691F60" w:rsidP="00691F60">
            <w:pPr>
              <w:pStyle w:val="BodyCopyNEW"/>
              <w:rPr>
                <w:rFonts w:asciiTheme="majorHAnsi" w:hAnsiTheme="majorHAnsi" w:cs="OpenSansRegular"/>
              </w:rPr>
            </w:pPr>
            <w:r w:rsidRPr="00DA0585">
              <w:rPr>
                <w:szCs w:val="18"/>
              </w:rPr>
              <w:t xml:space="preserve">NOPSEMA (with the support of DISER as required) in consultation with industry, should explore mechanisms to enable NOPSEMA to gather relevant data from </w:t>
            </w:r>
            <w:r w:rsidR="00D737B9">
              <w:rPr>
                <w:szCs w:val="18"/>
              </w:rPr>
              <w:t>duty holders</w:t>
            </w:r>
            <w:r w:rsidR="00D737B9" w:rsidRPr="00DA0585">
              <w:rPr>
                <w:szCs w:val="18"/>
              </w:rPr>
              <w:t xml:space="preserve"> </w:t>
            </w:r>
            <w:r w:rsidRPr="00DA0585">
              <w:rPr>
                <w:szCs w:val="18"/>
              </w:rPr>
              <w:t>on safety, well integrity, and environment related matters outside of current incident or accident reporting parameters to inform trends and predictive analytics. Mechanisms in this context may include any necessary legislative and/or regulatory change to section 699 of the OPGGS Act or other sections as applicable.</w:t>
            </w:r>
          </w:p>
        </w:tc>
      </w:tr>
    </w:tbl>
    <w:p w14:paraId="232E7F52" w14:textId="246CF01E" w:rsidR="00674CD5" w:rsidRPr="006D50FF" w:rsidRDefault="00582A04" w:rsidP="006D50FF">
      <w:pPr>
        <w:pStyle w:val="BodyCopyNEW"/>
        <w:spacing w:before="120"/>
      </w:pPr>
      <w:r w:rsidRPr="00901C7B">
        <w:t>In implementing this recommendation c</w:t>
      </w:r>
      <w:r w:rsidR="008F135F" w:rsidRPr="00901C7B">
        <w:t>onsideration should be given, among other matters, to consistent definitions and data standards and the provision of a consistent set of key lead indicators of performance (e.g. process safety) for the above domains. In delivering this recommendation, NOPSEMA and DISER may wish to examine reporting frameworks in other jurisdictions. Consideration may also be given to extending this recommendation to cover renewables in time, if deemed appropriate.</w:t>
      </w:r>
    </w:p>
    <w:p w14:paraId="11C525F4" w14:textId="77777777" w:rsidR="008D69C2" w:rsidRDefault="008D69C2">
      <w:pPr>
        <w:spacing w:after="0"/>
        <w:rPr>
          <w:rFonts w:asciiTheme="majorHAnsi" w:hAnsiTheme="majorHAnsi" w:cs="Calibri"/>
        </w:rPr>
      </w:pPr>
      <w:r>
        <w:rPr>
          <w:rFonts w:asciiTheme="majorHAnsi" w:hAnsiTheme="majorHAnsi" w:cs="Calibri"/>
        </w:rPr>
        <w:br w:type="page"/>
      </w:r>
    </w:p>
    <w:p w14:paraId="49D73DA3" w14:textId="2DCC4D7B" w:rsidR="00674CD5" w:rsidRPr="00BD2E58" w:rsidRDefault="005110CD" w:rsidP="00674CD5">
      <w:pPr>
        <w:spacing w:after="120"/>
        <w:contextualSpacing/>
        <w:rPr>
          <w:rFonts w:asciiTheme="majorHAnsi" w:hAnsiTheme="majorHAnsi" w:cs="Calibri"/>
        </w:rPr>
      </w:pPr>
      <w:r>
        <w:rPr>
          <w:rFonts w:asciiTheme="majorHAnsi" w:hAnsiTheme="majorHAnsi" w:cs="Calibri"/>
          <w:noProof/>
          <w:lang w:eastAsia="en-AU"/>
        </w:rPr>
        <w:lastRenderedPageBreak/>
        <w:drawing>
          <wp:anchor distT="0" distB="0" distL="114300" distR="114300" simplePos="0" relativeHeight="251658251" behindDoc="1" locked="0" layoutInCell="1" allowOverlap="1" wp14:anchorId="55402B70" wp14:editId="1BE31B11">
            <wp:simplePos x="0" y="0"/>
            <wp:positionH relativeFrom="page">
              <wp:posOffset>-1375</wp:posOffset>
            </wp:positionH>
            <wp:positionV relativeFrom="paragraph">
              <wp:posOffset>-1259840</wp:posOffset>
            </wp:positionV>
            <wp:extent cx="7559675" cy="10693400"/>
            <wp:effectExtent l="0" t="0" r="3175" b="0"/>
            <wp:wrapNone/>
            <wp:docPr id="1179951918" name="Picture 1179951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7559675" cy="10693400"/>
                    </a:xfrm>
                    <a:prstGeom prst="rect">
                      <a:avLst/>
                    </a:prstGeom>
                    <a:noFill/>
                  </pic:spPr>
                </pic:pic>
              </a:graphicData>
            </a:graphic>
          </wp:anchor>
        </w:drawing>
      </w:r>
    </w:p>
    <w:p w14:paraId="61646FAD" w14:textId="77777777" w:rsidR="00674CD5" w:rsidRPr="00BD2E58" w:rsidRDefault="00674CD5" w:rsidP="00B81C4C">
      <w:pPr>
        <w:pStyle w:val="Divider"/>
      </w:pPr>
      <w:bookmarkStart w:id="230" w:name="_Toc63970850"/>
      <w:r w:rsidRPr="00BD2E58">
        <w:t>Appendices</w:t>
      </w:r>
      <w:bookmarkEnd w:id="230"/>
      <w:r w:rsidRPr="00BD2E58">
        <w:br w:type="page"/>
      </w:r>
    </w:p>
    <w:p w14:paraId="704B01D4" w14:textId="7A9A116F" w:rsidR="007C15D8" w:rsidRDefault="007C15D8" w:rsidP="007312F2">
      <w:pPr>
        <w:pStyle w:val="Appendixhead1"/>
      </w:pPr>
      <w:bookmarkStart w:id="231" w:name="_Toc63970851"/>
      <w:bookmarkStart w:id="232" w:name="_Ref58316687"/>
      <w:r w:rsidRPr="00465219">
        <w:lastRenderedPageBreak/>
        <w:t>Terms of Reference</w:t>
      </w:r>
      <w:bookmarkEnd w:id="231"/>
    </w:p>
    <w:p w14:paraId="7AFAD4B0" w14:textId="77777777" w:rsidR="007C15D8" w:rsidRPr="00520882"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 xml:space="preserve">In accordance with section 695(1) of the </w:t>
      </w:r>
      <w:r w:rsidRPr="00520882">
        <w:rPr>
          <w:rFonts w:ascii="Calibri Light" w:hAnsi="Calibri Light" w:cs="Calibri Light"/>
          <w:i/>
          <w:iCs/>
        </w:rPr>
        <w:t>Offshore Petroleum and Greenhouse Gas Storage Act 2006</w:t>
      </w:r>
      <w:r w:rsidRPr="00520882">
        <w:rPr>
          <w:rFonts w:ascii="Calibri Light" w:hAnsi="Calibri Light" w:cs="Calibri Light"/>
        </w:rPr>
        <w:t xml:space="preserve"> (the </w:t>
      </w:r>
      <w:r w:rsidRPr="00520882">
        <w:rPr>
          <w:rFonts w:ascii="Calibri Light" w:hAnsi="Calibri Light" w:cs="Calibri Light"/>
          <w:b/>
          <w:bCs/>
        </w:rPr>
        <w:t>Act</w:t>
      </w:r>
      <w:r w:rsidRPr="00520882">
        <w:rPr>
          <w:rFonts w:ascii="Calibri Light" w:hAnsi="Calibri Light" w:cs="Calibri Light"/>
        </w:rPr>
        <w:t>), the 2020 review of operations of NOPSEMA must include an assessment of the effectiveness of NOPSEMA in bringing about improvements in:</w:t>
      </w:r>
    </w:p>
    <w:p w14:paraId="03BE5DB3" w14:textId="77777777" w:rsidR="007C15D8" w:rsidRPr="00520882" w:rsidRDefault="007C15D8" w:rsidP="007C15D8">
      <w:pPr>
        <w:pStyle w:val="ListParagraph"/>
        <w:numPr>
          <w:ilvl w:val="0"/>
          <w:numId w:val="16"/>
        </w:numPr>
        <w:tabs>
          <w:tab w:val="left" w:pos="720"/>
        </w:tabs>
        <w:spacing w:after="120" w:line="240" w:lineRule="auto"/>
        <w:ind w:left="714" w:hanging="357"/>
        <w:contextualSpacing w:val="0"/>
        <w:rPr>
          <w:rFonts w:ascii="Calibri Light" w:hAnsi="Calibri Light" w:cs="Calibri Light"/>
        </w:rPr>
      </w:pPr>
      <w:r w:rsidRPr="00520882">
        <w:rPr>
          <w:rFonts w:ascii="Calibri Light" w:hAnsi="Calibri Light" w:cs="Calibri Light"/>
        </w:rPr>
        <w:t>The occupational health and safety of persons engaged in offshore petroleum operations or offshore greenhouse gas storage operations</w:t>
      </w:r>
    </w:p>
    <w:p w14:paraId="391D55F3" w14:textId="77777777" w:rsidR="007C15D8" w:rsidRPr="00520882" w:rsidRDefault="007C15D8" w:rsidP="007C15D8">
      <w:pPr>
        <w:pStyle w:val="ListParagraph"/>
        <w:numPr>
          <w:ilvl w:val="0"/>
          <w:numId w:val="16"/>
        </w:numPr>
        <w:tabs>
          <w:tab w:val="left" w:pos="720"/>
        </w:tabs>
        <w:spacing w:after="120" w:line="240" w:lineRule="auto"/>
        <w:ind w:left="714" w:hanging="357"/>
        <w:contextualSpacing w:val="0"/>
        <w:rPr>
          <w:rFonts w:ascii="Calibri Light" w:hAnsi="Calibri Light" w:cs="Calibri Light"/>
        </w:rPr>
      </w:pPr>
      <w:r w:rsidRPr="00520882">
        <w:rPr>
          <w:rFonts w:ascii="Calibri Light" w:hAnsi="Calibri Light" w:cs="Calibri Light"/>
        </w:rPr>
        <w:t>The structural integrity of facilities, wells, and well-related equipment</w:t>
      </w:r>
    </w:p>
    <w:p w14:paraId="35770E6A" w14:textId="77777777" w:rsidR="007C15D8" w:rsidRPr="00520882" w:rsidRDefault="007C15D8" w:rsidP="007C15D8">
      <w:pPr>
        <w:pStyle w:val="ListParagraph"/>
        <w:numPr>
          <w:ilvl w:val="0"/>
          <w:numId w:val="16"/>
        </w:numPr>
        <w:tabs>
          <w:tab w:val="left" w:pos="720"/>
        </w:tabs>
        <w:spacing w:after="120" w:line="240" w:lineRule="auto"/>
        <w:ind w:left="714" w:hanging="357"/>
        <w:contextualSpacing w:val="0"/>
        <w:rPr>
          <w:rFonts w:ascii="Calibri Light" w:hAnsi="Calibri Light" w:cs="Calibri Light"/>
        </w:rPr>
      </w:pPr>
      <w:r w:rsidRPr="00520882">
        <w:rPr>
          <w:rFonts w:ascii="Calibri Light" w:hAnsi="Calibri Light" w:cs="Calibri Light"/>
        </w:rPr>
        <w:t>Offshore petroleum environmental management</w:t>
      </w:r>
    </w:p>
    <w:p w14:paraId="3370C8C2" w14:textId="77777777" w:rsidR="007C15D8" w:rsidRPr="00520882" w:rsidRDefault="007C15D8" w:rsidP="007C15D8">
      <w:pPr>
        <w:pStyle w:val="ListParagraph"/>
        <w:numPr>
          <w:ilvl w:val="0"/>
          <w:numId w:val="16"/>
        </w:numPr>
        <w:tabs>
          <w:tab w:val="left" w:pos="720"/>
        </w:tabs>
        <w:spacing w:after="120" w:line="240" w:lineRule="auto"/>
        <w:ind w:left="714" w:hanging="357"/>
        <w:contextualSpacing w:val="0"/>
        <w:rPr>
          <w:rFonts w:ascii="Calibri Light" w:hAnsi="Calibri Light" w:cs="Calibri Light"/>
        </w:rPr>
      </w:pPr>
      <w:r w:rsidRPr="00520882">
        <w:rPr>
          <w:rFonts w:ascii="Calibri Light" w:hAnsi="Calibri Light" w:cs="Calibri Light"/>
        </w:rPr>
        <w:t>Offshore greenhouse gas storage environmental management.</w:t>
      </w:r>
    </w:p>
    <w:p w14:paraId="08D28290" w14:textId="77777777" w:rsidR="007C15D8" w:rsidRPr="00520882" w:rsidRDefault="007C15D8" w:rsidP="007C15D8">
      <w:pPr>
        <w:tabs>
          <w:tab w:val="left" w:pos="720"/>
        </w:tabs>
        <w:spacing w:after="120" w:line="240" w:lineRule="auto"/>
        <w:rPr>
          <w:rFonts w:ascii="Calibri Light" w:hAnsi="Calibri Light" w:cs="Calibri Light"/>
        </w:rPr>
      </w:pPr>
      <w:r w:rsidRPr="00520882">
        <w:rPr>
          <w:rFonts w:ascii="Calibri Light" w:hAnsi="Calibri Light" w:cs="Calibri Light"/>
        </w:rPr>
        <w:t>In the context of the Act and regulations, including the legislated functions of NOPSEMA, this review will consider, assess and provide recommendations in relation to:</w:t>
      </w:r>
    </w:p>
    <w:p w14:paraId="0EE777C0" w14:textId="77777777" w:rsidR="007C15D8" w:rsidRPr="00520882"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 xml:space="preserve">NOPSEMA’s progress in achieving the objective of the Endorsed Program Report under the </w:t>
      </w:r>
      <w:r w:rsidRPr="00520882">
        <w:rPr>
          <w:rFonts w:ascii="Calibri Light" w:hAnsi="Calibri Light" w:cs="Calibri Light"/>
          <w:i/>
          <w:iCs/>
        </w:rPr>
        <w:t>Environment Protection and Biodiversity Conservation Act 1999</w:t>
      </w:r>
      <w:r w:rsidRPr="00520882">
        <w:rPr>
          <w:rFonts w:ascii="Calibri Light" w:hAnsi="Calibri Light" w:cs="Calibri Light"/>
        </w:rPr>
        <w:t xml:space="preserve"> (</w:t>
      </w:r>
      <w:r w:rsidRPr="00520882">
        <w:rPr>
          <w:rFonts w:ascii="Calibri Light" w:hAnsi="Calibri Light" w:cs="Calibri Light"/>
          <w:b/>
          <w:bCs/>
        </w:rPr>
        <w:t>EPBC Act</w:t>
      </w:r>
      <w:r w:rsidRPr="00520882">
        <w:rPr>
          <w:rFonts w:ascii="Calibri Light" w:hAnsi="Calibri Light" w:cs="Calibri Light"/>
        </w:rPr>
        <w:t xml:space="preserve">) of ensuring all offshore petroleum and greenhouse gas storage activities are carried out in a manner consistent with the Object of the </w:t>
      </w:r>
      <w:r w:rsidRPr="00520882">
        <w:rPr>
          <w:rFonts w:ascii="Calibri Light" w:hAnsi="Calibri Light" w:cs="Calibri Light"/>
          <w:i/>
          <w:iCs/>
        </w:rPr>
        <w:t>Offshore Petroleum and Greenhouse Gas Storage (Environment) Regulations 2009</w:t>
      </w:r>
      <w:r w:rsidRPr="00520882">
        <w:rPr>
          <w:rFonts w:ascii="Calibri Light" w:hAnsi="Calibri Light" w:cs="Calibri Light"/>
        </w:rPr>
        <w:t>.</w:t>
      </w:r>
    </w:p>
    <w:p w14:paraId="60E9C562" w14:textId="77777777" w:rsidR="007C15D8" w:rsidRPr="00520882"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Review the actions of both parties required under the 2017 Program Administrative Arrangements and provide advice on if all commitments are being met.</w:t>
      </w:r>
    </w:p>
    <w:p w14:paraId="03462921" w14:textId="77777777" w:rsidR="007C15D8" w:rsidRPr="00520882"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The effectiveness of NOPSEMA’s compliance, monitoring, and enforcement activities. This should consider:</w:t>
      </w:r>
    </w:p>
    <w:p w14:paraId="35A49960" w14:textId="77777777" w:rsidR="007C15D8" w:rsidRPr="00520882" w:rsidRDefault="007C15D8" w:rsidP="007C15D8">
      <w:pPr>
        <w:pStyle w:val="ListParagraph"/>
        <w:numPr>
          <w:ilvl w:val="0"/>
          <w:numId w:val="16"/>
        </w:numPr>
        <w:tabs>
          <w:tab w:val="left" w:pos="720"/>
        </w:tabs>
        <w:spacing w:after="120" w:line="240" w:lineRule="auto"/>
        <w:ind w:left="714" w:hanging="357"/>
        <w:contextualSpacing w:val="0"/>
        <w:rPr>
          <w:rFonts w:ascii="Calibri Light" w:hAnsi="Calibri Light" w:cs="Calibri Light"/>
        </w:rPr>
      </w:pPr>
      <w:r w:rsidRPr="00520882">
        <w:rPr>
          <w:rFonts w:ascii="Calibri Light" w:hAnsi="Calibri Light" w:cs="Calibri Light"/>
        </w:rPr>
        <w:t>The process for reporting related matters to the Responsible Commonwealth Minister (where relevant), and the Joint Authorities (where relevant)</w:t>
      </w:r>
    </w:p>
    <w:p w14:paraId="069CCF2C" w14:textId="77777777" w:rsidR="007C15D8" w:rsidRPr="00520882" w:rsidRDefault="007C15D8" w:rsidP="007C15D8">
      <w:pPr>
        <w:pStyle w:val="ListParagraph"/>
        <w:numPr>
          <w:ilvl w:val="0"/>
          <w:numId w:val="16"/>
        </w:numPr>
        <w:tabs>
          <w:tab w:val="left" w:pos="720"/>
        </w:tabs>
        <w:spacing w:after="120" w:line="240" w:lineRule="auto"/>
        <w:ind w:left="714" w:hanging="357"/>
        <w:contextualSpacing w:val="0"/>
        <w:rPr>
          <w:rFonts w:ascii="Calibri Light" w:hAnsi="Calibri Light" w:cs="Calibri Light"/>
        </w:rPr>
      </w:pPr>
      <w:r w:rsidRPr="00520882">
        <w:rPr>
          <w:rFonts w:ascii="Calibri Light" w:hAnsi="Calibri Light" w:cs="Calibri Light"/>
        </w:rPr>
        <w:t>The appropriateness and effectiveness of NOPSEMA’s internal arrangements concerning compliance.</w:t>
      </w:r>
    </w:p>
    <w:p w14:paraId="48C4868D" w14:textId="77777777" w:rsidR="007C15D8" w:rsidRPr="00520882"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The effectiveness of NOPSEMA in co-operating with NOPTA, as well as other Commonwealth, state and Northern Territory agencies on matters related to the administration and enforcement of the Act and its associated regulations.</w:t>
      </w:r>
    </w:p>
    <w:p w14:paraId="366AB893" w14:textId="77777777" w:rsidR="007C15D8" w:rsidRPr="00520882"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The effectiveness of the Australian Government’s accepted and implemented recommendations from the 2015 review of NOPSEMA’s operations.</w:t>
      </w:r>
    </w:p>
    <w:p w14:paraId="3737A1B7" w14:textId="77777777" w:rsidR="007C15D8"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 xml:space="preserve">The role of the NOPSEMA Board and its efficiency and effectiveness in performing its functions, as outlined in section 654 of the Act, to contribute to the performance of NOPSEMA in carrying out its functions. </w:t>
      </w:r>
    </w:p>
    <w:p w14:paraId="6C43B9CD" w14:textId="77777777" w:rsidR="007C15D8" w:rsidRPr="00520882" w:rsidRDefault="007C15D8" w:rsidP="007C15D8">
      <w:pPr>
        <w:pStyle w:val="ListParagraph"/>
        <w:numPr>
          <w:ilvl w:val="0"/>
          <w:numId w:val="16"/>
        </w:numPr>
        <w:tabs>
          <w:tab w:val="left" w:pos="720"/>
        </w:tabs>
        <w:spacing w:after="120" w:line="240" w:lineRule="auto"/>
        <w:ind w:left="714" w:hanging="357"/>
        <w:contextualSpacing w:val="0"/>
        <w:rPr>
          <w:rFonts w:ascii="Calibri Light" w:hAnsi="Calibri Light" w:cs="Calibri Light"/>
        </w:rPr>
      </w:pPr>
      <w:r w:rsidRPr="00520882">
        <w:rPr>
          <w:rFonts w:ascii="Calibri Light" w:hAnsi="Calibri Light" w:cs="Calibri Light"/>
        </w:rPr>
        <w:t>This should consider the recent ANAO recommendations on improving the effectiveness of government boards.</w:t>
      </w:r>
    </w:p>
    <w:p w14:paraId="7D3BE2E2" w14:textId="77777777" w:rsidR="007C15D8" w:rsidRPr="00520882"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The effectiveness, management, and performance of NOPSEMA in:</w:t>
      </w:r>
    </w:p>
    <w:p w14:paraId="7D7BEA37" w14:textId="77777777" w:rsidR="007C15D8" w:rsidRPr="00520882" w:rsidRDefault="007C15D8" w:rsidP="007C15D8">
      <w:pPr>
        <w:pStyle w:val="ListParagraph"/>
        <w:numPr>
          <w:ilvl w:val="0"/>
          <w:numId w:val="16"/>
        </w:numPr>
        <w:tabs>
          <w:tab w:val="left" w:pos="720"/>
        </w:tabs>
        <w:spacing w:after="120" w:line="240" w:lineRule="auto"/>
        <w:ind w:left="714" w:hanging="357"/>
        <w:contextualSpacing w:val="0"/>
        <w:rPr>
          <w:rFonts w:ascii="Calibri Light" w:hAnsi="Calibri Light" w:cs="Calibri Light"/>
        </w:rPr>
      </w:pPr>
      <w:r w:rsidRPr="00520882">
        <w:rPr>
          <w:rFonts w:ascii="Calibri Light" w:hAnsi="Calibri Light" w:cs="Calibri Light"/>
        </w:rPr>
        <w:t>Making information publicly available to meet community expectations and the ease of use and access to the information</w:t>
      </w:r>
    </w:p>
    <w:p w14:paraId="15D53266" w14:textId="77777777" w:rsidR="007C15D8" w:rsidRPr="00520882" w:rsidRDefault="007C15D8" w:rsidP="007C15D8">
      <w:pPr>
        <w:pStyle w:val="ListParagraph"/>
        <w:numPr>
          <w:ilvl w:val="0"/>
          <w:numId w:val="16"/>
        </w:numPr>
        <w:tabs>
          <w:tab w:val="left" w:pos="720"/>
        </w:tabs>
        <w:spacing w:after="120" w:line="240" w:lineRule="auto"/>
        <w:ind w:left="714" w:hanging="357"/>
        <w:contextualSpacing w:val="0"/>
        <w:rPr>
          <w:rFonts w:ascii="Calibri Light" w:hAnsi="Calibri Light" w:cs="Calibri Light"/>
        </w:rPr>
      </w:pPr>
      <w:r w:rsidRPr="00520882">
        <w:rPr>
          <w:rFonts w:ascii="Calibri Light" w:hAnsi="Calibri Light" w:cs="Calibri Light"/>
        </w:rPr>
        <w:t>Contributing to and maintaining community confidence that appropriate regulatory oversight is in place through transparent assessment and enforcement activities</w:t>
      </w:r>
    </w:p>
    <w:p w14:paraId="2EFB349E" w14:textId="77777777" w:rsidR="007C15D8" w:rsidRPr="00520882" w:rsidRDefault="007C15D8" w:rsidP="007C15D8">
      <w:pPr>
        <w:pStyle w:val="ListParagraph"/>
        <w:numPr>
          <w:ilvl w:val="0"/>
          <w:numId w:val="16"/>
        </w:numPr>
        <w:tabs>
          <w:tab w:val="left" w:pos="720"/>
        </w:tabs>
        <w:spacing w:after="120" w:line="240" w:lineRule="auto"/>
        <w:ind w:left="714" w:hanging="357"/>
        <w:contextualSpacing w:val="0"/>
        <w:rPr>
          <w:rFonts w:ascii="Calibri Light" w:hAnsi="Calibri Light" w:cs="Calibri Light"/>
        </w:rPr>
      </w:pPr>
      <w:r w:rsidRPr="00520882">
        <w:rPr>
          <w:rFonts w:ascii="Calibri Light" w:hAnsi="Calibri Light" w:cs="Calibri Light"/>
        </w:rPr>
        <w:t>Providing timely information and advice to the Minister in responding to community concerns and other matters as they arise.</w:t>
      </w:r>
    </w:p>
    <w:p w14:paraId="761E68C3" w14:textId="77777777" w:rsidR="007C15D8" w:rsidRPr="00520882"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NOPSEMA’s engagement and relationships with external parties, including federal, State and Territory government bodies, industry, other stakeholders and the NOPSEMA Board, to improve regulatory outcomes in an objectives-based regulatory environment. This should also consider the level of international engagement by NOPSEMA.</w:t>
      </w:r>
    </w:p>
    <w:p w14:paraId="07A5F91B" w14:textId="77777777" w:rsidR="007C15D8" w:rsidRPr="00520882"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The current cost recovery arrangements, commensurate with the functions of NOPSEMA and size of the industry.</w:t>
      </w:r>
    </w:p>
    <w:p w14:paraId="05522275" w14:textId="77777777" w:rsidR="007C15D8" w:rsidRPr="00520882"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An assessment of the capacity and capability of NOPSEMA, including current staffing arrangements and its structure, commensurate with its functions, to respond to varying levels of industry activity and to new technologies and other emerging issues.</w:t>
      </w:r>
    </w:p>
    <w:p w14:paraId="3B0084F9" w14:textId="77777777" w:rsidR="007C15D8" w:rsidRPr="00520882" w:rsidRDefault="007C15D8" w:rsidP="007C15D8">
      <w:pPr>
        <w:pStyle w:val="ListParagraph"/>
        <w:numPr>
          <w:ilvl w:val="0"/>
          <w:numId w:val="15"/>
        </w:numPr>
        <w:tabs>
          <w:tab w:val="left" w:pos="720"/>
        </w:tabs>
        <w:spacing w:after="120" w:line="240" w:lineRule="auto"/>
        <w:contextualSpacing w:val="0"/>
        <w:rPr>
          <w:rFonts w:ascii="Calibri Light" w:hAnsi="Calibri Light" w:cs="Calibri Light"/>
        </w:rPr>
      </w:pPr>
      <w:r w:rsidRPr="00520882">
        <w:rPr>
          <w:rFonts w:ascii="Calibri Light" w:hAnsi="Calibri Light" w:cs="Calibri Light"/>
        </w:rPr>
        <w:t>Identify potential opportunities where NOPSEMA can reduce operating costs and streamline corporate functions, to reduce the financial and regulatory burden on industry.</w:t>
      </w:r>
    </w:p>
    <w:p w14:paraId="6D83F92B" w14:textId="77777777" w:rsidR="007C15D8" w:rsidRPr="007C15D8" w:rsidRDefault="007C15D8" w:rsidP="00465219"/>
    <w:p w14:paraId="3ADF507F" w14:textId="50F55F04" w:rsidR="00674CD5" w:rsidRPr="007C15D8" w:rsidRDefault="00674CD5" w:rsidP="00465219">
      <w:pPr>
        <w:pStyle w:val="Appendixhead1"/>
        <w:rPr>
          <w:b/>
          <w:bCs/>
        </w:rPr>
      </w:pPr>
      <w:bookmarkStart w:id="233" w:name="_Toc63970852"/>
      <w:r>
        <w:lastRenderedPageBreak/>
        <w:t>NOPSEMA personnel interviewed</w:t>
      </w:r>
      <w:bookmarkEnd w:id="232"/>
      <w:bookmarkEnd w:id="233"/>
    </w:p>
    <w:tbl>
      <w:tblPr>
        <w:tblStyle w:val="ListTable3-Accent5"/>
        <w:tblW w:w="0" w:type="auto"/>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832"/>
        <w:gridCol w:w="8944"/>
      </w:tblGrid>
      <w:tr w:rsidR="008E0559" w:rsidRPr="00520882" w14:paraId="5EE06933" w14:textId="77777777" w:rsidTr="0052088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32" w:type="dxa"/>
            <w:tcBorders>
              <w:top w:val="single" w:sz="8" w:space="0" w:color="007680"/>
              <w:bottom w:val="single" w:sz="8" w:space="0" w:color="007680"/>
            </w:tcBorders>
            <w:shd w:val="clear" w:color="auto" w:fill="auto"/>
          </w:tcPr>
          <w:p w14:paraId="2F2502FE" w14:textId="77777777" w:rsidR="008E0559" w:rsidRPr="00520882" w:rsidRDefault="008E0559" w:rsidP="00520882">
            <w:pPr>
              <w:pStyle w:val="Tableheader"/>
              <w:contextualSpacing w:val="0"/>
              <w:rPr>
                <w:b/>
                <w:bCs/>
                <w:sz w:val="18"/>
                <w:szCs w:val="18"/>
              </w:rPr>
            </w:pPr>
            <w:r w:rsidRPr="00520882">
              <w:rPr>
                <w:b/>
                <w:bCs/>
                <w:sz w:val="18"/>
                <w:szCs w:val="18"/>
              </w:rPr>
              <w:t>#</w:t>
            </w:r>
          </w:p>
        </w:tc>
        <w:tc>
          <w:tcPr>
            <w:tcW w:w="8944" w:type="dxa"/>
            <w:tcBorders>
              <w:top w:val="single" w:sz="8" w:space="0" w:color="007680"/>
              <w:bottom w:val="single" w:sz="8" w:space="0" w:color="007680"/>
            </w:tcBorders>
            <w:shd w:val="clear" w:color="auto" w:fill="auto"/>
          </w:tcPr>
          <w:p w14:paraId="39F09DBF" w14:textId="2AC780BC" w:rsidR="008E0559" w:rsidRPr="00520882" w:rsidRDefault="008E0559" w:rsidP="00520882">
            <w:pPr>
              <w:pStyle w:val="Tableheader"/>
              <w:contextualSpacing w:val="0"/>
              <w:cnfStyle w:val="100000000000" w:firstRow="1" w:lastRow="0" w:firstColumn="0" w:lastColumn="0" w:oddVBand="0" w:evenVBand="0" w:oddHBand="0" w:evenHBand="0" w:firstRowFirstColumn="0" w:firstRowLastColumn="0" w:lastRowFirstColumn="0" w:lastRowLastColumn="0"/>
              <w:rPr>
                <w:b/>
                <w:bCs/>
                <w:sz w:val="18"/>
                <w:szCs w:val="18"/>
              </w:rPr>
            </w:pPr>
            <w:r w:rsidRPr="00520882">
              <w:rPr>
                <w:b/>
                <w:bCs/>
                <w:sz w:val="18"/>
                <w:szCs w:val="18"/>
              </w:rPr>
              <w:t>Role</w:t>
            </w:r>
            <w:r w:rsidR="00456DC7">
              <w:rPr>
                <w:b/>
                <w:bCs/>
                <w:sz w:val="18"/>
                <w:szCs w:val="18"/>
              </w:rPr>
              <w:t>*</w:t>
            </w:r>
          </w:p>
        </w:tc>
      </w:tr>
      <w:tr w:rsidR="003E26AE" w:rsidRPr="00520882" w14:paraId="568A7302"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8" w:space="0" w:color="007680"/>
              <w:bottom w:val="single" w:sz="4" w:space="0" w:color="BFBFBF" w:themeColor="background1" w:themeShade="BF"/>
            </w:tcBorders>
            <w:shd w:val="clear" w:color="auto" w:fill="auto"/>
          </w:tcPr>
          <w:p w14:paraId="6230A7EF" w14:textId="057DD16D" w:rsidR="003E26AE" w:rsidRPr="00520882" w:rsidRDefault="003E26AE"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8" w:space="0" w:color="007680"/>
              <w:bottom w:val="single" w:sz="4" w:space="0" w:color="BFBFBF" w:themeColor="background1" w:themeShade="BF"/>
            </w:tcBorders>
            <w:shd w:val="clear" w:color="auto" w:fill="auto"/>
            <w:vAlign w:val="center"/>
          </w:tcPr>
          <w:p w14:paraId="7FA776EE" w14:textId="681EB084" w:rsidR="003E26AE" w:rsidRPr="00520882" w:rsidRDefault="003E26AE"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A/g Lead OHS Regulatory Specialist, Assessment and Inspection, Platforms, Pipelines and Diving</w:t>
            </w:r>
          </w:p>
        </w:tc>
      </w:tr>
      <w:tr w:rsidR="003E26AE" w:rsidRPr="00520882" w14:paraId="012B001B"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86AF8F5" w14:textId="7C66B874" w:rsidR="003E26AE" w:rsidRPr="00520882" w:rsidRDefault="003E26AE"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5ADD91B0" w14:textId="3F6253FE" w:rsidR="003E26AE" w:rsidRPr="00520882" w:rsidRDefault="003E26AE"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20882">
              <w:rPr>
                <w:szCs w:val="18"/>
              </w:rPr>
              <w:t>A/g Well Integrity Specialist (Lead)</w:t>
            </w:r>
          </w:p>
        </w:tc>
      </w:tr>
      <w:tr w:rsidR="003E26AE" w:rsidRPr="00520882" w14:paraId="4516257C"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69AFC640" w14:textId="3A3D14EF" w:rsidR="003E26AE" w:rsidRPr="00520882" w:rsidRDefault="003E26AE"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1755792B" w14:textId="0E1DF4A9" w:rsidR="003E26AE" w:rsidRPr="00520882" w:rsidRDefault="003E26AE"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A/Manager Environmental Effects</w:t>
            </w:r>
            <w:r w:rsidR="00052ABC">
              <w:rPr>
                <w:szCs w:val="18"/>
              </w:rPr>
              <w:t>**</w:t>
            </w:r>
          </w:p>
        </w:tc>
      </w:tr>
      <w:tr w:rsidR="003E26AE" w:rsidRPr="00520882" w14:paraId="72CB4C5E"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3026C12" w14:textId="5AE64722" w:rsidR="003E26AE" w:rsidRPr="00520882" w:rsidRDefault="003E26AE"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0EF89DD2" w14:textId="5A8E0A10" w:rsidR="003E26AE" w:rsidRPr="00520882" w:rsidRDefault="00E404B7"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4F0612">
              <w:rPr>
                <w:szCs w:val="18"/>
              </w:rPr>
              <w:t xml:space="preserve">Assistant Manager, </w:t>
            </w:r>
            <w:r>
              <w:rPr>
                <w:szCs w:val="18"/>
              </w:rPr>
              <w:t>Specialist – Legislative and Regulatory Affairs, Legislative Change, Communications &amp; Stakeholder Relations Team</w:t>
            </w:r>
            <w:r w:rsidR="00052ABC">
              <w:rPr>
                <w:szCs w:val="18"/>
              </w:rPr>
              <w:t>**</w:t>
            </w:r>
          </w:p>
        </w:tc>
      </w:tr>
      <w:tr w:rsidR="003E26AE" w:rsidRPr="00520882" w14:paraId="5ED56C85"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1654E12" w14:textId="4E8812DA" w:rsidR="003E26AE" w:rsidRPr="00520882" w:rsidRDefault="003E26AE"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7670C228" w14:textId="12C0EB35" w:rsidR="003E26AE" w:rsidRPr="00520882" w:rsidRDefault="003E26AE"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Chief Environmental Scientist - Environmental Effects Manager</w:t>
            </w:r>
            <w:r w:rsidR="00EC6A42">
              <w:rPr>
                <w:szCs w:val="18"/>
              </w:rPr>
              <w:t>**</w:t>
            </w:r>
          </w:p>
        </w:tc>
      </w:tr>
      <w:tr w:rsidR="003E26AE" w:rsidRPr="00520882" w14:paraId="30086639"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3CB10B0D" w14:textId="6338FFF0" w:rsidR="003E26AE" w:rsidRPr="00520882" w:rsidRDefault="003E26AE"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6F01B84D" w14:textId="66FE796E" w:rsidR="003E26AE" w:rsidRPr="00520882" w:rsidRDefault="003E26AE"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20882">
              <w:rPr>
                <w:szCs w:val="18"/>
              </w:rPr>
              <w:t>Chief Executive Officer</w:t>
            </w:r>
            <w:r w:rsidR="00C05E6A">
              <w:rPr>
                <w:szCs w:val="18"/>
              </w:rPr>
              <w:t>**</w:t>
            </w:r>
          </w:p>
        </w:tc>
      </w:tr>
      <w:tr w:rsidR="003E26AE" w:rsidRPr="00520882" w14:paraId="7A80A351"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D46631C" w14:textId="7BD5340B" w:rsidR="003E26AE" w:rsidRPr="00520882" w:rsidRDefault="003E26AE"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2055112D" w14:textId="07C0D047" w:rsidR="00C0273C" w:rsidRPr="00520882" w:rsidRDefault="00C0273C"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Chief Financial Officer</w:t>
            </w:r>
          </w:p>
        </w:tc>
      </w:tr>
      <w:tr w:rsidR="005C12F5" w:rsidRPr="00520882" w14:paraId="4896B9A1"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34064E91" w14:textId="0B02EFE4"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7100D921" w14:textId="6D76E5B3" w:rsidR="005C12F5" w:rsidRPr="00520882" w:rsidRDefault="005C12F5"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20882">
              <w:rPr>
                <w:szCs w:val="18"/>
              </w:rPr>
              <w:t>Communications and Stakeholder Relations Manager</w:t>
            </w:r>
            <w:r w:rsidR="00EF4643">
              <w:rPr>
                <w:szCs w:val="18"/>
              </w:rPr>
              <w:t>**</w:t>
            </w:r>
          </w:p>
        </w:tc>
      </w:tr>
      <w:tr w:rsidR="005C12F5" w:rsidRPr="00520882" w14:paraId="0DB886A4"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595C2C07" w14:textId="2710AF45"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401200E1" w14:textId="26E86CBD" w:rsidR="005C12F5" w:rsidRPr="00520882" w:rsidRDefault="005C12F5"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Environment Officer, Assessment and Inspection, Drilling and Developments</w:t>
            </w:r>
            <w:r w:rsidR="001D127C">
              <w:rPr>
                <w:szCs w:val="18"/>
              </w:rPr>
              <w:t>**</w:t>
            </w:r>
          </w:p>
        </w:tc>
      </w:tr>
      <w:tr w:rsidR="005C12F5" w:rsidRPr="00520882" w14:paraId="57F9F5F6"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7B11FF51" w14:textId="082EFFC0"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7C7CBA09" w14:textId="0E161F3A" w:rsidR="005C12F5" w:rsidRPr="00520882" w:rsidRDefault="005C12F5"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20882">
              <w:rPr>
                <w:szCs w:val="18"/>
              </w:rPr>
              <w:t>Environment Specialist, Spill Risk</w:t>
            </w:r>
          </w:p>
        </w:tc>
      </w:tr>
      <w:tr w:rsidR="005C12F5" w:rsidRPr="00520882" w14:paraId="4AC2A33E"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2B5DC09A" w14:textId="01B8A993"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46B28C71" w14:textId="5FCF81CF" w:rsidR="005C12F5" w:rsidRPr="00520882" w:rsidRDefault="005C12F5"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Environmental Specialist, Environmental Effects</w:t>
            </w:r>
            <w:r w:rsidR="0088254B">
              <w:rPr>
                <w:szCs w:val="18"/>
              </w:rPr>
              <w:t>**</w:t>
            </w:r>
          </w:p>
        </w:tc>
      </w:tr>
      <w:tr w:rsidR="005C12F5" w:rsidRPr="00520882" w14:paraId="0ACEEFFF"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6599BD6B" w14:textId="61679B41"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5604A230" w14:textId="6B0FA6E7" w:rsidR="005C12F5" w:rsidRPr="00520882" w:rsidRDefault="005C12F5"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20882">
              <w:rPr>
                <w:szCs w:val="18"/>
              </w:rPr>
              <w:t>Head of Division – Environment</w:t>
            </w:r>
            <w:r w:rsidR="00622FE0">
              <w:rPr>
                <w:szCs w:val="18"/>
              </w:rPr>
              <w:t>**</w:t>
            </w:r>
          </w:p>
        </w:tc>
      </w:tr>
      <w:tr w:rsidR="005C12F5" w:rsidRPr="00520882" w14:paraId="1DA7BB5C"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547CFAFB" w14:textId="0953A319"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59B55C6E" w14:textId="02D47C95" w:rsidR="005C12F5" w:rsidRPr="00520882" w:rsidRDefault="005C12F5"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Head of Division – Regulatory Support</w:t>
            </w:r>
            <w:r w:rsidR="00622FE0">
              <w:rPr>
                <w:szCs w:val="18"/>
              </w:rPr>
              <w:t>**</w:t>
            </w:r>
          </w:p>
        </w:tc>
      </w:tr>
      <w:tr w:rsidR="005C12F5" w:rsidRPr="00520882" w14:paraId="77F871D5"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36303B2B" w14:textId="0DC0A9D2"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735AA853" w14:textId="6C614900" w:rsidR="005C12F5" w:rsidRPr="00520882" w:rsidRDefault="005C12F5"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20882">
              <w:rPr>
                <w:szCs w:val="18"/>
              </w:rPr>
              <w:t>Head of Division – Safety &amp; Integrity</w:t>
            </w:r>
          </w:p>
        </w:tc>
      </w:tr>
      <w:tr w:rsidR="005C12F5" w:rsidRPr="00520882" w14:paraId="382BC898"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24234B9C" w14:textId="6B3A6DD3"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791866C7" w14:textId="3B9415FD" w:rsidR="005C12F5" w:rsidRPr="00520882" w:rsidRDefault="005C12F5"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Human Resources Manager</w:t>
            </w:r>
          </w:p>
        </w:tc>
      </w:tr>
      <w:tr w:rsidR="005C12F5" w:rsidRPr="00520882" w14:paraId="382F27B9"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700E567" w14:textId="3B1C58C3"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186D67AD" w14:textId="4986001D" w:rsidR="005C12F5" w:rsidRPr="00520882" w:rsidRDefault="005C12F5"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20882">
              <w:rPr>
                <w:szCs w:val="18"/>
              </w:rPr>
              <w:t>Manager, Assessment and Inspection (Drilling and Developments)</w:t>
            </w:r>
          </w:p>
        </w:tc>
      </w:tr>
      <w:tr w:rsidR="005C12F5" w:rsidRPr="00520882" w14:paraId="62098963"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B550912" w14:textId="34BF391E"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1849CB50" w14:textId="22853469" w:rsidR="005C12F5" w:rsidRPr="00520882" w:rsidRDefault="005C12F5"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Manager, Assessment and Inspection (Platforms, Pipelines and Diving Team)</w:t>
            </w:r>
          </w:p>
        </w:tc>
      </w:tr>
      <w:tr w:rsidR="005C12F5" w:rsidRPr="00520882" w14:paraId="177D2B47"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5E13C6CB" w14:textId="6B3869B9"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37BE3828" w14:textId="2C8F9D89" w:rsidR="005C12F5" w:rsidRPr="00520882" w:rsidRDefault="005C12F5"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20882">
              <w:rPr>
                <w:szCs w:val="18"/>
              </w:rPr>
              <w:t>Manager, Assessment and Inspection (Vessel Facility Team)</w:t>
            </w:r>
          </w:p>
        </w:tc>
      </w:tr>
      <w:tr w:rsidR="005C12F5" w:rsidRPr="00520882" w14:paraId="502FBB51"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B7117AC" w14:textId="1C9B6178"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0CA5D02B" w14:textId="6CB5F7E8" w:rsidR="005C12F5" w:rsidRPr="00520882" w:rsidRDefault="005C12F5"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Manager, Regulatory Reform</w:t>
            </w:r>
          </w:p>
        </w:tc>
      </w:tr>
      <w:tr w:rsidR="005C12F5" w:rsidRPr="00520882" w14:paraId="77D092C6"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58B09678" w14:textId="1BF4790B"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09896ABD" w14:textId="227B381D" w:rsidR="005C12F5" w:rsidRPr="00520882" w:rsidRDefault="00A0706B"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Pr>
                <w:szCs w:val="18"/>
              </w:rPr>
              <w:t xml:space="preserve">Environment </w:t>
            </w:r>
            <w:r w:rsidR="005C12F5" w:rsidRPr="00520882">
              <w:rPr>
                <w:szCs w:val="18"/>
              </w:rPr>
              <w:t>Manager</w:t>
            </w:r>
            <w:r>
              <w:rPr>
                <w:szCs w:val="18"/>
              </w:rPr>
              <w:t xml:space="preserve"> –</w:t>
            </w:r>
            <w:r w:rsidR="005C12F5" w:rsidRPr="00520882">
              <w:rPr>
                <w:szCs w:val="18"/>
              </w:rPr>
              <w:t xml:space="preserve"> Spill Risk</w:t>
            </w:r>
            <w:r w:rsidR="00052ABC">
              <w:rPr>
                <w:szCs w:val="18"/>
              </w:rPr>
              <w:t>**</w:t>
            </w:r>
          </w:p>
        </w:tc>
      </w:tr>
      <w:tr w:rsidR="005C12F5" w:rsidRPr="00520882" w14:paraId="00E6CE20"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4C8B914" w14:textId="48CA7E82"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6370FEAB" w14:textId="1B64117A" w:rsidR="005C12F5" w:rsidRPr="00520882" w:rsidRDefault="005C12F5"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Manager, Well Integrity</w:t>
            </w:r>
          </w:p>
        </w:tc>
      </w:tr>
      <w:tr w:rsidR="005C12F5" w:rsidRPr="00520882" w14:paraId="29E1A738"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FC06D3B" w14:textId="68FF3D66"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242B3D76" w14:textId="22E36838" w:rsidR="005C12F5" w:rsidRPr="00520882" w:rsidRDefault="005C12F5"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20882">
              <w:rPr>
                <w:szCs w:val="18"/>
              </w:rPr>
              <w:t>NOPSEMA Advisory Board</w:t>
            </w:r>
          </w:p>
        </w:tc>
      </w:tr>
      <w:tr w:rsidR="005C12F5" w:rsidRPr="00520882" w14:paraId="3CC7E1B6"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2AD1652" w14:textId="0921F0FB"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053E296D" w14:textId="40560BB8" w:rsidR="005C12F5" w:rsidRPr="00520882" w:rsidRDefault="005C12F5"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Regulatory Specialist, Investigations</w:t>
            </w:r>
          </w:p>
        </w:tc>
      </w:tr>
      <w:tr w:rsidR="005C12F5" w:rsidRPr="00520882" w14:paraId="6F4A3107"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358D0884" w14:textId="400C6949"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7E8C8152" w14:textId="372FEE63" w:rsidR="005C12F5" w:rsidRPr="00520882" w:rsidRDefault="005C12F5"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20882">
              <w:rPr>
                <w:szCs w:val="18"/>
              </w:rPr>
              <w:t>Senior Legal Counsel</w:t>
            </w:r>
          </w:p>
        </w:tc>
      </w:tr>
      <w:tr w:rsidR="005C12F5" w:rsidRPr="00520882" w14:paraId="47BCC330"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24ABB37F" w14:textId="44D90FC6"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6A11CB9A" w14:textId="07DAB766" w:rsidR="005C12F5" w:rsidRPr="00520882" w:rsidRDefault="005C12F5" w:rsidP="00520882">
            <w:pPr>
              <w:pStyle w:val="Tablebody"/>
              <w:spacing w:line="240" w:lineRule="auto"/>
              <w:cnfStyle w:val="000000100000" w:firstRow="0" w:lastRow="0" w:firstColumn="0" w:lastColumn="0" w:oddVBand="0" w:evenVBand="0" w:oddHBand="1" w:evenHBand="0" w:firstRowFirstColumn="0" w:firstRowLastColumn="0" w:lastRowFirstColumn="0" w:lastRowLastColumn="0"/>
              <w:rPr>
                <w:szCs w:val="18"/>
              </w:rPr>
            </w:pPr>
            <w:r w:rsidRPr="00520882">
              <w:rPr>
                <w:szCs w:val="18"/>
              </w:rPr>
              <w:t>Strategic Compliance Manager, Risk, Planning and Improvement</w:t>
            </w:r>
          </w:p>
        </w:tc>
      </w:tr>
      <w:tr w:rsidR="005C12F5" w:rsidRPr="00520882" w14:paraId="7D615DE8"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749F271" w14:textId="6CBA6638" w:rsidR="005C12F5" w:rsidRPr="00520882" w:rsidRDefault="005C12F5" w:rsidP="000C1F53">
            <w:pPr>
              <w:pStyle w:val="ListParagraph"/>
              <w:numPr>
                <w:ilvl w:val="0"/>
                <w:numId w:val="27"/>
              </w:numPr>
              <w:spacing w:after="0"/>
              <w:contextualSpacing w:val="0"/>
              <w:rPr>
                <w:rFonts w:ascii="Calibri Light" w:hAnsi="Calibri Light" w:cs="Calibri Light"/>
                <w:b w:val="0"/>
                <w:bCs w:val="0"/>
              </w:rPr>
            </w:pPr>
          </w:p>
        </w:tc>
        <w:tc>
          <w:tcPr>
            <w:tcW w:w="8944" w:type="dxa"/>
            <w:tcBorders>
              <w:top w:val="single" w:sz="4" w:space="0" w:color="BFBFBF" w:themeColor="background1" w:themeShade="BF"/>
              <w:bottom w:val="single" w:sz="4" w:space="0" w:color="BFBFBF" w:themeColor="background1" w:themeShade="BF"/>
            </w:tcBorders>
            <w:shd w:val="clear" w:color="auto" w:fill="auto"/>
            <w:vAlign w:val="center"/>
          </w:tcPr>
          <w:p w14:paraId="7AE6A553" w14:textId="45F06BF4" w:rsidR="005C12F5" w:rsidRPr="00520882" w:rsidRDefault="005C12F5" w:rsidP="00520882">
            <w:pPr>
              <w:pStyle w:val="Tablebody"/>
              <w:spacing w:line="240" w:lineRule="auto"/>
              <w:cnfStyle w:val="000000000000" w:firstRow="0" w:lastRow="0" w:firstColumn="0" w:lastColumn="0" w:oddVBand="0" w:evenVBand="0" w:oddHBand="0" w:evenHBand="0" w:firstRowFirstColumn="0" w:firstRowLastColumn="0" w:lastRowFirstColumn="0" w:lastRowLastColumn="0"/>
              <w:rPr>
                <w:szCs w:val="18"/>
              </w:rPr>
            </w:pPr>
            <w:r w:rsidRPr="00520882">
              <w:rPr>
                <w:szCs w:val="18"/>
              </w:rPr>
              <w:t xml:space="preserve">Well Integrity Specialist </w:t>
            </w:r>
          </w:p>
        </w:tc>
      </w:tr>
    </w:tbl>
    <w:p w14:paraId="12C01DFB" w14:textId="56726D6A" w:rsidR="00674CD5" w:rsidRDefault="00456DC7" w:rsidP="00674CD5">
      <w:pPr>
        <w:spacing w:after="0"/>
        <w:rPr>
          <w:rFonts w:ascii="Calibri Light" w:hAnsi="Calibri Light" w:cs="Calibri"/>
        </w:rPr>
      </w:pPr>
      <w:r w:rsidRPr="00ED4663">
        <w:rPr>
          <w:rFonts w:ascii="Calibri Light" w:hAnsi="Calibri Light" w:cs="Calibri"/>
        </w:rPr>
        <w:t>*For several of the NOP</w:t>
      </w:r>
      <w:r>
        <w:rPr>
          <w:rFonts w:ascii="Calibri Light" w:hAnsi="Calibri Light" w:cs="Calibri"/>
        </w:rPr>
        <w:t>SEM</w:t>
      </w:r>
      <w:r w:rsidRPr="00ED4663">
        <w:rPr>
          <w:rFonts w:ascii="Calibri Light" w:hAnsi="Calibri Light" w:cs="Calibri"/>
        </w:rPr>
        <w:t>A personnel interviewed, multiple interviews were held across various terms of reference areas.</w:t>
      </w:r>
    </w:p>
    <w:p w14:paraId="6BC7CD98" w14:textId="7A600F44" w:rsidR="007C15D8" w:rsidRPr="008D69C2" w:rsidRDefault="005513F5" w:rsidP="00674CD5">
      <w:pPr>
        <w:spacing w:after="0"/>
        <w:rPr>
          <w:rFonts w:ascii="Calibri Light" w:hAnsi="Calibri Light" w:cs="Calibri"/>
        </w:rPr>
      </w:pPr>
      <w:r>
        <w:rPr>
          <w:rFonts w:ascii="Calibri Light" w:hAnsi="Calibri Light" w:cs="Calibri"/>
        </w:rPr>
        <w:t xml:space="preserve">** </w:t>
      </w:r>
      <w:r w:rsidR="006D604A">
        <w:rPr>
          <w:rFonts w:ascii="Calibri Light" w:hAnsi="Calibri Light" w:cs="Calibri"/>
        </w:rPr>
        <w:t>D</w:t>
      </w:r>
      <w:r>
        <w:rPr>
          <w:rFonts w:ascii="Calibri Light" w:hAnsi="Calibri Light" w:cs="Calibri"/>
        </w:rPr>
        <w:t>enotes NOPSEMA personnel interviewed as part of the 2020 Endorsed Program Assessment</w:t>
      </w:r>
      <w:r w:rsidR="0000180A">
        <w:rPr>
          <w:rFonts w:ascii="Calibri Light" w:hAnsi="Calibri Light" w:cs="Calibri"/>
        </w:rPr>
        <w:t>.</w:t>
      </w:r>
    </w:p>
    <w:p w14:paraId="6F4AD157" w14:textId="77777777" w:rsidR="00674CD5" w:rsidRDefault="00674CD5" w:rsidP="00674CD5">
      <w:pPr>
        <w:spacing w:after="0"/>
        <w:rPr>
          <w:rFonts w:asciiTheme="majorHAnsi" w:hAnsiTheme="majorHAnsi" w:cs="Calibri"/>
        </w:rPr>
      </w:pPr>
    </w:p>
    <w:p w14:paraId="244DE86C" w14:textId="77777777" w:rsidR="00674CD5" w:rsidRDefault="00674CD5" w:rsidP="00674CD5">
      <w:pPr>
        <w:spacing w:after="0"/>
        <w:rPr>
          <w:rFonts w:asciiTheme="majorHAnsi" w:hAnsiTheme="majorHAnsi" w:cs="Calibri"/>
        </w:rPr>
      </w:pPr>
      <w:r>
        <w:rPr>
          <w:rFonts w:asciiTheme="majorHAnsi" w:hAnsiTheme="majorHAnsi" w:cs="Calibri"/>
        </w:rPr>
        <w:br w:type="page"/>
      </w:r>
    </w:p>
    <w:p w14:paraId="5BDA4DC6" w14:textId="3BD0B562" w:rsidR="00674CD5" w:rsidRPr="00AF201E" w:rsidRDefault="00674CD5" w:rsidP="00AF201E">
      <w:pPr>
        <w:pStyle w:val="Appendixhead1"/>
        <w:rPr>
          <w:b/>
          <w:bCs/>
        </w:rPr>
      </w:pPr>
      <w:bookmarkStart w:id="234" w:name="_Ref58316738"/>
      <w:bookmarkStart w:id="235" w:name="_Toc63970853"/>
      <w:r>
        <w:lastRenderedPageBreak/>
        <w:t>External parties consulted</w:t>
      </w:r>
      <w:bookmarkEnd w:id="234"/>
      <w:bookmarkEnd w:id="235"/>
    </w:p>
    <w:tbl>
      <w:tblPr>
        <w:tblStyle w:val="ListTable3-Accent5"/>
        <w:tblW w:w="9854" w:type="dxa"/>
        <w:tblBorders>
          <w:top w:val="single" w:sz="4" w:space="0" w:color="005587"/>
          <w:left w:val="single" w:sz="4" w:space="0" w:color="005587"/>
          <w:bottom w:val="single" w:sz="4" w:space="0" w:color="005587"/>
          <w:right w:val="single" w:sz="4" w:space="0" w:color="005587"/>
          <w:insideH w:val="single" w:sz="4" w:space="0" w:color="005587"/>
        </w:tblBorders>
        <w:tblLayout w:type="fixed"/>
        <w:tblCellMar>
          <w:top w:w="57" w:type="dxa"/>
          <w:left w:w="57" w:type="dxa"/>
          <w:bottom w:w="57" w:type="dxa"/>
          <w:right w:w="57" w:type="dxa"/>
        </w:tblCellMar>
        <w:tblLook w:val="04A0" w:firstRow="1" w:lastRow="0" w:firstColumn="1" w:lastColumn="0" w:noHBand="0" w:noVBand="1"/>
      </w:tblPr>
      <w:tblGrid>
        <w:gridCol w:w="6232"/>
        <w:gridCol w:w="1207"/>
        <w:gridCol w:w="1207"/>
        <w:gridCol w:w="1208"/>
      </w:tblGrid>
      <w:tr w:rsidR="00453048" w:rsidRPr="009B6084" w14:paraId="6AA303A7" w14:textId="77777777" w:rsidTr="00A1601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6232" w:type="dxa"/>
            <w:tcBorders>
              <w:top w:val="single" w:sz="8" w:space="0" w:color="007680"/>
              <w:left w:val="nil"/>
              <w:bottom w:val="single" w:sz="8" w:space="0" w:color="007680"/>
            </w:tcBorders>
            <w:shd w:val="clear" w:color="auto" w:fill="auto"/>
          </w:tcPr>
          <w:p w14:paraId="1E5E998C" w14:textId="2F4F298C" w:rsidR="00453048" w:rsidRPr="00520882" w:rsidRDefault="00453048" w:rsidP="00520882">
            <w:pPr>
              <w:pStyle w:val="Tableheader"/>
              <w:contextualSpacing w:val="0"/>
              <w:rPr>
                <w:b/>
                <w:bCs/>
              </w:rPr>
            </w:pPr>
            <w:r w:rsidRPr="00520882">
              <w:rPr>
                <w:b/>
                <w:bCs/>
              </w:rPr>
              <w:t>Organisation</w:t>
            </w:r>
          </w:p>
        </w:tc>
        <w:tc>
          <w:tcPr>
            <w:tcW w:w="1207" w:type="dxa"/>
            <w:tcBorders>
              <w:top w:val="single" w:sz="8" w:space="0" w:color="007680"/>
              <w:bottom w:val="single" w:sz="8" w:space="0" w:color="007680"/>
            </w:tcBorders>
            <w:shd w:val="clear" w:color="auto" w:fill="auto"/>
          </w:tcPr>
          <w:p w14:paraId="2E355DB6" w14:textId="6FF1B467" w:rsidR="00453048" w:rsidRPr="00520882" w:rsidRDefault="00453048" w:rsidP="00520882">
            <w:pPr>
              <w:pStyle w:val="Tableheader"/>
              <w:contextualSpacing w:val="0"/>
              <w:cnfStyle w:val="100000000000" w:firstRow="1" w:lastRow="0" w:firstColumn="0" w:lastColumn="0" w:oddVBand="0" w:evenVBand="0" w:oddHBand="0" w:evenHBand="0" w:firstRowFirstColumn="0" w:firstRowLastColumn="0" w:lastRowFirstColumn="0" w:lastRowLastColumn="0"/>
              <w:rPr>
                <w:b/>
                <w:bCs/>
              </w:rPr>
            </w:pPr>
            <w:r w:rsidRPr="00520882">
              <w:rPr>
                <w:b/>
                <w:bCs/>
              </w:rPr>
              <w:t>Survey</w:t>
            </w:r>
          </w:p>
        </w:tc>
        <w:tc>
          <w:tcPr>
            <w:tcW w:w="1207" w:type="dxa"/>
            <w:tcBorders>
              <w:top w:val="single" w:sz="8" w:space="0" w:color="007680"/>
              <w:bottom w:val="single" w:sz="8" w:space="0" w:color="007680"/>
            </w:tcBorders>
            <w:shd w:val="clear" w:color="auto" w:fill="auto"/>
          </w:tcPr>
          <w:p w14:paraId="5058DE64" w14:textId="77777777" w:rsidR="00453048" w:rsidRPr="00520882" w:rsidRDefault="00453048" w:rsidP="00520882">
            <w:pPr>
              <w:pStyle w:val="Tableheader"/>
              <w:contextualSpacing w:val="0"/>
              <w:cnfStyle w:val="100000000000" w:firstRow="1" w:lastRow="0" w:firstColumn="0" w:lastColumn="0" w:oddVBand="0" w:evenVBand="0" w:oddHBand="0" w:evenHBand="0" w:firstRowFirstColumn="0" w:firstRowLastColumn="0" w:lastRowFirstColumn="0" w:lastRowLastColumn="0"/>
              <w:rPr>
                <w:b/>
                <w:bCs/>
              </w:rPr>
            </w:pPr>
            <w:r w:rsidRPr="00520882">
              <w:rPr>
                <w:b/>
                <w:bCs/>
              </w:rPr>
              <w:t>Interview</w:t>
            </w:r>
          </w:p>
        </w:tc>
        <w:tc>
          <w:tcPr>
            <w:tcW w:w="1208" w:type="dxa"/>
            <w:tcBorders>
              <w:top w:val="single" w:sz="8" w:space="0" w:color="007680"/>
              <w:bottom w:val="single" w:sz="8" w:space="0" w:color="007680"/>
              <w:right w:val="nil"/>
            </w:tcBorders>
            <w:shd w:val="clear" w:color="auto" w:fill="auto"/>
          </w:tcPr>
          <w:p w14:paraId="7C5882E8" w14:textId="3D88ED11" w:rsidR="00453048" w:rsidRPr="00520882" w:rsidRDefault="00453048" w:rsidP="00520882">
            <w:pPr>
              <w:pStyle w:val="Tableheader"/>
              <w:contextualSpacing w:val="0"/>
              <w:cnfStyle w:val="100000000000" w:firstRow="1" w:lastRow="0" w:firstColumn="0" w:lastColumn="0" w:oddVBand="0" w:evenVBand="0" w:oddHBand="0" w:evenHBand="0" w:firstRowFirstColumn="0" w:firstRowLastColumn="0" w:lastRowFirstColumn="0" w:lastRowLastColumn="0"/>
              <w:rPr>
                <w:b/>
                <w:bCs/>
              </w:rPr>
            </w:pPr>
            <w:r w:rsidRPr="00520882">
              <w:rPr>
                <w:b/>
                <w:bCs/>
              </w:rPr>
              <w:t>Workshop</w:t>
            </w:r>
          </w:p>
        </w:tc>
      </w:tr>
      <w:tr w:rsidR="00453048" w:rsidRPr="009B6084" w14:paraId="40FCA659"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8" w:space="0" w:color="007680"/>
              <w:left w:val="nil"/>
              <w:bottom w:val="single" w:sz="4" w:space="0" w:color="BFBFBF" w:themeColor="background1" w:themeShade="BF"/>
            </w:tcBorders>
          </w:tcPr>
          <w:p w14:paraId="0AD003CC" w14:textId="61A30434" w:rsidR="00453048" w:rsidRPr="00520882" w:rsidRDefault="006D550E" w:rsidP="00520882">
            <w:pPr>
              <w:pStyle w:val="Tablebody"/>
              <w:spacing w:line="240" w:lineRule="auto"/>
              <w:rPr>
                <w:rFonts w:cs="Calibri"/>
                <w:b w:val="0"/>
                <w:szCs w:val="18"/>
              </w:rPr>
            </w:pPr>
            <w:r w:rsidRPr="00520882">
              <w:rPr>
                <w:b w:val="0"/>
                <w:szCs w:val="18"/>
              </w:rPr>
              <w:t>Austral Fisheries</w:t>
            </w:r>
          </w:p>
        </w:tc>
        <w:tc>
          <w:tcPr>
            <w:tcW w:w="1207" w:type="dxa"/>
            <w:tcBorders>
              <w:top w:val="single" w:sz="8" w:space="0" w:color="007680"/>
              <w:bottom w:val="single" w:sz="4" w:space="0" w:color="BFBFBF" w:themeColor="background1" w:themeShade="BF"/>
            </w:tcBorders>
            <w:shd w:val="clear" w:color="auto" w:fill="auto"/>
          </w:tcPr>
          <w:p w14:paraId="692E72B0" w14:textId="55342501"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8" w:space="0" w:color="007680"/>
              <w:bottom w:val="single" w:sz="4" w:space="0" w:color="BFBFBF" w:themeColor="background1" w:themeShade="BF"/>
            </w:tcBorders>
          </w:tcPr>
          <w:p w14:paraId="35F2B204" w14:textId="4C7C6C8E"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8" w:space="0" w:color="007680"/>
              <w:bottom w:val="single" w:sz="4" w:space="0" w:color="BFBFBF" w:themeColor="background1" w:themeShade="BF"/>
              <w:right w:val="nil"/>
            </w:tcBorders>
            <w:shd w:val="clear" w:color="auto" w:fill="EAEAEA"/>
          </w:tcPr>
          <w:p w14:paraId="3AA40265" w14:textId="5C5D7194"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453048" w:rsidRPr="009B6084" w14:paraId="1F845D1F"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shd w:val="clear" w:color="auto" w:fill="auto"/>
          </w:tcPr>
          <w:p w14:paraId="37866D03" w14:textId="07DB2D7C" w:rsidR="00453048" w:rsidRPr="00520882" w:rsidRDefault="006D550E" w:rsidP="00520882">
            <w:pPr>
              <w:pStyle w:val="Tablebody"/>
              <w:spacing w:line="240" w:lineRule="auto"/>
              <w:rPr>
                <w:rFonts w:cs="Calibri"/>
                <w:b w:val="0"/>
                <w:szCs w:val="18"/>
              </w:rPr>
            </w:pPr>
            <w:r w:rsidRPr="00520882">
              <w:rPr>
                <w:b w:val="0"/>
                <w:szCs w:val="18"/>
              </w:rPr>
              <w:t>Australian Council of Trade Unions</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3B10ED46" w14:textId="7E6CA50A"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136B6076" w14:textId="29047D46"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19605407" w14:textId="2C46BE06"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453048" w:rsidRPr="009B6084" w14:paraId="6AFA274A"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shd w:val="clear" w:color="auto" w:fill="auto"/>
          </w:tcPr>
          <w:p w14:paraId="33F53A2A" w14:textId="30F4AC9F" w:rsidR="00453048" w:rsidRPr="00520882" w:rsidRDefault="006D550E" w:rsidP="00520882">
            <w:pPr>
              <w:pStyle w:val="Tablebody"/>
              <w:spacing w:line="240" w:lineRule="auto"/>
              <w:rPr>
                <w:rFonts w:cs="Calibri"/>
                <w:b w:val="0"/>
                <w:szCs w:val="18"/>
              </w:rPr>
            </w:pPr>
            <w:r w:rsidRPr="00520882">
              <w:rPr>
                <w:b w:val="0"/>
                <w:szCs w:val="18"/>
              </w:rPr>
              <w:t>Australian Manufacturing Workers Union</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1C5372C" w14:textId="358F0B55"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65E26B9F" w14:textId="4BB27EDD"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3A47AE65" w14:textId="19B9CCF6"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189D6906"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shd w:val="clear" w:color="auto" w:fill="auto"/>
          </w:tcPr>
          <w:p w14:paraId="19C2307B" w14:textId="07F8C9B2" w:rsidR="00453048" w:rsidRPr="00520882" w:rsidRDefault="006D550E" w:rsidP="00520882">
            <w:pPr>
              <w:pStyle w:val="Tablebody"/>
              <w:spacing w:line="240" w:lineRule="auto"/>
              <w:rPr>
                <w:rFonts w:cs="Calibri"/>
                <w:b w:val="0"/>
                <w:szCs w:val="18"/>
              </w:rPr>
            </w:pPr>
            <w:r w:rsidRPr="00520882">
              <w:rPr>
                <w:b w:val="0"/>
                <w:szCs w:val="18"/>
              </w:rPr>
              <w:t>Australian Marine Oil Spill Centre</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49CA960E" w14:textId="6E5E5A59"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tcPr>
          <w:p w14:paraId="7BEB79D7" w14:textId="34BCFA60"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13AE1662" w14:textId="50DDFA08"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453048" w:rsidRPr="009B6084" w14:paraId="4449389A"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69D2C03A" w14:textId="6ECDF7D8" w:rsidR="00453048" w:rsidRPr="00520882" w:rsidRDefault="006D550E" w:rsidP="00520882">
            <w:pPr>
              <w:pStyle w:val="Tablebody"/>
              <w:spacing w:line="240" w:lineRule="auto"/>
              <w:rPr>
                <w:rFonts w:cs="Calibri"/>
                <w:b w:val="0"/>
                <w:szCs w:val="18"/>
              </w:rPr>
            </w:pPr>
            <w:r w:rsidRPr="00520882">
              <w:rPr>
                <w:b w:val="0"/>
                <w:szCs w:val="18"/>
              </w:rPr>
              <w:t>Australian Maritime Safety Authority</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552561FC" w14:textId="6EAA0BBB"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162CF67D" w14:textId="0C91054A"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55F8C923" w14:textId="3284A134"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453048" w:rsidRPr="009B6084" w14:paraId="0378F2B2"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480D5392" w14:textId="25292002" w:rsidR="00453048" w:rsidRPr="00520882" w:rsidRDefault="006D550E" w:rsidP="00520882">
            <w:pPr>
              <w:pStyle w:val="Tablebody"/>
              <w:spacing w:line="240" w:lineRule="auto"/>
              <w:rPr>
                <w:rFonts w:cs="Calibri"/>
                <w:b w:val="0"/>
                <w:szCs w:val="18"/>
              </w:rPr>
            </w:pPr>
            <w:r w:rsidRPr="00520882">
              <w:rPr>
                <w:b w:val="0"/>
                <w:szCs w:val="18"/>
              </w:rPr>
              <w:t>Australian Petroleum Production and Exploration Association</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424BE9E5" w14:textId="35BDB795"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7558D892" w14:textId="4A389436"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6C7945D5" w14:textId="779AC796"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453048" w:rsidRPr="009B6084" w14:paraId="22078EAB"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520342F2" w14:textId="07E7BBE2" w:rsidR="00453048" w:rsidRPr="00520882" w:rsidRDefault="006D550E" w:rsidP="00520882">
            <w:pPr>
              <w:pStyle w:val="Tablebody"/>
              <w:spacing w:line="240" w:lineRule="auto"/>
              <w:rPr>
                <w:rFonts w:cs="Calibri"/>
                <w:b w:val="0"/>
                <w:szCs w:val="18"/>
              </w:rPr>
            </w:pPr>
            <w:r w:rsidRPr="00520882">
              <w:rPr>
                <w:b w:val="0"/>
                <w:szCs w:val="18"/>
              </w:rPr>
              <w:t>Australian Workers' Union</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22C252A" w14:textId="601F8047"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529AA1A3" w14:textId="3388FFF5"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1137BAD7" w14:textId="29D01D84"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453048" w:rsidRPr="009B6084" w14:paraId="09DE3A9E"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16F8F151" w14:textId="57CC6A9D" w:rsidR="00453048" w:rsidRPr="00520882" w:rsidRDefault="006D550E" w:rsidP="00520882">
            <w:pPr>
              <w:pStyle w:val="Tablebody"/>
              <w:spacing w:line="240" w:lineRule="auto"/>
              <w:rPr>
                <w:rFonts w:cs="Calibri"/>
                <w:b w:val="0"/>
                <w:szCs w:val="18"/>
              </w:rPr>
            </w:pPr>
            <w:r w:rsidRPr="00520882">
              <w:rPr>
                <w:b w:val="0"/>
                <w:szCs w:val="18"/>
              </w:rPr>
              <w:t>Aventus Consulting</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74E76EE" w14:textId="68C4760C"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483585BE" w14:textId="53F1A265"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tcPr>
          <w:p w14:paraId="48589879" w14:textId="77EFD614"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6B206138"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2D7B7F04" w14:textId="14149890" w:rsidR="00453048" w:rsidRPr="00520882" w:rsidRDefault="006D550E" w:rsidP="00520882">
            <w:pPr>
              <w:pStyle w:val="Tablebody"/>
              <w:spacing w:line="240" w:lineRule="auto"/>
              <w:rPr>
                <w:rFonts w:cs="Calibri"/>
                <w:b w:val="0"/>
                <w:szCs w:val="18"/>
              </w:rPr>
            </w:pPr>
            <w:r w:rsidRPr="00520882">
              <w:rPr>
                <w:b w:val="0"/>
                <w:szCs w:val="18"/>
              </w:rPr>
              <w:t>Bhagwan Marine</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75C47818" w14:textId="3457EA50"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0D40210A" w14:textId="2BC4CB0B"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tcPr>
          <w:p w14:paraId="70403AE5" w14:textId="37AE1F84"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63FA4FE7"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543E8F43" w14:textId="6FBFA0B4" w:rsidR="00453048" w:rsidRPr="00520882" w:rsidRDefault="006D550E" w:rsidP="00520882">
            <w:pPr>
              <w:pStyle w:val="Tablebody"/>
              <w:spacing w:line="240" w:lineRule="auto"/>
              <w:rPr>
                <w:rFonts w:cs="Calibri"/>
                <w:b w:val="0"/>
                <w:szCs w:val="18"/>
              </w:rPr>
            </w:pPr>
            <w:r w:rsidRPr="00520882">
              <w:rPr>
                <w:b w:val="0"/>
                <w:szCs w:val="18"/>
              </w:rPr>
              <w:t>BHP Petroleum</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7F0AE928" w14:textId="32B8FA9A"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609FB258" w14:textId="7D72B105"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tcPr>
          <w:p w14:paraId="6989BBE6" w14:textId="33FE0D2B"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27A9D825"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14D83999" w14:textId="4B22003A" w:rsidR="00453048" w:rsidRPr="00520882" w:rsidRDefault="006D550E" w:rsidP="00520882">
            <w:pPr>
              <w:pStyle w:val="Tablebody"/>
              <w:spacing w:line="240" w:lineRule="auto"/>
              <w:rPr>
                <w:rFonts w:cs="Calibri"/>
                <w:b w:val="0"/>
                <w:szCs w:val="18"/>
              </w:rPr>
            </w:pPr>
            <w:r w:rsidRPr="00520882">
              <w:rPr>
                <w:b w:val="0"/>
                <w:szCs w:val="18"/>
              </w:rPr>
              <w:t>Bight Petroleum</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46264C8B" w14:textId="64342A73"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46533F8C" w14:textId="404D6EFF"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tcPr>
          <w:p w14:paraId="02B9A98B" w14:textId="75A7F1B8"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7F68B9C8"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39D5C216" w14:textId="7D1F7B8D" w:rsidR="00453048" w:rsidRPr="00520882" w:rsidRDefault="006D550E" w:rsidP="00520882">
            <w:pPr>
              <w:pStyle w:val="Tablebody"/>
              <w:spacing w:line="240" w:lineRule="auto"/>
              <w:rPr>
                <w:rFonts w:cs="Calibri"/>
                <w:b w:val="0"/>
                <w:szCs w:val="18"/>
              </w:rPr>
            </w:pPr>
            <w:r w:rsidRPr="00520882">
              <w:rPr>
                <w:b w:val="0"/>
                <w:szCs w:val="18"/>
              </w:rPr>
              <w:t>BP Australia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58838AC6" w14:textId="285F2107"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496FC464" w14:textId="6482C3AF"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tcPr>
          <w:p w14:paraId="5FCE10D6" w14:textId="079A0EFB"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3AA1CEA3"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6FAC17E7" w14:textId="70D67D11" w:rsidR="00453048" w:rsidRPr="00520882" w:rsidRDefault="006D550E" w:rsidP="00520882">
            <w:pPr>
              <w:pStyle w:val="Tablebody"/>
              <w:spacing w:line="240" w:lineRule="auto"/>
              <w:rPr>
                <w:rFonts w:cs="Calibri"/>
                <w:b w:val="0"/>
                <w:szCs w:val="18"/>
              </w:rPr>
            </w:pPr>
            <w:r w:rsidRPr="00520882">
              <w:rPr>
                <w:b w:val="0"/>
                <w:szCs w:val="18"/>
              </w:rPr>
              <w:t>Chevron Australia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381DE8A3" w14:textId="1D0DB6BF"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E728875" w14:textId="3228829F"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3AE9E924" w14:textId="5727E14E"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453048" w:rsidRPr="009B6084" w14:paraId="3A2ABA07"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6C8124C5" w14:textId="0C480E87" w:rsidR="00453048" w:rsidRPr="00520882" w:rsidRDefault="006D550E" w:rsidP="00520882">
            <w:pPr>
              <w:pStyle w:val="Tablebody"/>
              <w:spacing w:line="240" w:lineRule="auto"/>
              <w:rPr>
                <w:rFonts w:cs="Calibri"/>
                <w:b w:val="0"/>
                <w:szCs w:val="18"/>
              </w:rPr>
            </w:pPr>
            <w:r w:rsidRPr="00520882">
              <w:rPr>
                <w:b w:val="0"/>
                <w:szCs w:val="18"/>
              </w:rPr>
              <w:t>CO2CRC</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316C8670" w14:textId="58F157F9"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2B6E4DAE" w14:textId="3DC8C093"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tcPr>
          <w:p w14:paraId="41A6E1A1" w14:textId="5990AE6D"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3302C667"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142F5E89" w14:textId="0D3737C9" w:rsidR="00453048" w:rsidRPr="00520882" w:rsidRDefault="006D550E" w:rsidP="00520882">
            <w:pPr>
              <w:pStyle w:val="Tablebody"/>
              <w:spacing w:line="240" w:lineRule="auto"/>
              <w:rPr>
                <w:rFonts w:cs="Calibri"/>
                <w:b w:val="0"/>
                <w:szCs w:val="18"/>
              </w:rPr>
            </w:pPr>
            <w:r w:rsidRPr="00520882">
              <w:rPr>
                <w:b w:val="0"/>
                <w:szCs w:val="18"/>
              </w:rPr>
              <w:t>Cooper Energy</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784A65E3" w14:textId="4318B94F"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5933B78A" w14:textId="2689F580"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tcPr>
          <w:p w14:paraId="30150F90" w14:textId="159BF543"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2D489C62"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0C823503" w14:textId="1B1CC2F0" w:rsidR="00453048" w:rsidRPr="00520882" w:rsidRDefault="006D550E" w:rsidP="00520882">
            <w:pPr>
              <w:pStyle w:val="Tablebody"/>
              <w:spacing w:line="240" w:lineRule="auto"/>
              <w:rPr>
                <w:rFonts w:cs="Calibri"/>
                <w:b w:val="0"/>
                <w:szCs w:val="18"/>
              </w:rPr>
            </w:pPr>
            <w:r w:rsidRPr="00520882">
              <w:rPr>
                <w:b w:val="0"/>
                <w:szCs w:val="18"/>
              </w:rPr>
              <w:t>Department of Agriculture, Water and the Environment</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7A387486" w14:textId="396F427C"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2DB40F9" w14:textId="7C566BF4"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tcPr>
          <w:p w14:paraId="105879E2" w14:textId="1A7878D6"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652B49F1"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55A427CD" w14:textId="1AC073B3" w:rsidR="00453048" w:rsidRPr="00520882" w:rsidRDefault="006D550E" w:rsidP="00520882">
            <w:pPr>
              <w:pStyle w:val="Tablebody"/>
              <w:spacing w:line="240" w:lineRule="auto"/>
              <w:rPr>
                <w:rFonts w:cs="Calibri"/>
                <w:b w:val="0"/>
                <w:szCs w:val="18"/>
              </w:rPr>
            </w:pPr>
            <w:r w:rsidRPr="00520882">
              <w:rPr>
                <w:b w:val="0"/>
                <w:szCs w:val="18"/>
              </w:rPr>
              <w:t>Department of Industry, Science, Energy and Resources</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1597D943" w14:textId="64235837"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7D76A77E" w14:textId="3AFC2D0B"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4C0489E7" w14:textId="7758CA85"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1B2BAC24"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48C09963" w14:textId="245E541E" w:rsidR="00453048" w:rsidRPr="00520882" w:rsidRDefault="006D550E" w:rsidP="00520882">
            <w:pPr>
              <w:pStyle w:val="Tablebody"/>
              <w:spacing w:line="240" w:lineRule="auto"/>
              <w:rPr>
                <w:rFonts w:cs="Calibri"/>
                <w:b w:val="0"/>
                <w:szCs w:val="18"/>
              </w:rPr>
            </w:pPr>
            <w:r w:rsidRPr="00520882">
              <w:rPr>
                <w:b w:val="0"/>
                <w:szCs w:val="18"/>
              </w:rPr>
              <w:t>Department of Mines, Industry Regulation and Safety (Western Australia)</w:t>
            </w:r>
          </w:p>
        </w:tc>
        <w:tc>
          <w:tcPr>
            <w:tcW w:w="1207" w:type="dxa"/>
            <w:tcBorders>
              <w:top w:val="single" w:sz="4" w:space="0" w:color="BFBFBF" w:themeColor="background1" w:themeShade="BF"/>
              <w:bottom w:val="single" w:sz="4" w:space="0" w:color="BFBFBF" w:themeColor="background1" w:themeShade="BF"/>
            </w:tcBorders>
          </w:tcPr>
          <w:p w14:paraId="1FC947F4" w14:textId="51CDC9DB"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07DA1F14" w14:textId="5EC5B0EC"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55E70806" w14:textId="612129D2"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1A888D7E"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7577B25F" w14:textId="504E4032" w:rsidR="00453048" w:rsidRPr="00520882" w:rsidRDefault="006D550E" w:rsidP="00520882">
            <w:pPr>
              <w:pStyle w:val="Tablebody"/>
              <w:spacing w:line="240" w:lineRule="auto"/>
              <w:rPr>
                <w:rFonts w:cs="Calibri"/>
                <w:b w:val="0"/>
                <w:szCs w:val="18"/>
              </w:rPr>
            </w:pPr>
            <w:r w:rsidRPr="00520882">
              <w:rPr>
                <w:b w:val="0"/>
                <w:szCs w:val="18"/>
              </w:rPr>
              <w:t>Electrical Trades Union of Australia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0C02E9CA" w14:textId="65018F02"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6CFA6D9" w14:textId="07D83F8F"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4740C313" w14:textId="0E0AFFC8"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340DD2F8"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03A8C93C" w14:textId="16ADCFE5" w:rsidR="00453048" w:rsidRPr="00520882" w:rsidRDefault="006D550E" w:rsidP="00520882">
            <w:pPr>
              <w:pStyle w:val="Tablebody"/>
              <w:spacing w:line="240" w:lineRule="auto"/>
              <w:rPr>
                <w:rFonts w:cs="Calibri"/>
                <w:b w:val="0"/>
                <w:szCs w:val="18"/>
              </w:rPr>
            </w:pPr>
            <w:r w:rsidRPr="00520882">
              <w:rPr>
                <w:b w:val="0"/>
                <w:szCs w:val="18"/>
              </w:rPr>
              <w:t>Equinor Australia</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7D3CA795" w14:textId="3804DA3C"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tcPr>
          <w:p w14:paraId="1AF60674" w14:textId="2D350D29"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6B62456A" w14:textId="67469DCE"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453048" w:rsidRPr="009B6084" w14:paraId="1FA5B51F"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11633775" w14:textId="54BAA1CF" w:rsidR="00453048" w:rsidRPr="00520882" w:rsidRDefault="006D550E" w:rsidP="00520882">
            <w:pPr>
              <w:pStyle w:val="Tablebody"/>
              <w:spacing w:line="240" w:lineRule="auto"/>
              <w:rPr>
                <w:rFonts w:cs="Calibri"/>
                <w:b w:val="0"/>
                <w:szCs w:val="18"/>
              </w:rPr>
            </w:pPr>
            <w:r w:rsidRPr="00520882">
              <w:rPr>
                <w:b w:val="0"/>
                <w:szCs w:val="18"/>
              </w:rPr>
              <w:t>Esso Australia (ExxonMobil)</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2653424C" w14:textId="58197D50"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3231953" w14:textId="64E94C1D"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548F7C70" w14:textId="6519DD82"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453048" w:rsidRPr="009B6084" w14:paraId="1FD2ABC1"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33223756" w14:textId="2CC8CCA8" w:rsidR="00453048" w:rsidRPr="00520882" w:rsidRDefault="006D550E" w:rsidP="00520882">
            <w:pPr>
              <w:pStyle w:val="Tablebody"/>
              <w:spacing w:line="240" w:lineRule="auto"/>
              <w:rPr>
                <w:rFonts w:cs="Calibri"/>
                <w:b w:val="0"/>
                <w:szCs w:val="18"/>
              </w:rPr>
            </w:pPr>
            <w:r w:rsidRPr="00520882">
              <w:rPr>
                <w:b w:val="0"/>
                <w:szCs w:val="18"/>
              </w:rPr>
              <w:t>FAR</w:t>
            </w:r>
            <w:r w:rsidR="00202E80" w:rsidRPr="00520882">
              <w:rPr>
                <w:b w:val="0"/>
                <w:szCs w:val="18"/>
              </w:rPr>
              <w:t xml:space="preserve"> Ltd</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42B1A640" w14:textId="21A4042A"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tcPr>
          <w:p w14:paraId="3443AE15" w14:textId="2C408C6F"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tcPr>
          <w:p w14:paraId="237A2463" w14:textId="43585B9C"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37109DC0"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vAlign w:val="center"/>
          </w:tcPr>
          <w:p w14:paraId="7013D105" w14:textId="4E582028" w:rsidR="00453048" w:rsidRPr="00520882" w:rsidRDefault="006D550E" w:rsidP="00520882">
            <w:pPr>
              <w:pStyle w:val="Tablebody"/>
              <w:spacing w:line="240" w:lineRule="auto"/>
              <w:rPr>
                <w:rFonts w:cs="Calibri"/>
                <w:b w:val="0"/>
                <w:szCs w:val="18"/>
              </w:rPr>
            </w:pPr>
            <w:r w:rsidRPr="00520882">
              <w:rPr>
                <w:b w:val="0"/>
                <w:szCs w:val="18"/>
              </w:rPr>
              <w:t>INPEX Australia</w:t>
            </w:r>
          </w:p>
        </w:tc>
        <w:tc>
          <w:tcPr>
            <w:tcW w:w="1207" w:type="dxa"/>
            <w:tcBorders>
              <w:top w:val="single" w:sz="4" w:space="0" w:color="BFBFBF" w:themeColor="background1" w:themeShade="BF"/>
              <w:bottom w:val="single" w:sz="4" w:space="0" w:color="BFBFBF" w:themeColor="background1" w:themeShade="BF"/>
            </w:tcBorders>
          </w:tcPr>
          <w:p w14:paraId="434698B7" w14:textId="5945CED2"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065D6D8A" w14:textId="661C2DBF"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tcPr>
          <w:p w14:paraId="493FFE6E" w14:textId="6213E1F5"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56DF895B"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138095C9" w14:textId="2FD07196" w:rsidR="00453048" w:rsidRPr="00520882" w:rsidRDefault="006D550E" w:rsidP="00520882">
            <w:pPr>
              <w:pStyle w:val="Tablebody"/>
              <w:spacing w:line="240" w:lineRule="auto"/>
              <w:rPr>
                <w:rFonts w:cs="Calibri"/>
                <w:b w:val="0"/>
                <w:szCs w:val="18"/>
              </w:rPr>
            </w:pPr>
            <w:r w:rsidRPr="00520882">
              <w:rPr>
                <w:b w:val="0"/>
                <w:szCs w:val="18"/>
              </w:rPr>
              <w:t>International Regulators Forum</w:t>
            </w:r>
          </w:p>
        </w:tc>
        <w:tc>
          <w:tcPr>
            <w:tcW w:w="1207" w:type="dxa"/>
            <w:tcBorders>
              <w:top w:val="single" w:sz="4" w:space="0" w:color="BFBFBF" w:themeColor="background1" w:themeShade="BF"/>
              <w:bottom w:val="single" w:sz="4" w:space="0" w:color="BFBFBF" w:themeColor="background1" w:themeShade="BF"/>
            </w:tcBorders>
          </w:tcPr>
          <w:p w14:paraId="46FEFAFD" w14:textId="6AA24B73"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3EEF93E0" w14:textId="6F357150"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tcPr>
          <w:p w14:paraId="0808DBA9" w14:textId="7048F189"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3E45D314"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58A55348" w14:textId="18A53946" w:rsidR="00453048" w:rsidRPr="00520882" w:rsidRDefault="006D550E" w:rsidP="00520882">
            <w:pPr>
              <w:pStyle w:val="Tablebody"/>
              <w:spacing w:line="240" w:lineRule="auto"/>
              <w:rPr>
                <w:rFonts w:cs="Calibri"/>
                <w:b w:val="0"/>
                <w:szCs w:val="18"/>
              </w:rPr>
            </w:pPr>
            <w:r w:rsidRPr="00520882">
              <w:rPr>
                <w:b w:val="0"/>
                <w:szCs w:val="18"/>
              </w:rPr>
              <w:t>Jadestone Energy</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5978C839" w14:textId="41BC304B"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09A60F19" w14:textId="6B9575C6"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429DE422" w14:textId="5FD42689"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0C83605B"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17BF813B" w14:textId="6F137552" w:rsidR="00453048" w:rsidRPr="00520882" w:rsidRDefault="006D550E" w:rsidP="00520882">
            <w:pPr>
              <w:pStyle w:val="Tablebody"/>
              <w:spacing w:line="240" w:lineRule="auto"/>
              <w:rPr>
                <w:rFonts w:cs="Calibri"/>
                <w:b w:val="0"/>
                <w:szCs w:val="18"/>
              </w:rPr>
            </w:pPr>
            <w:r w:rsidRPr="00520882">
              <w:rPr>
                <w:b w:val="0"/>
                <w:szCs w:val="18"/>
              </w:rPr>
              <w:t>Klarite</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28CD7B8B" w14:textId="26EA9010"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6E09456E" w14:textId="0FA58551"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74B9872B" w14:textId="5BF81D2F"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7C00FF43"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27142D8B" w14:textId="000A2625" w:rsidR="00453048" w:rsidRPr="00520882" w:rsidRDefault="006D550E" w:rsidP="00520882">
            <w:pPr>
              <w:pStyle w:val="Tablebody"/>
              <w:spacing w:line="240" w:lineRule="auto"/>
              <w:rPr>
                <w:rFonts w:cs="Calibri"/>
                <w:b w:val="0"/>
                <w:szCs w:val="18"/>
              </w:rPr>
            </w:pPr>
            <w:r w:rsidRPr="00520882">
              <w:rPr>
                <w:b w:val="0"/>
                <w:szCs w:val="18"/>
              </w:rPr>
              <w:t>KUFPEC Australia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4C2406F6" w14:textId="702545E1"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1D2BE090" w14:textId="60F6AE1D"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3752BBF2" w14:textId="72828598"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3A9214ED"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vAlign w:val="bottom"/>
          </w:tcPr>
          <w:p w14:paraId="4D4DB110" w14:textId="0491D5FD" w:rsidR="00453048" w:rsidRPr="00520882" w:rsidRDefault="006D550E" w:rsidP="00520882">
            <w:pPr>
              <w:pStyle w:val="Tablebody"/>
              <w:spacing w:line="240" w:lineRule="auto"/>
              <w:rPr>
                <w:rFonts w:cs="Calibri"/>
                <w:b w:val="0"/>
                <w:szCs w:val="18"/>
              </w:rPr>
            </w:pPr>
            <w:r w:rsidRPr="00520882">
              <w:rPr>
                <w:b w:val="0"/>
                <w:szCs w:val="18"/>
              </w:rPr>
              <w:t>Labrador Petro-Management Pty</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388E993E" w14:textId="442CB19C"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51999E9D" w14:textId="01A6748F"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0D66C4A1" w14:textId="69D23EFB"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453048" w:rsidRPr="009B6084" w14:paraId="6266CF6E"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1139AA08" w14:textId="41C70365" w:rsidR="00453048" w:rsidRPr="00520882" w:rsidRDefault="006D550E" w:rsidP="00520882">
            <w:pPr>
              <w:pStyle w:val="Tablebody"/>
              <w:spacing w:line="240" w:lineRule="auto"/>
              <w:rPr>
                <w:rFonts w:cs="Calibri"/>
                <w:b w:val="0"/>
                <w:szCs w:val="18"/>
              </w:rPr>
            </w:pPr>
            <w:r w:rsidRPr="00520882">
              <w:rPr>
                <w:b w:val="0"/>
                <w:szCs w:val="18"/>
              </w:rPr>
              <w:t>Lloyds Register</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6C3CB7E4" w14:textId="0ADA0154"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70678E80" w14:textId="68719981"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4FD2BB43" w14:textId="691AC739"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453048" w:rsidRPr="009B6084" w14:paraId="0CF3ED03"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1D30A3DA" w14:textId="4359BBFC" w:rsidR="00453048" w:rsidRPr="00520882" w:rsidRDefault="006D550E" w:rsidP="00520882">
            <w:pPr>
              <w:pStyle w:val="Tablebody"/>
              <w:spacing w:line="240" w:lineRule="auto"/>
              <w:rPr>
                <w:rFonts w:cs="Calibri"/>
                <w:b w:val="0"/>
                <w:szCs w:val="18"/>
              </w:rPr>
            </w:pPr>
            <w:r w:rsidRPr="00520882">
              <w:rPr>
                <w:b w:val="0"/>
                <w:szCs w:val="18"/>
              </w:rPr>
              <w:t>Maritime Union of Australia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E0AA375" w14:textId="648D8A10"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292DA15D" w14:textId="24F667A6"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569428F4" w14:textId="1BF30AFF" w:rsidR="00453048"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453048" w:rsidRPr="009B6084" w14:paraId="66B99093"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04D853CD" w14:textId="2CA55905" w:rsidR="00453048" w:rsidRPr="00520882" w:rsidRDefault="006D550E" w:rsidP="00520882">
            <w:pPr>
              <w:pStyle w:val="Tablebody"/>
              <w:spacing w:line="240" w:lineRule="auto"/>
              <w:rPr>
                <w:rFonts w:cs="Calibri"/>
                <w:b w:val="0"/>
                <w:szCs w:val="18"/>
              </w:rPr>
            </w:pPr>
            <w:r w:rsidRPr="00520882">
              <w:rPr>
                <w:b w:val="0"/>
                <w:szCs w:val="18"/>
              </w:rPr>
              <w:t>McDermott Australia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7A138C6D" w14:textId="63C5AC15"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5AFF3133" w14:textId="3167868F"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0B0F5842" w14:textId="6BA1E91F" w:rsidR="00453048"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D2645E" w:rsidRPr="009B6084" w14:paraId="7F5767B5"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6500D4AD" w14:textId="49B607F0" w:rsidR="00D2645E" w:rsidRPr="00520882" w:rsidRDefault="006D550E" w:rsidP="00520882">
            <w:pPr>
              <w:pStyle w:val="Tablebody"/>
              <w:spacing w:line="240" w:lineRule="auto"/>
              <w:rPr>
                <w:rFonts w:cs="Calibri"/>
                <w:b w:val="0"/>
                <w:szCs w:val="18"/>
              </w:rPr>
            </w:pPr>
            <w:r w:rsidRPr="00520882">
              <w:rPr>
                <w:b w:val="0"/>
                <w:szCs w:val="18"/>
              </w:rPr>
              <w:t>Mitsui E&amp;P Australia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BEBF0AC" w14:textId="71AEC307" w:rsidR="00D2645E"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557CF20A" w14:textId="587CC626" w:rsidR="00D2645E"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355E57B4" w14:textId="45CA7B24" w:rsidR="00D2645E"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D2645E" w:rsidRPr="009B6084" w14:paraId="4FF23450"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1080342B" w14:textId="36D7EADD" w:rsidR="00D2645E" w:rsidRPr="00520882" w:rsidRDefault="006D550E" w:rsidP="00520882">
            <w:pPr>
              <w:pStyle w:val="Tablebody"/>
              <w:spacing w:line="240" w:lineRule="auto"/>
              <w:rPr>
                <w:rFonts w:cs="Calibri"/>
                <w:b w:val="0"/>
                <w:szCs w:val="18"/>
              </w:rPr>
            </w:pPr>
            <w:r w:rsidRPr="00520882">
              <w:rPr>
                <w:b w:val="0"/>
                <w:szCs w:val="18"/>
              </w:rPr>
              <w:t>MODEC Management Services</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215E0461" w14:textId="3638263D" w:rsidR="00D2645E"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2EDABDE7" w14:textId="231FC7E1" w:rsidR="00D2645E"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18B41765" w14:textId="1543D4CA" w:rsidR="00D2645E"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D2645E" w:rsidRPr="009B6084" w14:paraId="2E8653FA"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45770937" w14:textId="6FD7E7F4" w:rsidR="00D2645E" w:rsidRPr="00520882" w:rsidRDefault="006D550E" w:rsidP="00520882">
            <w:pPr>
              <w:pStyle w:val="Tablebody"/>
              <w:spacing w:line="240" w:lineRule="auto"/>
              <w:rPr>
                <w:rFonts w:cs="Calibri"/>
                <w:b w:val="0"/>
                <w:szCs w:val="18"/>
              </w:rPr>
            </w:pPr>
            <w:r w:rsidRPr="00520882">
              <w:rPr>
                <w:b w:val="0"/>
                <w:szCs w:val="18"/>
              </w:rPr>
              <w:t>Molyneux Advisors</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02A96F08" w14:textId="4BC6FC73" w:rsidR="00D2645E"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39153689" w14:textId="2BCF9568" w:rsidR="00D2645E"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7DD9FB30" w14:textId="55A37126" w:rsidR="00D2645E"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D2645E" w:rsidRPr="009B6084" w14:paraId="5691D110"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63698086" w14:textId="236DBA00" w:rsidR="00D2645E" w:rsidRPr="00520882" w:rsidRDefault="006D550E" w:rsidP="00520882">
            <w:pPr>
              <w:pStyle w:val="Tablebody"/>
              <w:spacing w:line="240" w:lineRule="auto"/>
              <w:rPr>
                <w:rFonts w:cs="Calibri"/>
                <w:b w:val="0"/>
                <w:szCs w:val="18"/>
              </w:rPr>
            </w:pPr>
            <w:r w:rsidRPr="00520882">
              <w:rPr>
                <w:b w:val="0"/>
                <w:szCs w:val="18"/>
              </w:rPr>
              <w:lastRenderedPageBreak/>
              <w:t>Monadelphous</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61747051" w14:textId="6B21C2A2" w:rsidR="00D2645E"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4B05B2E2" w14:textId="0934B19F" w:rsidR="00D2645E"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34AC71AD" w14:textId="458EE279" w:rsidR="00D2645E"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D2645E" w:rsidRPr="009B6084" w14:paraId="6B7F2ED9"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7A6CB675" w14:textId="15932143" w:rsidR="00D2645E" w:rsidRPr="00520882" w:rsidRDefault="006D550E" w:rsidP="00520882">
            <w:pPr>
              <w:pStyle w:val="Tablebody"/>
              <w:spacing w:line="240" w:lineRule="auto"/>
              <w:rPr>
                <w:rFonts w:cs="Calibri"/>
                <w:b w:val="0"/>
                <w:szCs w:val="18"/>
              </w:rPr>
            </w:pPr>
            <w:r w:rsidRPr="00520882">
              <w:rPr>
                <w:b w:val="0"/>
                <w:szCs w:val="18"/>
              </w:rPr>
              <w:t>National Energy Resources Australia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37A0A462" w14:textId="486FD0FF" w:rsidR="00D2645E"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28CF2370" w14:textId="04B18F52" w:rsidR="00D2645E"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2D8F3F61" w14:textId="2AD3F79C" w:rsidR="00D2645E"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2579A2" w:rsidRPr="009B6084" w14:paraId="0BB7EA4B"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1B484559" w14:textId="155E6CC5" w:rsidR="002579A2" w:rsidRPr="00520882" w:rsidRDefault="006D550E" w:rsidP="00520882">
            <w:pPr>
              <w:pStyle w:val="Tablebody"/>
              <w:spacing w:line="240" w:lineRule="auto"/>
              <w:rPr>
                <w:rFonts w:cs="Calibri"/>
                <w:b w:val="0"/>
                <w:szCs w:val="18"/>
              </w:rPr>
            </w:pPr>
            <w:r w:rsidRPr="00520882">
              <w:rPr>
                <w:b w:val="0"/>
                <w:szCs w:val="18"/>
              </w:rPr>
              <w:t>National Offshore Petroleum Titles Administrator</w:t>
            </w:r>
            <w:r w:rsidR="00893E23">
              <w:rPr>
                <w:b w:val="0"/>
                <w:szCs w:val="18"/>
              </w:rPr>
              <w:t xml:space="preserve"> (DISER)</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3E9926DF" w14:textId="3C4EEF8D" w:rsidR="002579A2"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1475140D" w14:textId="3B48C0CD" w:rsidR="002579A2"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6A8F04CC" w14:textId="7119445F" w:rsidR="002579A2"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5BEB4255"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457D4131" w14:textId="7160F0C9" w:rsidR="0095087B" w:rsidRPr="00520882" w:rsidRDefault="006D550E" w:rsidP="00520882">
            <w:pPr>
              <w:pStyle w:val="Tablebody"/>
              <w:spacing w:line="240" w:lineRule="auto"/>
              <w:rPr>
                <w:rFonts w:cs="Calibri"/>
                <w:b w:val="0"/>
                <w:szCs w:val="18"/>
              </w:rPr>
            </w:pPr>
            <w:r w:rsidRPr="00520882">
              <w:rPr>
                <w:b w:val="0"/>
                <w:szCs w:val="18"/>
              </w:rPr>
              <w:t>Northern Territory Seafood Council</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713AD3A8" w14:textId="2F024E06"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78D6D295" w14:textId="06781187"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64599663" w14:textId="4745173F"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95087B" w:rsidRPr="009B6084" w14:paraId="02C30349"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4779AB46" w14:textId="4099B65C" w:rsidR="0095087B" w:rsidRPr="00520882" w:rsidRDefault="006D550E" w:rsidP="00520882">
            <w:pPr>
              <w:pStyle w:val="Tablebody"/>
              <w:spacing w:line="240" w:lineRule="auto"/>
              <w:rPr>
                <w:rFonts w:cs="Calibri"/>
                <w:b w:val="0"/>
                <w:szCs w:val="18"/>
              </w:rPr>
            </w:pPr>
            <w:r w:rsidRPr="00520882">
              <w:rPr>
                <w:b w:val="0"/>
                <w:szCs w:val="18"/>
              </w:rPr>
              <w:t>Offshore Petroleum Regulator for Environment and Decommissioning</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21AC881B" w14:textId="63F5C588"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72EE27F5" w14:textId="66A7D1A3"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357FCC07" w14:textId="4F22553F"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1EA38479"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62A03ABE" w14:textId="088A95A7" w:rsidR="0095087B" w:rsidRPr="00520882" w:rsidRDefault="006D550E" w:rsidP="00520882">
            <w:pPr>
              <w:pStyle w:val="Tablebody"/>
              <w:spacing w:line="240" w:lineRule="auto"/>
              <w:rPr>
                <w:rFonts w:cs="Calibri"/>
                <w:b w:val="0"/>
                <w:szCs w:val="18"/>
              </w:rPr>
            </w:pPr>
            <w:r w:rsidRPr="00520882">
              <w:rPr>
                <w:b w:val="0"/>
                <w:szCs w:val="18"/>
              </w:rPr>
              <w:t>PTTEP Australia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37FA73D9" w14:textId="2868FF6E"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1E3B2A18" w14:textId="5F1BF9B3"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5ECAA186" w14:textId="4F472098"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005EE294"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2D9FC9C8" w14:textId="76BA3584" w:rsidR="0095087B" w:rsidRPr="00520882" w:rsidRDefault="006D550E" w:rsidP="00520882">
            <w:pPr>
              <w:pStyle w:val="Tablebody"/>
              <w:spacing w:line="240" w:lineRule="auto"/>
              <w:rPr>
                <w:rFonts w:cs="Calibri"/>
                <w:b w:val="0"/>
                <w:szCs w:val="18"/>
              </w:rPr>
            </w:pPr>
            <w:r w:rsidRPr="00520882">
              <w:rPr>
                <w:b w:val="0"/>
                <w:szCs w:val="18"/>
              </w:rPr>
              <w:t>RPS Group</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60CCF2D" w14:textId="60A40209"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1474E32B" w14:textId="0EEF017E"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633B98B9" w14:textId="0218F9AC"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6B9BCB7E"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1E6BFAF3" w14:textId="132EE61F" w:rsidR="0095087B" w:rsidRPr="00520882" w:rsidRDefault="006D550E" w:rsidP="00520882">
            <w:pPr>
              <w:pStyle w:val="Tablebody"/>
              <w:spacing w:line="240" w:lineRule="auto"/>
              <w:rPr>
                <w:rFonts w:cs="Calibri"/>
                <w:b w:val="0"/>
                <w:szCs w:val="18"/>
              </w:rPr>
            </w:pPr>
            <w:r w:rsidRPr="00520882">
              <w:rPr>
                <w:b w:val="0"/>
                <w:szCs w:val="18"/>
              </w:rPr>
              <w:t>S2 Services</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2F86F320" w14:textId="093EF44E"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6729EAF7" w14:textId="4F2F11ED"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4E27E57D" w14:textId="5BCF96C6"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4DE82DFF"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5C950EEA" w14:textId="45D8166D" w:rsidR="0095087B" w:rsidRPr="00520882" w:rsidRDefault="006D550E" w:rsidP="00520882">
            <w:pPr>
              <w:pStyle w:val="Tablebody"/>
              <w:spacing w:line="240" w:lineRule="auto"/>
              <w:rPr>
                <w:rFonts w:cs="Calibri"/>
                <w:b w:val="0"/>
                <w:szCs w:val="18"/>
              </w:rPr>
            </w:pPr>
            <w:r w:rsidRPr="00520882">
              <w:rPr>
                <w:b w:val="0"/>
                <w:szCs w:val="18"/>
              </w:rPr>
              <w:t>Safer Together</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5D6A1AC5" w14:textId="0DE12E0A"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4A91E9C2" w14:textId="12AFF254"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5AC18A6C" w14:textId="02F038F1"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13854BE8"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shd w:val="clear" w:color="auto" w:fill="auto"/>
          </w:tcPr>
          <w:p w14:paraId="5D478039" w14:textId="6E551252" w:rsidR="0095087B" w:rsidRPr="00520882" w:rsidRDefault="006D550E" w:rsidP="00520882">
            <w:pPr>
              <w:pStyle w:val="Tablebody"/>
              <w:spacing w:line="240" w:lineRule="auto"/>
              <w:rPr>
                <w:rFonts w:cs="Calibri"/>
                <w:b w:val="0"/>
                <w:szCs w:val="18"/>
              </w:rPr>
            </w:pPr>
            <w:r w:rsidRPr="00520882">
              <w:rPr>
                <w:b w:val="0"/>
                <w:szCs w:val="18"/>
              </w:rPr>
              <w:t xml:space="preserve">Santos </w:t>
            </w:r>
            <w:r w:rsidR="009B6084" w:rsidRPr="00520882">
              <w:rPr>
                <w:b w:val="0"/>
                <w:szCs w:val="18"/>
              </w:rPr>
              <w:t>Limited</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1B0EF3E9" w14:textId="29793217"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27AFE605" w14:textId="298373F3"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22182662" w14:textId="3303F1B7"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2B33F6CA"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678E4540" w14:textId="70371254" w:rsidR="0095087B" w:rsidRPr="00520882" w:rsidRDefault="006D550E" w:rsidP="00520882">
            <w:pPr>
              <w:pStyle w:val="Tablebody"/>
              <w:spacing w:line="240" w:lineRule="auto"/>
              <w:rPr>
                <w:rFonts w:cs="Calibri"/>
                <w:b w:val="0"/>
                <w:szCs w:val="18"/>
              </w:rPr>
            </w:pPr>
            <w:r w:rsidRPr="00520882">
              <w:rPr>
                <w:b w:val="0"/>
                <w:szCs w:val="18"/>
              </w:rPr>
              <w:t xml:space="preserve">Sapura Energy </w:t>
            </w:r>
            <w:r w:rsidR="00011578" w:rsidRPr="00520882">
              <w:rPr>
                <w:b w:val="0"/>
                <w:szCs w:val="18"/>
              </w:rPr>
              <w:t>–</w:t>
            </w:r>
            <w:r w:rsidRPr="00520882">
              <w:rPr>
                <w:b w:val="0"/>
                <w:szCs w:val="18"/>
              </w:rPr>
              <w:t xml:space="preserve"> OMV</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58038B3B" w14:textId="3A5A347F"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1B012E41" w14:textId="319CAE73"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17582299" w14:textId="62DD4219"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467F43E7"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4AA42008" w14:textId="5D3DAE7E" w:rsidR="0095087B" w:rsidRPr="00520882" w:rsidRDefault="006D550E" w:rsidP="00520882">
            <w:pPr>
              <w:pStyle w:val="Tablebody"/>
              <w:spacing w:line="240" w:lineRule="auto"/>
              <w:rPr>
                <w:rFonts w:cs="Calibri"/>
                <w:b w:val="0"/>
                <w:szCs w:val="18"/>
              </w:rPr>
            </w:pPr>
            <w:r w:rsidRPr="00520882">
              <w:rPr>
                <w:b w:val="0"/>
                <w:szCs w:val="18"/>
              </w:rPr>
              <w:t>Seafood Industry Victoria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156DA122" w14:textId="225C09D1"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29CB611B" w14:textId="3FF15BEF"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7A5914C8" w14:textId="2960C4D4"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387E2654"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2065FB66" w14:textId="006BCD2A" w:rsidR="0095087B" w:rsidRPr="00520882" w:rsidRDefault="006D550E" w:rsidP="00520882">
            <w:pPr>
              <w:pStyle w:val="Tablebody"/>
              <w:spacing w:line="240" w:lineRule="auto"/>
              <w:rPr>
                <w:rFonts w:cs="Calibri"/>
                <w:b w:val="0"/>
                <w:szCs w:val="18"/>
              </w:rPr>
            </w:pPr>
            <w:r w:rsidRPr="00520882">
              <w:rPr>
                <w:b w:val="0"/>
                <w:szCs w:val="18"/>
              </w:rPr>
              <w:t>South East Trawl Fishing Industry Association</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036A3DAB" w14:textId="42AA770F"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1DCC72C9" w14:textId="20A65A23"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475C3C32" w14:textId="28DCADEF"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68570DE7"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74760ACB" w14:textId="19600BEC" w:rsidR="0095087B" w:rsidRPr="00520882" w:rsidRDefault="006D550E" w:rsidP="00520882">
            <w:pPr>
              <w:pStyle w:val="Tablebody"/>
              <w:spacing w:line="240" w:lineRule="auto"/>
              <w:rPr>
                <w:rFonts w:cs="Calibri"/>
                <w:b w:val="0"/>
                <w:szCs w:val="18"/>
              </w:rPr>
            </w:pPr>
            <w:r w:rsidRPr="00520882">
              <w:rPr>
                <w:b w:val="0"/>
                <w:szCs w:val="18"/>
              </w:rPr>
              <w:t>Subsea 7 Australia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F89142A" w14:textId="459A6A22"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78D78A5D" w14:textId="4FE672EB"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7FE3FC68" w14:textId="56D36FAC"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34CCAB12"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0B1BFF3D" w14:textId="2A7E57ED" w:rsidR="0095087B" w:rsidRPr="00520882" w:rsidRDefault="006D550E" w:rsidP="00520882">
            <w:pPr>
              <w:pStyle w:val="Tablebody"/>
              <w:spacing w:line="240" w:lineRule="auto"/>
              <w:rPr>
                <w:rFonts w:cs="Calibri"/>
                <w:b w:val="0"/>
                <w:szCs w:val="18"/>
              </w:rPr>
            </w:pPr>
            <w:r w:rsidRPr="00520882">
              <w:rPr>
                <w:b w:val="0"/>
                <w:szCs w:val="18"/>
              </w:rPr>
              <w:t>Technip Oceania</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4C1B8D38" w14:textId="48C5751C"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580570D0" w14:textId="5A2A946D"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63C5C2BD" w14:textId="2E8D10F6"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338F972A"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4CCAC8FD" w14:textId="74D06E67" w:rsidR="0095087B" w:rsidRPr="00520882" w:rsidRDefault="006D550E" w:rsidP="00520882">
            <w:pPr>
              <w:pStyle w:val="Tablebody"/>
              <w:spacing w:line="240" w:lineRule="auto"/>
              <w:rPr>
                <w:rFonts w:cs="Calibri"/>
                <w:b w:val="0"/>
                <w:szCs w:val="18"/>
              </w:rPr>
            </w:pPr>
            <w:r w:rsidRPr="00520882">
              <w:rPr>
                <w:b w:val="0"/>
                <w:szCs w:val="18"/>
              </w:rPr>
              <w:t xml:space="preserve">The CarbonNet Project, Victorian Department of Jobs, Precincts &amp; Regions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1A8D6C0D" w14:textId="7B2858BB"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3E76F5E8" w14:textId="55E0ECC0"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74C48E2F" w14:textId="30E77477"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95087B" w:rsidRPr="009B6084" w14:paraId="7D12BE54"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7D885A4A" w14:textId="6742F566" w:rsidR="0095087B" w:rsidRPr="00520882" w:rsidRDefault="006D550E" w:rsidP="00520882">
            <w:pPr>
              <w:pStyle w:val="Tablebody"/>
              <w:spacing w:line="240" w:lineRule="auto"/>
              <w:rPr>
                <w:rFonts w:cs="Calibri"/>
                <w:b w:val="0"/>
                <w:szCs w:val="18"/>
              </w:rPr>
            </w:pPr>
            <w:r w:rsidRPr="00520882">
              <w:rPr>
                <w:b w:val="0"/>
                <w:szCs w:val="18"/>
              </w:rPr>
              <w:t>The Wilderness Society</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72FCC76F" w14:textId="56144522"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67BE595" w14:textId="62AD00DE"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3A237380" w14:textId="2207247C" w:rsidR="0095087B"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95087B" w:rsidRPr="009B6084" w14:paraId="6F83680E"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753DF7D3" w14:textId="71597DAB" w:rsidR="0095087B" w:rsidRPr="00520882" w:rsidRDefault="006D550E" w:rsidP="00520882">
            <w:pPr>
              <w:pStyle w:val="Tablebody"/>
              <w:spacing w:line="240" w:lineRule="auto"/>
              <w:rPr>
                <w:rFonts w:cs="Calibri"/>
                <w:b w:val="0"/>
                <w:szCs w:val="18"/>
              </w:rPr>
            </w:pPr>
            <w:r w:rsidRPr="00520882">
              <w:rPr>
                <w:b w:val="0"/>
                <w:szCs w:val="18"/>
              </w:rPr>
              <w:t>Upstream Production Solutions</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65595176" w14:textId="7531DD45"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2E9706CB" w14:textId="15028C44"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72EC54F0" w14:textId="1DCBCB45" w:rsidR="0095087B"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2579A2" w:rsidRPr="009B6084" w14:paraId="5CEF7BC8"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0CBCFF34" w14:textId="2E41E33E" w:rsidR="002579A2" w:rsidRPr="00520882" w:rsidRDefault="006D550E" w:rsidP="00520882">
            <w:pPr>
              <w:pStyle w:val="Tablebody"/>
              <w:spacing w:line="240" w:lineRule="auto"/>
              <w:rPr>
                <w:rFonts w:cs="Calibri"/>
                <w:b w:val="0"/>
                <w:szCs w:val="18"/>
              </w:rPr>
            </w:pPr>
            <w:r w:rsidRPr="00520882">
              <w:rPr>
                <w:b w:val="0"/>
                <w:szCs w:val="18"/>
              </w:rPr>
              <w:t xml:space="preserve">Victorian Rock Lobster Association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49972ABB" w14:textId="30B79ECF" w:rsidR="002579A2"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474F34A8" w14:textId="0F544A83" w:rsidR="002579A2"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8" w:type="dxa"/>
            <w:tcBorders>
              <w:top w:val="single" w:sz="4" w:space="0" w:color="BFBFBF" w:themeColor="background1" w:themeShade="BF"/>
              <w:bottom w:val="single" w:sz="4" w:space="0" w:color="BFBFBF" w:themeColor="background1" w:themeShade="BF"/>
              <w:right w:val="nil"/>
            </w:tcBorders>
            <w:shd w:val="clear" w:color="auto" w:fill="auto"/>
          </w:tcPr>
          <w:p w14:paraId="44A3DA03" w14:textId="2FBB38DD" w:rsidR="002579A2"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r>
      <w:tr w:rsidR="002579A2" w:rsidRPr="009B6084" w14:paraId="25234448" w14:textId="77777777" w:rsidTr="00A16016">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23CC9735" w14:textId="3C8155BF" w:rsidR="002579A2" w:rsidRPr="00520882" w:rsidRDefault="006D550E" w:rsidP="00520882">
            <w:pPr>
              <w:pStyle w:val="Tablebody"/>
              <w:spacing w:line="240" w:lineRule="auto"/>
              <w:rPr>
                <w:rFonts w:cs="Calibri"/>
                <w:b w:val="0"/>
                <w:szCs w:val="18"/>
              </w:rPr>
            </w:pPr>
            <w:r w:rsidRPr="00520882">
              <w:rPr>
                <w:b w:val="0"/>
                <w:szCs w:val="18"/>
              </w:rPr>
              <w:t>Western Australian Fishing Industry Council</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7AD1924F" w14:textId="48C34399" w:rsidR="002579A2"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Theme="majorHAnsi" w:hAnsiTheme="majorHAnsi" w:cs="OpenSansRegular"/>
                <w:color w:val="000000"/>
                <w:sz w:val="16"/>
                <w:szCs w:val="16"/>
              </w:rPr>
              <w:t> </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54E6DA88" w14:textId="06051BCD" w:rsidR="002579A2"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375A7ABC" w14:textId="0D084B70" w:rsidR="002579A2"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1017E7" w:rsidRPr="009B6084" w14:paraId="274E3193" w14:textId="77777777" w:rsidTr="00A160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01526198" w14:textId="57A3BF81" w:rsidR="001017E7" w:rsidRPr="00520882" w:rsidRDefault="006D550E" w:rsidP="00520882">
            <w:pPr>
              <w:pStyle w:val="Tablebody"/>
              <w:spacing w:line="240" w:lineRule="auto"/>
              <w:rPr>
                <w:rFonts w:cs="Calibri"/>
                <w:b w:val="0"/>
                <w:szCs w:val="18"/>
              </w:rPr>
            </w:pPr>
            <w:r w:rsidRPr="00520882">
              <w:rPr>
                <w:b w:val="0"/>
                <w:szCs w:val="18"/>
              </w:rPr>
              <w:t>Woodside Energy</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5076C4BB" w14:textId="23A03C9D" w:rsidR="001017E7"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776622D5" w14:textId="554226F4" w:rsidR="001017E7"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24533613" w14:textId="65DD4943" w:rsidR="001017E7" w:rsidRPr="00520882" w:rsidRDefault="006D550E" w:rsidP="00520882">
            <w:pPr>
              <w:spacing w:after="0"/>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Calibri"/>
                <w:sz w:val="16"/>
                <w:szCs w:val="16"/>
              </w:rPr>
            </w:pPr>
            <w:r w:rsidRPr="00520882">
              <w:rPr>
                <w:rFonts w:ascii="Segoe UI Emoji" w:hAnsi="Segoe UI Emoji" w:cs="Segoe UI Emoji"/>
                <w:color w:val="000000"/>
                <w:sz w:val="16"/>
                <w:szCs w:val="16"/>
              </w:rPr>
              <w:t>✔</w:t>
            </w:r>
          </w:p>
        </w:tc>
      </w:tr>
      <w:tr w:rsidR="006D550E" w:rsidRPr="009B6084" w14:paraId="396C4B2F" w14:textId="77777777" w:rsidTr="00520882">
        <w:tc>
          <w:tcPr>
            <w:cnfStyle w:val="001000000000" w:firstRow="0" w:lastRow="0" w:firstColumn="1" w:lastColumn="0" w:oddVBand="0" w:evenVBand="0" w:oddHBand="0" w:evenHBand="0" w:firstRowFirstColumn="0" w:firstRowLastColumn="0" w:lastRowFirstColumn="0" w:lastRowLastColumn="0"/>
            <w:tcW w:w="6232" w:type="dxa"/>
            <w:tcBorders>
              <w:top w:val="single" w:sz="4" w:space="0" w:color="BFBFBF" w:themeColor="background1" w:themeShade="BF"/>
              <w:left w:val="nil"/>
              <w:bottom w:val="single" w:sz="4" w:space="0" w:color="BFBFBF" w:themeColor="background1" w:themeShade="BF"/>
            </w:tcBorders>
          </w:tcPr>
          <w:p w14:paraId="0A841E15" w14:textId="39ADF76E" w:rsidR="006D550E" w:rsidRPr="00520882" w:rsidRDefault="006D550E" w:rsidP="00520882">
            <w:pPr>
              <w:pStyle w:val="Tablebody"/>
              <w:spacing w:line="240" w:lineRule="auto"/>
              <w:rPr>
                <w:b w:val="0"/>
                <w:szCs w:val="18"/>
              </w:rPr>
            </w:pPr>
            <w:r w:rsidRPr="00520882">
              <w:rPr>
                <w:b w:val="0"/>
                <w:szCs w:val="18"/>
              </w:rPr>
              <w:t>Xodus Group</w:t>
            </w:r>
          </w:p>
        </w:tc>
        <w:tc>
          <w:tcPr>
            <w:tcW w:w="1207" w:type="dxa"/>
            <w:tcBorders>
              <w:top w:val="single" w:sz="4" w:space="0" w:color="BFBFBF" w:themeColor="background1" w:themeShade="BF"/>
              <w:bottom w:val="single" w:sz="4" w:space="0" w:color="BFBFBF" w:themeColor="background1" w:themeShade="BF"/>
            </w:tcBorders>
            <w:shd w:val="clear" w:color="auto" w:fill="EAEAEA"/>
          </w:tcPr>
          <w:p w14:paraId="0982C973" w14:textId="655A3F9D" w:rsidR="006D550E" w:rsidRPr="00520882" w:rsidRDefault="00DF4C99"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Segoe UI Emoji"/>
                <w:color w:val="000000"/>
                <w:sz w:val="16"/>
                <w:szCs w:val="16"/>
              </w:rPr>
            </w:pPr>
            <w:r w:rsidRPr="00520882">
              <w:rPr>
                <w:rFonts w:ascii="Segoe UI Emoji" w:hAnsi="Segoe UI Emoji" w:cs="Segoe UI Emoji"/>
                <w:color w:val="000000"/>
                <w:sz w:val="16"/>
                <w:szCs w:val="16"/>
              </w:rPr>
              <w:t>✔</w:t>
            </w:r>
          </w:p>
        </w:tc>
        <w:tc>
          <w:tcPr>
            <w:tcW w:w="1207" w:type="dxa"/>
            <w:tcBorders>
              <w:top w:val="single" w:sz="4" w:space="0" w:color="BFBFBF" w:themeColor="background1" w:themeShade="BF"/>
              <w:bottom w:val="single" w:sz="4" w:space="0" w:color="BFBFBF" w:themeColor="background1" w:themeShade="BF"/>
            </w:tcBorders>
            <w:shd w:val="clear" w:color="auto" w:fill="auto"/>
          </w:tcPr>
          <w:p w14:paraId="7976EEA1" w14:textId="77777777" w:rsidR="006D550E" w:rsidRPr="00520882" w:rsidRDefault="006D550E"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Segoe UI Emoji"/>
                <w:color w:val="000000"/>
                <w:sz w:val="16"/>
                <w:szCs w:val="16"/>
              </w:rPr>
            </w:pPr>
          </w:p>
        </w:tc>
        <w:tc>
          <w:tcPr>
            <w:tcW w:w="1208" w:type="dxa"/>
            <w:tcBorders>
              <w:top w:val="single" w:sz="4" w:space="0" w:color="BFBFBF" w:themeColor="background1" w:themeShade="BF"/>
              <w:bottom w:val="single" w:sz="4" w:space="0" w:color="BFBFBF" w:themeColor="background1" w:themeShade="BF"/>
              <w:right w:val="nil"/>
            </w:tcBorders>
            <w:shd w:val="clear" w:color="auto" w:fill="EAEAEA"/>
          </w:tcPr>
          <w:p w14:paraId="62AD9CFC" w14:textId="5247672A" w:rsidR="006D550E" w:rsidRPr="00520882" w:rsidRDefault="00DF4C99" w:rsidP="00520882">
            <w:pPr>
              <w:spacing w:after="0"/>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Segoe UI Emoji"/>
                <w:color w:val="000000"/>
                <w:sz w:val="16"/>
                <w:szCs w:val="16"/>
              </w:rPr>
            </w:pPr>
            <w:r w:rsidRPr="00520882">
              <w:rPr>
                <w:rFonts w:ascii="Segoe UI Emoji" w:hAnsi="Segoe UI Emoji" w:cs="Segoe UI Emoji"/>
                <w:color w:val="000000"/>
                <w:sz w:val="16"/>
                <w:szCs w:val="16"/>
              </w:rPr>
              <w:t>✔</w:t>
            </w:r>
          </w:p>
        </w:tc>
      </w:tr>
    </w:tbl>
    <w:p w14:paraId="7D1641BA" w14:textId="77777777" w:rsidR="00A16016" w:rsidRPr="00901C7B" w:rsidRDefault="007035D2" w:rsidP="00A16016">
      <w:pPr>
        <w:spacing w:after="0"/>
        <w:rPr>
          <w:rFonts w:ascii="Calibri Light" w:hAnsi="Calibri Light" w:cs="Calibri"/>
          <w:i/>
          <w:iCs/>
        </w:rPr>
      </w:pPr>
      <w:r w:rsidRPr="00901C7B">
        <w:rPr>
          <w:rFonts w:ascii="Calibri Light" w:hAnsi="Calibri Light" w:cs="Calibri"/>
          <w:i/>
        </w:rPr>
        <w:t>*</w:t>
      </w:r>
      <w:r w:rsidRPr="00901C7B">
        <w:rPr>
          <w:rFonts w:ascii="Calibri Light" w:hAnsi="Calibri Light" w:cs="Calibri"/>
          <w:b/>
        </w:rPr>
        <w:t xml:space="preserve"> </w:t>
      </w:r>
      <w:r w:rsidRPr="00901C7B">
        <w:rPr>
          <w:rFonts w:ascii="Calibri Light" w:hAnsi="Calibri Light" w:cs="Calibri"/>
          <w:i/>
        </w:rPr>
        <w:t>Organisations ordered alphabetically. Note some organisation include multiple participants.</w:t>
      </w:r>
    </w:p>
    <w:p w14:paraId="59E47FC5" w14:textId="77777777" w:rsidR="00A16016" w:rsidRPr="00901C7B" w:rsidRDefault="00A16016" w:rsidP="00A16016">
      <w:pPr>
        <w:spacing w:after="0"/>
        <w:rPr>
          <w:rFonts w:ascii="Calibri Light" w:hAnsi="Calibri Light" w:cs="Calibri"/>
          <w:i/>
          <w:iCs/>
        </w:rPr>
      </w:pPr>
      <w:r w:rsidRPr="00901C7B">
        <w:rPr>
          <w:rFonts w:ascii="Calibri Light" w:hAnsi="Calibri Light" w:cs="Calibri"/>
          <w:i/>
          <w:iCs/>
        </w:rPr>
        <w:t>** Responses include partially completed surveys. The representation of stakeholders consulted by category excludes all ‘NA’ responses</w:t>
      </w:r>
    </w:p>
    <w:p w14:paraId="4DB71BFC" w14:textId="778D50A3" w:rsidR="00674CD5" w:rsidRDefault="00A16016" w:rsidP="00674CD5">
      <w:pPr>
        <w:spacing w:after="0"/>
        <w:rPr>
          <w:rFonts w:asciiTheme="majorHAnsi" w:hAnsiTheme="majorHAnsi" w:cs="Calibri"/>
        </w:rPr>
      </w:pPr>
      <w:r w:rsidRPr="00901C7B">
        <w:rPr>
          <w:rFonts w:ascii="Calibri Light" w:hAnsi="Calibri Light" w:cs="Calibri"/>
          <w:i/>
          <w:iCs/>
        </w:rPr>
        <w:t>*** Some stakeholders were unable to stay for the full workshop. We have included all stakeholders who attended the workshop in full or in part.</w:t>
      </w:r>
    </w:p>
    <w:p w14:paraId="04B97010" w14:textId="77777777" w:rsidR="00674CD5" w:rsidRDefault="00674CD5" w:rsidP="00674CD5">
      <w:pPr>
        <w:spacing w:after="0"/>
        <w:rPr>
          <w:rFonts w:asciiTheme="majorHAnsi" w:hAnsiTheme="majorHAnsi" w:cs="Calibri"/>
        </w:rPr>
      </w:pPr>
    </w:p>
    <w:p w14:paraId="590CBD4C" w14:textId="77777777" w:rsidR="00674CD5" w:rsidRDefault="00674CD5" w:rsidP="00674CD5">
      <w:pPr>
        <w:spacing w:after="0"/>
        <w:rPr>
          <w:rFonts w:asciiTheme="majorHAnsi" w:hAnsiTheme="majorHAnsi" w:cs="Calibri"/>
        </w:rPr>
      </w:pPr>
      <w:r>
        <w:rPr>
          <w:rFonts w:asciiTheme="majorHAnsi" w:hAnsiTheme="majorHAnsi" w:cs="Calibri"/>
        </w:rPr>
        <w:br w:type="page"/>
      </w:r>
    </w:p>
    <w:p w14:paraId="58C7023F" w14:textId="6BEC80D6" w:rsidR="00674CD5" w:rsidRPr="006D59F0" w:rsidRDefault="00674CD5" w:rsidP="00AF201E">
      <w:pPr>
        <w:pStyle w:val="Appendixhead1"/>
        <w:rPr>
          <w:b/>
          <w:bCs/>
        </w:rPr>
      </w:pPr>
      <w:bookmarkStart w:id="236" w:name="_Ref58316780"/>
      <w:bookmarkStart w:id="237" w:name="_Toc63970854"/>
      <w:r>
        <w:lastRenderedPageBreak/>
        <w:t xml:space="preserve">Key </w:t>
      </w:r>
      <w:r w:rsidR="0012145E">
        <w:t>NOPSEMA</w:t>
      </w:r>
      <w:r>
        <w:t xml:space="preserve"> documentation examined</w:t>
      </w:r>
      <w:bookmarkEnd w:id="236"/>
      <w:bookmarkEnd w:id="237"/>
    </w:p>
    <w:tbl>
      <w:tblPr>
        <w:tblStyle w:val="ListTable3-Accent5"/>
        <w:tblW w:w="9918"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832"/>
        <w:gridCol w:w="9086"/>
      </w:tblGrid>
      <w:tr w:rsidR="0068138B" w14:paraId="14C306E4" w14:textId="77777777" w:rsidTr="0052088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32" w:type="dxa"/>
            <w:tcBorders>
              <w:top w:val="single" w:sz="8" w:space="0" w:color="007680"/>
              <w:bottom w:val="single" w:sz="8" w:space="0" w:color="007680"/>
            </w:tcBorders>
            <w:shd w:val="clear" w:color="auto" w:fill="auto"/>
          </w:tcPr>
          <w:p w14:paraId="6CBA6397" w14:textId="77777777" w:rsidR="0068138B" w:rsidRPr="00520882" w:rsidRDefault="0068138B" w:rsidP="00520882">
            <w:pPr>
              <w:pStyle w:val="Tableheader"/>
              <w:contextualSpacing w:val="0"/>
              <w:rPr>
                <w:b/>
                <w:bCs/>
              </w:rPr>
            </w:pPr>
            <w:r w:rsidRPr="00520882">
              <w:rPr>
                <w:b/>
                <w:bCs/>
              </w:rPr>
              <w:t>#</w:t>
            </w:r>
          </w:p>
        </w:tc>
        <w:tc>
          <w:tcPr>
            <w:tcW w:w="9086" w:type="dxa"/>
            <w:tcBorders>
              <w:top w:val="single" w:sz="8" w:space="0" w:color="007680"/>
              <w:bottom w:val="single" w:sz="8" w:space="0" w:color="007680"/>
            </w:tcBorders>
            <w:shd w:val="clear" w:color="auto" w:fill="auto"/>
          </w:tcPr>
          <w:p w14:paraId="458B86E6" w14:textId="4B8A5988" w:rsidR="0068138B" w:rsidRPr="00520882" w:rsidRDefault="0068138B" w:rsidP="00520882">
            <w:pPr>
              <w:pStyle w:val="Tableheader"/>
              <w:contextualSpacing w:val="0"/>
              <w:cnfStyle w:val="100000000000" w:firstRow="1" w:lastRow="0" w:firstColumn="0" w:lastColumn="0" w:oddVBand="0" w:evenVBand="0" w:oddHBand="0" w:evenHBand="0" w:firstRowFirstColumn="0" w:firstRowLastColumn="0" w:lastRowFirstColumn="0" w:lastRowLastColumn="0"/>
              <w:rPr>
                <w:b/>
                <w:bCs/>
              </w:rPr>
            </w:pPr>
            <w:r w:rsidRPr="00520882">
              <w:rPr>
                <w:b/>
                <w:bCs/>
              </w:rPr>
              <w:t>Document</w:t>
            </w:r>
          </w:p>
        </w:tc>
      </w:tr>
      <w:tr w:rsidR="0012145E" w14:paraId="738E6235"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8" w:space="0" w:color="007680"/>
              <w:bottom w:val="single" w:sz="4" w:space="0" w:color="BFBFBF" w:themeColor="background1" w:themeShade="BF"/>
            </w:tcBorders>
            <w:shd w:val="clear" w:color="auto" w:fill="auto"/>
          </w:tcPr>
          <w:p w14:paraId="2B1290A3" w14:textId="77777777" w:rsidR="0012145E" w:rsidRPr="00520882" w:rsidRDefault="0012145E"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8" w:space="0" w:color="007680"/>
              <w:bottom w:val="single" w:sz="4" w:space="0" w:color="BFBFBF" w:themeColor="background1" w:themeShade="BF"/>
            </w:tcBorders>
            <w:shd w:val="clear" w:color="auto" w:fill="auto"/>
          </w:tcPr>
          <w:p w14:paraId="02438693" w14:textId="77777777" w:rsidR="0012145E" w:rsidRPr="00520882" w:rsidRDefault="0012145E"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NOPSEMA Corporate Plan 2020-2025</w:t>
            </w:r>
          </w:p>
        </w:tc>
      </w:tr>
      <w:tr w:rsidR="0012145E" w14:paraId="18072788"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90007FE" w14:textId="77777777" w:rsidR="0012145E" w:rsidRPr="00520882" w:rsidRDefault="0012145E"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213F64B5" w14:textId="131F6871" w:rsidR="0012145E" w:rsidRPr="00520882" w:rsidRDefault="00264873"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Pr>
                <w:rFonts w:ascii="Calibri Light" w:hAnsi="Calibri Light" w:cs="Calibri Light"/>
              </w:rPr>
              <w:t xml:space="preserve">NOPSEMA </w:t>
            </w:r>
            <w:r w:rsidR="0012145E" w:rsidRPr="00520882">
              <w:rPr>
                <w:rFonts w:ascii="Calibri Light" w:hAnsi="Calibri Light" w:cs="Calibri Light"/>
              </w:rPr>
              <w:t>Safety Case Assessment Policy and Procedure</w:t>
            </w:r>
          </w:p>
        </w:tc>
      </w:tr>
      <w:tr w:rsidR="0012145E" w14:paraId="265FCDA1"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6577057" w14:textId="77777777" w:rsidR="0012145E" w:rsidRPr="00520882" w:rsidRDefault="0012145E"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237DA641" w14:textId="31DF61BA" w:rsidR="0012145E" w:rsidRPr="00520882" w:rsidRDefault="00264873"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 xml:space="preserve">NOPSEMA </w:t>
            </w:r>
            <w:r w:rsidR="0012145E" w:rsidRPr="00520882">
              <w:rPr>
                <w:rFonts w:ascii="Calibri Light" w:hAnsi="Calibri Light" w:cs="Calibri Light"/>
              </w:rPr>
              <w:t>Well Operations Management Plan Procedure</w:t>
            </w:r>
          </w:p>
        </w:tc>
      </w:tr>
      <w:tr w:rsidR="0012145E" w14:paraId="771FB662"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4604DF0" w14:textId="77777777" w:rsidR="0012145E" w:rsidRPr="00520882" w:rsidRDefault="0012145E"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3D9ACFB9" w14:textId="035B64C5" w:rsidR="0012145E" w:rsidRPr="00520882" w:rsidRDefault="00264873"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Pr>
                <w:rFonts w:ascii="Calibri Light" w:hAnsi="Calibri Light" w:cs="Calibri Light"/>
              </w:rPr>
              <w:t xml:space="preserve">Various </w:t>
            </w:r>
            <w:r w:rsidR="0012145E" w:rsidRPr="00520882">
              <w:rPr>
                <w:rFonts w:ascii="Calibri Light" w:hAnsi="Calibri Light" w:cs="Calibri Light"/>
              </w:rPr>
              <w:t xml:space="preserve">NOPSEMA Policies </w:t>
            </w:r>
            <w:r>
              <w:rPr>
                <w:rFonts w:ascii="Calibri Light" w:hAnsi="Calibri Light" w:cs="Calibri Light"/>
              </w:rPr>
              <w:t>across</w:t>
            </w:r>
            <w:r w:rsidR="0012145E" w:rsidRPr="00520882">
              <w:rPr>
                <w:rFonts w:ascii="Calibri Light" w:hAnsi="Calibri Light" w:cs="Calibri Light"/>
              </w:rPr>
              <w:t xml:space="preserve"> Assessment, Enforcement, Inspection and Investigation</w:t>
            </w:r>
            <w:r>
              <w:rPr>
                <w:rFonts w:ascii="Calibri Light" w:hAnsi="Calibri Light" w:cs="Calibri Light"/>
              </w:rPr>
              <w:t xml:space="preserve"> domains</w:t>
            </w:r>
          </w:p>
        </w:tc>
      </w:tr>
      <w:tr w:rsidR="0012145E" w14:paraId="62431E72"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243A2546" w14:textId="77777777" w:rsidR="0012145E" w:rsidRPr="00520882" w:rsidRDefault="0012145E"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65B4C053" w14:textId="24C53249" w:rsidR="0012145E" w:rsidRPr="00520882" w:rsidRDefault="00264873"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 xml:space="preserve">NOPSEMA </w:t>
            </w:r>
            <w:r w:rsidR="0012145E" w:rsidRPr="00520882">
              <w:rPr>
                <w:rFonts w:ascii="Calibri Light" w:hAnsi="Calibri Light" w:cs="Calibri Light"/>
              </w:rPr>
              <w:t>Information and Complaint Handling Procedure</w:t>
            </w:r>
          </w:p>
        </w:tc>
      </w:tr>
      <w:tr w:rsidR="0012145E" w14:paraId="4A0664EB"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3F3E3A4" w14:textId="77777777" w:rsidR="0012145E" w:rsidRPr="00520882" w:rsidRDefault="0012145E"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7E70D773" w14:textId="178F0454" w:rsidR="0012145E" w:rsidRPr="00520882" w:rsidRDefault="00264873"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Pr>
                <w:rFonts w:ascii="Calibri Light" w:hAnsi="Calibri Light" w:cs="Calibri Light"/>
              </w:rPr>
              <w:t xml:space="preserve">NOPSEMA </w:t>
            </w:r>
            <w:r w:rsidR="0012145E" w:rsidRPr="00520882">
              <w:rPr>
                <w:rFonts w:ascii="Calibri Light" w:hAnsi="Calibri Light" w:cs="Calibri Light"/>
              </w:rPr>
              <w:t>Investigation Level Determination Tool</w:t>
            </w:r>
          </w:p>
        </w:tc>
      </w:tr>
      <w:tr w:rsidR="0012145E" w14:paraId="04DAB61D"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725A54DF" w14:textId="77777777" w:rsidR="0012145E" w:rsidRPr="00520882" w:rsidRDefault="0012145E"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0E76F67C" w14:textId="1041843D" w:rsidR="0012145E" w:rsidRPr="00520882" w:rsidRDefault="0097561D"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NOPSEMA</w:t>
            </w:r>
            <w:r w:rsidR="00264873">
              <w:rPr>
                <w:rFonts w:ascii="Calibri Light" w:hAnsi="Calibri Light" w:cs="Calibri Light"/>
              </w:rPr>
              <w:t xml:space="preserve"> </w:t>
            </w:r>
            <w:r w:rsidR="0012145E" w:rsidRPr="00520882">
              <w:rPr>
                <w:rFonts w:ascii="Calibri Light" w:hAnsi="Calibri Light" w:cs="Calibri Light"/>
              </w:rPr>
              <w:t>Level 2, 3 and 4 Investigation Procedures and Investigation Element Checklist</w:t>
            </w:r>
          </w:p>
        </w:tc>
      </w:tr>
      <w:tr w:rsidR="0012145E" w14:paraId="1077AE68"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38A9FE63" w14:textId="77777777" w:rsidR="0012145E" w:rsidRPr="00520882" w:rsidRDefault="0012145E"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6C90F79A" w14:textId="77777777" w:rsidR="0012145E" w:rsidRPr="00520882" w:rsidRDefault="0012145E"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Commonwealth Minister Statement of Expectations 2019</w:t>
            </w:r>
          </w:p>
        </w:tc>
      </w:tr>
      <w:tr w:rsidR="0012145E" w14:paraId="7CF3BC43"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445B2E1" w14:textId="77777777" w:rsidR="0012145E" w:rsidRPr="00520882" w:rsidRDefault="0012145E"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vAlign w:val="center"/>
          </w:tcPr>
          <w:p w14:paraId="00EC1BD0" w14:textId="64358E3D" w:rsidR="0012145E" w:rsidRPr="00520882" w:rsidRDefault="0012145E"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color w:val="000000"/>
              </w:rPr>
              <w:t>NOPSEMA Communications Strategy 2019-2020</w:t>
            </w:r>
          </w:p>
        </w:tc>
      </w:tr>
      <w:tr w:rsidR="0012145E" w14:paraId="351D563C"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2D8A52C0" w14:textId="77777777" w:rsidR="0012145E" w:rsidRPr="00520882" w:rsidRDefault="0012145E"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vAlign w:val="center"/>
          </w:tcPr>
          <w:p w14:paraId="2E956A57" w14:textId="073B9582" w:rsidR="0012145E" w:rsidRPr="00520882" w:rsidRDefault="00E8287D"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Pr>
                <w:rFonts w:ascii="Calibri Light" w:hAnsi="Calibri Light" w:cs="Calibri Light"/>
                <w:color w:val="000000"/>
              </w:rPr>
              <w:t xml:space="preserve">Selection of NOPSEMA </w:t>
            </w:r>
            <w:r w:rsidR="0012145E" w:rsidRPr="00520882">
              <w:rPr>
                <w:rFonts w:ascii="Calibri Light" w:hAnsi="Calibri Light" w:cs="Calibri Light"/>
                <w:color w:val="000000"/>
              </w:rPr>
              <w:t>National Quarterly Performance Report Q3 and Q4</w:t>
            </w:r>
            <w:r w:rsidR="0012145E" w:rsidRPr="00520882" w:rsidDel="00F06686">
              <w:rPr>
                <w:rFonts w:ascii="Calibri Light" w:hAnsi="Calibri Light" w:cs="Calibri Light"/>
                <w:color w:val="000000"/>
              </w:rPr>
              <w:t>,</w:t>
            </w:r>
            <w:r w:rsidR="0012145E" w:rsidRPr="00520882">
              <w:rPr>
                <w:rFonts w:ascii="Calibri Light" w:hAnsi="Calibri Light" w:cs="Calibri Light"/>
                <w:color w:val="000000"/>
              </w:rPr>
              <w:t xml:space="preserve"> 2019</w:t>
            </w:r>
          </w:p>
        </w:tc>
      </w:tr>
      <w:tr w:rsidR="0068138B" w14:paraId="1B9174DA"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8EC0A6F" w14:textId="22316529" w:rsidR="0068138B" w:rsidRPr="00520882" w:rsidRDefault="0068138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3259013E" w14:textId="149C0200" w:rsidR="0068138B" w:rsidRPr="00520882" w:rsidRDefault="0068138B"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Worksheet - Env</w:t>
            </w:r>
            <w:r w:rsidR="00D146E0">
              <w:rPr>
                <w:rFonts w:ascii="Calibri Light" w:hAnsi="Calibri Light" w:cs="Calibri Light"/>
              </w:rPr>
              <w:t>ironment</w:t>
            </w:r>
            <w:r w:rsidRPr="00520882">
              <w:rPr>
                <w:rFonts w:ascii="Calibri Light" w:hAnsi="Calibri Light" w:cs="Calibri Light"/>
              </w:rPr>
              <w:t xml:space="preserve"> levy calculation model</w:t>
            </w:r>
            <w:r w:rsidR="00A45793" w:rsidRPr="00520882">
              <w:rPr>
                <w:rFonts w:ascii="Calibri Light" w:hAnsi="Calibri Light" w:cs="Calibri Light"/>
              </w:rPr>
              <w:t xml:space="preserve"> and Fee for service calculation model</w:t>
            </w:r>
          </w:p>
        </w:tc>
      </w:tr>
      <w:tr w:rsidR="0068138B" w14:paraId="71A2A3E4"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20148EC0" w14:textId="580116D8" w:rsidR="0068138B" w:rsidRPr="00520882" w:rsidRDefault="0068138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4FB51991" w14:textId="5761926C" w:rsidR="0068138B" w:rsidRPr="00520882" w:rsidRDefault="00D146E0"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Pr>
                <w:rFonts w:ascii="Calibri Light" w:hAnsi="Calibri Light" w:cs="Calibri Light"/>
              </w:rPr>
              <w:t xml:space="preserve">Financial Information </w:t>
            </w:r>
            <w:r w:rsidR="0068138B" w:rsidRPr="00520882">
              <w:rPr>
                <w:rFonts w:ascii="Calibri Light" w:hAnsi="Calibri Light" w:cs="Calibri Light"/>
              </w:rPr>
              <w:t>Summary FY15 – FY20 incl</w:t>
            </w:r>
            <w:r w:rsidR="001E0FB6" w:rsidRPr="00520882">
              <w:rPr>
                <w:rFonts w:ascii="Calibri Light" w:hAnsi="Calibri Light" w:cs="Calibri Light"/>
              </w:rPr>
              <w:t>.</w:t>
            </w:r>
            <w:r w:rsidR="0068138B" w:rsidRPr="00520882">
              <w:rPr>
                <w:rFonts w:ascii="Calibri Light" w:hAnsi="Calibri Light" w:cs="Calibri Light"/>
              </w:rPr>
              <w:t xml:space="preserve"> Budget FY21</w:t>
            </w:r>
          </w:p>
        </w:tc>
      </w:tr>
      <w:tr w:rsidR="0068138B" w14:paraId="133D0BD8"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7766854" w14:textId="6B4A8E54" w:rsidR="0068138B" w:rsidRPr="00520882" w:rsidRDefault="0068138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648D13CA" w14:textId="5F7B539A" w:rsidR="0068138B" w:rsidRPr="00520882" w:rsidRDefault="0068138B"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Cost recovery implementation statement 2018-19</w:t>
            </w:r>
          </w:p>
        </w:tc>
      </w:tr>
      <w:tr w:rsidR="0068138B" w14:paraId="58883F65"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F666AE9" w14:textId="1FECF6A1" w:rsidR="0068138B" w:rsidRPr="00520882" w:rsidRDefault="0068138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67202DC1" w14:textId="20B92D6F" w:rsidR="0068138B" w:rsidRPr="00520882" w:rsidRDefault="00D146E0"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Pr>
                <w:rFonts w:ascii="Calibri Light" w:hAnsi="Calibri Light" w:cs="Calibri Light"/>
              </w:rPr>
              <w:t xml:space="preserve">NOPSEMA </w:t>
            </w:r>
            <w:r w:rsidR="00AB54B5" w:rsidRPr="00520882">
              <w:rPr>
                <w:rFonts w:ascii="Calibri Light" w:hAnsi="Calibri Light" w:cs="Calibri Light"/>
              </w:rPr>
              <w:t>Organisational Chart – Internal</w:t>
            </w:r>
          </w:p>
        </w:tc>
      </w:tr>
      <w:tr w:rsidR="0068138B" w14:paraId="23BFB11A"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A7BC66C" w14:textId="7CBA94F3" w:rsidR="0068138B" w:rsidRPr="00520882" w:rsidRDefault="0068138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1977CB51" w14:textId="29EA093B" w:rsidR="0068138B" w:rsidRPr="00520882" w:rsidRDefault="00AB54B5"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 xml:space="preserve">OHS Regulatory Specialist – Assessment and Inspection </w:t>
            </w:r>
            <w:r w:rsidR="00F2700F">
              <w:rPr>
                <w:rFonts w:ascii="Calibri Light" w:hAnsi="Calibri Light" w:cs="Calibri Light"/>
              </w:rPr>
              <w:t>position description</w:t>
            </w:r>
          </w:p>
        </w:tc>
      </w:tr>
      <w:tr w:rsidR="0068138B" w14:paraId="44A25AB7"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BFA01A6" w14:textId="1CF12770" w:rsidR="0068138B" w:rsidRPr="00520882" w:rsidRDefault="0068138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111DF08F" w14:textId="04A31D4F" w:rsidR="0068138B" w:rsidRPr="00520882" w:rsidRDefault="00AB54B5"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Regulatory Assistant – Well Integrity</w:t>
            </w:r>
          </w:p>
        </w:tc>
      </w:tr>
      <w:tr w:rsidR="0068138B" w14:paraId="4EC3D3DF"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237F043C" w14:textId="6A82C296" w:rsidR="0068138B" w:rsidRPr="00520882" w:rsidRDefault="0068138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5AD23EE6" w14:textId="21561717" w:rsidR="0068138B" w:rsidRPr="00520882" w:rsidRDefault="00AB54B5"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Statement – Workforce Analysis</w:t>
            </w:r>
          </w:p>
        </w:tc>
      </w:tr>
      <w:tr w:rsidR="0068138B" w14:paraId="09839F0C"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9A3F571" w14:textId="356FD899" w:rsidR="0068138B" w:rsidRPr="00520882" w:rsidRDefault="0068138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320BCB51" w14:textId="75F60EE0" w:rsidR="0068138B" w:rsidRPr="00520882" w:rsidRDefault="00AB54B5"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Performance Management (Employee Performance Management Standard Operating Procedure)</w:t>
            </w:r>
          </w:p>
        </w:tc>
      </w:tr>
      <w:tr w:rsidR="0068138B" w14:paraId="469ED9D9"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97940D1" w14:textId="1ED532D6" w:rsidR="0068138B" w:rsidRPr="00520882" w:rsidRDefault="0068138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5BB840E8" w14:textId="151D90D1" w:rsidR="0068138B" w:rsidRPr="00520882" w:rsidRDefault="00AB54B5"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NOPSEMA Competency Framework</w:t>
            </w:r>
          </w:p>
        </w:tc>
      </w:tr>
      <w:tr w:rsidR="00BE2C89" w14:paraId="3331B8E9"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719E49C" w14:textId="35D336B8"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57640572" w14:textId="0DEDA456" w:rsidR="00BE2C89" w:rsidRPr="00520882" w:rsidRDefault="00BE2C89"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NOPSEMA 2019 APS Census data</w:t>
            </w:r>
          </w:p>
        </w:tc>
      </w:tr>
      <w:tr w:rsidR="00BE2C89" w14:paraId="41A3106D"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72B510FF" w14:textId="02E713C1"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2759F89B" w14:textId="5F285D89" w:rsidR="00BE2C89" w:rsidRPr="00520882" w:rsidRDefault="00BE2C89"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Strategic Human Resources Plan 2018 - 2022</w:t>
            </w:r>
          </w:p>
        </w:tc>
      </w:tr>
      <w:tr w:rsidR="00BE2C89" w14:paraId="79DF08DF"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7FE0DD51" w14:textId="75ED7D98"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70975D31" w14:textId="16EE8C4A" w:rsidR="00BE2C89" w:rsidRPr="00520882" w:rsidRDefault="00BE2C89"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Statement – 2019 APS Census – Action Plan</w:t>
            </w:r>
          </w:p>
        </w:tc>
      </w:tr>
      <w:tr w:rsidR="00BE2C89" w14:paraId="246BA885"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171112B" w14:textId="32F8300D"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39AC5CAA" w14:textId="487453FE" w:rsidR="00BE2C89" w:rsidRPr="00520882" w:rsidRDefault="00BE2C89"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NOPSEMA Workforce Planning</w:t>
            </w:r>
            <w:r w:rsidR="00F2700F">
              <w:rPr>
                <w:rFonts w:ascii="Calibri Light" w:hAnsi="Calibri Light" w:cs="Calibri Light"/>
              </w:rPr>
              <w:t xml:space="preserve"> output</w:t>
            </w:r>
          </w:p>
        </w:tc>
      </w:tr>
      <w:tr w:rsidR="00BE2C89" w14:paraId="0BC405B4"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2E3E1EB" w14:textId="2F1B9463"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4B5EB7F5" w14:textId="0BC1D799" w:rsidR="00BE2C89" w:rsidRPr="00520882" w:rsidRDefault="00BE2C89"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Managing Underperformance Policy</w:t>
            </w:r>
            <w:r w:rsidR="00172BDB" w:rsidRPr="00520882">
              <w:rPr>
                <w:rFonts w:ascii="Calibri Light" w:hAnsi="Calibri Light" w:cs="Calibri Light"/>
              </w:rPr>
              <w:t xml:space="preserve"> and Procedure</w:t>
            </w:r>
          </w:p>
        </w:tc>
      </w:tr>
      <w:tr w:rsidR="00BE2C89" w14:paraId="626DC2E3"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7F111ED3" w14:textId="7C2B94C3"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4ED87E2F" w14:textId="22D021CC" w:rsidR="00BE2C89" w:rsidRPr="00520882" w:rsidRDefault="00BE2C89"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 xml:space="preserve">Resolving Workplace Issues </w:t>
            </w:r>
          </w:p>
        </w:tc>
      </w:tr>
      <w:tr w:rsidR="00BE2C89" w14:paraId="1B46A9B3"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661AA30E" w14:textId="2EF6F088"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26EE33D1" w14:textId="64977E2B" w:rsidR="00BE2C89" w:rsidRPr="00520882" w:rsidRDefault="00BE2C89"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Promoting Respect in the Workplace</w:t>
            </w:r>
          </w:p>
        </w:tc>
      </w:tr>
      <w:tr w:rsidR="00BE2C89" w14:paraId="17B300EE"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2B1F0E6" w14:textId="52765644"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4F735C91" w14:textId="6914FAA8" w:rsidR="00BE2C89" w:rsidRPr="00520882" w:rsidRDefault="000F680A"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 xml:space="preserve">NOPSEMA </w:t>
            </w:r>
            <w:r w:rsidR="00BE2C89" w:rsidRPr="00520882">
              <w:rPr>
                <w:rFonts w:ascii="Calibri Light" w:hAnsi="Calibri Light" w:cs="Calibri Light"/>
              </w:rPr>
              <w:t>Code of Conduct</w:t>
            </w:r>
          </w:p>
        </w:tc>
      </w:tr>
      <w:tr w:rsidR="00BE2C89" w14:paraId="31AF3AE1"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B264C3D" w14:textId="20D845C6"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17479F19" w14:textId="3F0EBEC9" w:rsidR="00BE2C89" w:rsidRPr="00520882" w:rsidRDefault="000F680A"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Pr>
                <w:rFonts w:ascii="Calibri Light" w:hAnsi="Calibri Light" w:cs="Calibri Light"/>
              </w:rPr>
              <w:t xml:space="preserve">NOPSEMA </w:t>
            </w:r>
            <w:r w:rsidR="00BE2C89" w:rsidRPr="00520882">
              <w:rPr>
                <w:rFonts w:ascii="Calibri Light" w:hAnsi="Calibri Light" w:cs="Calibri Light"/>
              </w:rPr>
              <w:t>Recruitment, Selection and Engagement Policy</w:t>
            </w:r>
            <w:r w:rsidR="00172BDB" w:rsidRPr="00520882">
              <w:rPr>
                <w:rFonts w:ascii="Calibri Light" w:hAnsi="Calibri Light" w:cs="Calibri Light"/>
              </w:rPr>
              <w:t xml:space="preserve"> and Procedure</w:t>
            </w:r>
          </w:p>
        </w:tc>
      </w:tr>
      <w:tr w:rsidR="00BE2C89" w14:paraId="034934BE"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3A7F7769" w14:textId="794D07A6"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4714C7FE" w14:textId="52809BCE" w:rsidR="00BE2C89" w:rsidRPr="00520882" w:rsidRDefault="00264873"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 xml:space="preserve">NOPSEMA </w:t>
            </w:r>
            <w:r w:rsidR="00BE2C89" w:rsidRPr="00520882">
              <w:rPr>
                <w:rFonts w:ascii="Calibri Light" w:hAnsi="Calibri Light" w:cs="Calibri Light"/>
              </w:rPr>
              <w:t xml:space="preserve">Remuneration Policy </w:t>
            </w:r>
          </w:p>
        </w:tc>
      </w:tr>
      <w:tr w:rsidR="00BE2C89" w14:paraId="764B2641"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2A837328" w14:textId="1B2B7553"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0FE599D4" w14:textId="2AE6153D" w:rsidR="00BE2C89" w:rsidRPr="00520882" w:rsidRDefault="00264873"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Pr>
                <w:rFonts w:ascii="Calibri Light" w:hAnsi="Calibri Light" w:cs="Calibri Light"/>
              </w:rPr>
              <w:t xml:space="preserve">NOPSEMA </w:t>
            </w:r>
            <w:r w:rsidR="00BE2C89" w:rsidRPr="00520882">
              <w:rPr>
                <w:rFonts w:ascii="Calibri Light" w:hAnsi="Calibri Light" w:cs="Calibri Light"/>
              </w:rPr>
              <w:t>Environment Specialist Capability</w:t>
            </w:r>
            <w:r w:rsidR="000F680A">
              <w:rPr>
                <w:rFonts w:ascii="Calibri Light" w:hAnsi="Calibri Light" w:cs="Calibri Light"/>
              </w:rPr>
              <w:t xml:space="preserve"> Matrix</w:t>
            </w:r>
          </w:p>
        </w:tc>
      </w:tr>
      <w:tr w:rsidR="00BE2C89" w14:paraId="655BD389"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5112C9E1" w14:textId="6D40BB1B" w:rsidR="00BE2C89" w:rsidRPr="00520882" w:rsidRDefault="00BE2C89"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58D7AEDA" w14:textId="6AF72AEA" w:rsidR="00BE2C89" w:rsidRPr="00520882" w:rsidRDefault="00565605"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 xml:space="preserve">NOPSEMA </w:t>
            </w:r>
            <w:r w:rsidR="00BE2C89" w:rsidRPr="00520882">
              <w:rPr>
                <w:rFonts w:ascii="Calibri Light" w:hAnsi="Calibri Light" w:cs="Calibri Light"/>
              </w:rPr>
              <w:t xml:space="preserve">Register </w:t>
            </w:r>
            <w:r>
              <w:rPr>
                <w:rFonts w:ascii="Calibri Light" w:hAnsi="Calibri Light" w:cs="Calibri Light"/>
              </w:rPr>
              <w:t>–</w:t>
            </w:r>
            <w:r w:rsidR="00BE2C89" w:rsidRPr="00520882">
              <w:rPr>
                <w:rFonts w:ascii="Calibri Light" w:hAnsi="Calibri Light" w:cs="Calibri Light"/>
              </w:rPr>
              <w:t xml:space="preserve"> </w:t>
            </w:r>
            <w:r>
              <w:rPr>
                <w:rFonts w:ascii="Calibri Light" w:hAnsi="Calibri Light" w:cs="Calibri Light"/>
              </w:rPr>
              <w:t>Safety &amp; Integrity</w:t>
            </w:r>
            <w:r w:rsidR="00BE2C89" w:rsidRPr="00520882">
              <w:rPr>
                <w:rFonts w:ascii="Calibri Light" w:hAnsi="Calibri Light" w:cs="Calibri Light"/>
              </w:rPr>
              <w:t xml:space="preserve"> Division - Cumulative Regulatory Competencies 2020</w:t>
            </w:r>
          </w:p>
        </w:tc>
      </w:tr>
      <w:tr w:rsidR="00486CB0" w14:paraId="74602EBD"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5FC5D15" w14:textId="50B4E6B6" w:rsidR="00486CB0" w:rsidRPr="00520882" w:rsidRDefault="00486CB0"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7D8BB9B4" w14:textId="63175827" w:rsidR="00486CB0" w:rsidRPr="00520882" w:rsidRDefault="002213D0"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Offshore Project Proposal Content Requirements Guidance Note N-04790-GN1663</w:t>
            </w:r>
            <w:r w:rsidR="00094A64">
              <w:rPr>
                <w:rFonts w:ascii="Calibri Light" w:hAnsi="Calibri Light" w:cs="Calibri Light"/>
              </w:rPr>
              <w:t>*</w:t>
            </w:r>
          </w:p>
        </w:tc>
      </w:tr>
      <w:tr w:rsidR="008B26BB" w14:paraId="1E96C039"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E388013" w14:textId="4703C004" w:rsidR="008B26BB" w:rsidRPr="00520882" w:rsidRDefault="008B26B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289606FC" w14:textId="137C4E49" w:rsidR="008B26BB" w:rsidRPr="00520882" w:rsidRDefault="008B26BB"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MOU between AMSA and NOPSEMA</w:t>
            </w:r>
            <w:r w:rsidR="002814EC">
              <w:rPr>
                <w:rFonts w:ascii="Calibri Light" w:hAnsi="Calibri Light" w:cs="Calibri Light"/>
              </w:rPr>
              <w:t>*</w:t>
            </w:r>
          </w:p>
        </w:tc>
      </w:tr>
      <w:tr w:rsidR="008B26BB" w14:paraId="29180299"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932DE53" w14:textId="75EA2281" w:rsidR="008B26BB" w:rsidRPr="00520882" w:rsidRDefault="008B26B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4F87D58B" w14:textId="5A6DA56C" w:rsidR="008B26BB" w:rsidRPr="00520882" w:rsidRDefault="008B26BB"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National Plan for Maritime Environmental Emergencies</w:t>
            </w:r>
            <w:r w:rsidR="00186290">
              <w:rPr>
                <w:rFonts w:ascii="Calibri Light" w:hAnsi="Calibri Light" w:cs="Calibri Light"/>
              </w:rPr>
              <w:t>*</w:t>
            </w:r>
          </w:p>
        </w:tc>
      </w:tr>
      <w:tr w:rsidR="008B26BB" w14:paraId="4270E19A"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6AD575CF" w14:textId="323AB2E3" w:rsidR="008B26BB" w:rsidRPr="00520882" w:rsidRDefault="008B26B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1A15692F" w14:textId="53D837C1" w:rsidR="008B26BB" w:rsidRPr="00520882" w:rsidRDefault="008B26BB"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Operating protocols for offshore petroleum Joint Authorities and supporting institutions (201</w:t>
            </w:r>
            <w:r w:rsidR="00DA52D1" w:rsidRPr="00520882">
              <w:rPr>
                <w:rFonts w:ascii="Calibri Light" w:hAnsi="Calibri Light" w:cs="Calibri Light"/>
              </w:rPr>
              <w:t>1 -</w:t>
            </w:r>
            <w:r w:rsidR="008854D8">
              <w:rPr>
                <w:rFonts w:ascii="Calibri Light" w:hAnsi="Calibri Light" w:cs="Calibri Light"/>
              </w:rPr>
              <w:t xml:space="preserve"> </w:t>
            </w:r>
            <w:r w:rsidRPr="00520882">
              <w:rPr>
                <w:rFonts w:ascii="Calibri Light" w:hAnsi="Calibri Light" w:cs="Calibri Light"/>
              </w:rPr>
              <w:t>updated</w:t>
            </w:r>
            <w:r w:rsidR="00DA52D1" w:rsidRPr="00520882">
              <w:rPr>
                <w:rFonts w:ascii="Calibri Light" w:hAnsi="Calibri Light" w:cs="Calibri Light"/>
              </w:rPr>
              <w:t xml:space="preserve"> </w:t>
            </w:r>
            <w:r w:rsidRPr="00520882">
              <w:rPr>
                <w:rFonts w:ascii="Calibri Light" w:hAnsi="Calibri Light" w:cs="Calibri Light"/>
              </w:rPr>
              <w:t>2015)</w:t>
            </w:r>
            <w:r w:rsidR="00186290">
              <w:rPr>
                <w:rFonts w:ascii="Calibri Light" w:hAnsi="Calibri Light" w:cs="Calibri Light"/>
              </w:rPr>
              <w:t>*</w:t>
            </w:r>
          </w:p>
        </w:tc>
      </w:tr>
      <w:tr w:rsidR="008B26BB" w14:paraId="51B3C8DD"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279EB029" w14:textId="10ED8A68" w:rsidR="008B26BB" w:rsidRPr="00520882" w:rsidRDefault="008B26B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0DD8D017" w14:textId="564049E1" w:rsidR="008B26BB" w:rsidRPr="00520882" w:rsidRDefault="00E44A46"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FF34C7">
              <w:rPr>
                <w:rFonts w:ascii="Calibri Light" w:hAnsi="Calibri Light" w:cs="Calibri Light"/>
              </w:rPr>
              <w:t>2015 Endorsed Program (</w:t>
            </w:r>
            <w:r w:rsidRPr="00FD20C2">
              <w:rPr>
                <w:rFonts w:ascii="Calibri Light" w:hAnsi="Calibri Light" w:cs="Calibri Light"/>
              </w:rPr>
              <w:t>https://www.environment.gov.au/system/files/pages/06872cd4-b755-4ecf-a4e7-dd16145e1384/files/offshore-program-report.pdf</w:t>
            </w:r>
            <w:r w:rsidRPr="00FF34C7">
              <w:rPr>
                <w:rFonts w:ascii="Calibri Light" w:hAnsi="Calibri Light" w:cs="Calibri Light"/>
              </w:rPr>
              <w:t>)</w:t>
            </w:r>
            <w:r w:rsidR="00186290">
              <w:rPr>
                <w:rFonts w:ascii="Calibri Light" w:hAnsi="Calibri Light" w:cs="Calibri Light"/>
              </w:rPr>
              <w:t>*</w:t>
            </w:r>
          </w:p>
        </w:tc>
      </w:tr>
      <w:tr w:rsidR="00E44A46" w14:paraId="6A2020B3"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299766E1" w14:textId="77777777" w:rsidR="00E44A46" w:rsidRPr="00520882" w:rsidRDefault="00E44A46" w:rsidP="00E44A46">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30528E0C" w14:textId="7B5F11EE" w:rsidR="00E44A46" w:rsidRDefault="00E44A46" w:rsidP="00E44A46">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rPr>
              <w:t>EPBC Streamlining review report – August 2015 prepared by ERM (</w:t>
            </w:r>
            <w:r w:rsidRPr="00883FC2">
              <w:rPr>
                <w:rFonts w:ascii="Calibri Light" w:hAnsi="Calibri Light" w:cs="Calibri Light"/>
              </w:rPr>
              <w:t>https://www.nopsema.gov.au/assets/Corporate/EPBC-Streamlining-review-report-August-2015.pdf</w:t>
            </w:r>
            <w:r>
              <w:rPr>
                <w:rFonts w:ascii="Calibri Light" w:hAnsi="Calibri Light" w:cs="Calibri Light"/>
              </w:rPr>
              <w:t>)</w:t>
            </w:r>
            <w:r w:rsidR="00186290">
              <w:rPr>
                <w:rFonts w:ascii="Calibri Light" w:hAnsi="Calibri Light" w:cs="Calibri Light"/>
              </w:rPr>
              <w:t>*</w:t>
            </w:r>
          </w:p>
        </w:tc>
      </w:tr>
      <w:tr w:rsidR="008B26BB" w14:paraId="69C68378"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7504C456" w14:textId="03E36664" w:rsidR="008B26BB" w:rsidRPr="00520882" w:rsidRDefault="008B26B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52ED0430" w14:textId="093FC576" w:rsidR="008B26BB" w:rsidRPr="00520882" w:rsidRDefault="008B26BB"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2017 Administrative Arrangements</w:t>
            </w:r>
            <w:r w:rsidR="008854D8">
              <w:rPr>
                <w:rFonts w:ascii="Calibri Light" w:hAnsi="Calibri Light" w:cs="Calibri Light"/>
              </w:rPr>
              <w:t xml:space="preserve"> between NOPSEMA and DAWE</w:t>
            </w:r>
            <w:r w:rsidR="00186290">
              <w:rPr>
                <w:rFonts w:ascii="Calibri Light" w:hAnsi="Calibri Light" w:cs="Calibri Light"/>
              </w:rPr>
              <w:t>*</w:t>
            </w:r>
          </w:p>
        </w:tc>
      </w:tr>
      <w:tr w:rsidR="008B26BB" w14:paraId="42D39A0C"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66D426E7" w14:textId="19F09ACE" w:rsidR="008B26BB" w:rsidRPr="00520882" w:rsidRDefault="008B26B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73E567FF" w14:textId="6E86E5DA" w:rsidR="008B26BB" w:rsidRPr="00520882" w:rsidRDefault="008B26BB"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Environment Plan Content Requirements N04750-GN1344 and Decision-Making Guideline</w:t>
            </w:r>
            <w:r w:rsidR="00186290">
              <w:rPr>
                <w:rFonts w:ascii="Calibri Light" w:hAnsi="Calibri Light" w:cs="Calibri Light"/>
              </w:rPr>
              <w:t>*</w:t>
            </w:r>
          </w:p>
        </w:tc>
      </w:tr>
      <w:tr w:rsidR="008B26BB" w14:paraId="5A5A5625"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A3A319B" w14:textId="3E6F86B6" w:rsidR="008B26BB" w:rsidRPr="00520882" w:rsidRDefault="008B26B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758DC20D" w14:textId="482CDFEB" w:rsidR="008B26BB" w:rsidRPr="00520882" w:rsidRDefault="008B26BB"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Seismic Survey information paper (acoustic impact assessments)</w:t>
            </w:r>
            <w:r w:rsidR="00186290">
              <w:rPr>
                <w:rFonts w:ascii="Calibri Light" w:hAnsi="Calibri Light" w:cs="Calibri Light"/>
              </w:rPr>
              <w:t>*</w:t>
            </w:r>
          </w:p>
        </w:tc>
      </w:tr>
      <w:tr w:rsidR="008B26BB" w14:paraId="2E5B1C19"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2608B07B" w14:textId="578FBE98" w:rsidR="008B26BB" w:rsidRPr="00520882" w:rsidRDefault="008B26B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3667274A" w14:textId="7C9720CB" w:rsidR="008B26BB" w:rsidRPr="00520882" w:rsidRDefault="008B26BB"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NOPSEMA's environment inspection policy</w:t>
            </w:r>
            <w:r w:rsidR="00186290">
              <w:rPr>
                <w:rFonts w:ascii="Calibri Light" w:hAnsi="Calibri Light" w:cs="Calibri Light"/>
              </w:rPr>
              <w:t>*</w:t>
            </w:r>
          </w:p>
        </w:tc>
      </w:tr>
      <w:tr w:rsidR="008B26BB" w14:paraId="475D7D76"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195DF62" w14:textId="408FBC30" w:rsidR="008B26BB" w:rsidRPr="00520882" w:rsidRDefault="008B26B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6DA75464" w14:textId="4CD21790" w:rsidR="008B26BB" w:rsidRPr="00520882" w:rsidRDefault="008B26BB"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Work Orders in relation to regulatory advice on assessments under Part 9 of EPBC Act</w:t>
            </w:r>
            <w:r w:rsidR="00186290">
              <w:rPr>
                <w:rFonts w:ascii="Calibri Light" w:hAnsi="Calibri Light" w:cs="Calibri Light"/>
              </w:rPr>
              <w:t>*</w:t>
            </w:r>
          </w:p>
        </w:tc>
      </w:tr>
      <w:tr w:rsidR="008B26BB" w14:paraId="6220AA92"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66A5D91A" w14:textId="653357A6" w:rsidR="008B26BB" w:rsidRPr="00520882" w:rsidRDefault="008B26BB"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0386B6D5" w14:textId="32DEC70E" w:rsidR="008B26BB" w:rsidRPr="00520882" w:rsidRDefault="008B26BB"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rPr>
              <w:t>Australian Marine Parks guidance note</w:t>
            </w:r>
            <w:r w:rsidR="00186290">
              <w:rPr>
                <w:rFonts w:ascii="Calibri Light" w:hAnsi="Calibri Light" w:cs="Calibri Light"/>
              </w:rPr>
              <w:t>*</w:t>
            </w:r>
          </w:p>
        </w:tc>
      </w:tr>
      <w:tr w:rsidR="001D60DE" w14:paraId="36BDDA95"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C209268" w14:textId="7DB66FD1" w:rsidR="001D60DE" w:rsidRPr="00520882" w:rsidRDefault="001D60DE"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tcPr>
          <w:p w14:paraId="289D5475" w14:textId="27873276" w:rsidR="001D60DE" w:rsidRPr="00520882" w:rsidRDefault="001D60DE"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rPr>
              <w:t>Guidance note on Principles of E</w:t>
            </w:r>
            <w:r w:rsidR="00886F75">
              <w:rPr>
                <w:rFonts w:ascii="Calibri Light" w:hAnsi="Calibri Light" w:cs="Calibri Light"/>
              </w:rPr>
              <w:t>cologically Sustainable Development</w:t>
            </w:r>
            <w:r w:rsidR="00186290">
              <w:rPr>
                <w:rFonts w:ascii="Calibri Light" w:hAnsi="Calibri Light" w:cs="Calibri Light"/>
              </w:rPr>
              <w:t>*</w:t>
            </w:r>
          </w:p>
        </w:tc>
      </w:tr>
      <w:tr w:rsidR="004E5710" w14:paraId="5A7D8757"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F3CF1C8" w14:textId="77777777" w:rsidR="004E5710" w:rsidRPr="00520882" w:rsidRDefault="004E5710"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vAlign w:val="center"/>
          </w:tcPr>
          <w:p w14:paraId="70146BEE" w14:textId="57E07457" w:rsidR="004E5710" w:rsidRPr="00520882" w:rsidRDefault="00172A78"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color w:val="000000"/>
              </w:rPr>
              <w:t>NOPSEMA Advisory Board Meeting</w:t>
            </w:r>
            <w:r w:rsidR="00172BDB" w:rsidRPr="00520882">
              <w:rPr>
                <w:rFonts w:ascii="Calibri Light" w:hAnsi="Calibri Light" w:cs="Calibri Light"/>
                <w:color w:val="000000"/>
              </w:rPr>
              <w:t>s</w:t>
            </w:r>
            <w:r w:rsidRPr="00520882">
              <w:rPr>
                <w:rFonts w:ascii="Calibri Light" w:hAnsi="Calibri Light" w:cs="Calibri Light"/>
                <w:color w:val="000000"/>
              </w:rPr>
              <w:t xml:space="preserve"> 31 </w:t>
            </w:r>
            <w:r w:rsidR="00172BDB" w:rsidRPr="00520882">
              <w:rPr>
                <w:rFonts w:ascii="Calibri Light" w:hAnsi="Calibri Light" w:cs="Calibri Light"/>
                <w:color w:val="000000"/>
              </w:rPr>
              <w:t>– 34</w:t>
            </w:r>
            <w:r w:rsidRPr="00520882">
              <w:rPr>
                <w:rFonts w:ascii="Calibri Light" w:hAnsi="Calibri Light" w:cs="Calibri Light"/>
                <w:color w:val="000000"/>
              </w:rPr>
              <w:t xml:space="preserve"> - Quarterly Operational Report</w:t>
            </w:r>
          </w:p>
        </w:tc>
      </w:tr>
      <w:tr w:rsidR="004E5710" w14:paraId="464F0845"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49F9B0D" w14:textId="77777777" w:rsidR="004E5710" w:rsidRPr="00520882" w:rsidRDefault="004E5710"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vAlign w:val="center"/>
          </w:tcPr>
          <w:p w14:paraId="4A0BEB4F" w14:textId="0B95F271" w:rsidR="004E5710" w:rsidRPr="00520882" w:rsidRDefault="00172A78"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color w:val="000000"/>
              </w:rPr>
              <w:t>NOPSEMA Case Studies 2020</w:t>
            </w:r>
          </w:p>
        </w:tc>
      </w:tr>
      <w:tr w:rsidR="004E5710" w14:paraId="2F0355D7"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0AFF5A2" w14:textId="77777777" w:rsidR="004E5710" w:rsidRPr="00520882" w:rsidRDefault="004E5710"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vAlign w:val="center"/>
          </w:tcPr>
          <w:p w14:paraId="796EE991" w14:textId="12827E5E" w:rsidR="004E5710" w:rsidRPr="00520882" w:rsidRDefault="00172A78"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color w:val="000000"/>
              </w:rPr>
              <w:t>NOPSEMA Procedure - Managing Stakeholder Complaints and Feedback</w:t>
            </w:r>
          </w:p>
        </w:tc>
      </w:tr>
      <w:tr w:rsidR="004E5710" w14:paraId="47B134E9"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14904E2" w14:textId="77777777" w:rsidR="004E5710" w:rsidRPr="00520882" w:rsidRDefault="004E5710"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vAlign w:val="center"/>
          </w:tcPr>
          <w:p w14:paraId="694CF072" w14:textId="3336A129" w:rsidR="004E5710" w:rsidRPr="00520882" w:rsidRDefault="00172A78"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color w:val="000000"/>
              </w:rPr>
              <w:t>NOPSEMA File Note – Safety &amp; Integrity Division Stakeholder Engagement</w:t>
            </w:r>
          </w:p>
        </w:tc>
      </w:tr>
      <w:tr w:rsidR="004E5710" w14:paraId="2E53295C"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CDC73D2" w14:textId="77777777" w:rsidR="004E5710" w:rsidRPr="00520882" w:rsidRDefault="004E5710"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vAlign w:val="center"/>
          </w:tcPr>
          <w:p w14:paraId="0053EA61" w14:textId="5C0A9C7D" w:rsidR="004E5710" w:rsidRPr="00520882" w:rsidRDefault="0070049F"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color w:val="000000"/>
              </w:rPr>
              <w:t xml:space="preserve">NOPSEMA Stakeholder </w:t>
            </w:r>
            <w:r w:rsidR="00172A78" w:rsidRPr="00520882">
              <w:rPr>
                <w:rFonts w:ascii="Calibri Light" w:hAnsi="Calibri Light" w:cs="Calibri Light"/>
                <w:color w:val="000000"/>
              </w:rPr>
              <w:t xml:space="preserve">Register - Liaison Meetings - current </w:t>
            </w:r>
            <w:r w:rsidR="00172A78" w:rsidRPr="00520882">
              <w:rPr>
                <w:rStyle w:val="font391"/>
                <w:rFonts w:ascii="Calibri Light" w:hAnsi="Calibri Light" w:cs="Calibri Light"/>
              </w:rPr>
              <w:t xml:space="preserve">(consolidated from 2011) </w:t>
            </w:r>
          </w:p>
        </w:tc>
      </w:tr>
      <w:tr w:rsidR="004E5710" w14:paraId="59411304"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61D40A8E" w14:textId="77777777" w:rsidR="004E5710" w:rsidRPr="00520882" w:rsidRDefault="004E5710"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vAlign w:val="bottom"/>
          </w:tcPr>
          <w:p w14:paraId="1EA5C9F2" w14:textId="0E1E701D" w:rsidR="004E5710" w:rsidRPr="00520882" w:rsidRDefault="00172A78"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color w:val="000000"/>
              </w:rPr>
              <w:t>NOPSEMA Annual Report 2014-15</w:t>
            </w:r>
            <w:r w:rsidR="00172BDB" w:rsidRPr="00520882">
              <w:rPr>
                <w:rFonts w:ascii="Calibri Light" w:hAnsi="Calibri Light" w:cs="Calibri Light"/>
                <w:color w:val="000000"/>
              </w:rPr>
              <w:t xml:space="preserve"> to 2019-20</w:t>
            </w:r>
          </w:p>
        </w:tc>
      </w:tr>
      <w:tr w:rsidR="004E5710" w14:paraId="04105508"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01D890AF" w14:textId="77777777" w:rsidR="004E5710" w:rsidRPr="00520882" w:rsidRDefault="004E5710"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vAlign w:val="bottom"/>
          </w:tcPr>
          <w:p w14:paraId="6C3338A0" w14:textId="6F7FE4A5" w:rsidR="004E5710" w:rsidRPr="00520882" w:rsidRDefault="00172A78"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520882">
              <w:rPr>
                <w:rFonts w:ascii="Calibri Light" w:hAnsi="Calibri Light" w:cs="Calibri Light"/>
                <w:color w:val="000000"/>
              </w:rPr>
              <w:t>NOPSEMA Cost Effectiveness Report 2014-15</w:t>
            </w:r>
            <w:r w:rsidR="00172BDB" w:rsidRPr="00520882">
              <w:rPr>
                <w:rFonts w:ascii="Calibri Light" w:hAnsi="Calibri Light" w:cs="Calibri Light"/>
                <w:color w:val="000000"/>
              </w:rPr>
              <w:t xml:space="preserve"> to 2018-19</w:t>
            </w:r>
          </w:p>
        </w:tc>
      </w:tr>
      <w:tr w:rsidR="004E5710" w14:paraId="2FBAF8F3" w14:textId="77777777" w:rsidTr="00520882">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46BFC86F" w14:textId="77777777" w:rsidR="004E5710" w:rsidRPr="00520882" w:rsidRDefault="004E5710"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vAlign w:val="bottom"/>
          </w:tcPr>
          <w:p w14:paraId="46791F85" w14:textId="668C114B" w:rsidR="004E5710" w:rsidRPr="00520882" w:rsidRDefault="00172A78" w:rsidP="00520882">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rPr>
            </w:pPr>
            <w:r w:rsidRPr="00520882">
              <w:rPr>
                <w:rFonts w:ascii="Calibri Light" w:hAnsi="Calibri Light" w:cs="Calibri Light"/>
                <w:color w:val="000000"/>
              </w:rPr>
              <w:t>FTE and Expense Analysis</w:t>
            </w:r>
            <w:r w:rsidR="00F06686" w:rsidRPr="00520882">
              <w:rPr>
                <w:rFonts w:ascii="Calibri Light" w:hAnsi="Calibri Light" w:cs="Calibri Light"/>
                <w:color w:val="000000"/>
              </w:rPr>
              <w:t xml:space="preserve"> and Payroll Time and Motion Study</w:t>
            </w:r>
          </w:p>
        </w:tc>
      </w:tr>
      <w:tr w:rsidR="00331708" w14:paraId="084637FC" w14:textId="77777777" w:rsidTr="00520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 w:type="dxa"/>
            <w:tcBorders>
              <w:top w:val="single" w:sz="4" w:space="0" w:color="BFBFBF" w:themeColor="background1" w:themeShade="BF"/>
              <w:bottom w:val="single" w:sz="4" w:space="0" w:color="BFBFBF" w:themeColor="background1" w:themeShade="BF"/>
            </w:tcBorders>
            <w:shd w:val="clear" w:color="auto" w:fill="auto"/>
          </w:tcPr>
          <w:p w14:paraId="1798513A" w14:textId="5626981C" w:rsidR="00331708" w:rsidRPr="00520882" w:rsidRDefault="00331708" w:rsidP="000C1F53">
            <w:pPr>
              <w:pStyle w:val="ListParagraph"/>
              <w:numPr>
                <w:ilvl w:val="0"/>
                <w:numId w:val="26"/>
              </w:numPr>
              <w:spacing w:after="0"/>
              <w:contextualSpacing w:val="0"/>
              <w:rPr>
                <w:rFonts w:ascii="Calibri Light" w:hAnsi="Calibri Light" w:cs="Calibri Light"/>
                <w:b w:val="0"/>
                <w:bCs w:val="0"/>
              </w:rPr>
            </w:pPr>
          </w:p>
        </w:tc>
        <w:tc>
          <w:tcPr>
            <w:tcW w:w="9086" w:type="dxa"/>
            <w:tcBorders>
              <w:top w:val="single" w:sz="4" w:space="0" w:color="BFBFBF" w:themeColor="background1" w:themeShade="BF"/>
              <w:bottom w:val="single" w:sz="4" w:space="0" w:color="BFBFBF" w:themeColor="background1" w:themeShade="BF"/>
            </w:tcBorders>
            <w:shd w:val="clear" w:color="auto" w:fill="auto"/>
            <w:vAlign w:val="bottom"/>
          </w:tcPr>
          <w:p w14:paraId="4970D272" w14:textId="505E536A" w:rsidR="00331708" w:rsidRPr="00520882" w:rsidRDefault="0070049F" w:rsidP="00520882">
            <w:pPr>
              <w:spacing w:after="0"/>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Pr>
                <w:rFonts w:ascii="Calibri Light" w:hAnsi="Calibri Light" w:cs="Calibri Light"/>
                <w:color w:val="000000"/>
              </w:rPr>
              <w:t xml:space="preserve">NOPSEMA </w:t>
            </w:r>
            <w:r w:rsidR="00172A78" w:rsidRPr="00520882">
              <w:rPr>
                <w:rFonts w:ascii="Calibri Light" w:hAnsi="Calibri Light" w:cs="Calibri Light"/>
                <w:color w:val="000000"/>
              </w:rPr>
              <w:t>Information, Communications and Technology Strategy 2019 - 2022</w:t>
            </w:r>
          </w:p>
        </w:tc>
      </w:tr>
    </w:tbl>
    <w:p w14:paraId="07341AE3" w14:textId="2F2FCBC4" w:rsidR="0000180A" w:rsidRDefault="00F87E81" w:rsidP="0000180A">
      <w:pPr>
        <w:spacing w:before="120" w:after="0"/>
        <w:rPr>
          <w:rFonts w:asciiTheme="majorHAnsi" w:hAnsiTheme="majorHAnsi" w:cs="Calibri"/>
        </w:rPr>
      </w:pPr>
      <w:r w:rsidRPr="00346232">
        <w:rPr>
          <w:rFonts w:ascii="Calibri Light" w:hAnsi="Calibri Light" w:cs="Calibri"/>
          <w:b/>
        </w:rPr>
        <w:t xml:space="preserve">Note: </w:t>
      </w:r>
      <w:r w:rsidRPr="00346232">
        <w:rPr>
          <w:rFonts w:ascii="Calibri Light" w:hAnsi="Calibri Light" w:cs="Calibri"/>
        </w:rPr>
        <w:t>This should not be considered an exhaustive list of materials reviewed. There are other materials considered and referenced throughout the report as appropriate.</w:t>
      </w:r>
      <w:r w:rsidR="001B005E" w:rsidRPr="00346232">
        <w:rPr>
          <w:rFonts w:ascii="Calibri Light" w:hAnsi="Calibri Light" w:cs="Calibri"/>
        </w:rPr>
        <w:t xml:space="preserve"> We also considered a range of publicly available information on the NOPTA, NOPSEMA, and DISER websites where relevant.</w:t>
      </w:r>
    </w:p>
    <w:p w14:paraId="7E590892" w14:textId="43C98668" w:rsidR="0000180A" w:rsidRPr="008D69C2" w:rsidRDefault="0000180A" w:rsidP="0000180A">
      <w:pPr>
        <w:spacing w:after="0"/>
        <w:rPr>
          <w:rFonts w:ascii="Calibri Light" w:hAnsi="Calibri Light" w:cs="Calibri"/>
        </w:rPr>
      </w:pPr>
      <w:r>
        <w:rPr>
          <w:rFonts w:ascii="Calibri Light" w:hAnsi="Calibri Light" w:cs="Calibri"/>
        </w:rPr>
        <w:t xml:space="preserve">* </w:t>
      </w:r>
      <w:r w:rsidR="009B0A31">
        <w:rPr>
          <w:rFonts w:ascii="Calibri Light" w:hAnsi="Calibri Light" w:cs="Calibri"/>
        </w:rPr>
        <w:t>D</w:t>
      </w:r>
      <w:r>
        <w:rPr>
          <w:rFonts w:ascii="Calibri Light" w:hAnsi="Calibri Light" w:cs="Calibri"/>
        </w:rPr>
        <w:t>enotes NOPSEMA personnel interviewed as part of the 2020 Endorsed Program Assessment.</w:t>
      </w:r>
    </w:p>
    <w:p w14:paraId="012E9DA1" w14:textId="77777777" w:rsidR="0000180A" w:rsidRPr="00346232" w:rsidRDefault="0000180A" w:rsidP="001B005E">
      <w:pPr>
        <w:spacing w:before="120" w:after="0"/>
        <w:rPr>
          <w:rFonts w:ascii="Calibri Light" w:hAnsi="Calibri Light" w:cs="Calibri"/>
          <w:i/>
          <w:iCs/>
        </w:rPr>
      </w:pPr>
    </w:p>
    <w:p w14:paraId="161203FB" w14:textId="77777777" w:rsidR="00674CD5" w:rsidRDefault="00674CD5" w:rsidP="00465219">
      <w:pPr>
        <w:spacing w:before="120" w:after="0"/>
        <w:rPr>
          <w:rFonts w:asciiTheme="majorHAnsi" w:hAnsiTheme="majorHAnsi" w:cs="Calibri"/>
        </w:rPr>
        <w:sectPr w:rsidR="00674CD5" w:rsidSect="00072658">
          <w:headerReference w:type="default" r:id="rId81"/>
          <w:pgSz w:w="11906" w:h="16838" w:code="9"/>
          <w:pgMar w:top="1985" w:right="1021" w:bottom="1134" w:left="1021" w:header="680" w:footer="425" w:gutter="0"/>
          <w:cols w:space="284"/>
          <w:docGrid w:linePitch="360"/>
        </w:sectPr>
      </w:pPr>
    </w:p>
    <w:p w14:paraId="4C2F83E8" w14:textId="3A29DDBC" w:rsidR="00674CD5" w:rsidRPr="006D59F0" w:rsidRDefault="00674CD5" w:rsidP="00AF201E">
      <w:pPr>
        <w:pStyle w:val="Appendixhead1"/>
        <w:rPr>
          <w:b/>
          <w:bCs/>
        </w:rPr>
      </w:pPr>
      <w:bookmarkStart w:id="238" w:name="_Toc63970855"/>
      <w:r>
        <w:lastRenderedPageBreak/>
        <w:t>Status of NOPSEMA’s 2015 statutory review recommendations</w:t>
      </w:r>
      <w:bookmarkEnd w:id="238"/>
    </w:p>
    <w:p w14:paraId="55E43F4F" w14:textId="77777777" w:rsidR="00674CD5" w:rsidRDefault="00674CD5" w:rsidP="00520882">
      <w:pPr>
        <w:pStyle w:val="BodyCopyNEW"/>
      </w:pPr>
      <w:r>
        <w:t>As part of the assessment, we have assessed the current status taken by NOPSEMA and DISER to address recommendations identified in the 2015 operational review conducted by Noetic. In summary, NOPSEMA and DISER have largely addressed the recommendations, with some actions still pending.</w:t>
      </w:r>
    </w:p>
    <w:tbl>
      <w:tblPr>
        <w:tblStyle w:val="ListTable3-Accent3"/>
        <w:tblW w:w="14574"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704"/>
        <w:gridCol w:w="2835"/>
        <w:gridCol w:w="7376"/>
        <w:gridCol w:w="3659"/>
      </w:tblGrid>
      <w:tr w:rsidR="00EE4E7F" w:rsidRPr="00B7002A" w14:paraId="690971FA" w14:textId="77777777" w:rsidTr="005110C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704" w:type="dxa"/>
            <w:tcBorders>
              <w:top w:val="single" w:sz="8" w:space="0" w:color="007680"/>
              <w:bottom w:val="single" w:sz="8" w:space="0" w:color="007680"/>
            </w:tcBorders>
            <w:shd w:val="clear" w:color="auto" w:fill="auto"/>
          </w:tcPr>
          <w:p w14:paraId="305DA659" w14:textId="77777777" w:rsidR="00674CD5" w:rsidRPr="00520882" w:rsidRDefault="00674CD5" w:rsidP="005110CD">
            <w:pPr>
              <w:pStyle w:val="Tableheader"/>
              <w:spacing w:after="60"/>
              <w:contextualSpacing w:val="0"/>
              <w:rPr>
                <w:b/>
                <w:bCs/>
              </w:rPr>
            </w:pPr>
            <w:r w:rsidRPr="00520882">
              <w:rPr>
                <w:b/>
                <w:bCs/>
              </w:rPr>
              <w:t>#</w:t>
            </w:r>
          </w:p>
        </w:tc>
        <w:tc>
          <w:tcPr>
            <w:tcW w:w="2835" w:type="dxa"/>
            <w:tcBorders>
              <w:top w:val="single" w:sz="8" w:space="0" w:color="007680"/>
              <w:bottom w:val="single" w:sz="8" w:space="0" w:color="007680"/>
            </w:tcBorders>
            <w:shd w:val="clear" w:color="auto" w:fill="auto"/>
          </w:tcPr>
          <w:p w14:paraId="13C36659" w14:textId="77777777" w:rsidR="00674CD5" w:rsidRPr="00520882" w:rsidRDefault="00674CD5" w:rsidP="005110CD">
            <w:pPr>
              <w:pStyle w:val="Tableheader"/>
              <w:spacing w:after="60"/>
              <w:contextualSpacing w:val="0"/>
              <w:cnfStyle w:val="100000000000" w:firstRow="1" w:lastRow="0" w:firstColumn="0" w:lastColumn="0" w:oddVBand="0" w:evenVBand="0" w:oddHBand="0" w:evenHBand="0" w:firstRowFirstColumn="0" w:firstRowLastColumn="0" w:lastRowFirstColumn="0" w:lastRowLastColumn="0"/>
              <w:rPr>
                <w:b/>
                <w:bCs/>
              </w:rPr>
            </w:pPr>
            <w:r w:rsidRPr="00520882">
              <w:rPr>
                <w:b/>
                <w:bCs/>
              </w:rPr>
              <w:t>2015 recommendation</w:t>
            </w:r>
          </w:p>
        </w:tc>
        <w:tc>
          <w:tcPr>
            <w:tcW w:w="7376" w:type="dxa"/>
            <w:tcBorders>
              <w:top w:val="single" w:sz="8" w:space="0" w:color="007680"/>
              <w:bottom w:val="single" w:sz="8" w:space="0" w:color="007680"/>
            </w:tcBorders>
            <w:shd w:val="clear" w:color="auto" w:fill="auto"/>
          </w:tcPr>
          <w:p w14:paraId="4A3A18C8" w14:textId="3A7F0E26" w:rsidR="00674CD5" w:rsidRPr="00520882" w:rsidRDefault="00A01C90" w:rsidP="005110CD">
            <w:pPr>
              <w:pStyle w:val="Tableheader"/>
              <w:spacing w:after="60"/>
              <w:contextualSpacing w:val="0"/>
              <w:cnfStyle w:val="100000000000" w:firstRow="1" w:lastRow="0" w:firstColumn="0" w:lastColumn="0" w:oddVBand="0" w:evenVBand="0" w:oddHBand="0" w:evenHBand="0" w:firstRowFirstColumn="0" w:firstRowLastColumn="0" w:lastRowFirstColumn="0" w:lastRowLastColumn="0"/>
              <w:rPr>
                <w:b/>
                <w:bCs/>
              </w:rPr>
            </w:pPr>
            <w:r>
              <w:rPr>
                <w:b/>
                <w:bCs/>
              </w:rPr>
              <w:t>Australian Government</w:t>
            </w:r>
            <w:r w:rsidRPr="00520882">
              <w:rPr>
                <w:b/>
                <w:bCs/>
              </w:rPr>
              <w:t xml:space="preserve"> </w:t>
            </w:r>
            <w:r w:rsidR="00674CD5" w:rsidRPr="00520882">
              <w:rPr>
                <w:b/>
                <w:bCs/>
              </w:rPr>
              <w:t>response</w:t>
            </w:r>
          </w:p>
        </w:tc>
        <w:tc>
          <w:tcPr>
            <w:tcW w:w="3659" w:type="dxa"/>
            <w:tcBorders>
              <w:top w:val="single" w:sz="8" w:space="0" w:color="007680"/>
              <w:bottom w:val="single" w:sz="8" w:space="0" w:color="007680"/>
            </w:tcBorders>
            <w:shd w:val="clear" w:color="auto" w:fill="auto"/>
          </w:tcPr>
          <w:p w14:paraId="31D59031" w14:textId="77777777" w:rsidR="00674CD5" w:rsidRPr="00520882" w:rsidRDefault="00674CD5" w:rsidP="005110CD">
            <w:pPr>
              <w:pStyle w:val="Tableheader"/>
              <w:spacing w:after="60"/>
              <w:contextualSpacing w:val="0"/>
              <w:cnfStyle w:val="100000000000" w:firstRow="1" w:lastRow="0" w:firstColumn="0" w:lastColumn="0" w:oddVBand="0" w:evenVBand="0" w:oddHBand="0" w:evenHBand="0" w:firstRowFirstColumn="0" w:firstRowLastColumn="0" w:lastRowFirstColumn="0" w:lastRowLastColumn="0"/>
              <w:rPr>
                <w:b/>
                <w:bCs/>
              </w:rPr>
            </w:pPr>
            <w:r w:rsidRPr="00520882">
              <w:rPr>
                <w:b/>
                <w:bCs/>
              </w:rPr>
              <w:t>Current status</w:t>
            </w:r>
          </w:p>
        </w:tc>
      </w:tr>
      <w:tr w:rsidR="00C844BB" w:rsidRPr="00B7002A" w14:paraId="3C58CA63" w14:textId="77777777" w:rsidTr="005110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8" w:space="0" w:color="007680"/>
              <w:bottom w:val="single" w:sz="4" w:space="0" w:color="BFBFBF" w:themeColor="background1" w:themeShade="BF"/>
            </w:tcBorders>
          </w:tcPr>
          <w:p w14:paraId="2A667D48" w14:textId="77777777" w:rsidR="00674CD5" w:rsidRPr="005110CD" w:rsidRDefault="00674CD5" w:rsidP="005110CD">
            <w:pPr>
              <w:pStyle w:val="Tablebody"/>
              <w:spacing w:after="60" w:line="240" w:lineRule="auto"/>
              <w:rPr>
                <w:szCs w:val="18"/>
              </w:rPr>
            </w:pPr>
            <w:r w:rsidRPr="005110CD">
              <w:rPr>
                <w:szCs w:val="18"/>
              </w:rPr>
              <w:t>1</w:t>
            </w:r>
          </w:p>
        </w:tc>
        <w:tc>
          <w:tcPr>
            <w:tcW w:w="2835" w:type="dxa"/>
            <w:tcBorders>
              <w:top w:val="single" w:sz="8" w:space="0" w:color="007680"/>
              <w:bottom w:val="single" w:sz="4" w:space="0" w:color="BFBFBF" w:themeColor="background1" w:themeShade="BF"/>
            </w:tcBorders>
          </w:tcPr>
          <w:p w14:paraId="79CD2A76" w14:textId="7A1EF121" w:rsidR="000730BB"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NOPSEMA should emphasise in its published documents the role it undertakes in the prevention of major accident events.</w:t>
            </w:r>
          </w:p>
          <w:p w14:paraId="38E0F77E" w14:textId="59DC76FA" w:rsidR="000730BB" w:rsidRPr="005110CD" w:rsidRDefault="000730B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p>
        </w:tc>
        <w:tc>
          <w:tcPr>
            <w:tcW w:w="7376" w:type="dxa"/>
            <w:tcBorders>
              <w:top w:val="single" w:sz="8" w:space="0" w:color="007680"/>
              <w:bottom w:val="single" w:sz="4" w:space="0" w:color="BFBFBF" w:themeColor="background1" w:themeShade="BF"/>
            </w:tcBorders>
          </w:tcPr>
          <w:p w14:paraId="7DD0ED64" w14:textId="374E8F23" w:rsidR="00CD2F9A" w:rsidRPr="00901C7B" w:rsidRDefault="000D33BD"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901C7B">
              <w:rPr>
                <w:b/>
                <w:bCs/>
                <w:szCs w:val="18"/>
              </w:rPr>
              <w:t>Accepted</w:t>
            </w:r>
          </w:p>
          <w:p w14:paraId="6BB5FDB8" w14:textId="77777777" w:rsidR="00951939"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 xml:space="preserve">The major accident events that have shaped the Australian offshore petroleum regulatory regime, including Piper Alpha, the Montara oil spill and the Macondo blowout have all contributed to a regulatory focus on preventing major accident events. The role of the regulator in driving process safety improvements in the offshore petroleum sector cannot be under-estimated. Major accident event prevention has been emphasised in recent NOPSEMA publications, as recognised and supported by the Operational Review panel. The Government supports this trend. </w:t>
            </w:r>
          </w:p>
          <w:p w14:paraId="2983696D" w14:textId="2A5DCE09" w:rsidR="000730BB"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Implementation of this recommendation is the responsibility of the Chief Executive Officer of NOPSEMA.</w:t>
            </w:r>
          </w:p>
        </w:tc>
        <w:tc>
          <w:tcPr>
            <w:tcW w:w="3659" w:type="dxa"/>
            <w:tcBorders>
              <w:top w:val="single" w:sz="8" w:space="0" w:color="007680"/>
              <w:bottom w:val="single" w:sz="4" w:space="0" w:color="BFBFBF" w:themeColor="background1" w:themeShade="BF"/>
            </w:tcBorders>
          </w:tcPr>
          <w:p w14:paraId="4581CA38" w14:textId="385838DE" w:rsidR="0083534F" w:rsidRPr="005110CD" w:rsidRDefault="0083534F"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Pr>
                <w:b/>
                <w:szCs w:val="18"/>
              </w:rPr>
              <w:t xml:space="preserve">NOPSEMA </w:t>
            </w:r>
            <w:r w:rsidR="00951939">
              <w:rPr>
                <w:b/>
                <w:szCs w:val="18"/>
              </w:rPr>
              <w:t>status:</w:t>
            </w:r>
          </w:p>
          <w:p w14:paraId="4F613744" w14:textId="77777777" w:rsidR="00674CD5" w:rsidRPr="005110CD" w:rsidRDefault="00C7774D"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Complete.</w:t>
            </w:r>
          </w:p>
          <w:p w14:paraId="3FDB6AB9" w14:textId="77777777" w:rsidR="00E13E1A" w:rsidRPr="005110CD" w:rsidRDefault="00E13E1A"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Deloitte comments:</w:t>
            </w:r>
          </w:p>
          <w:p w14:paraId="31704D78" w14:textId="7E5DD592" w:rsidR="00674CD5" w:rsidRPr="005110CD" w:rsidRDefault="00E13E1A"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 issues noted.</w:t>
            </w:r>
          </w:p>
        </w:tc>
      </w:tr>
      <w:tr w:rsidR="00C844BB" w:rsidRPr="00B7002A" w14:paraId="7583D8BE" w14:textId="77777777" w:rsidTr="005110CD">
        <w:trPr>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355910FB" w14:textId="77777777" w:rsidR="00674CD5" w:rsidRPr="005110CD" w:rsidRDefault="00674CD5" w:rsidP="005110CD">
            <w:pPr>
              <w:pStyle w:val="Tablebody"/>
              <w:spacing w:after="60" w:line="240" w:lineRule="auto"/>
              <w:rPr>
                <w:szCs w:val="18"/>
              </w:rPr>
            </w:pPr>
            <w:r w:rsidRPr="005110CD">
              <w:rPr>
                <w:szCs w:val="18"/>
              </w:rPr>
              <w:t>2</w:t>
            </w:r>
          </w:p>
        </w:tc>
        <w:tc>
          <w:tcPr>
            <w:tcW w:w="2835" w:type="dxa"/>
            <w:tcBorders>
              <w:top w:val="single" w:sz="4" w:space="0" w:color="BFBFBF" w:themeColor="background1" w:themeShade="BF"/>
              <w:bottom w:val="single" w:sz="4" w:space="0" w:color="BFBFBF" w:themeColor="background1" w:themeShade="BF"/>
            </w:tcBorders>
          </w:tcPr>
          <w:p w14:paraId="34ED3EEE" w14:textId="7777777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NOPSEMA should further analyse and publish trends based on data gathered on process safety to encourage greater emphasis on process safety, including major accident events</w:t>
            </w:r>
          </w:p>
        </w:tc>
        <w:tc>
          <w:tcPr>
            <w:tcW w:w="7376" w:type="dxa"/>
            <w:tcBorders>
              <w:top w:val="single" w:sz="4" w:space="0" w:color="BFBFBF" w:themeColor="background1" w:themeShade="BF"/>
              <w:bottom w:val="single" w:sz="4" w:space="0" w:color="BFBFBF" w:themeColor="background1" w:themeShade="BF"/>
            </w:tcBorders>
          </w:tcPr>
          <w:p w14:paraId="3B162DA8" w14:textId="77777777" w:rsidR="000D33BD" w:rsidRPr="00F71679" w:rsidRDefault="000D33BD" w:rsidP="000D33B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bCs/>
                <w:szCs w:val="18"/>
              </w:rPr>
            </w:pPr>
            <w:r w:rsidRPr="00F71679">
              <w:rPr>
                <w:b/>
                <w:bCs/>
                <w:szCs w:val="18"/>
              </w:rPr>
              <w:t>Accepted</w:t>
            </w:r>
          </w:p>
          <w:p w14:paraId="0C9410D2" w14:textId="768E0DD2"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Gathering data through the use of leading and lagging performance indicators (where legislation permits), and quantifying and publishing trends in process safety, provides the regulator, industry, governments and community stakeholders with an understanding of the safety performance of the offshore petroleum sector over time.</w:t>
            </w:r>
          </w:p>
          <w:p w14:paraId="27561265" w14:textId="7224AA43" w:rsidR="000730BB"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Implementation of this recommendation is the responsibility of the Chief Executive Officer of NOPSEMA.</w:t>
            </w:r>
          </w:p>
        </w:tc>
        <w:tc>
          <w:tcPr>
            <w:tcW w:w="3659" w:type="dxa"/>
            <w:tcBorders>
              <w:top w:val="single" w:sz="4" w:space="0" w:color="BFBFBF" w:themeColor="background1" w:themeShade="BF"/>
              <w:bottom w:val="single" w:sz="4" w:space="0" w:color="BFBFBF" w:themeColor="background1" w:themeShade="BF"/>
            </w:tcBorders>
          </w:tcPr>
          <w:p w14:paraId="6F36E037" w14:textId="3141F0D1" w:rsidR="00951939" w:rsidRPr="005110CD" w:rsidRDefault="00951939"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Pr>
                <w:b/>
                <w:szCs w:val="18"/>
              </w:rPr>
              <w:t>NOPSEMA status:</w:t>
            </w:r>
          </w:p>
          <w:p w14:paraId="36E768EE" w14:textId="58DD5E1F" w:rsidR="00E13E1A" w:rsidRPr="005110CD" w:rsidRDefault="00C7774D"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In progress.</w:t>
            </w:r>
          </w:p>
          <w:p w14:paraId="3A223F25" w14:textId="77777777" w:rsidR="00E13E1A" w:rsidRPr="005110CD" w:rsidRDefault="00E13E1A"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Deloitte comments:</w:t>
            </w:r>
          </w:p>
          <w:p w14:paraId="2C0C78D2" w14:textId="3F6BE0CE" w:rsidR="00674CD5" w:rsidRPr="005110CD" w:rsidRDefault="00E13E1A"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No issues noted.</w:t>
            </w:r>
            <w:r w:rsidR="00B46CBD">
              <w:rPr>
                <w:szCs w:val="18"/>
              </w:rPr>
              <w:t xml:space="preserve"> However, we do raise the general finding that NOPSEMA currently has limited access to lead </w:t>
            </w:r>
            <w:r w:rsidR="002420B5">
              <w:rPr>
                <w:szCs w:val="18"/>
              </w:rPr>
              <w:t>indicator</w:t>
            </w:r>
            <w:r w:rsidR="000D2DA7">
              <w:rPr>
                <w:szCs w:val="18"/>
              </w:rPr>
              <w:t xml:space="preserve"> data. We make an associated recommendation in </w:t>
            </w:r>
            <w:r w:rsidR="000D2DA7" w:rsidRPr="00901C7B">
              <w:rPr>
                <w:b/>
                <w:bCs/>
                <w:szCs w:val="18"/>
              </w:rPr>
              <w:t xml:space="preserve">Section </w:t>
            </w:r>
            <w:r w:rsidR="00CE3580">
              <w:rPr>
                <w:b/>
                <w:bCs/>
                <w:szCs w:val="18"/>
              </w:rPr>
              <w:fldChar w:fldCharType="begin"/>
            </w:r>
            <w:r w:rsidR="00CE3580">
              <w:rPr>
                <w:b/>
                <w:bCs/>
                <w:szCs w:val="18"/>
              </w:rPr>
              <w:instrText xml:space="preserve"> REF _Ref63978242 \r \h </w:instrText>
            </w:r>
            <w:r w:rsidR="00CE3580">
              <w:rPr>
                <w:b/>
                <w:bCs/>
                <w:szCs w:val="18"/>
              </w:rPr>
            </w:r>
            <w:r w:rsidR="00CE3580">
              <w:rPr>
                <w:b/>
                <w:bCs/>
                <w:szCs w:val="18"/>
              </w:rPr>
              <w:fldChar w:fldCharType="separate"/>
            </w:r>
            <w:r w:rsidR="00E816B8">
              <w:rPr>
                <w:b/>
                <w:bCs/>
                <w:szCs w:val="18"/>
              </w:rPr>
              <w:t>12</w:t>
            </w:r>
            <w:r w:rsidR="00CE3580">
              <w:rPr>
                <w:b/>
                <w:bCs/>
                <w:szCs w:val="18"/>
              </w:rPr>
              <w:fldChar w:fldCharType="end"/>
            </w:r>
            <w:r w:rsidR="000D2DA7">
              <w:rPr>
                <w:szCs w:val="18"/>
              </w:rPr>
              <w:t>.</w:t>
            </w:r>
            <w:r w:rsidR="00B46CBD">
              <w:rPr>
                <w:szCs w:val="18"/>
              </w:rPr>
              <w:t xml:space="preserve"> </w:t>
            </w:r>
          </w:p>
        </w:tc>
      </w:tr>
      <w:tr w:rsidR="00C844BB" w:rsidRPr="00B7002A" w14:paraId="4588405F" w14:textId="77777777" w:rsidTr="005110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5E1EE3AA" w14:textId="77777777" w:rsidR="00674CD5" w:rsidRPr="005110CD" w:rsidRDefault="00674CD5" w:rsidP="005110CD">
            <w:pPr>
              <w:pStyle w:val="Tablebody"/>
              <w:spacing w:after="60" w:line="240" w:lineRule="auto"/>
              <w:rPr>
                <w:szCs w:val="18"/>
              </w:rPr>
            </w:pPr>
            <w:r w:rsidRPr="005110CD">
              <w:rPr>
                <w:szCs w:val="18"/>
              </w:rPr>
              <w:t>3</w:t>
            </w:r>
          </w:p>
        </w:tc>
        <w:tc>
          <w:tcPr>
            <w:tcW w:w="2835" w:type="dxa"/>
            <w:tcBorders>
              <w:top w:val="single" w:sz="4" w:space="0" w:color="BFBFBF" w:themeColor="background1" w:themeShade="BF"/>
              <w:bottom w:val="single" w:sz="4" w:space="0" w:color="BFBFBF" w:themeColor="background1" w:themeShade="BF"/>
            </w:tcBorders>
          </w:tcPr>
          <w:p w14:paraId="6210C74C"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NOPSEMA should consider developing or using lead indicators of major accident events performance such as those being developed by the International Association of Oil and Gas Producers (IOGP).</w:t>
            </w:r>
          </w:p>
        </w:tc>
        <w:tc>
          <w:tcPr>
            <w:tcW w:w="7376" w:type="dxa"/>
            <w:tcBorders>
              <w:top w:val="single" w:sz="4" w:space="0" w:color="BFBFBF" w:themeColor="background1" w:themeShade="BF"/>
              <w:bottom w:val="single" w:sz="4" w:space="0" w:color="BFBFBF" w:themeColor="background1" w:themeShade="BF"/>
            </w:tcBorders>
          </w:tcPr>
          <w:p w14:paraId="07CDF3C4" w14:textId="77777777" w:rsidR="000D33BD" w:rsidRPr="00F71679" w:rsidRDefault="000D33BD" w:rsidP="000D33B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bCs/>
                <w:szCs w:val="18"/>
              </w:rPr>
            </w:pPr>
            <w:r w:rsidRPr="00F71679">
              <w:rPr>
                <w:b/>
                <w:bCs/>
                <w:szCs w:val="18"/>
              </w:rPr>
              <w:t>Accepted</w:t>
            </w:r>
          </w:p>
          <w:p w14:paraId="38BAA6F2" w14:textId="250F10B4"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NOPSEMA will continue to use its membership of the International Regulators Forum to leverage internationally recognised lead indicators to ensure Australia’s offshore petroleum sector can be benchmarked against international safety trends. There is an opportunity to work with the Australian Petroleum Production and Exploration Association to ensure indicators developed internationally are appropriate for the Australian offshore petroleum regulatory environment.</w:t>
            </w:r>
          </w:p>
          <w:p w14:paraId="6BA360D0" w14:textId="436FF3D4" w:rsidR="000730BB"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Implementation of this recommendation is the responsibility of the Chief Executive Officer of NOPSEMA.</w:t>
            </w:r>
          </w:p>
        </w:tc>
        <w:tc>
          <w:tcPr>
            <w:tcW w:w="3659" w:type="dxa"/>
            <w:tcBorders>
              <w:top w:val="single" w:sz="4" w:space="0" w:color="BFBFBF" w:themeColor="background1" w:themeShade="BF"/>
              <w:bottom w:val="single" w:sz="4" w:space="0" w:color="BFBFBF" w:themeColor="background1" w:themeShade="BF"/>
            </w:tcBorders>
          </w:tcPr>
          <w:p w14:paraId="30F82915" w14:textId="77777777" w:rsidR="00D66FBA" w:rsidRPr="005110CD" w:rsidRDefault="00D66FBA"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NOPSEMA status:</w:t>
            </w:r>
          </w:p>
          <w:p w14:paraId="29B16990" w14:textId="67450D14" w:rsidR="00C05269" w:rsidRPr="005110CD" w:rsidRDefault="00A747BC"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Complete</w:t>
            </w:r>
            <w:r w:rsidR="00C05269" w:rsidRPr="005110CD">
              <w:rPr>
                <w:szCs w:val="18"/>
              </w:rPr>
              <w:t>.</w:t>
            </w:r>
          </w:p>
          <w:p w14:paraId="1C8BC0F4" w14:textId="77777777" w:rsidR="00E13E1A" w:rsidRPr="005110CD" w:rsidRDefault="00E13E1A"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Deloitte comments:</w:t>
            </w:r>
          </w:p>
          <w:p w14:paraId="75C5EFAA" w14:textId="639EBD3C" w:rsidR="00674CD5" w:rsidRPr="005110CD" w:rsidRDefault="007F461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 xml:space="preserve">NOPSEMA </w:t>
            </w:r>
            <w:r w:rsidR="00AB2F53">
              <w:rPr>
                <w:szCs w:val="18"/>
              </w:rPr>
              <w:t>does not</w:t>
            </w:r>
            <w:r w:rsidRPr="005110CD">
              <w:rPr>
                <w:szCs w:val="18"/>
              </w:rPr>
              <w:t xml:space="preserve"> have sufficient data on lead indicator performance. We recommend NOPSEMA be provided the mechanism (legislative or otherwise) to gather lead indicator data</w:t>
            </w:r>
            <w:r w:rsidR="00704A04">
              <w:rPr>
                <w:szCs w:val="18"/>
              </w:rPr>
              <w:t>.</w:t>
            </w:r>
          </w:p>
        </w:tc>
      </w:tr>
      <w:tr w:rsidR="00C844BB" w:rsidRPr="00B7002A" w14:paraId="37A9ACA9" w14:textId="77777777" w:rsidTr="005110CD">
        <w:trPr>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171A60D8" w14:textId="77777777" w:rsidR="00674CD5" w:rsidRPr="005110CD" w:rsidRDefault="00674CD5" w:rsidP="005110CD">
            <w:pPr>
              <w:pStyle w:val="Tablebody"/>
              <w:spacing w:after="60" w:line="240" w:lineRule="auto"/>
              <w:rPr>
                <w:szCs w:val="18"/>
              </w:rPr>
            </w:pPr>
            <w:r w:rsidRPr="005110CD">
              <w:rPr>
                <w:szCs w:val="18"/>
              </w:rPr>
              <w:lastRenderedPageBreak/>
              <w:t>4</w:t>
            </w:r>
          </w:p>
        </w:tc>
        <w:tc>
          <w:tcPr>
            <w:tcW w:w="2835" w:type="dxa"/>
            <w:tcBorders>
              <w:top w:val="single" w:sz="4" w:space="0" w:color="BFBFBF" w:themeColor="background1" w:themeShade="BF"/>
              <w:bottom w:val="single" w:sz="4" w:space="0" w:color="BFBFBF" w:themeColor="background1" w:themeShade="BF"/>
            </w:tcBorders>
          </w:tcPr>
          <w:p w14:paraId="6A01FA42" w14:textId="7777777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NOPSEMA should continue to invest in and improve the communications capability of its staff, with an emphasis on personnel who engage directly with stakeholders.</w:t>
            </w:r>
          </w:p>
        </w:tc>
        <w:tc>
          <w:tcPr>
            <w:tcW w:w="7376" w:type="dxa"/>
            <w:tcBorders>
              <w:top w:val="single" w:sz="4" w:space="0" w:color="BFBFBF" w:themeColor="background1" w:themeShade="BF"/>
              <w:bottom w:val="single" w:sz="4" w:space="0" w:color="BFBFBF" w:themeColor="background1" w:themeShade="BF"/>
            </w:tcBorders>
          </w:tcPr>
          <w:p w14:paraId="0F4A49D4" w14:textId="77777777" w:rsidR="000D33BD" w:rsidRPr="00F71679" w:rsidRDefault="000D33BD" w:rsidP="000D33B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bCs/>
                <w:szCs w:val="18"/>
              </w:rPr>
            </w:pPr>
            <w:r w:rsidRPr="00F71679">
              <w:rPr>
                <w:b/>
                <w:bCs/>
                <w:szCs w:val="18"/>
              </w:rPr>
              <w:t>Accepted</w:t>
            </w:r>
          </w:p>
          <w:p w14:paraId="0F1117C0" w14:textId="5AEB2626"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The communications capability of regulatory personnel is a key element of the operational capability required of NOPSEMA in the complex stakeholder environment in which it operates. NOPSEMA has been investing in its communication capability to support its engagement with</w:t>
            </w:r>
            <w:r w:rsidR="000D2DA7">
              <w:rPr>
                <w:szCs w:val="18"/>
              </w:rPr>
              <w:t xml:space="preserve"> </w:t>
            </w:r>
            <w:r w:rsidRPr="005110CD">
              <w:rPr>
                <w:szCs w:val="18"/>
              </w:rPr>
              <w:t>government, industry, community and other interest groups, while preserving the independence of its regulatory decision making.</w:t>
            </w:r>
          </w:p>
          <w:p w14:paraId="1DC8CBD6" w14:textId="7777777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Implementation of this recommendation is the responsibility of the Chief Executive Officer of NOPSEMA.</w:t>
            </w:r>
          </w:p>
        </w:tc>
        <w:tc>
          <w:tcPr>
            <w:tcW w:w="3659" w:type="dxa"/>
            <w:tcBorders>
              <w:top w:val="single" w:sz="4" w:space="0" w:color="BFBFBF" w:themeColor="background1" w:themeShade="BF"/>
              <w:bottom w:val="single" w:sz="4" w:space="0" w:color="BFBFBF" w:themeColor="background1" w:themeShade="BF"/>
            </w:tcBorders>
          </w:tcPr>
          <w:p w14:paraId="1038C76C" w14:textId="77777777" w:rsidR="00D66FBA" w:rsidRPr="005110CD" w:rsidRDefault="00D66FBA"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NOPSEMA status:</w:t>
            </w:r>
          </w:p>
          <w:p w14:paraId="49750758" w14:textId="77777777" w:rsidR="00D66FBA" w:rsidRPr="005110CD" w:rsidRDefault="00D66FBA"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Complete.</w:t>
            </w:r>
          </w:p>
          <w:p w14:paraId="1F0443DA" w14:textId="77777777" w:rsidR="00D66FBA" w:rsidRPr="005110CD" w:rsidRDefault="00D66FBA"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Deloitte comments:</w:t>
            </w:r>
          </w:p>
          <w:p w14:paraId="3B40953A" w14:textId="0A2369FB" w:rsidR="00674CD5" w:rsidRPr="005110CD" w:rsidRDefault="007F461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This should continue to be a focus of NOPSEMA. Feedback we received through our review process indicated varying levels of stakeholder engagement capability across NOPSEMA’s organisational layers</w:t>
            </w:r>
            <w:r w:rsidR="000D2DA7">
              <w:rPr>
                <w:szCs w:val="18"/>
              </w:rPr>
              <w:t xml:space="preserve"> (although excellence of stakeholder engagement capabilities is noted at the executive level).</w:t>
            </w:r>
          </w:p>
        </w:tc>
      </w:tr>
      <w:tr w:rsidR="00C844BB" w:rsidRPr="00B7002A" w14:paraId="72D56E33" w14:textId="77777777" w:rsidTr="005110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03519A07" w14:textId="77777777" w:rsidR="00674CD5" w:rsidRPr="005110CD" w:rsidRDefault="00674CD5" w:rsidP="005110CD">
            <w:pPr>
              <w:pStyle w:val="Tablebody"/>
              <w:spacing w:after="60" w:line="240" w:lineRule="auto"/>
              <w:rPr>
                <w:szCs w:val="18"/>
              </w:rPr>
            </w:pPr>
            <w:r w:rsidRPr="005110CD">
              <w:rPr>
                <w:szCs w:val="18"/>
              </w:rPr>
              <w:t>5</w:t>
            </w:r>
          </w:p>
        </w:tc>
        <w:tc>
          <w:tcPr>
            <w:tcW w:w="2835" w:type="dxa"/>
            <w:tcBorders>
              <w:top w:val="single" w:sz="4" w:space="0" w:color="BFBFBF" w:themeColor="background1" w:themeShade="BF"/>
              <w:bottom w:val="single" w:sz="4" w:space="0" w:color="BFBFBF" w:themeColor="background1" w:themeShade="BF"/>
            </w:tcBorders>
          </w:tcPr>
          <w:p w14:paraId="6C8EAEB8"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NOPSEMA should continue to identify and implement cost effective and tailored/targeted education activities that improve its capacity to engage with stakeholders in order to share lessons, provide guidance and share new information.</w:t>
            </w:r>
          </w:p>
        </w:tc>
        <w:tc>
          <w:tcPr>
            <w:tcW w:w="7376" w:type="dxa"/>
            <w:tcBorders>
              <w:top w:val="single" w:sz="4" w:space="0" w:color="BFBFBF" w:themeColor="background1" w:themeShade="BF"/>
              <w:bottom w:val="single" w:sz="4" w:space="0" w:color="BFBFBF" w:themeColor="background1" w:themeShade="BF"/>
            </w:tcBorders>
          </w:tcPr>
          <w:p w14:paraId="3ED64312" w14:textId="77777777" w:rsidR="000D33BD" w:rsidRPr="00F71679" w:rsidRDefault="000D33BD" w:rsidP="000D33B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bCs/>
                <w:szCs w:val="18"/>
              </w:rPr>
            </w:pPr>
            <w:r w:rsidRPr="00F71679">
              <w:rPr>
                <w:b/>
                <w:bCs/>
                <w:szCs w:val="18"/>
              </w:rPr>
              <w:t>Accepted</w:t>
            </w:r>
          </w:p>
          <w:p w14:paraId="61ECE7B0" w14:textId="14E2300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The Government notes that integration of the environmental regulations has highlighted a need for effective engagement with industry, the community and other stakeholders to build a shared understanding of the offshore petroleum regime. An example is the engagement program</w:t>
            </w:r>
            <w:r w:rsidR="008905A2">
              <w:rPr>
                <w:szCs w:val="18"/>
              </w:rPr>
              <w:t xml:space="preserve"> </w:t>
            </w:r>
            <w:r w:rsidRPr="005110CD">
              <w:rPr>
                <w:szCs w:val="18"/>
              </w:rPr>
              <w:t>undertaken by NOPSEMA’s environmental division. The environment division has undertaken a series of consultative initiatives, including hosting information sessions with industry and the community addressing NOPSEMA’s current work program on environmental management consultation and transparency of decision-making processes. The review panel also noted consultative examples relating to performance standards.</w:t>
            </w:r>
          </w:p>
          <w:p w14:paraId="58812CF1"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Implementation of this recommendation is the responsibility of the Chief Executive Officer of NOPSEMA.</w:t>
            </w:r>
          </w:p>
        </w:tc>
        <w:tc>
          <w:tcPr>
            <w:tcW w:w="3659" w:type="dxa"/>
            <w:tcBorders>
              <w:top w:val="single" w:sz="4" w:space="0" w:color="BFBFBF" w:themeColor="background1" w:themeShade="BF"/>
              <w:bottom w:val="single" w:sz="4" w:space="0" w:color="BFBFBF" w:themeColor="background1" w:themeShade="BF"/>
            </w:tcBorders>
          </w:tcPr>
          <w:p w14:paraId="7FA9996C" w14:textId="77777777" w:rsidR="00D66FBA" w:rsidRPr="005110CD" w:rsidRDefault="00D66FBA"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NOPSEMA status:</w:t>
            </w:r>
          </w:p>
          <w:p w14:paraId="1439D461" w14:textId="77777777" w:rsidR="00D66FBA" w:rsidRPr="005110CD" w:rsidRDefault="00D66FBA"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Complete.</w:t>
            </w:r>
          </w:p>
          <w:p w14:paraId="4183D440" w14:textId="77777777" w:rsidR="00D66FBA" w:rsidRPr="005110CD" w:rsidRDefault="00D66FBA"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Deloitte comments:</w:t>
            </w:r>
          </w:p>
          <w:p w14:paraId="6EA609DE" w14:textId="79727C21" w:rsidR="00674CD5" w:rsidRPr="005110CD" w:rsidRDefault="00D66FBA"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 issues noted.</w:t>
            </w:r>
          </w:p>
        </w:tc>
      </w:tr>
      <w:tr w:rsidR="00C844BB" w:rsidRPr="00B7002A" w14:paraId="079233E8" w14:textId="77777777" w:rsidTr="005110CD">
        <w:trPr>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00F191BE" w14:textId="77777777" w:rsidR="00674CD5" w:rsidRPr="005110CD" w:rsidRDefault="00674CD5" w:rsidP="005110CD">
            <w:pPr>
              <w:pStyle w:val="Tablebody"/>
              <w:spacing w:after="60" w:line="240" w:lineRule="auto"/>
              <w:rPr>
                <w:szCs w:val="18"/>
              </w:rPr>
            </w:pPr>
            <w:r w:rsidRPr="005110CD">
              <w:rPr>
                <w:szCs w:val="18"/>
              </w:rPr>
              <w:t>6</w:t>
            </w:r>
          </w:p>
        </w:tc>
        <w:tc>
          <w:tcPr>
            <w:tcW w:w="2835" w:type="dxa"/>
            <w:tcBorders>
              <w:top w:val="single" w:sz="4" w:space="0" w:color="BFBFBF" w:themeColor="background1" w:themeShade="BF"/>
              <w:bottom w:val="single" w:sz="4" w:space="0" w:color="BFBFBF" w:themeColor="background1" w:themeShade="BF"/>
            </w:tcBorders>
          </w:tcPr>
          <w:p w14:paraId="5A4955B0" w14:textId="0C88106E"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NOPSEMA should review adequacy of guidance notes and improve</w:t>
            </w:r>
            <w:r w:rsidR="007F461B" w:rsidRPr="005110CD">
              <w:rPr>
                <w:szCs w:val="18"/>
              </w:rPr>
              <w:t xml:space="preserve"> </w:t>
            </w:r>
            <w:r w:rsidRPr="005110CD">
              <w:rPr>
                <w:szCs w:val="18"/>
              </w:rPr>
              <w:t>communication of the assessment process to ensure industry understands the importance of nature and scale within the risk assessment process. NOPSEMA should also workshop actual examples of high risks, assessed impacts and agreed controls and mitigations to demonstrate how the process works in reality and best practices.</w:t>
            </w:r>
          </w:p>
        </w:tc>
        <w:tc>
          <w:tcPr>
            <w:tcW w:w="7376" w:type="dxa"/>
            <w:tcBorders>
              <w:top w:val="single" w:sz="4" w:space="0" w:color="BFBFBF" w:themeColor="background1" w:themeShade="BF"/>
              <w:bottom w:val="single" w:sz="4" w:space="0" w:color="BFBFBF" w:themeColor="background1" w:themeShade="BF"/>
            </w:tcBorders>
          </w:tcPr>
          <w:p w14:paraId="161A190A" w14:textId="77777777" w:rsidR="000D33BD" w:rsidRPr="00F71679" w:rsidRDefault="000D33BD" w:rsidP="000D33B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bCs/>
                <w:szCs w:val="18"/>
              </w:rPr>
            </w:pPr>
            <w:r w:rsidRPr="00F71679">
              <w:rPr>
                <w:b/>
                <w:bCs/>
                <w:szCs w:val="18"/>
              </w:rPr>
              <w:t>Accepted</w:t>
            </w:r>
          </w:p>
          <w:p w14:paraId="4A693646" w14:textId="3F691D36"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A shared understanding of the nature and scale of risks will ensure that environment plans are fit for purpose and that high order impacts and risks receive proportionate focus in environment plans. NOPSEMA will continue to work with industry to clarify expectations on risk assessment processes for environmental approvals to ensure that industry has sufficient ownership and recognition of the correct application.</w:t>
            </w:r>
          </w:p>
          <w:p w14:paraId="41540681" w14:textId="7777777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Implementation of this recommendation is the responsibility of the Chief Executive Officer of NOPSEMA.</w:t>
            </w:r>
          </w:p>
        </w:tc>
        <w:tc>
          <w:tcPr>
            <w:tcW w:w="3659" w:type="dxa"/>
            <w:tcBorders>
              <w:top w:val="single" w:sz="4" w:space="0" w:color="BFBFBF" w:themeColor="background1" w:themeShade="BF"/>
              <w:bottom w:val="single" w:sz="4" w:space="0" w:color="BFBFBF" w:themeColor="background1" w:themeShade="BF"/>
            </w:tcBorders>
          </w:tcPr>
          <w:p w14:paraId="40601309"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NOPSEMA status:</w:t>
            </w:r>
          </w:p>
          <w:p w14:paraId="40C70B33"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Complete.</w:t>
            </w:r>
          </w:p>
          <w:p w14:paraId="7E96689D"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Deloitte comments:</w:t>
            </w:r>
          </w:p>
          <w:p w14:paraId="4F8A4BFE" w14:textId="6B3845CB" w:rsidR="00674CD5"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No issues noted.</w:t>
            </w:r>
          </w:p>
        </w:tc>
      </w:tr>
      <w:tr w:rsidR="00C844BB" w:rsidRPr="00B7002A" w14:paraId="5E3DB251" w14:textId="77777777" w:rsidTr="005110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0EDDFC96" w14:textId="77777777" w:rsidR="00674CD5" w:rsidRPr="005110CD" w:rsidRDefault="00674CD5" w:rsidP="005110CD">
            <w:pPr>
              <w:pStyle w:val="Tablebody"/>
              <w:spacing w:after="60" w:line="240" w:lineRule="auto"/>
              <w:rPr>
                <w:szCs w:val="18"/>
              </w:rPr>
            </w:pPr>
            <w:r w:rsidRPr="005110CD">
              <w:rPr>
                <w:szCs w:val="18"/>
              </w:rPr>
              <w:lastRenderedPageBreak/>
              <w:t>7</w:t>
            </w:r>
          </w:p>
        </w:tc>
        <w:tc>
          <w:tcPr>
            <w:tcW w:w="2835" w:type="dxa"/>
            <w:tcBorders>
              <w:top w:val="single" w:sz="4" w:space="0" w:color="BFBFBF" w:themeColor="background1" w:themeShade="BF"/>
              <w:bottom w:val="single" w:sz="4" w:space="0" w:color="BFBFBF" w:themeColor="background1" w:themeShade="BF"/>
            </w:tcBorders>
          </w:tcPr>
          <w:p w14:paraId="752FCDE5"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NOPSEMA should review relevant guidelines in conjunction with relevant stakeholders (e.g. APPEA) to clarify the activities which require environment plans and oil pollution emergency plans.</w:t>
            </w:r>
          </w:p>
        </w:tc>
        <w:tc>
          <w:tcPr>
            <w:tcW w:w="7376" w:type="dxa"/>
            <w:tcBorders>
              <w:top w:val="single" w:sz="4" w:space="0" w:color="BFBFBF" w:themeColor="background1" w:themeShade="BF"/>
              <w:bottom w:val="single" w:sz="4" w:space="0" w:color="BFBFBF" w:themeColor="background1" w:themeShade="BF"/>
            </w:tcBorders>
          </w:tcPr>
          <w:p w14:paraId="51DA9CE7" w14:textId="77777777" w:rsidR="000D33BD" w:rsidRPr="00F71679" w:rsidRDefault="000D33BD" w:rsidP="000D33B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bCs/>
                <w:szCs w:val="18"/>
              </w:rPr>
            </w:pPr>
            <w:r w:rsidRPr="00F71679">
              <w:rPr>
                <w:b/>
                <w:bCs/>
                <w:szCs w:val="18"/>
              </w:rPr>
              <w:t>Accepted</w:t>
            </w:r>
          </w:p>
          <w:p w14:paraId="45FACE5D" w14:textId="7B4BDDD4"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NOPSEMA’s guidance material provides an important resource for industry, particularly in their understanding of activities which will require interaction with the regulator, for example, the development of draft environment and oil pollution emergency plans. The Government supports NOPSEMA working with industry and other stakeholders to clarify expectations on approval processes for environmental approvals and oil pollution emergency plans.</w:t>
            </w:r>
          </w:p>
          <w:p w14:paraId="41CBAF82"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Implementation of this recommendation is the responsibility of the Chief Executive Officer of NOPSEMA.</w:t>
            </w:r>
          </w:p>
        </w:tc>
        <w:tc>
          <w:tcPr>
            <w:tcW w:w="3659" w:type="dxa"/>
            <w:tcBorders>
              <w:top w:val="single" w:sz="4" w:space="0" w:color="BFBFBF" w:themeColor="background1" w:themeShade="BF"/>
              <w:bottom w:val="single" w:sz="4" w:space="0" w:color="BFBFBF" w:themeColor="background1" w:themeShade="BF"/>
            </w:tcBorders>
          </w:tcPr>
          <w:p w14:paraId="68DA7933" w14:textId="77777777" w:rsidR="0047218B"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NOPSEMA status:</w:t>
            </w:r>
          </w:p>
          <w:p w14:paraId="20688E7E" w14:textId="77777777" w:rsidR="0047218B"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Complete.</w:t>
            </w:r>
          </w:p>
          <w:p w14:paraId="3DB74419" w14:textId="77777777" w:rsidR="0047218B"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Deloitte comments:</w:t>
            </w:r>
          </w:p>
          <w:p w14:paraId="3E18F361" w14:textId="3ABC55D7" w:rsidR="00674CD5"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 issues noted.</w:t>
            </w:r>
          </w:p>
        </w:tc>
      </w:tr>
      <w:tr w:rsidR="00C844BB" w:rsidRPr="00B7002A" w14:paraId="2CA3C565" w14:textId="77777777" w:rsidTr="005110CD">
        <w:trPr>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7FEEC4B5" w14:textId="77777777" w:rsidR="00674CD5" w:rsidRPr="005110CD" w:rsidRDefault="00674CD5" w:rsidP="005110CD">
            <w:pPr>
              <w:pStyle w:val="Tablebody"/>
              <w:spacing w:after="60" w:line="240" w:lineRule="auto"/>
              <w:rPr>
                <w:szCs w:val="18"/>
              </w:rPr>
            </w:pPr>
            <w:r w:rsidRPr="005110CD">
              <w:rPr>
                <w:szCs w:val="18"/>
              </w:rPr>
              <w:t>8</w:t>
            </w:r>
          </w:p>
        </w:tc>
        <w:tc>
          <w:tcPr>
            <w:tcW w:w="2835" w:type="dxa"/>
            <w:tcBorders>
              <w:top w:val="single" w:sz="4" w:space="0" w:color="BFBFBF" w:themeColor="background1" w:themeShade="BF"/>
              <w:bottom w:val="single" w:sz="4" w:space="0" w:color="BFBFBF" w:themeColor="background1" w:themeShade="BF"/>
            </w:tcBorders>
          </w:tcPr>
          <w:p w14:paraId="05FD5A8E" w14:textId="7777777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Department of Industry and Science (now the Department of Industry, Innovation and Science) should continue to review the scope of powers and authority that NOPSEMA requires for regulating activities associated with greenhouse gas storage.</w:t>
            </w:r>
          </w:p>
        </w:tc>
        <w:tc>
          <w:tcPr>
            <w:tcW w:w="7376" w:type="dxa"/>
            <w:tcBorders>
              <w:top w:val="single" w:sz="4" w:space="0" w:color="BFBFBF" w:themeColor="background1" w:themeShade="BF"/>
              <w:bottom w:val="single" w:sz="4" w:space="0" w:color="BFBFBF" w:themeColor="background1" w:themeShade="BF"/>
            </w:tcBorders>
          </w:tcPr>
          <w:p w14:paraId="17D09A8B" w14:textId="77777777" w:rsidR="000D33BD" w:rsidRPr="00F71679" w:rsidRDefault="000D33BD" w:rsidP="000D33B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bCs/>
                <w:szCs w:val="18"/>
              </w:rPr>
            </w:pPr>
            <w:r w:rsidRPr="00F71679">
              <w:rPr>
                <w:b/>
                <w:bCs/>
                <w:szCs w:val="18"/>
              </w:rPr>
              <w:t>Accepted</w:t>
            </w:r>
          </w:p>
          <w:p w14:paraId="6387A45E" w14:textId="0D6164A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Australia is one of the first countries in the world to have a legislative framework to regulate offshore greenhouse gas injection and storage. The creation of NOPSEMA post-dated the commencement of the greenhouse gas legislative framework. The Department of Industry, Innovation and Science, as the policy agency with responsibility for the OPGGS Act and NOPSEMA will continue to work to ensure the regulatory regime for greenhouse gas operations is robust and consistent with current governance and institutional arrangements under the OPGGS Act.</w:t>
            </w:r>
          </w:p>
          <w:p w14:paraId="65B99F7C" w14:textId="7777777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Implementation of this recommendation is the responsibility of the Department of Industry, Innovation and Science working with the Chief Executive Officer of NOPSEMA.</w:t>
            </w:r>
          </w:p>
        </w:tc>
        <w:tc>
          <w:tcPr>
            <w:tcW w:w="3659" w:type="dxa"/>
            <w:tcBorders>
              <w:top w:val="single" w:sz="4" w:space="0" w:color="BFBFBF" w:themeColor="background1" w:themeShade="BF"/>
              <w:bottom w:val="single" w:sz="4" w:space="0" w:color="BFBFBF" w:themeColor="background1" w:themeShade="BF"/>
            </w:tcBorders>
          </w:tcPr>
          <w:p w14:paraId="6635DC04" w14:textId="55D1950C"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NOPSEMA</w:t>
            </w:r>
            <w:r w:rsidR="000C1CE2" w:rsidRPr="005110CD">
              <w:rPr>
                <w:b/>
                <w:szCs w:val="18"/>
              </w:rPr>
              <w:t xml:space="preserve">/DISER </w:t>
            </w:r>
            <w:r w:rsidRPr="005110CD">
              <w:rPr>
                <w:b/>
                <w:szCs w:val="18"/>
              </w:rPr>
              <w:t>status:</w:t>
            </w:r>
          </w:p>
          <w:p w14:paraId="16F06457" w14:textId="16D84851" w:rsidR="007B0699"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Complete.</w:t>
            </w:r>
          </w:p>
          <w:p w14:paraId="1F462C48"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Deloitte comments:</w:t>
            </w:r>
          </w:p>
          <w:p w14:paraId="1D28431F" w14:textId="621D955B" w:rsidR="00674CD5"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No issues noted.</w:t>
            </w:r>
          </w:p>
        </w:tc>
      </w:tr>
      <w:tr w:rsidR="00C844BB" w:rsidRPr="00B7002A" w14:paraId="6236AE6A" w14:textId="77777777" w:rsidTr="005110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21D871F6" w14:textId="77777777" w:rsidR="00674CD5" w:rsidRPr="005110CD" w:rsidRDefault="00674CD5" w:rsidP="005110CD">
            <w:pPr>
              <w:pStyle w:val="Tablebody"/>
              <w:spacing w:after="60" w:line="240" w:lineRule="auto"/>
              <w:rPr>
                <w:szCs w:val="18"/>
              </w:rPr>
            </w:pPr>
            <w:r w:rsidRPr="005110CD">
              <w:rPr>
                <w:szCs w:val="18"/>
              </w:rPr>
              <w:t>9</w:t>
            </w:r>
          </w:p>
        </w:tc>
        <w:tc>
          <w:tcPr>
            <w:tcW w:w="2835" w:type="dxa"/>
            <w:tcBorders>
              <w:top w:val="single" w:sz="4" w:space="0" w:color="BFBFBF" w:themeColor="background1" w:themeShade="BF"/>
              <w:bottom w:val="single" w:sz="4" w:space="0" w:color="BFBFBF" w:themeColor="background1" w:themeShade="BF"/>
            </w:tcBorders>
          </w:tcPr>
          <w:p w14:paraId="07989BAC"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The Department of Industry and Science (now the Department of Industry, Innovation and Science) should develop regulations regarding the Design Notification Scheme in collaboration with NOPSEMA and appropriate stakeholders.</w:t>
            </w:r>
          </w:p>
        </w:tc>
        <w:tc>
          <w:tcPr>
            <w:tcW w:w="7376" w:type="dxa"/>
            <w:tcBorders>
              <w:top w:val="single" w:sz="4" w:space="0" w:color="BFBFBF" w:themeColor="background1" w:themeShade="BF"/>
              <w:bottom w:val="single" w:sz="4" w:space="0" w:color="BFBFBF" w:themeColor="background1" w:themeShade="BF"/>
            </w:tcBorders>
          </w:tcPr>
          <w:p w14:paraId="2B391735" w14:textId="77777777" w:rsidR="000D33BD" w:rsidRPr="00F71679" w:rsidRDefault="000D33BD" w:rsidP="000D33B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bCs/>
                <w:szCs w:val="18"/>
              </w:rPr>
            </w:pPr>
            <w:r w:rsidRPr="00F71679">
              <w:rPr>
                <w:b/>
                <w:bCs/>
                <w:szCs w:val="18"/>
              </w:rPr>
              <w:t>Accepted</w:t>
            </w:r>
          </w:p>
          <w:p w14:paraId="0498DCE5" w14:textId="131F9604"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The Department of Industry, Innovation and Science is currently working with NOPSEMA to develop and implement a Design Notification Scheme appropriate for the Australian offshore petroleum sector. It is anticipated that the Design Notification Scheme will commence from 1 July 2016.</w:t>
            </w:r>
          </w:p>
          <w:p w14:paraId="775EF4A3"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Implementation of this recommendation is the responsibility of the Department of Industry, Innovation and Science, working with the Chief Executive Officer of NOPSEMA.</w:t>
            </w:r>
          </w:p>
        </w:tc>
        <w:tc>
          <w:tcPr>
            <w:tcW w:w="3659" w:type="dxa"/>
            <w:tcBorders>
              <w:top w:val="single" w:sz="4" w:space="0" w:color="BFBFBF" w:themeColor="background1" w:themeShade="BF"/>
              <w:bottom w:val="single" w:sz="4" w:space="0" w:color="BFBFBF" w:themeColor="background1" w:themeShade="BF"/>
            </w:tcBorders>
          </w:tcPr>
          <w:p w14:paraId="23F79DAD" w14:textId="67A1B2C5" w:rsidR="0047218B" w:rsidRPr="005110CD" w:rsidRDefault="00E219AE"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Pr>
                <w:b/>
                <w:szCs w:val="18"/>
              </w:rPr>
              <w:t>DISER/</w:t>
            </w:r>
            <w:r w:rsidR="0047218B" w:rsidRPr="005110CD">
              <w:rPr>
                <w:b/>
                <w:szCs w:val="18"/>
              </w:rPr>
              <w:t>NOPSEMA status:</w:t>
            </w:r>
          </w:p>
          <w:p w14:paraId="5D84D2FF" w14:textId="77777777" w:rsidR="006B1F30" w:rsidRPr="005110CD" w:rsidRDefault="006B1F30"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 xml:space="preserve">In progress. A Design Notification Scheme had commenced but was paused in 2017 due to competing priorities. DISER’s ongoing Offshore Safety Review proposes to establish the Scheme. DISER is currently working with NOPSEMA on the key elements of the proposed Scheme. </w:t>
            </w:r>
          </w:p>
          <w:p w14:paraId="600C10A2" w14:textId="77777777" w:rsidR="0047218B"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Deloitte comments:</w:t>
            </w:r>
          </w:p>
          <w:p w14:paraId="10DBFAF1" w14:textId="73568AD8" w:rsidR="00674CD5"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 issues noted</w:t>
            </w:r>
            <w:r w:rsidR="001E6A1F">
              <w:rPr>
                <w:szCs w:val="18"/>
              </w:rPr>
              <w:t xml:space="preserve"> further to the above status</w:t>
            </w:r>
            <w:r w:rsidRPr="005110CD">
              <w:rPr>
                <w:szCs w:val="18"/>
              </w:rPr>
              <w:t>.</w:t>
            </w:r>
          </w:p>
        </w:tc>
      </w:tr>
      <w:tr w:rsidR="00C844BB" w:rsidRPr="00B7002A" w14:paraId="0293BB69" w14:textId="77777777" w:rsidTr="005110CD">
        <w:trPr>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66CE018E" w14:textId="77777777" w:rsidR="00674CD5" w:rsidRPr="005110CD" w:rsidRDefault="00674CD5" w:rsidP="005110CD">
            <w:pPr>
              <w:pStyle w:val="Tablebody"/>
              <w:spacing w:after="60" w:line="240" w:lineRule="auto"/>
              <w:rPr>
                <w:szCs w:val="18"/>
              </w:rPr>
            </w:pPr>
            <w:r w:rsidRPr="005110CD">
              <w:rPr>
                <w:szCs w:val="18"/>
              </w:rPr>
              <w:lastRenderedPageBreak/>
              <w:t>10</w:t>
            </w:r>
          </w:p>
        </w:tc>
        <w:tc>
          <w:tcPr>
            <w:tcW w:w="2835" w:type="dxa"/>
            <w:tcBorders>
              <w:top w:val="single" w:sz="4" w:space="0" w:color="BFBFBF" w:themeColor="background1" w:themeShade="BF"/>
              <w:bottom w:val="single" w:sz="4" w:space="0" w:color="BFBFBF" w:themeColor="background1" w:themeShade="BF"/>
            </w:tcBorders>
          </w:tcPr>
          <w:p w14:paraId="081E97C1" w14:textId="7777777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NOPSEMA should prepare for increased decommissioning activity in the future by working with the Department of Industry and Science (now the Department of Industry, Innovation and Science), industry stakeholders and relevant parties to develop guidance notes on decommissioning.</w:t>
            </w:r>
          </w:p>
        </w:tc>
        <w:tc>
          <w:tcPr>
            <w:tcW w:w="7376" w:type="dxa"/>
            <w:tcBorders>
              <w:top w:val="single" w:sz="4" w:space="0" w:color="BFBFBF" w:themeColor="background1" w:themeShade="BF"/>
              <w:bottom w:val="single" w:sz="4" w:space="0" w:color="BFBFBF" w:themeColor="background1" w:themeShade="BF"/>
            </w:tcBorders>
          </w:tcPr>
          <w:p w14:paraId="468E27FB" w14:textId="77777777" w:rsidR="000D33BD" w:rsidRPr="00F71679" w:rsidRDefault="000D33BD" w:rsidP="000D33B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bCs/>
                <w:szCs w:val="18"/>
              </w:rPr>
            </w:pPr>
            <w:r w:rsidRPr="00F71679">
              <w:rPr>
                <w:b/>
                <w:bCs/>
                <w:szCs w:val="18"/>
              </w:rPr>
              <w:t>Accepted</w:t>
            </w:r>
          </w:p>
          <w:p w14:paraId="18B0818F" w14:textId="1A66F713"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The Offshore Petroleum Resource Management Review found that the offshore petroleum sector requires clarity regarding the Government’s policy and requirements for the decommissioning of offshore facilities post-production. The Department of Industry, Innovation and Science has commenced the development of an offshore petroleum decommissioning policy framework. The framework will clarify Government policy and expectations for the decommissioning of offshore petroleum facilities and ensure the regulatory regime for decommissioning strikes the right balance between environmental and safety outcomes, community expectations and productivity improvements for the offshore petroleum sector.</w:t>
            </w:r>
          </w:p>
          <w:p w14:paraId="46671880" w14:textId="7777777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In July 2015, NOPSEMA released an information brochure clarifying the existing safety, well integrity and environment regulatory requirements regarding decommissioning. DISER will continue to work with NOPSEMA, in consultation with the offshore petroleum sector, to develop a decommissioning policy position and associated administrative arrangements and guidance material. Implementation of this recommendation is the responsibility of the Department of Industry, Innovation and Science working with the Chief Executive Officer of NOPSEMA, in consultation with the offshore petroleum sector and other stakeholders.</w:t>
            </w:r>
          </w:p>
        </w:tc>
        <w:tc>
          <w:tcPr>
            <w:tcW w:w="3659" w:type="dxa"/>
            <w:tcBorders>
              <w:top w:val="single" w:sz="4" w:space="0" w:color="BFBFBF" w:themeColor="background1" w:themeShade="BF"/>
              <w:bottom w:val="single" w:sz="4" w:space="0" w:color="BFBFBF" w:themeColor="background1" w:themeShade="BF"/>
            </w:tcBorders>
          </w:tcPr>
          <w:p w14:paraId="3D3C15FF" w14:textId="3E531369" w:rsidR="0047218B" w:rsidRPr="005110CD" w:rsidRDefault="0076597D"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DISER</w:t>
            </w:r>
            <w:r w:rsidR="0047218B" w:rsidRPr="005110CD">
              <w:rPr>
                <w:b/>
                <w:szCs w:val="18"/>
              </w:rPr>
              <w:t xml:space="preserve"> status:</w:t>
            </w:r>
          </w:p>
          <w:p w14:paraId="4524B3A6" w14:textId="3026185D" w:rsidR="0047218B" w:rsidRPr="005110CD" w:rsidRDefault="00AC7AA6"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In progress</w:t>
            </w:r>
            <w:r w:rsidR="0047218B" w:rsidRPr="005110CD">
              <w:rPr>
                <w:szCs w:val="18"/>
              </w:rPr>
              <w:t>.</w:t>
            </w:r>
            <w:r w:rsidRPr="005110CD">
              <w:rPr>
                <w:szCs w:val="18"/>
              </w:rPr>
              <w:t xml:space="preserve"> DISER is currently undertaking a comprehensive review of Australia’s offshore policy and legislative frameworks for decommissioning</w:t>
            </w:r>
            <w:r w:rsidR="0076597D" w:rsidRPr="005110CD">
              <w:rPr>
                <w:szCs w:val="18"/>
              </w:rPr>
              <w:t xml:space="preserve">. The review will propose an enhanced framework for consideration by the government. If the </w:t>
            </w:r>
            <w:r w:rsidR="00974E51">
              <w:rPr>
                <w:szCs w:val="18"/>
              </w:rPr>
              <w:t>review</w:t>
            </w:r>
            <w:r w:rsidR="00974E51" w:rsidRPr="005110CD">
              <w:rPr>
                <w:szCs w:val="18"/>
              </w:rPr>
              <w:t xml:space="preserve"> </w:t>
            </w:r>
            <w:r w:rsidR="0076597D" w:rsidRPr="005110CD">
              <w:rPr>
                <w:szCs w:val="18"/>
              </w:rPr>
              <w:t>is accepted</w:t>
            </w:r>
            <w:r w:rsidR="00443422">
              <w:rPr>
                <w:szCs w:val="18"/>
              </w:rPr>
              <w:t xml:space="preserve"> by </w:t>
            </w:r>
            <w:r w:rsidR="00807E17">
              <w:rPr>
                <w:szCs w:val="18"/>
              </w:rPr>
              <w:t>g</w:t>
            </w:r>
            <w:r w:rsidR="00443422">
              <w:rPr>
                <w:szCs w:val="18"/>
              </w:rPr>
              <w:t>overnment</w:t>
            </w:r>
            <w:r w:rsidR="0076597D" w:rsidRPr="005110CD">
              <w:rPr>
                <w:szCs w:val="18"/>
              </w:rPr>
              <w:t xml:space="preserve">, implementation will commence in 2021. </w:t>
            </w:r>
          </w:p>
          <w:p w14:paraId="00AAF67F"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Deloitte comments:</w:t>
            </w:r>
          </w:p>
          <w:p w14:paraId="7C23C043" w14:textId="7D53797A" w:rsidR="00674CD5" w:rsidRPr="005110CD" w:rsidRDefault="007F461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We make a number of associated observations and recommendations in relation to NOPSEMA’s future role in decommissioning</w:t>
            </w:r>
            <w:r w:rsidR="00995A1C">
              <w:rPr>
                <w:szCs w:val="18"/>
              </w:rPr>
              <w:t xml:space="preserve"> through our review</w:t>
            </w:r>
            <w:r w:rsidRPr="005110CD">
              <w:rPr>
                <w:szCs w:val="18"/>
              </w:rPr>
              <w:t>.</w:t>
            </w:r>
          </w:p>
        </w:tc>
      </w:tr>
      <w:tr w:rsidR="00C844BB" w:rsidRPr="00B7002A" w14:paraId="20E0E1FB" w14:textId="77777777" w:rsidTr="005110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7889625D" w14:textId="77777777" w:rsidR="00674CD5" w:rsidRPr="005110CD" w:rsidRDefault="00674CD5" w:rsidP="005110CD">
            <w:pPr>
              <w:pStyle w:val="Tablebody"/>
              <w:spacing w:after="60" w:line="240" w:lineRule="auto"/>
              <w:rPr>
                <w:szCs w:val="18"/>
              </w:rPr>
            </w:pPr>
            <w:r w:rsidRPr="005110CD">
              <w:rPr>
                <w:szCs w:val="18"/>
              </w:rPr>
              <w:t>11</w:t>
            </w:r>
          </w:p>
        </w:tc>
        <w:tc>
          <w:tcPr>
            <w:tcW w:w="2835" w:type="dxa"/>
            <w:tcBorders>
              <w:top w:val="single" w:sz="4" w:space="0" w:color="BFBFBF" w:themeColor="background1" w:themeShade="BF"/>
              <w:bottom w:val="single" w:sz="4" w:space="0" w:color="BFBFBF" w:themeColor="background1" w:themeShade="BF"/>
            </w:tcBorders>
          </w:tcPr>
          <w:p w14:paraId="498F84F8"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The Department of Industry and Science (now the Department of Industry, Innovation and Science) should clarify the appropriate mechanism to allow NOPSEMA to vary legacy environmental conditions and associated approvals granted prior to 1 January 2012 where appropriate.</w:t>
            </w:r>
          </w:p>
        </w:tc>
        <w:tc>
          <w:tcPr>
            <w:tcW w:w="7376" w:type="dxa"/>
            <w:tcBorders>
              <w:top w:val="single" w:sz="4" w:space="0" w:color="BFBFBF" w:themeColor="background1" w:themeShade="BF"/>
              <w:bottom w:val="single" w:sz="4" w:space="0" w:color="BFBFBF" w:themeColor="background1" w:themeShade="BF"/>
            </w:tcBorders>
          </w:tcPr>
          <w:p w14:paraId="796C7CFB" w14:textId="77777777" w:rsidR="000D33BD" w:rsidRPr="00F71679" w:rsidRDefault="000D33BD" w:rsidP="000D33B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bCs/>
                <w:szCs w:val="18"/>
              </w:rPr>
            </w:pPr>
            <w:r w:rsidRPr="00F71679">
              <w:rPr>
                <w:b/>
                <w:bCs/>
                <w:szCs w:val="18"/>
              </w:rPr>
              <w:t>Accepted</w:t>
            </w:r>
          </w:p>
          <w:p w14:paraId="21ED0054" w14:textId="3156F9C5"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The Department of Industry, Innovation and Science will work with the Department of the Environment to clarify the processes and mechanism where legacy environmental conditions provided under the Environmental Protection and Biodiversity Act 1999 prior to 1 January 2012 apply and where reconsideration of those conditions is appropriate.</w:t>
            </w:r>
          </w:p>
          <w:p w14:paraId="1C324F04"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Implementation of this recommendation is the responsibility of the Department of Industry, Innovation and Science.</w:t>
            </w:r>
          </w:p>
        </w:tc>
        <w:tc>
          <w:tcPr>
            <w:tcW w:w="3659" w:type="dxa"/>
            <w:tcBorders>
              <w:top w:val="single" w:sz="4" w:space="0" w:color="BFBFBF" w:themeColor="background1" w:themeShade="BF"/>
              <w:bottom w:val="single" w:sz="4" w:space="0" w:color="BFBFBF" w:themeColor="background1" w:themeShade="BF"/>
            </w:tcBorders>
          </w:tcPr>
          <w:p w14:paraId="7329AF00" w14:textId="520CAEE8" w:rsidR="0047218B" w:rsidRPr="005110CD" w:rsidRDefault="0076597D"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DISER</w:t>
            </w:r>
            <w:r w:rsidR="0047218B" w:rsidRPr="005110CD">
              <w:rPr>
                <w:b/>
                <w:szCs w:val="18"/>
              </w:rPr>
              <w:t xml:space="preserve"> status:</w:t>
            </w:r>
          </w:p>
          <w:p w14:paraId="212B7AB4" w14:textId="0DF35344" w:rsidR="0047218B" w:rsidRPr="005110CD" w:rsidRDefault="0076597D"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In progress – as above.</w:t>
            </w:r>
          </w:p>
          <w:p w14:paraId="08934275" w14:textId="77777777" w:rsidR="0047218B"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Deloitte comments:</w:t>
            </w:r>
          </w:p>
          <w:p w14:paraId="510DFE48" w14:textId="14694950" w:rsidR="00674CD5"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 issues noted.</w:t>
            </w:r>
          </w:p>
        </w:tc>
      </w:tr>
      <w:tr w:rsidR="00C844BB" w:rsidRPr="00B7002A" w14:paraId="7D8C8F50" w14:textId="77777777" w:rsidTr="005110CD">
        <w:trPr>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6E4A1B25" w14:textId="77777777" w:rsidR="00674CD5" w:rsidRPr="005110CD" w:rsidRDefault="00674CD5" w:rsidP="005110CD">
            <w:pPr>
              <w:pStyle w:val="Tablebody"/>
              <w:spacing w:after="60" w:line="240" w:lineRule="auto"/>
              <w:rPr>
                <w:szCs w:val="18"/>
              </w:rPr>
            </w:pPr>
            <w:r w:rsidRPr="005110CD">
              <w:rPr>
                <w:szCs w:val="18"/>
              </w:rPr>
              <w:t>12</w:t>
            </w:r>
          </w:p>
        </w:tc>
        <w:tc>
          <w:tcPr>
            <w:tcW w:w="2835" w:type="dxa"/>
            <w:tcBorders>
              <w:top w:val="single" w:sz="4" w:space="0" w:color="BFBFBF" w:themeColor="background1" w:themeShade="BF"/>
              <w:bottom w:val="single" w:sz="4" w:space="0" w:color="BFBFBF" w:themeColor="background1" w:themeShade="BF"/>
            </w:tcBorders>
          </w:tcPr>
          <w:p w14:paraId="21A88009" w14:textId="2EC28A82"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NOPSEMA and AMSA should refresh their Memorandum of Understanding</w:t>
            </w:r>
            <w:r w:rsidR="007F461B" w:rsidRPr="005110CD">
              <w:rPr>
                <w:szCs w:val="18"/>
              </w:rPr>
              <w:t xml:space="preserve"> </w:t>
            </w:r>
            <w:r w:rsidRPr="005110CD">
              <w:rPr>
                <w:szCs w:val="18"/>
              </w:rPr>
              <w:t>and in doing so seek clarity on their commitments and responsibilities under their respective Acts.</w:t>
            </w:r>
          </w:p>
        </w:tc>
        <w:tc>
          <w:tcPr>
            <w:tcW w:w="7376" w:type="dxa"/>
            <w:tcBorders>
              <w:top w:val="single" w:sz="4" w:space="0" w:color="BFBFBF" w:themeColor="background1" w:themeShade="BF"/>
              <w:bottom w:val="single" w:sz="4" w:space="0" w:color="BFBFBF" w:themeColor="background1" w:themeShade="BF"/>
            </w:tcBorders>
          </w:tcPr>
          <w:p w14:paraId="0CBFF0CF" w14:textId="77777777" w:rsidR="000D33BD" w:rsidRPr="00F71679" w:rsidRDefault="000D33BD" w:rsidP="000D33B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bCs/>
                <w:szCs w:val="18"/>
              </w:rPr>
            </w:pPr>
            <w:r w:rsidRPr="00F71679">
              <w:rPr>
                <w:b/>
                <w:bCs/>
                <w:szCs w:val="18"/>
              </w:rPr>
              <w:t>Accepted</w:t>
            </w:r>
          </w:p>
          <w:p w14:paraId="5D8CB6DF" w14:textId="0956A30B"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The Government notes the Review Panel’s finding that NOPSEMA and AMSA cooperate well at the operational level and supports the agencies’ establishing a documented process for collaboration and consultation. This could take the form of a refreshed Memorandum of Understanding, or exchange of letters. Regardless, the document should be reviewed annually to ensure it remains relevant and there</w:t>
            </w:r>
            <w:r w:rsidR="007F461B" w:rsidRPr="005110CD">
              <w:rPr>
                <w:szCs w:val="18"/>
              </w:rPr>
              <w:t xml:space="preserve"> </w:t>
            </w:r>
            <w:r w:rsidRPr="005110CD">
              <w:rPr>
                <w:szCs w:val="18"/>
              </w:rPr>
              <w:t>is a shared contemporary understanding of each party’s regulatory remit and approach. In line with the Ministerial Statement of Expectations for NOPSEMA this should also include a collaborative approach to enhance coordination of emergency response arrangements.</w:t>
            </w:r>
          </w:p>
          <w:p w14:paraId="7A506206" w14:textId="7777777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Implementation of this recommendation is the responsibility of the Chief Executive Officer of NOPSEMA.</w:t>
            </w:r>
          </w:p>
        </w:tc>
        <w:tc>
          <w:tcPr>
            <w:tcW w:w="3659" w:type="dxa"/>
            <w:tcBorders>
              <w:top w:val="single" w:sz="4" w:space="0" w:color="BFBFBF" w:themeColor="background1" w:themeShade="BF"/>
              <w:bottom w:val="single" w:sz="4" w:space="0" w:color="BFBFBF" w:themeColor="background1" w:themeShade="BF"/>
            </w:tcBorders>
          </w:tcPr>
          <w:p w14:paraId="262E4E7E"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NOPSEMA status:</w:t>
            </w:r>
          </w:p>
          <w:p w14:paraId="5985F5BD"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Complete.</w:t>
            </w:r>
          </w:p>
          <w:p w14:paraId="11EA6AD2"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Deloitte comments:</w:t>
            </w:r>
          </w:p>
          <w:p w14:paraId="78CD7849" w14:textId="6910B03D" w:rsidR="00674CD5"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No issues noted.</w:t>
            </w:r>
          </w:p>
        </w:tc>
      </w:tr>
      <w:tr w:rsidR="00C844BB" w:rsidRPr="00B7002A" w14:paraId="20B08B9E" w14:textId="77777777" w:rsidTr="005110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1462E793" w14:textId="77777777" w:rsidR="00674CD5" w:rsidRPr="005110CD" w:rsidRDefault="00674CD5" w:rsidP="005110CD">
            <w:pPr>
              <w:pStyle w:val="Tablebody"/>
              <w:spacing w:after="60" w:line="240" w:lineRule="auto"/>
              <w:rPr>
                <w:szCs w:val="18"/>
              </w:rPr>
            </w:pPr>
            <w:r w:rsidRPr="005110CD">
              <w:rPr>
                <w:szCs w:val="18"/>
              </w:rPr>
              <w:lastRenderedPageBreak/>
              <w:t>13</w:t>
            </w:r>
          </w:p>
        </w:tc>
        <w:tc>
          <w:tcPr>
            <w:tcW w:w="2835" w:type="dxa"/>
            <w:tcBorders>
              <w:top w:val="single" w:sz="4" w:space="0" w:color="BFBFBF" w:themeColor="background1" w:themeShade="BF"/>
              <w:bottom w:val="single" w:sz="4" w:space="0" w:color="BFBFBF" w:themeColor="background1" w:themeShade="BF"/>
            </w:tcBorders>
          </w:tcPr>
          <w:p w14:paraId="315AC174"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NOPSEMA should develop a mechanism to provide greater transparency of decision making and assessments to stakeholders.</w:t>
            </w:r>
          </w:p>
        </w:tc>
        <w:tc>
          <w:tcPr>
            <w:tcW w:w="7376" w:type="dxa"/>
            <w:tcBorders>
              <w:top w:val="single" w:sz="4" w:space="0" w:color="BFBFBF" w:themeColor="background1" w:themeShade="BF"/>
              <w:bottom w:val="single" w:sz="4" w:space="0" w:color="BFBFBF" w:themeColor="background1" w:themeShade="BF"/>
            </w:tcBorders>
          </w:tcPr>
          <w:p w14:paraId="7DAC6A22" w14:textId="77777777" w:rsidR="00FB347C" w:rsidRPr="00F71679" w:rsidRDefault="00FB347C" w:rsidP="00FB347C">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bCs/>
                <w:szCs w:val="18"/>
              </w:rPr>
            </w:pPr>
            <w:r w:rsidRPr="00F71679">
              <w:rPr>
                <w:b/>
                <w:bCs/>
                <w:szCs w:val="18"/>
              </w:rPr>
              <w:t>Accepted</w:t>
            </w:r>
          </w:p>
          <w:p w14:paraId="01BC4AD3" w14:textId="77FA2FA3"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NOPSEMA has commenced the development of improvements to the transparency of environment plan assessment and decision-making in consultation with stakeholders and industry. NOPSEMA will work with the Department of Industry, Innovation and Science where any associated amendments to legislation are required. Any changes will be managed through the existing legislative change process. Implementation of this recommendation is the responsibility of the Chief Executive Officer of NOPSEMA working with the Department of Industry, Innovation and Science.</w:t>
            </w:r>
          </w:p>
        </w:tc>
        <w:tc>
          <w:tcPr>
            <w:tcW w:w="3659" w:type="dxa"/>
            <w:tcBorders>
              <w:top w:val="single" w:sz="4" w:space="0" w:color="BFBFBF" w:themeColor="background1" w:themeShade="BF"/>
              <w:bottom w:val="single" w:sz="4" w:space="0" w:color="BFBFBF" w:themeColor="background1" w:themeShade="BF"/>
            </w:tcBorders>
          </w:tcPr>
          <w:p w14:paraId="4045FC9C" w14:textId="52697063" w:rsidR="0047218B"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NOPSEMA</w:t>
            </w:r>
            <w:r w:rsidR="00DE67A1" w:rsidRPr="005110CD">
              <w:rPr>
                <w:b/>
                <w:szCs w:val="18"/>
              </w:rPr>
              <w:t>/DISER</w:t>
            </w:r>
            <w:r w:rsidRPr="005110CD">
              <w:rPr>
                <w:b/>
                <w:szCs w:val="18"/>
              </w:rPr>
              <w:t xml:space="preserve"> status:</w:t>
            </w:r>
          </w:p>
          <w:p w14:paraId="57F8CE74" w14:textId="77777777" w:rsidR="0047218B"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Complete.</w:t>
            </w:r>
          </w:p>
          <w:p w14:paraId="669BF923" w14:textId="77777777" w:rsidR="0047218B"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Deloitte comments:</w:t>
            </w:r>
          </w:p>
          <w:p w14:paraId="2F8F1F4D" w14:textId="5972D95D" w:rsidR="00674CD5" w:rsidRPr="005110CD" w:rsidRDefault="007F461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We make a number of associated observations and recommendations in relation to NOPSEMA’s transparency over its decision-making.</w:t>
            </w:r>
          </w:p>
        </w:tc>
      </w:tr>
      <w:tr w:rsidR="00C844BB" w:rsidRPr="00B7002A" w14:paraId="56A88ACF" w14:textId="77777777" w:rsidTr="005110CD">
        <w:trPr>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2FE8F12F" w14:textId="77777777" w:rsidR="00674CD5" w:rsidRPr="005110CD" w:rsidRDefault="00674CD5" w:rsidP="005110CD">
            <w:pPr>
              <w:pStyle w:val="Tablebody"/>
              <w:spacing w:after="60" w:line="240" w:lineRule="auto"/>
              <w:rPr>
                <w:szCs w:val="18"/>
              </w:rPr>
            </w:pPr>
            <w:r w:rsidRPr="005110CD">
              <w:rPr>
                <w:szCs w:val="18"/>
              </w:rPr>
              <w:t>14</w:t>
            </w:r>
          </w:p>
        </w:tc>
        <w:tc>
          <w:tcPr>
            <w:tcW w:w="2835" w:type="dxa"/>
            <w:tcBorders>
              <w:top w:val="single" w:sz="4" w:space="0" w:color="BFBFBF" w:themeColor="background1" w:themeShade="BF"/>
              <w:bottom w:val="single" w:sz="4" w:space="0" w:color="BFBFBF" w:themeColor="background1" w:themeShade="BF"/>
            </w:tcBorders>
          </w:tcPr>
          <w:p w14:paraId="1679682D" w14:textId="7777777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NOPSEMA should continue to seek expert advice from the Board, when necessary.</w:t>
            </w:r>
          </w:p>
        </w:tc>
        <w:tc>
          <w:tcPr>
            <w:tcW w:w="7376" w:type="dxa"/>
            <w:tcBorders>
              <w:top w:val="single" w:sz="4" w:space="0" w:color="BFBFBF" w:themeColor="background1" w:themeShade="BF"/>
              <w:bottom w:val="single" w:sz="4" w:space="0" w:color="BFBFBF" w:themeColor="background1" w:themeShade="BF"/>
            </w:tcBorders>
          </w:tcPr>
          <w:p w14:paraId="3EE989A6" w14:textId="77777777" w:rsidR="00FB347C" w:rsidRPr="00F71679" w:rsidRDefault="00FB347C" w:rsidP="00FB347C">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bCs/>
                <w:szCs w:val="18"/>
              </w:rPr>
            </w:pPr>
            <w:r w:rsidRPr="00F71679">
              <w:rPr>
                <w:b/>
                <w:bCs/>
                <w:szCs w:val="18"/>
              </w:rPr>
              <w:t>Accepted</w:t>
            </w:r>
          </w:p>
          <w:p w14:paraId="4A9E407E" w14:textId="38D50123"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The Government notes that the NOPSEMA Advisory Board forms a critical knowledge base from which the NOPSEMA Chief Executive Officer, the responsible Commonwealth Minister and the relevant State and Territory Ministers can seek advice regarding the effectiveness and performance of NOPSEMA with regard to its functions and operational policy and strategic matters. Implementation of this recommendation is the responsibility of the Chief Executive Officer of NOPSEMA.</w:t>
            </w:r>
          </w:p>
        </w:tc>
        <w:tc>
          <w:tcPr>
            <w:tcW w:w="3659" w:type="dxa"/>
            <w:tcBorders>
              <w:top w:val="single" w:sz="4" w:space="0" w:color="BFBFBF" w:themeColor="background1" w:themeShade="BF"/>
              <w:bottom w:val="single" w:sz="4" w:space="0" w:color="BFBFBF" w:themeColor="background1" w:themeShade="BF"/>
            </w:tcBorders>
          </w:tcPr>
          <w:p w14:paraId="22C921A2"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NOPSEMA status:</w:t>
            </w:r>
          </w:p>
          <w:p w14:paraId="191C0E42"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Complete.</w:t>
            </w:r>
          </w:p>
          <w:p w14:paraId="2E39545F"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Deloitte comments:</w:t>
            </w:r>
          </w:p>
          <w:p w14:paraId="341CF9D1" w14:textId="18490E6D" w:rsidR="00674CD5" w:rsidRPr="005110CD" w:rsidRDefault="007F461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We make a number of associated observations and recommendations in relation to NOPSEMA’s Advisory Board taking a more active role in setting NOPSEMA’s strategic direction.</w:t>
            </w:r>
          </w:p>
        </w:tc>
      </w:tr>
      <w:tr w:rsidR="00C844BB" w:rsidRPr="00B7002A" w14:paraId="6A44782B" w14:textId="77777777" w:rsidTr="005110C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1AE216C5" w14:textId="77777777" w:rsidR="00674CD5" w:rsidRPr="005110CD" w:rsidRDefault="00674CD5" w:rsidP="005110CD">
            <w:pPr>
              <w:pStyle w:val="Tablebody"/>
              <w:spacing w:after="60" w:line="240" w:lineRule="auto"/>
              <w:rPr>
                <w:szCs w:val="18"/>
              </w:rPr>
            </w:pPr>
            <w:r w:rsidRPr="005110CD">
              <w:rPr>
                <w:szCs w:val="18"/>
              </w:rPr>
              <w:t>15</w:t>
            </w:r>
          </w:p>
        </w:tc>
        <w:tc>
          <w:tcPr>
            <w:tcW w:w="2835" w:type="dxa"/>
            <w:tcBorders>
              <w:top w:val="single" w:sz="4" w:space="0" w:color="BFBFBF" w:themeColor="background1" w:themeShade="BF"/>
              <w:bottom w:val="single" w:sz="4" w:space="0" w:color="BFBFBF" w:themeColor="background1" w:themeShade="BF"/>
            </w:tcBorders>
          </w:tcPr>
          <w:p w14:paraId="6E9048CC"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NOPTA and NOPSEMA should develop a mechanism (for example an MOU or charter of engagement) to identify the interfacing points, cooperation and responsibilities.</w:t>
            </w:r>
          </w:p>
        </w:tc>
        <w:tc>
          <w:tcPr>
            <w:tcW w:w="7376" w:type="dxa"/>
            <w:tcBorders>
              <w:top w:val="single" w:sz="4" w:space="0" w:color="BFBFBF" w:themeColor="background1" w:themeShade="BF"/>
              <w:bottom w:val="single" w:sz="4" w:space="0" w:color="BFBFBF" w:themeColor="background1" w:themeShade="BF"/>
            </w:tcBorders>
          </w:tcPr>
          <w:p w14:paraId="1C7390BC" w14:textId="65FC2177" w:rsidR="00FB347C" w:rsidRPr="00F71679" w:rsidRDefault="00FB347C" w:rsidP="00FB347C">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bCs/>
                <w:szCs w:val="18"/>
              </w:rPr>
            </w:pPr>
            <w:r>
              <w:rPr>
                <w:b/>
                <w:bCs/>
                <w:szCs w:val="18"/>
              </w:rPr>
              <w:t>Noted</w:t>
            </w:r>
          </w:p>
          <w:p w14:paraId="3045B405" w14:textId="4DE54CB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The Government notes that the 2015 Review found that NOPSEMA and NOPTA have improved their inter-agency cooperation since the initial period of operations when engagement was almost by necessity focused on discharging their new responsibilities. Legislative change has since enabled better sharing of information which provides opportunities for further cooperation. Both organisations have demonstrated the capacity to work cooperatively on matters relating to the regulation of offshore petroleum titles and greenhouse gas operations, the Government does not consider a formal instrument of engagement between NOPSEMA and NOPTA is necessary provided the areas of co-operation and consultation are documented and updated to ensure currency.</w:t>
            </w:r>
          </w:p>
          <w:p w14:paraId="7D17EBAB" w14:textId="77777777" w:rsidR="00674CD5" w:rsidRPr="005110CD" w:rsidRDefault="00674CD5"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Implementation of this recommendation is the responsibility of the Chief Executive Officer of NOPSEMA and the National Offshore Petroleum Titles Administrator</w:t>
            </w:r>
          </w:p>
        </w:tc>
        <w:tc>
          <w:tcPr>
            <w:tcW w:w="3659" w:type="dxa"/>
            <w:tcBorders>
              <w:top w:val="single" w:sz="4" w:space="0" w:color="BFBFBF" w:themeColor="background1" w:themeShade="BF"/>
              <w:bottom w:val="single" w:sz="4" w:space="0" w:color="BFBFBF" w:themeColor="background1" w:themeShade="BF"/>
            </w:tcBorders>
          </w:tcPr>
          <w:p w14:paraId="416D7530" w14:textId="77777777" w:rsidR="0047218B"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NOPSEMA status:</w:t>
            </w:r>
          </w:p>
          <w:p w14:paraId="1F359725" w14:textId="3773604B" w:rsidR="0047218B"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Ongoing</w:t>
            </w:r>
            <w:r w:rsidR="00E51C19" w:rsidRPr="005110CD">
              <w:rPr>
                <w:szCs w:val="18"/>
              </w:rPr>
              <w:t xml:space="preserve"> </w:t>
            </w:r>
            <w:r w:rsidR="004A79D6" w:rsidRPr="005110CD">
              <w:rPr>
                <w:szCs w:val="18"/>
              </w:rPr>
              <w:t>–</w:t>
            </w:r>
            <w:r w:rsidR="00E51C19" w:rsidRPr="005110CD">
              <w:rPr>
                <w:szCs w:val="18"/>
              </w:rPr>
              <w:t xml:space="preserve"> </w:t>
            </w:r>
            <w:r w:rsidR="004A79D6" w:rsidRPr="005110CD">
              <w:rPr>
                <w:szCs w:val="18"/>
              </w:rPr>
              <w:t>NOPSEMA and NOPTA maintain agreed ways of working</w:t>
            </w:r>
            <w:r w:rsidR="00A9703C" w:rsidRPr="005110CD">
              <w:rPr>
                <w:szCs w:val="18"/>
              </w:rPr>
              <w:t xml:space="preserve">. NOPSEMA CEO and the Titles Administrator </w:t>
            </w:r>
            <w:r w:rsidR="000A5BA1" w:rsidRPr="005110CD">
              <w:rPr>
                <w:szCs w:val="18"/>
              </w:rPr>
              <w:t>regularly meet</w:t>
            </w:r>
            <w:r w:rsidRPr="005110CD">
              <w:rPr>
                <w:szCs w:val="18"/>
              </w:rPr>
              <w:t>.</w:t>
            </w:r>
          </w:p>
          <w:p w14:paraId="614B15C4" w14:textId="77777777" w:rsidR="0047218B"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b/>
                <w:szCs w:val="18"/>
              </w:rPr>
            </w:pPr>
            <w:r w:rsidRPr="005110CD">
              <w:rPr>
                <w:b/>
                <w:szCs w:val="18"/>
              </w:rPr>
              <w:t>Deloitte comments:</w:t>
            </w:r>
          </w:p>
          <w:p w14:paraId="19B906BE" w14:textId="188EDE64" w:rsidR="00674CD5" w:rsidRPr="005110CD" w:rsidRDefault="0047218B" w:rsidP="005110CD">
            <w:pPr>
              <w:pStyle w:val="Tablebody"/>
              <w:spacing w:after="60" w:line="240" w:lineRule="auto"/>
              <w:cnfStyle w:val="000000100000" w:firstRow="0" w:lastRow="0" w:firstColumn="0" w:lastColumn="0" w:oddVBand="0" w:evenVBand="0" w:oddHBand="1" w:evenHBand="0" w:firstRowFirstColumn="0" w:firstRowLastColumn="0" w:lastRowFirstColumn="0" w:lastRowLastColumn="0"/>
              <w:rPr>
                <w:szCs w:val="18"/>
              </w:rPr>
            </w:pPr>
            <w:r w:rsidRPr="005110CD">
              <w:rPr>
                <w:szCs w:val="18"/>
              </w:rPr>
              <w:t>No issues noted.</w:t>
            </w:r>
          </w:p>
        </w:tc>
      </w:tr>
      <w:tr w:rsidR="00C844BB" w:rsidRPr="00B7002A" w14:paraId="72493C74" w14:textId="77777777" w:rsidTr="005110CD">
        <w:trPr>
          <w:cantSplit/>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BFBFBF" w:themeColor="background1" w:themeShade="BF"/>
              <w:bottom w:val="single" w:sz="4" w:space="0" w:color="BFBFBF" w:themeColor="background1" w:themeShade="BF"/>
            </w:tcBorders>
          </w:tcPr>
          <w:p w14:paraId="5FC2FEF5" w14:textId="77777777" w:rsidR="00674CD5" w:rsidRPr="005110CD" w:rsidRDefault="00674CD5" w:rsidP="005110CD">
            <w:pPr>
              <w:pStyle w:val="Tablebody"/>
              <w:spacing w:after="60" w:line="240" w:lineRule="auto"/>
              <w:rPr>
                <w:szCs w:val="18"/>
              </w:rPr>
            </w:pPr>
            <w:r w:rsidRPr="005110CD">
              <w:rPr>
                <w:szCs w:val="18"/>
              </w:rPr>
              <w:t>16</w:t>
            </w:r>
          </w:p>
        </w:tc>
        <w:tc>
          <w:tcPr>
            <w:tcW w:w="2835" w:type="dxa"/>
            <w:tcBorders>
              <w:top w:val="single" w:sz="4" w:space="0" w:color="BFBFBF" w:themeColor="background1" w:themeShade="BF"/>
              <w:bottom w:val="single" w:sz="4" w:space="0" w:color="BFBFBF" w:themeColor="background1" w:themeShade="BF"/>
            </w:tcBorders>
          </w:tcPr>
          <w:p w14:paraId="56BBE813" w14:textId="77777777"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NOPSEMA should provide more engagement mechanisms to collaborate with the workforce and health and safety representatives.</w:t>
            </w:r>
          </w:p>
        </w:tc>
        <w:tc>
          <w:tcPr>
            <w:tcW w:w="7376" w:type="dxa"/>
            <w:tcBorders>
              <w:top w:val="single" w:sz="4" w:space="0" w:color="BFBFBF" w:themeColor="background1" w:themeShade="BF"/>
              <w:bottom w:val="single" w:sz="4" w:space="0" w:color="BFBFBF" w:themeColor="background1" w:themeShade="BF"/>
            </w:tcBorders>
          </w:tcPr>
          <w:p w14:paraId="0DE8517B" w14:textId="77777777" w:rsidR="00FB347C" w:rsidRPr="00F71679" w:rsidRDefault="00FB347C" w:rsidP="00FB347C">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bCs/>
                <w:szCs w:val="18"/>
              </w:rPr>
            </w:pPr>
            <w:r w:rsidRPr="00F71679">
              <w:rPr>
                <w:b/>
                <w:bCs/>
                <w:szCs w:val="18"/>
              </w:rPr>
              <w:t>Accepted</w:t>
            </w:r>
          </w:p>
          <w:p w14:paraId="01C31066" w14:textId="149CCE04" w:rsidR="00674CD5" w:rsidRPr="005110CD" w:rsidRDefault="00674CD5"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The Government supports the Review Panel’s view that positive engagement with the workforce, health and safety representatives and workforce representatives is essential for ongoing improvements to safety in particular. As the Review Panel noted, building trust with key stakeholders is an essential element of NOPSEMA’s social licence to regulate. NOPSEMA will explore mechanisms to supplement the existing substantial communication with health and safety representatives and the ongoing participation in relevant conferences organised by the Australian Council of Trade Unions and APPEA. Implementation of this recommendation is the responsibility of the Chief Executive Officer of NOPSEMA.</w:t>
            </w:r>
          </w:p>
        </w:tc>
        <w:tc>
          <w:tcPr>
            <w:tcW w:w="3659" w:type="dxa"/>
            <w:tcBorders>
              <w:top w:val="single" w:sz="4" w:space="0" w:color="BFBFBF" w:themeColor="background1" w:themeShade="BF"/>
              <w:bottom w:val="single" w:sz="4" w:space="0" w:color="BFBFBF" w:themeColor="background1" w:themeShade="BF"/>
            </w:tcBorders>
          </w:tcPr>
          <w:p w14:paraId="7EE21527"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NOPSEMA status:</w:t>
            </w:r>
          </w:p>
          <w:p w14:paraId="425267C3"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Complete.</w:t>
            </w:r>
          </w:p>
          <w:p w14:paraId="7A6EC728" w14:textId="77777777" w:rsidR="0047218B" w:rsidRPr="005110CD" w:rsidRDefault="0047218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b/>
                <w:szCs w:val="18"/>
              </w:rPr>
            </w:pPr>
            <w:r w:rsidRPr="005110CD">
              <w:rPr>
                <w:b/>
                <w:szCs w:val="18"/>
              </w:rPr>
              <w:t>Deloitte comments:</w:t>
            </w:r>
          </w:p>
          <w:p w14:paraId="3358D752" w14:textId="087F6A1C" w:rsidR="00674CD5" w:rsidRPr="005110CD" w:rsidRDefault="007F461B" w:rsidP="005110CD">
            <w:pPr>
              <w:pStyle w:val="Tablebody"/>
              <w:spacing w:after="60" w:line="240" w:lineRule="auto"/>
              <w:cnfStyle w:val="000000000000" w:firstRow="0" w:lastRow="0" w:firstColumn="0" w:lastColumn="0" w:oddVBand="0" w:evenVBand="0" w:oddHBand="0" w:evenHBand="0" w:firstRowFirstColumn="0" w:firstRowLastColumn="0" w:lastRowFirstColumn="0" w:lastRowLastColumn="0"/>
              <w:rPr>
                <w:szCs w:val="18"/>
              </w:rPr>
            </w:pPr>
            <w:r w:rsidRPr="005110CD">
              <w:rPr>
                <w:szCs w:val="18"/>
              </w:rPr>
              <w:t>We did observe some stakeholders within the supporting services industry felt NOPSEMA’s engagement with their HSRs could be further improved. We identified an associated opportunity (</w:t>
            </w:r>
            <w:r w:rsidRPr="005110CD">
              <w:rPr>
                <w:b/>
                <w:szCs w:val="18"/>
              </w:rPr>
              <w:t>opportunity 14</w:t>
            </w:r>
            <w:r w:rsidRPr="005110CD">
              <w:rPr>
                <w:szCs w:val="18"/>
              </w:rPr>
              <w:t xml:space="preserve">) in </w:t>
            </w:r>
            <w:r w:rsidRPr="005110CD">
              <w:rPr>
                <w:b/>
                <w:szCs w:val="18"/>
              </w:rPr>
              <w:t>Section</w:t>
            </w:r>
            <w:r w:rsidR="00D7157C">
              <w:rPr>
                <w:b/>
                <w:szCs w:val="18"/>
              </w:rPr>
              <w:t xml:space="preserve"> </w:t>
            </w:r>
            <w:r w:rsidR="00D7157C">
              <w:rPr>
                <w:b/>
                <w:szCs w:val="18"/>
              </w:rPr>
              <w:fldChar w:fldCharType="begin"/>
            </w:r>
            <w:r w:rsidR="00D7157C">
              <w:rPr>
                <w:b/>
                <w:szCs w:val="18"/>
              </w:rPr>
              <w:instrText xml:space="preserve"> REF _Ref63329962 \r \h </w:instrText>
            </w:r>
            <w:r w:rsidR="00D7157C">
              <w:rPr>
                <w:b/>
                <w:szCs w:val="18"/>
              </w:rPr>
            </w:r>
            <w:r w:rsidR="00D7157C">
              <w:rPr>
                <w:b/>
                <w:szCs w:val="18"/>
              </w:rPr>
              <w:fldChar w:fldCharType="separate"/>
            </w:r>
            <w:r w:rsidR="00E816B8">
              <w:rPr>
                <w:b/>
                <w:szCs w:val="18"/>
              </w:rPr>
              <w:t>9</w:t>
            </w:r>
            <w:r w:rsidR="00D7157C">
              <w:rPr>
                <w:b/>
                <w:szCs w:val="18"/>
              </w:rPr>
              <w:fldChar w:fldCharType="end"/>
            </w:r>
            <w:r w:rsidRPr="005110CD">
              <w:rPr>
                <w:szCs w:val="18"/>
              </w:rPr>
              <w:t>.</w:t>
            </w:r>
          </w:p>
        </w:tc>
      </w:tr>
    </w:tbl>
    <w:p w14:paraId="7EA132E9" w14:textId="77777777" w:rsidR="00674CD5" w:rsidRDefault="00674CD5" w:rsidP="00674CD5">
      <w:pPr>
        <w:spacing w:after="0"/>
        <w:rPr>
          <w:rFonts w:asciiTheme="majorHAnsi" w:hAnsiTheme="majorHAnsi" w:cs="Calibri"/>
        </w:rPr>
      </w:pPr>
    </w:p>
    <w:p w14:paraId="092B0FC1" w14:textId="77777777" w:rsidR="00674CD5" w:rsidRDefault="00674CD5" w:rsidP="00674CD5">
      <w:pPr>
        <w:spacing w:after="0"/>
        <w:rPr>
          <w:rFonts w:asciiTheme="majorHAnsi" w:hAnsiTheme="majorHAnsi" w:cs="Calibri"/>
        </w:rPr>
        <w:sectPr w:rsidR="00674CD5" w:rsidSect="00291D98">
          <w:pgSz w:w="16838" w:h="11906" w:orient="landscape" w:code="9"/>
          <w:pgMar w:top="1021" w:right="1985" w:bottom="1021" w:left="1134" w:header="680" w:footer="425" w:gutter="0"/>
          <w:cols w:space="284"/>
          <w:docGrid w:linePitch="360"/>
        </w:sectPr>
      </w:pPr>
    </w:p>
    <w:p w14:paraId="5408235F" w14:textId="48289A77" w:rsidR="00674CD5" w:rsidRPr="006D59F0" w:rsidRDefault="00674CD5" w:rsidP="00AF201E">
      <w:pPr>
        <w:pStyle w:val="Appendixhead1"/>
        <w:rPr>
          <w:b/>
          <w:bCs/>
        </w:rPr>
      </w:pPr>
      <w:bookmarkStart w:id="239" w:name="_Ref58881807"/>
      <w:bookmarkStart w:id="240" w:name="_Toc63970856"/>
      <w:r>
        <w:lastRenderedPageBreak/>
        <w:t>ANAO board governance recommendations and analysis</w:t>
      </w:r>
      <w:bookmarkEnd w:id="239"/>
      <w:bookmarkEnd w:id="240"/>
    </w:p>
    <w:tbl>
      <w:tblPr>
        <w:tblStyle w:val="ListTable3-Accent3"/>
        <w:tblW w:w="9493" w:type="dxa"/>
        <w:tblBorders>
          <w:top w:val="none" w:sz="0" w:space="0" w:color="auto"/>
          <w:left w:val="none" w:sz="0" w:space="0" w:color="auto"/>
          <w:bottom w:val="none" w:sz="0" w:space="0" w:color="auto"/>
          <w:right w:val="none" w:sz="0" w:space="0" w:color="auto"/>
        </w:tblBorders>
        <w:tblCellMar>
          <w:top w:w="57" w:type="dxa"/>
          <w:left w:w="57" w:type="dxa"/>
          <w:bottom w:w="57" w:type="dxa"/>
          <w:right w:w="57" w:type="dxa"/>
        </w:tblCellMar>
        <w:tblLook w:val="04A0" w:firstRow="1" w:lastRow="0" w:firstColumn="1" w:lastColumn="0" w:noHBand="0" w:noVBand="1"/>
      </w:tblPr>
      <w:tblGrid>
        <w:gridCol w:w="846"/>
        <w:gridCol w:w="8647"/>
      </w:tblGrid>
      <w:tr w:rsidR="0062300D" w:rsidRPr="00C058BE" w14:paraId="699899D7" w14:textId="77777777" w:rsidTr="00520882">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846" w:type="dxa"/>
            <w:tcBorders>
              <w:top w:val="single" w:sz="8" w:space="0" w:color="007680"/>
              <w:bottom w:val="single" w:sz="8" w:space="0" w:color="007680"/>
            </w:tcBorders>
            <w:shd w:val="clear" w:color="auto" w:fill="auto"/>
          </w:tcPr>
          <w:p w14:paraId="1216BDF9" w14:textId="77777777" w:rsidR="00674CD5" w:rsidRPr="00520882" w:rsidRDefault="00674CD5" w:rsidP="00520882">
            <w:pPr>
              <w:pStyle w:val="Tableheader"/>
              <w:rPr>
                <w:b/>
                <w:bCs/>
              </w:rPr>
            </w:pPr>
            <w:r w:rsidRPr="00520882">
              <w:rPr>
                <w:b/>
                <w:bCs/>
              </w:rPr>
              <w:t>#</w:t>
            </w:r>
          </w:p>
        </w:tc>
        <w:tc>
          <w:tcPr>
            <w:tcW w:w="8647" w:type="dxa"/>
            <w:tcBorders>
              <w:top w:val="single" w:sz="8" w:space="0" w:color="007680"/>
              <w:bottom w:val="single" w:sz="8" w:space="0" w:color="007680"/>
            </w:tcBorders>
            <w:shd w:val="clear" w:color="auto" w:fill="auto"/>
          </w:tcPr>
          <w:p w14:paraId="0D82AFA2" w14:textId="77777777" w:rsidR="00674CD5" w:rsidRPr="00520882" w:rsidRDefault="00674CD5" w:rsidP="00520882">
            <w:pPr>
              <w:pStyle w:val="Tableheader"/>
              <w:cnfStyle w:val="100000000000" w:firstRow="1" w:lastRow="0" w:firstColumn="0" w:lastColumn="0" w:oddVBand="0" w:evenVBand="0" w:oddHBand="0" w:evenHBand="0" w:firstRowFirstColumn="0" w:firstRowLastColumn="0" w:lastRowFirstColumn="0" w:lastRowLastColumn="0"/>
              <w:rPr>
                <w:b/>
                <w:bCs/>
              </w:rPr>
            </w:pPr>
            <w:r w:rsidRPr="00520882">
              <w:rPr>
                <w:b/>
                <w:bCs/>
              </w:rPr>
              <w:t>ANAO insight</w:t>
            </w:r>
          </w:p>
        </w:tc>
      </w:tr>
      <w:tr w:rsidR="0062300D" w:rsidRPr="00C058BE" w14:paraId="3E28FAE6" w14:textId="77777777" w:rsidTr="005208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8" w:space="0" w:color="007680"/>
              <w:bottom w:val="single" w:sz="4" w:space="0" w:color="BFBFBF" w:themeColor="background1" w:themeShade="BF"/>
            </w:tcBorders>
          </w:tcPr>
          <w:p w14:paraId="1E52AB98" w14:textId="77777777" w:rsidR="00674CD5" w:rsidRPr="00520882" w:rsidRDefault="00674CD5" w:rsidP="00520882">
            <w:pPr>
              <w:pStyle w:val="Tablebody"/>
              <w:rPr>
                <w:szCs w:val="18"/>
              </w:rPr>
            </w:pPr>
            <w:r w:rsidRPr="00520882">
              <w:rPr>
                <w:szCs w:val="18"/>
              </w:rPr>
              <w:t>1</w:t>
            </w:r>
          </w:p>
        </w:tc>
        <w:tc>
          <w:tcPr>
            <w:tcW w:w="8647" w:type="dxa"/>
            <w:tcBorders>
              <w:top w:val="single" w:sz="8" w:space="0" w:color="007680"/>
              <w:bottom w:val="single" w:sz="4" w:space="0" w:color="BFBFBF" w:themeColor="background1" w:themeShade="BF"/>
            </w:tcBorders>
          </w:tcPr>
          <w:p w14:paraId="648D9B91"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b/>
                <w:szCs w:val="18"/>
              </w:rPr>
            </w:pPr>
            <w:r w:rsidRPr="00520882">
              <w:rPr>
                <w:b/>
                <w:szCs w:val="18"/>
              </w:rPr>
              <w:t>Establish a board charter</w:t>
            </w:r>
          </w:p>
          <w:p w14:paraId="2795F01B"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szCs w:val="18"/>
              </w:rPr>
            </w:pPr>
            <w:r w:rsidRPr="00520882">
              <w:rPr>
                <w:szCs w:val="18"/>
              </w:rPr>
              <w:t>A board charter can support board members by providing a single reference point that clearly sets out the functions, powers and membership of the board, as well as roles, responsibilities and accountabilities, consistent with relevant legislative requirements. Including key behavioural and cultural expectations for board members can assist in articulating the desired culture of the board. The charter should be a living document, subject to thoughtful consideration and periodic review. The charter can also assist a board to formally set expectations for reporting to it by management.</w:t>
            </w:r>
          </w:p>
        </w:tc>
      </w:tr>
      <w:tr w:rsidR="00674CD5" w:rsidRPr="00C058BE" w14:paraId="41086E7D" w14:textId="77777777" w:rsidTr="00520882">
        <w:trPr>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tcPr>
          <w:p w14:paraId="452E2125" w14:textId="77777777" w:rsidR="00674CD5" w:rsidRPr="00520882" w:rsidRDefault="00674CD5" w:rsidP="00520882">
            <w:pPr>
              <w:pStyle w:val="Tablebody"/>
              <w:rPr>
                <w:szCs w:val="18"/>
              </w:rPr>
            </w:pPr>
            <w:r w:rsidRPr="00520882">
              <w:rPr>
                <w:szCs w:val="18"/>
              </w:rPr>
              <w:t>2</w:t>
            </w:r>
          </w:p>
        </w:tc>
        <w:tc>
          <w:tcPr>
            <w:tcW w:w="8647" w:type="dxa"/>
            <w:tcBorders>
              <w:top w:val="single" w:sz="4" w:space="0" w:color="BFBFBF" w:themeColor="background1" w:themeShade="BF"/>
              <w:bottom w:val="single" w:sz="4" w:space="0" w:color="BFBFBF" w:themeColor="background1" w:themeShade="BF"/>
            </w:tcBorders>
          </w:tcPr>
          <w:p w14:paraId="15BA6F3F" w14:textId="77777777"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b/>
                <w:szCs w:val="18"/>
              </w:rPr>
            </w:pPr>
            <w:r w:rsidRPr="00520882">
              <w:rPr>
                <w:b/>
                <w:szCs w:val="18"/>
              </w:rPr>
              <w:t>Periodically evaluate board performance</w:t>
            </w:r>
          </w:p>
          <w:p w14:paraId="2C4A7F75" w14:textId="77777777"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szCs w:val="18"/>
              </w:rPr>
            </w:pPr>
            <w:r w:rsidRPr="00520882">
              <w:rPr>
                <w:szCs w:val="18"/>
              </w:rPr>
              <w:t>Periodically evaluating board performance can enable a board to reflect on its operations and assess whether it has effectively met its purpose, objectives and obligations. Lessons learned from this process can assist the board in setting priorities and goals and contribute to enhancing overall board and organisational effectiveness. Documenting the process, performance criteria and outcomes — as well as any actions taken in response to issues identified — can also assist in ensuring accountability and transparency. Boards could also consider reporting in their governed entities' annual report that a performance evaluation has been undertaken, insights it has gained from the evaluation and any governance changes it has made as a result.</w:t>
            </w:r>
          </w:p>
        </w:tc>
      </w:tr>
      <w:tr w:rsidR="0062300D" w:rsidRPr="00C058BE" w14:paraId="574EFC00" w14:textId="77777777" w:rsidTr="005208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tcPr>
          <w:p w14:paraId="7B839A15" w14:textId="77777777" w:rsidR="00674CD5" w:rsidRPr="00520882" w:rsidRDefault="00674CD5" w:rsidP="00520882">
            <w:pPr>
              <w:pStyle w:val="Tablebody"/>
              <w:rPr>
                <w:szCs w:val="18"/>
              </w:rPr>
            </w:pPr>
            <w:r w:rsidRPr="00520882">
              <w:rPr>
                <w:szCs w:val="18"/>
              </w:rPr>
              <w:t>3</w:t>
            </w:r>
          </w:p>
        </w:tc>
        <w:tc>
          <w:tcPr>
            <w:tcW w:w="8647" w:type="dxa"/>
            <w:tcBorders>
              <w:top w:val="single" w:sz="4" w:space="0" w:color="BFBFBF" w:themeColor="background1" w:themeShade="BF"/>
              <w:bottom w:val="single" w:sz="4" w:space="0" w:color="BFBFBF" w:themeColor="background1" w:themeShade="BF"/>
            </w:tcBorders>
          </w:tcPr>
          <w:p w14:paraId="02BB0E52"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b/>
                <w:szCs w:val="18"/>
              </w:rPr>
            </w:pPr>
            <w:r w:rsidRPr="00520882">
              <w:rPr>
                <w:b/>
                <w:szCs w:val="18"/>
              </w:rPr>
              <w:t>Actively consider current and future board skill requirements</w:t>
            </w:r>
          </w:p>
          <w:p w14:paraId="5D210879"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szCs w:val="18"/>
              </w:rPr>
            </w:pPr>
            <w:r w:rsidRPr="00520882">
              <w:rPr>
                <w:szCs w:val="18"/>
              </w:rPr>
              <w:t>Actively engaging with the portfolio department and minister in relation to the skills requirements for future board appointments and providing advice accordingly to the relevant decision-maker, can assist in achieving the optimum skill mix.</w:t>
            </w:r>
          </w:p>
        </w:tc>
      </w:tr>
      <w:tr w:rsidR="00674CD5" w:rsidRPr="00C058BE" w14:paraId="765746AD" w14:textId="77777777" w:rsidTr="00520882">
        <w:trPr>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tcPr>
          <w:p w14:paraId="0C266804" w14:textId="77777777" w:rsidR="00674CD5" w:rsidRPr="00520882" w:rsidRDefault="00674CD5" w:rsidP="00520882">
            <w:pPr>
              <w:pStyle w:val="Tablebody"/>
              <w:rPr>
                <w:szCs w:val="18"/>
              </w:rPr>
            </w:pPr>
            <w:r w:rsidRPr="00520882">
              <w:rPr>
                <w:szCs w:val="18"/>
              </w:rPr>
              <w:t>4</w:t>
            </w:r>
          </w:p>
        </w:tc>
        <w:tc>
          <w:tcPr>
            <w:tcW w:w="8647" w:type="dxa"/>
            <w:tcBorders>
              <w:top w:val="single" w:sz="4" w:space="0" w:color="BFBFBF" w:themeColor="background1" w:themeShade="BF"/>
              <w:bottom w:val="single" w:sz="4" w:space="0" w:color="BFBFBF" w:themeColor="background1" w:themeShade="BF"/>
            </w:tcBorders>
          </w:tcPr>
          <w:p w14:paraId="38711707" w14:textId="77777777"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b/>
                <w:szCs w:val="18"/>
              </w:rPr>
            </w:pPr>
            <w:r w:rsidRPr="00520882">
              <w:rPr>
                <w:b/>
                <w:szCs w:val="18"/>
              </w:rPr>
              <w:t>Recognise and manage conflicts of interest</w:t>
            </w:r>
          </w:p>
          <w:p w14:paraId="658D3C82" w14:textId="689B46D5"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szCs w:val="18"/>
              </w:rPr>
            </w:pPr>
            <w:r w:rsidRPr="00520882">
              <w:rPr>
                <w:szCs w:val="18"/>
              </w:rPr>
              <w:t>Including conflicts of interest as a standing agenda item supports board members in focusing attention on this key issue. This can include having board members verbally declare conflicts of interest at each meeting. Including details of each board member's interests in board papers, including paid and unpaid external engagements, can also assist board members to ensure that all their interests are actively considered. Disclosure also increases board member awareness of the previously declared interests of fellow board members. Members should be clear on their obligations relating to gifts and hospitality, such as through codes of conduct, board charters, and gifts and hospitality policies. Gifts and hospitality registers can be useful in improving transparency in cases where gifts and hospitality are accepted.</w:t>
            </w:r>
          </w:p>
        </w:tc>
      </w:tr>
      <w:tr w:rsidR="0062300D" w:rsidRPr="00C058BE" w14:paraId="0DCA77D1" w14:textId="77777777" w:rsidTr="005208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tcPr>
          <w:p w14:paraId="0D3F59EE" w14:textId="77777777" w:rsidR="00674CD5" w:rsidRPr="00520882" w:rsidRDefault="00674CD5" w:rsidP="00520882">
            <w:pPr>
              <w:pStyle w:val="Tablebody"/>
              <w:rPr>
                <w:szCs w:val="18"/>
              </w:rPr>
            </w:pPr>
            <w:r w:rsidRPr="00520882">
              <w:rPr>
                <w:szCs w:val="18"/>
              </w:rPr>
              <w:t>5</w:t>
            </w:r>
          </w:p>
        </w:tc>
        <w:tc>
          <w:tcPr>
            <w:tcW w:w="8647" w:type="dxa"/>
            <w:tcBorders>
              <w:top w:val="single" w:sz="4" w:space="0" w:color="BFBFBF" w:themeColor="background1" w:themeShade="BF"/>
              <w:bottom w:val="single" w:sz="4" w:space="0" w:color="BFBFBF" w:themeColor="background1" w:themeShade="BF"/>
            </w:tcBorders>
          </w:tcPr>
          <w:p w14:paraId="5269B555"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b/>
                <w:szCs w:val="18"/>
              </w:rPr>
            </w:pPr>
            <w:r w:rsidRPr="00520882">
              <w:rPr>
                <w:b/>
                <w:szCs w:val="18"/>
              </w:rPr>
              <w:t>Retain adequate documentation and records of decisions and actions</w:t>
            </w:r>
          </w:p>
          <w:p w14:paraId="3C5E6EB9"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szCs w:val="18"/>
              </w:rPr>
            </w:pPr>
            <w:r w:rsidRPr="00520882">
              <w:rPr>
                <w:szCs w:val="18"/>
              </w:rPr>
              <w:t>Keeping sufficient evidence of decision- making processes and outcomes is fundamental to effective governance, accountability, and transparency. It also contributes to efficient practice, the utilisation of evidence and enabling a learning organisation. Board members and entities should be mindful of the need to ensure that information relating to the entity is handled and maintained in accordance with applicable Commonwealth information-security and record-keeping requirements. These requirements also apply to communication channels such as emails, as these are official records.</w:t>
            </w:r>
          </w:p>
        </w:tc>
      </w:tr>
      <w:tr w:rsidR="00674CD5" w:rsidRPr="00C058BE" w14:paraId="32D086A0" w14:textId="77777777" w:rsidTr="00520882">
        <w:trPr>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tcPr>
          <w:p w14:paraId="2B6340C7" w14:textId="77777777" w:rsidR="00674CD5" w:rsidRPr="00520882" w:rsidRDefault="00674CD5" w:rsidP="00520882">
            <w:pPr>
              <w:pStyle w:val="Tablebody"/>
              <w:rPr>
                <w:szCs w:val="18"/>
              </w:rPr>
            </w:pPr>
            <w:r w:rsidRPr="00520882">
              <w:rPr>
                <w:szCs w:val="18"/>
              </w:rPr>
              <w:t>6</w:t>
            </w:r>
          </w:p>
        </w:tc>
        <w:tc>
          <w:tcPr>
            <w:tcW w:w="8647" w:type="dxa"/>
            <w:tcBorders>
              <w:top w:val="single" w:sz="4" w:space="0" w:color="BFBFBF" w:themeColor="background1" w:themeShade="BF"/>
              <w:bottom w:val="single" w:sz="4" w:space="0" w:color="BFBFBF" w:themeColor="background1" w:themeShade="BF"/>
            </w:tcBorders>
          </w:tcPr>
          <w:p w14:paraId="19B8E072" w14:textId="77777777"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b/>
                <w:szCs w:val="18"/>
              </w:rPr>
            </w:pPr>
            <w:r w:rsidRPr="00520882">
              <w:rPr>
                <w:b/>
                <w:szCs w:val="18"/>
              </w:rPr>
              <w:t>Actively question and challenge management</w:t>
            </w:r>
          </w:p>
          <w:p w14:paraId="64873A32" w14:textId="3FE5070B"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szCs w:val="18"/>
              </w:rPr>
            </w:pPr>
            <w:r w:rsidRPr="00520882">
              <w:rPr>
                <w:szCs w:val="18"/>
              </w:rPr>
              <w:t>Board members must hold management to account. Setting expectations for management reporting to the board can assist in ensuring that the board and management have a shared understanding of the board's requirements and can assist the board in meeting its obligations as the accountable authority. This series of audits observed that members of the selected boards displayed a willingness to challenge management</w:t>
            </w:r>
            <w:r w:rsidR="007E1128" w:rsidRPr="00520882">
              <w:rPr>
                <w:szCs w:val="18"/>
              </w:rPr>
              <w:t>.</w:t>
            </w:r>
          </w:p>
        </w:tc>
      </w:tr>
      <w:tr w:rsidR="0062300D" w:rsidRPr="00C058BE" w14:paraId="33C29F79" w14:textId="77777777" w:rsidTr="005208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tcPr>
          <w:p w14:paraId="04C988A3" w14:textId="77777777" w:rsidR="00674CD5" w:rsidRPr="00520882" w:rsidRDefault="00674CD5" w:rsidP="00520882">
            <w:pPr>
              <w:pStyle w:val="Tablebody"/>
              <w:rPr>
                <w:szCs w:val="18"/>
              </w:rPr>
            </w:pPr>
            <w:r w:rsidRPr="00520882">
              <w:rPr>
                <w:szCs w:val="18"/>
              </w:rPr>
              <w:lastRenderedPageBreak/>
              <w:t>7</w:t>
            </w:r>
          </w:p>
        </w:tc>
        <w:tc>
          <w:tcPr>
            <w:tcW w:w="8647" w:type="dxa"/>
            <w:tcBorders>
              <w:top w:val="single" w:sz="4" w:space="0" w:color="BFBFBF" w:themeColor="background1" w:themeShade="BF"/>
              <w:bottom w:val="single" w:sz="4" w:space="0" w:color="BFBFBF" w:themeColor="background1" w:themeShade="BF"/>
            </w:tcBorders>
          </w:tcPr>
          <w:p w14:paraId="428B86E4"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b/>
                <w:szCs w:val="18"/>
              </w:rPr>
            </w:pPr>
            <w:r w:rsidRPr="00520882">
              <w:rPr>
                <w:b/>
                <w:szCs w:val="18"/>
              </w:rPr>
              <w:t>Review key strategic risks in corporate risk registers and set risk appetite</w:t>
            </w:r>
          </w:p>
          <w:p w14:paraId="7DC2C313"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szCs w:val="18"/>
              </w:rPr>
            </w:pPr>
            <w:r w:rsidRPr="00520882">
              <w:rPr>
                <w:szCs w:val="18"/>
              </w:rPr>
              <w:t>Maintaining a strategic focus on risk can assist a board in ensuring the risk management framework is appropriate and the entity is operating within its risk appetite, as well as enhancing the board's understanding of the strategic context and enabling it to govern more effectively. Including risk management as a standard agenda item for board meetings encourages the regular consideration of risk.</w:t>
            </w:r>
          </w:p>
        </w:tc>
      </w:tr>
      <w:tr w:rsidR="00674CD5" w:rsidRPr="00C058BE" w14:paraId="13D27E1B" w14:textId="77777777" w:rsidTr="00520882">
        <w:trPr>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tcPr>
          <w:p w14:paraId="4C6CAA44" w14:textId="77777777" w:rsidR="00674CD5" w:rsidRPr="00520882" w:rsidRDefault="00674CD5" w:rsidP="00520882">
            <w:pPr>
              <w:pStyle w:val="Tablebody"/>
              <w:rPr>
                <w:szCs w:val="18"/>
              </w:rPr>
            </w:pPr>
            <w:r w:rsidRPr="00520882">
              <w:rPr>
                <w:szCs w:val="18"/>
              </w:rPr>
              <w:t>8</w:t>
            </w:r>
          </w:p>
        </w:tc>
        <w:tc>
          <w:tcPr>
            <w:tcW w:w="8647" w:type="dxa"/>
            <w:tcBorders>
              <w:top w:val="single" w:sz="4" w:space="0" w:color="BFBFBF" w:themeColor="background1" w:themeShade="BF"/>
              <w:bottom w:val="single" w:sz="4" w:space="0" w:color="BFBFBF" w:themeColor="background1" w:themeShade="BF"/>
            </w:tcBorders>
          </w:tcPr>
          <w:p w14:paraId="7FCCCD37" w14:textId="77777777"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b/>
                <w:szCs w:val="18"/>
              </w:rPr>
            </w:pPr>
            <w:r w:rsidRPr="00520882">
              <w:rPr>
                <w:b/>
                <w:szCs w:val="18"/>
              </w:rPr>
              <w:t>Ensure that the audit committee and its operating arrangements support the board obtaining the external advice and assurance it requires</w:t>
            </w:r>
          </w:p>
          <w:p w14:paraId="6EE9A100" w14:textId="77777777"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szCs w:val="18"/>
              </w:rPr>
            </w:pPr>
            <w:r w:rsidRPr="00520882">
              <w:rPr>
                <w:szCs w:val="18"/>
              </w:rPr>
              <w:t>In establishing an audit committee, boards need to consider the structure, composition, size, skills and independence of members to enable the committee to be effective. Having the board establish, approve and periodically review its audit committee charter can assist the board in ensuring it is receiving the desired external advice and assurance. An audit committee charter can reflect the desired culture and set out such things as the committee's roles and responsibilities, authority, composition, membership requirements, structure and processes. Board oversight of audit committees should involve regular reporting from the committee, including on internal audit findings, the implementation of ANAO and parliamentary recommendations and regular review of the audit committee charter and work plan.</w:t>
            </w:r>
          </w:p>
        </w:tc>
      </w:tr>
      <w:tr w:rsidR="0062300D" w:rsidRPr="00C058BE" w14:paraId="03F00865" w14:textId="77777777" w:rsidTr="005208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tcPr>
          <w:p w14:paraId="0D3C8417" w14:textId="77777777" w:rsidR="00674CD5" w:rsidRPr="00520882" w:rsidRDefault="00674CD5" w:rsidP="00520882">
            <w:pPr>
              <w:pStyle w:val="Tablebody"/>
              <w:rPr>
                <w:szCs w:val="18"/>
              </w:rPr>
            </w:pPr>
            <w:r w:rsidRPr="00520882">
              <w:rPr>
                <w:szCs w:val="18"/>
              </w:rPr>
              <w:t>9</w:t>
            </w:r>
          </w:p>
        </w:tc>
        <w:tc>
          <w:tcPr>
            <w:tcW w:w="8647" w:type="dxa"/>
            <w:tcBorders>
              <w:top w:val="single" w:sz="4" w:space="0" w:color="BFBFBF" w:themeColor="background1" w:themeShade="BF"/>
              <w:bottom w:val="single" w:sz="4" w:space="0" w:color="BFBFBF" w:themeColor="background1" w:themeShade="BF"/>
            </w:tcBorders>
          </w:tcPr>
          <w:p w14:paraId="65A41542"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b/>
                <w:szCs w:val="18"/>
              </w:rPr>
            </w:pPr>
            <w:r w:rsidRPr="00520882">
              <w:rPr>
                <w:b/>
                <w:szCs w:val="18"/>
              </w:rPr>
              <w:t>Approve and periodically review key policies and frameworks particularly those that relate to the duties of an accountable authority</w:t>
            </w:r>
          </w:p>
          <w:p w14:paraId="62D079F0"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szCs w:val="18"/>
              </w:rPr>
            </w:pPr>
            <w:r w:rsidRPr="00520882">
              <w:rPr>
                <w:szCs w:val="18"/>
              </w:rPr>
              <w:t>Board approval of key policies and frameworks such as financial delegations, risk management, work health and safety, and fraud, can assist board members to gain assurance that they are effectively discharging their duties as the accountable authority, by setting the framework for compliance with relevant legislation.</w:t>
            </w:r>
          </w:p>
          <w:p w14:paraId="72E2DAC7"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szCs w:val="18"/>
              </w:rPr>
            </w:pPr>
            <w:r w:rsidRPr="00520882">
              <w:rPr>
                <w:szCs w:val="18"/>
              </w:rPr>
              <w:t>Having the board approve policies such as the code of conduct, remuneration and key quality assurance frameworks (if applicable) enables boards to influence behaviour and can be an important mechanism in communicating the desired culture within the entity. Recent reviews such as the 2018 APRA Prudential Review and the 2019 Hayne Royal Commission have highlighted that boards need to be cognisant of how incentives and controls in organisations can drive behaviours and culture. Monitoring when policies are due for review, such as through the audit committee, can assist this process.</w:t>
            </w:r>
          </w:p>
        </w:tc>
      </w:tr>
      <w:tr w:rsidR="00674CD5" w:rsidRPr="00C058BE" w14:paraId="7C6F22C5" w14:textId="77777777" w:rsidTr="00520882">
        <w:trPr>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tcPr>
          <w:p w14:paraId="2A7EC729" w14:textId="77777777" w:rsidR="00674CD5" w:rsidRPr="00520882" w:rsidRDefault="00674CD5" w:rsidP="00520882">
            <w:pPr>
              <w:pStyle w:val="Tablebody"/>
              <w:rPr>
                <w:szCs w:val="18"/>
              </w:rPr>
            </w:pPr>
            <w:r w:rsidRPr="00520882">
              <w:rPr>
                <w:szCs w:val="18"/>
              </w:rPr>
              <w:t>10</w:t>
            </w:r>
          </w:p>
        </w:tc>
        <w:tc>
          <w:tcPr>
            <w:tcW w:w="8647" w:type="dxa"/>
            <w:tcBorders>
              <w:top w:val="single" w:sz="4" w:space="0" w:color="BFBFBF" w:themeColor="background1" w:themeShade="BF"/>
              <w:bottom w:val="single" w:sz="4" w:space="0" w:color="BFBFBF" w:themeColor="background1" w:themeShade="BF"/>
            </w:tcBorders>
          </w:tcPr>
          <w:p w14:paraId="5CAB39C6" w14:textId="77777777"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b/>
                <w:szCs w:val="18"/>
              </w:rPr>
            </w:pPr>
            <w:r w:rsidRPr="00520882">
              <w:rPr>
                <w:b/>
                <w:szCs w:val="18"/>
              </w:rPr>
              <w:t>Provide appropriate induction to assist board members' understanding of their obligations</w:t>
            </w:r>
          </w:p>
          <w:p w14:paraId="2FD43E84" w14:textId="77777777"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szCs w:val="18"/>
              </w:rPr>
            </w:pPr>
            <w:r w:rsidRPr="00520882">
              <w:rPr>
                <w:szCs w:val="18"/>
              </w:rPr>
              <w:t>Induction processes should include details of members' legal responsibilities as part of the accountable authority and other legislative requirements. It is also important that board members receive all key policies and procedures related to their role as the accountable authority.</w:t>
            </w:r>
          </w:p>
        </w:tc>
      </w:tr>
      <w:tr w:rsidR="0062300D" w:rsidRPr="00C058BE" w14:paraId="0924849A" w14:textId="77777777" w:rsidTr="0052088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tcPr>
          <w:p w14:paraId="4E95D115" w14:textId="77777777" w:rsidR="00674CD5" w:rsidRPr="00520882" w:rsidRDefault="00674CD5" w:rsidP="00520882">
            <w:pPr>
              <w:pStyle w:val="Tablebody"/>
              <w:rPr>
                <w:szCs w:val="18"/>
              </w:rPr>
            </w:pPr>
            <w:r w:rsidRPr="00520882">
              <w:rPr>
                <w:szCs w:val="18"/>
              </w:rPr>
              <w:t>11</w:t>
            </w:r>
          </w:p>
        </w:tc>
        <w:tc>
          <w:tcPr>
            <w:tcW w:w="8647" w:type="dxa"/>
            <w:tcBorders>
              <w:top w:val="single" w:sz="4" w:space="0" w:color="BFBFBF" w:themeColor="background1" w:themeShade="BF"/>
              <w:bottom w:val="single" w:sz="4" w:space="0" w:color="BFBFBF" w:themeColor="background1" w:themeShade="BF"/>
            </w:tcBorders>
          </w:tcPr>
          <w:p w14:paraId="6482F3A9"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b/>
                <w:szCs w:val="18"/>
              </w:rPr>
            </w:pPr>
            <w:r w:rsidRPr="00520882">
              <w:rPr>
                <w:b/>
                <w:szCs w:val="18"/>
              </w:rPr>
              <w:t>Seek management assurance regarding internal controls and compliance</w:t>
            </w:r>
          </w:p>
          <w:p w14:paraId="0ECA7CDB" w14:textId="77777777" w:rsidR="00674CD5" w:rsidRPr="00520882" w:rsidRDefault="00674CD5" w:rsidP="00520882">
            <w:pPr>
              <w:pStyle w:val="Tablebody"/>
              <w:cnfStyle w:val="000000100000" w:firstRow="0" w:lastRow="0" w:firstColumn="0" w:lastColumn="0" w:oddVBand="0" w:evenVBand="0" w:oddHBand="1" w:evenHBand="0" w:firstRowFirstColumn="0" w:firstRowLastColumn="0" w:lastRowFirstColumn="0" w:lastRowLastColumn="0"/>
              <w:rPr>
                <w:szCs w:val="18"/>
              </w:rPr>
            </w:pPr>
            <w:r w:rsidRPr="00520882">
              <w:rPr>
                <w:szCs w:val="18"/>
              </w:rPr>
              <w:t>Obtaining assurance from management regarding internal controls and compliance with relevant legislation and government policies can assist a board directly, or through its audit committee, gain assurance of compliance. Maintaining a register of compliance breaches and providing board members with details of the nature of assurance mechanisms used within the entity can further assist board members.</w:t>
            </w:r>
          </w:p>
        </w:tc>
      </w:tr>
      <w:tr w:rsidR="00674CD5" w:rsidRPr="00C058BE" w14:paraId="7EDDAECA" w14:textId="77777777" w:rsidTr="00520882">
        <w:trPr>
          <w:cantSplit/>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BFBFBF" w:themeColor="background1" w:themeShade="BF"/>
              <w:bottom w:val="single" w:sz="4" w:space="0" w:color="BFBFBF" w:themeColor="background1" w:themeShade="BF"/>
            </w:tcBorders>
          </w:tcPr>
          <w:p w14:paraId="58FFAD69" w14:textId="77777777" w:rsidR="00674CD5" w:rsidRPr="00520882" w:rsidRDefault="00674CD5" w:rsidP="00520882">
            <w:pPr>
              <w:pStyle w:val="Tablebody"/>
              <w:rPr>
                <w:szCs w:val="18"/>
              </w:rPr>
            </w:pPr>
            <w:r w:rsidRPr="00520882">
              <w:rPr>
                <w:szCs w:val="18"/>
              </w:rPr>
              <w:t>12</w:t>
            </w:r>
          </w:p>
        </w:tc>
        <w:tc>
          <w:tcPr>
            <w:tcW w:w="8647" w:type="dxa"/>
            <w:tcBorders>
              <w:top w:val="single" w:sz="4" w:space="0" w:color="BFBFBF" w:themeColor="background1" w:themeShade="BF"/>
              <w:bottom w:val="single" w:sz="4" w:space="0" w:color="BFBFBF" w:themeColor="background1" w:themeShade="BF"/>
            </w:tcBorders>
          </w:tcPr>
          <w:p w14:paraId="63AC6817" w14:textId="77777777"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b/>
                <w:szCs w:val="18"/>
              </w:rPr>
            </w:pPr>
            <w:r w:rsidRPr="00520882">
              <w:rPr>
                <w:b/>
                <w:szCs w:val="18"/>
              </w:rPr>
              <w:t>Seek consolidated progress reports on results against all performance targets in the corporate plan</w:t>
            </w:r>
          </w:p>
          <w:p w14:paraId="6822171D" w14:textId="77777777" w:rsidR="00674CD5" w:rsidRPr="00520882" w:rsidRDefault="00674CD5" w:rsidP="00520882">
            <w:pPr>
              <w:pStyle w:val="Tablebody"/>
              <w:cnfStyle w:val="000000000000" w:firstRow="0" w:lastRow="0" w:firstColumn="0" w:lastColumn="0" w:oddVBand="0" w:evenVBand="0" w:oddHBand="0" w:evenHBand="0" w:firstRowFirstColumn="0" w:firstRowLastColumn="0" w:lastRowFirstColumn="0" w:lastRowLastColumn="0"/>
              <w:rPr>
                <w:szCs w:val="18"/>
              </w:rPr>
            </w:pPr>
            <w:r w:rsidRPr="00520882">
              <w:rPr>
                <w:szCs w:val="18"/>
              </w:rPr>
              <w:t>Receiving regular reporting on progress against corporate plan performance criteria can assist board members in their ongoing oversight of entity performance. This can also support board member assurance over annual performance statement reporting.</w:t>
            </w:r>
          </w:p>
        </w:tc>
      </w:tr>
    </w:tbl>
    <w:p w14:paraId="615E03A9" w14:textId="77777777" w:rsidR="00641B41" w:rsidRDefault="00641B41" w:rsidP="00674CD5">
      <w:pPr>
        <w:spacing w:after="120"/>
        <w:contextualSpacing/>
        <w:rPr>
          <w:rFonts w:asciiTheme="majorHAnsi" w:hAnsiTheme="majorHAnsi" w:cs="Calibri"/>
        </w:rPr>
        <w:sectPr w:rsidR="00641B41" w:rsidSect="009F3561">
          <w:headerReference w:type="even" r:id="rId82"/>
          <w:footerReference w:type="default" r:id="rId83"/>
          <w:headerReference w:type="first" r:id="rId84"/>
          <w:pgSz w:w="11906" w:h="16838" w:code="9"/>
          <w:pgMar w:top="1985" w:right="1021" w:bottom="1134" w:left="1021" w:header="680" w:footer="425" w:gutter="0"/>
          <w:cols w:space="284"/>
          <w:docGrid w:linePitch="360"/>
        </w:sectPr>
      </w:pPr>
    </w:p>
    <w:p w14:paraId="36A816F3" w14:textId="244D5903" w:rsidR="00DE1757" w:rsidRPr="00641B41" w:rsidRDefault="00DE1757" w:rsidP="00AF201E">
      <w:pPr>
        <w:pStyle w:val="Appendixhead1"/>
        <w:rPr>
          <w:b/>
        </w:rPr>
      </w:pPr>
      <w:bookmarkStart w:id="241" w:name="_Toc63970857"/>
      <w:r w:rsidRPr="00641B41">
        <w:lastRenderedPageBreak/>
        <w:t>Summary of stakeholder feedback</w:t>
      </w:r>
      <w:bookmarkEnd w:id="241"/>
    </w:p>
    <w:p w14:paraId="037E8311" w14:textId="43B5F272" w:rsidR="00641B41" w:rsidRDefault="00641B41" w:rsidP="00520882">
      <w:pPr>
        <w:pStyle w:val="BodyCopyNEW"/>
      </w:pPr>
      <w:r>
        <w:t xml:space="preserve">As part of our review, we undertook an extensive stakeholder engagement program which has been used to inform our findings. A summary of the stakeholder engagement program and key sentiments from stakeholders is outlined below. We have applied </w:t>
      </w:r>
      <w:r w:rsidRPr="00434A7C">
        <w:t>Deloitte’s Regulatory Assessment Model</w:t>
      </w:r>
      <w:r>
        <w:t xml:space="preserve"> as the basis for examining stakeholder perceptions of NOPSEMA. For further information, refer to our review approach and method in </w:t>
      </w:r>
      <w:r w:rsidRPr="00E94BB2">
        <w:rPr>
          <w:b/>
        </w:rPr>
        <w:t xml:space="preserve">Section </w:t>
      </w:r>
      <w:r w:rsidRPr="00E94BB2">
        <w:rPr>
          <w:b/>
        </w:rPr>
        <w:fldChar w:fldCharType="begin"/>
      </w:r>
      <w:r w:rsidRPr="00E94BB2">
        <w:rPr>
          <w:b/>
        </w:rPr>
        <w:instrText xml:space="preserve"> REF _Ref55930463 \r \h </w:instrText>
      </w:r>
      <w:r>
        <w:rPr>
          <w:b/>
          <w:bCs/>
        </w:rPr>
        <w:instrText xml:space="preserve"> \* MERGEFORMAT </w:instrText>
      </w:r>
      <w:r w:rsidRPr="00E94BB2">
        <w:rPr>
          <w:b/>
        </w:rPr>
      </w:r>
      <w:r w:rsidRPr="00E94BB2">
        <w:rPr>
          <w:b/>
        </w:rPr>
        <w:fldChar w:fldCharType="separate"/>
      </w:r>
      <w:r w:rsidR="00E816B8">
        <w:rPr>
          <w:b/>
        </w:rPr>
        <w:t>3</w:t>
      </w:r>
      <w:r w:rsidRPr="00E94BB2">
        <w:rPr>
          <w:b/>
        </w:rPr>
        <w:fldChar w:fldCharType="end"/>
      </w:r>
      <w:r>
        <w:t xml:space="preserve">. </w:t>
      </w:r>
    </w:p>
    <w:p w14:paraId="2776C87E" w14:textId="630612A0" w:rsidR="00641B41" w:rsidRDefault="067BD5B0" w:rsidP="00641B41">
      <w:r>
        <w:rPr>
          <w:noProof/>
          <w:lang w:eastAsia="en-AU"/>
        </w:rPr>
        <w:drawing>
          <wp:inline distT="0" distB="0" distL="0" distR="0" wp14:anchorId="4A1045B0" wp14:editId="037BFBA1">
            <wp:extent cx="8712001" cy="431393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85">
                      <a:extLst>
                        <a:ext uri="{28A0092B-C50C-407E-A947-70E740481C1C}">
                          <a14:useLocalDpi xmlns:a14="http://schemas.microsoft.com/office/drawing/2010/main"/>
                        </a:ext>
                      </a:extLst>
                    </a:blip>
                    <a:stretch>
                      <a:fillRect/>
                    </a:stretch>
                  </pic:blipFill>
                  <pic:spPr>
                    <a:xfrm>
                      <a:off x="0" y="0"/>
                      <a:ext cx="8712001" cy="4313933"/>
                    </a:xfrm>
                    <a:prstGeom prst="rect">
                      <a:avLst/>
                    </a:prstGeom>
                  </pic:spPr>
                </pic:pic>
              </a:graphicData>
            </a:graphic>
          </wp:inline>
        </w:drawing>
      </w:r>
    </w:p>
    <w:p w14:paraId="12F64EC9" w14:textId="61750A7A" w:rsidR="00641B41" w:rsidRDefault="02C241C3" w:rsidP="00641B41">
      <w:r>
        <w:rPr>
          <w:noProof/>
          <w:lang w:eastAsia="en-AU"/>
        </w:rPr>
        <w:lastRenderedPageBreak/>
        <w:drawing>
          <wp:inline distT="0" distB="0" distL="0" distR="0" wp14:anchorId="3BA834F3" wp14:editId="3A8542DD">
            <wp:extent cx="8712001" cy="4315995"/>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86">
                      <a:extLst>
                        <a:ext uri="{28A0092B-C50C-407E-A947-70E740481C1C}">
                          <a14:useLocalDpi xmlns:a14="http://schemas.microsoft.com/office/drawing/2010/main"/>
                        </a:ext>
                      </a:extLst>
                    </a:blip>
                    <a:stretch>
                      <a:fillRect/>
                    </a:stretch>
                  </pic:blipFill>
                  <pic:spPr>
                    <a:xfrm>
                      <a:off x="0" y="0"/>
                      <a:ext cx="8712001" cy="4315995"/>
                    </a:xfrm>
                    <a:prstGeom prst="rect">
                      <a:avLst/>
                    </a:prstGeom>
                  </pic:spPr>
                </pic:pic>
              </a:graphicData>
            </a:graphic>
          </wp:inline>
        </w:drawing>
      </w:r>
    </w:p>
    <w:p w14:paraId="32AFAAD5" w14:textId="10AFA4CE" w:rsidR="005110CD" w:rsidRPr="005110CD" w:rsidRDefault="00641B41" w:rsidP="0084524B">
      <w:pPr>
        <w:pStyle w:val="Caption"/>
      </w:pPr>
      <w:r w:rsidRPr="00F56E80">
        <w:rPr>
          <w:b w:val="0"/>
          <w:bCs/>
          <w:i/>
          <w:iCs w:val="0"/>
          <w:color w:val="75787B" w:themeColor="accent6"/>
        </w:rPr>
        <w:t>Source: Deloitte analysis</w:t>
      </w:r>
    </w:p>
    <w:sectPr w:rsidR="005110CD" w:rsidRPr="005110CD" w:rsidSect="0084524B">
      <w:pgSz w:w="16838" w:h="11906" w:orient="landscape" w:code="9"/>
      <w:pgMar w:top="1021" w:right="1985" w:bottom="1021" w:left="1134" w:header="680" w:footer="425"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5EF265" w14:textId="77777777" w:rsidR="006617DE" w:rsidRDefault="006617DE" w:rsidP="00C702C7">
      <w:pPr>
        <w:spacing w:line="240" w:lineRule="auto"/>
      </w:pPr>
      <w:r>
        <w:separator/>
      </w:r>
    </w:p>
  </w:endnote>
  <w:endnote w:type="continuationSeparator" w:id="0">
    <w:p w14:paraId="5CE78F3F" w14:textId="77777777" w:rsidR="006617DE" w:rsidRDefault="006617DE" w:rsidP="00C702C7">
      <w:pPr>
        <w:spacing w:line="240" w:lineRule="auto"/>
      </w:pPr>
      <w:r>
        <w:continuationSeparator/>
      </w:r>
    </w:p>
  </w:endnote>
  <w:endnote w:type="continuationNotice" w:id="1">
    <w:p w14:paraId="5A9123DE" w14:textId="77777777" w:rsidR="006617DE" w:rsidRDefault="006617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otham Bold">
    <w:altName w:val="Times New Roman"/>
    <w:panose1 w:val="00000000000000000000"/>
    <w:charset w:val="00"/>
    <w:family w:val="modern"/>
    <w:notTrueType/>
    <w:pitch w:val="variable"/>
    <w:sig w:usb0="A10000FF" w:usb1="4000005B" w:usb2="00000000" w:usb3="00000000" w:csb0="0000009B"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notTrueType/>
    <w:pitch w:val="fixed"/>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OpenSans-Bold">
    <w:altName w:val="Calibri"/>
    <w:panose1 w:val="00000000000000000000"/>
    <w:charset w:val="4D"/>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OpenSansRegular">
    <w:altName w:val="Calibri"/>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4DE62" w14:textId="77777777" w:rsidR="00E635B6" w:rsidRDefault="00E635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Layout w:type="fixed"/>
      <w:tblLook w:val="04A0" w:firstRow="1" w:lastRow="0" w:firstColumn="1" w:lastColumn="0" w:noHBand="0" w:noVBand="1"/>
    </w:tblPr>
    <w:tblGrid>
      <w:gridCol w:w="3544"/>
      <w:gridCol w:w="7002"/>
    </w:tblGrid>
    <w:tr w:rsidR="00E312D2" w14:paraId="121686C9" w14:textId="77777777" w:rsidTr="00137F51">
      <w:trPr>
        <w:cnfStyle w:val="100000000000" w:firstRow="1" w:lastRow="0" w:firstColumn="0" w:lastColumn="0" w:oddVBand="0" w:evenVBand="0" w:oddHBand="0" w:evenHBand="0" w:firstRowFirstColumn="0" w:firstRowLastColumn="0" w:lastRowFirstColumn="0" w:lastRowLastColumn="0"/>
      </w:trPr>
      <w:tc>
        <w:tcPr>
          <w:tcW w:w="3544" w:type="dxa"/>
          <w:vAlign w:val="bottom"/>
        </w:tcPr>
        <w:p w14:paraId="0E0440D8" w14:textId="056FCCC3" w:rsidR="00E312D2" w:rsidRDefault="00E312D2" w:rsidP="00536AB8">
          <w:pPr>
            <w:pStyle w:val="Footer"/>
          </w:pPr>
          <w:r w:rsidRPr="006C4F67">
            <w:rPr>
              <w:rStyle w:val="PageNumber"/>
            </w:rPr>
            <w:fldChar w:fldCharType="begin"/>
          </w:r>
          <w:r w:rsidRPr="006C4F67">
            <w:rPr>
              <w:rStyle w:val="PageNumber"/>
            </w:rPr>
            <w:instrText xml:space="preserve"> PAGE</w:instrText>
          </w:r>
          <w:r>
            <w:rPr>
              <w:rStyle w:val="PageNumber"/>
            </w:rPr>
            <w:instrText xml:space="preserve"> </w:instrText>
          </w:r>
          <w:r w:rsidRPr="006C4F67">
            <w:rPr>
              <w:rStyle w:val="PageNumber"/>
            </w:rPr>
            <w:fldChar w:fldCharType="separate"/>
          </w:r>
          <w:r w:rsidR="001F2C01">
            <w:rPr>
              <w:rStyle w:val="PageNumber"/>
              <w:noProof/>
            </w:rPr>
            <w:t>1</w:t>
          </w:r>
          <w:r w:rsidRPr="006C4F67">
            <w:rPr>
              <w:rStyle w:val="PageNumber"/>
            </w:rPr>
            <w:fldChar w:fldCharType="end"/>
          </w:r>
        </w:p>
      </w:tc>
      <w:tc>
        <w:tcPr>
          <w:tcW w:w="7002" w:type="dxa"/>
          <w:vAlign w:val="bottom"/>
        </w:tcPr>
        <w:p w14:paraId="5438620E" w14:textId="77777777" w:rsidR="00E312D2" w:rsidRPr="00904097" w:rsidRDefault="00E312D2" w:rsidP="00536AB8">
          <w:pPr>
            <w:pStyle w:val="Footer"/>
            <w:spacing w:line="180" w:lineRule="atLeast"/>
            <w:rPr>
              <w:sz w:val="14"/>
              <w:szCs w:val="14"/>
            </w:rPr>
          </w:pPr>
        </w:p>
      </w:tc>
    </w:tr>
  </w:tbl>
  <w:p w14:paraId="053D7C61" w14:textId="77777777" w:rsidR="00E312D2" w:rsidRDefault="00E312D2" w:rsidP="00536AB8">
    <w:pPr>
      <w:pStyle w:val="Footer"/>
      <w:spacing w:line="14"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3EB0F0" w14:textId="77777777" w:rsidR="00E635B6" w:rsidRDefault="00E635B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1C136" w14:textId="2C058A73" w:rsidR="00E312D2" w:rsidRPr="00893C80" w:rsidRDefault="001E3078" w:rsidP="00287E70">
    <w:pPr>
      <w:pStyle w:val="Footer"/>
      <w:jc w:val="center"/>
    </w:pPr>
    <w:r>
      <w:rPr>
        <w:noProof/>
        <w:lang w:eastAsia="en-AU"/>
      </w:rPr>
      <w:drawing>
        <wp:anchor distT="0" distB="0" distL="114300" distR="114300" simplePos="0" relativeHeight="251664436" behindDoc="0" locked="0" layoutInCell="1" allowOverlap="1" wp14:anchorId="6B9D1A2B" wp14:editId="729C67C8">
          <wp:simplePos x="0" y="0"/>
          <wp:positionH relativeFrom="column">
            <wp:posOffset>952500</wp:posOffset>
          </wp:positionH>
          <wp:positionV relativeFrom="paragraph">
            <wp:posOffset>-635</wp:posOffset>
          </wp:positionV>
          <wp:extent cx="4319905" cy="1936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193675"/>
                  </a:xfrm>
                  <a:prstGeom prst="rect">
                    <a:avLst/>
                  </a:prstGeom>
                  <a:noFill/>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5112B" w14:textId="5D9C4114" w:rsidR="00E312D2" w:rsidRPr="00A36359" w:rsidRDefault="00E675A5" w:rsidP="007E7D93">
    <w:pPr>
      <w:pStyle w:val="Footer"/>
      <w:rPr>
        <w:rFonts w:ascii="Calibri Light" w:hAnsi="Calibri Light" w:cs="Calibri Light"/>
      </w:rPr>
    </w:pPr>
    <w:r>
      <w:rPr>
        <w:noProof/>
        <w:lang w:eastAsia="en-AU"/>
      </w:rPr>
      <w:drawing>
        <wp:anchor distT="0" distB="0" distL="114300" distR="114300" simplePos="0" relativeHeight="251660340" behindDoc="0" locked="0" layoutInCell="1" allowOverlap="1" wp14:anchorId="48B4D093" wp14:editId="25755AD2">
          <wp:simplePos x="0" y="0"/>
          <wp:positionH relativeFrom="column">
            <wp:posOffset>952500</wp:posOffset>
          </wp:positionH>
          <wp:positionV relativeFrom="paragraph">
            <wp:posOffset>-635</wp:posOffset>
          </wp:positionV>
          <wp:extent cx="4319905" cy="19367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193675"/>
                  </a:xfrm>
                  <a:prstGeom prst="rect">
                    <a:avLst/>
                  </a:prstGeom>
                  <a:noFill/>
                </pic:spPr>
              </pic:pic>
            </a:graphicData>
          </a:graphic>
          <wp14:sizeRelH relativeFrom="margin">
            <wp14:pctWidth>0</wp14:pctWidth>
          </wp14:sizeRelH>
          <wp14:sizeRelV relativeFrom="margin">
            <wp14:pctHeight>0</wp14:pctHeight>
          </wp14:sizeRelV>
        </wp:anchor>
      </w:drawing>
    </w:r>
    <w:r w:rsidR="00E312D2" w:rsidRPr="00A36359">
      <w:rPr>
        <w:rStyle w:val="PageNumber"/>
        <w:rFonts w:ascii="Calibri Light" w:hAnsi="Calibri Light" w:cs="Calibri Light"/>
      </w:rPr>
      <w:fldChar w:fldCharType="begin"/>
    </w:r>
    <w:r w:rsidR="00E312D2" w:rsidRPr="00A36359">
      <w:rPr>
        <w:rStyle w:val="PageNumber"/>
        <w:rFonts w:ascii="Calibri Light" w:hAnsi="Calibri Light" w:cs="Calibri Light"/>
      </w:rPr>
      <w:instrText xml:space="preserve"> PAGE </w:instrText>
    </w:r>
    <w:r w:rsidR="00E312D2" w:rsidRPr="00A36359">
      <w:rPr>
        <w:rStyle w:val="PageNumber"/>
        <w:rFonts w:ascii="Calibri Light" w:hAnsi="Calibri Light" w:cs="Calibri Light"/>
      </w:rPr>
      <w:fldChar w:fldCharType="separate"/>
    </w:r>
    <w:r w:rsidR="001F2C01">
      <w:rPr>
        <w:rStyle w:val="PageNumber"/>
        <w:rFonts w:ascii="Calibri Light" w:hAnsi="Calibri Light" w:cs="Calibri Light"/>
        <w:noProof/>
      </w:rPr>
      <w:t>22</w:t>
    </w:r>
    <w:r w:rsidR="00E312D2" w:rsidRPr="00A36359">
      <w:rPr>
        <w:rStyle w:val="PageNumber"/>
        <w:rFonts w:ascii="Calibri Light" w:hAnsi="Calibri Light" w:cs="Calibri Light"/>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1A371" w14:textId="2B08D50D" w:rsidR="00E312D2" w:rsidRPr="00A66E3E" w:rsidRDefault="002C0F9C" w:rsidP="007E7D93">
    <w:pPr>
      <w:pStyle w:val="Footer"/>
      <w:rPr>
        <w:rFonts w:ascii="Calibri" w:hAnsi="Calibri" w:cs="Calibri"/>
      </w:rPr>
    </w:pPr>
    <w:r>
      <w:rPr>
        <w:noProof/>
        <w:lang w:eastAsia="en-AU"/>
      </w:rPr>
      <w:drawing>
        <wp:anchor distT="0" distB="0" distL="114300" distR="114300" simplePos="0" relativeHeight="251662388" behindDoc="0" locked="0" layoutInCell="1" allowOverlap="1" wp14:anchorId="2CFA077D" wp14:editId="58C8E2D2">
          <wp:simplePos x="0" y="0"/>
          <wp:positionH relativeFrom="column">
            <wp:posOffset>952500</wp:posOffset>
          </wp:positionH>
          <wp:positionV relativeFrom="paragraph">
            <wp:posOffset>-635</wp:posOffset>
          </wp:positionV>
          <wp:extent cx="4319905" cy="19367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19905" cy="193675"/>
                  </a:xfrm>
                  <a:prstGeom prst="rect">
                    <a:avLst/>
                  </a:prstGeom>
                  <a:noFill/>
                </pic:spPr>
              </pic:pic>
            </a:graphicData>
          </a:graphic>
          <wp14:sizeRelH relativeFrom="margin">
            <wp14:pctWidth>0</wp14:pctWidth>
          </wp14:sizeRelH>
          <wp14:sizeRelV relativeFrom="margin">
            <wp14:pctHeight>0</wp14:pctHeight>
          </wp14:sizeRelV>
        </wp:anchor>
      </w:drawing>
    </w:r>
    <w:r w:rsidR="00E312D2" w:rsidRPr="00A66E3E">
      <w:rPr>
        <w:rStyle w:val="PageNumber"/>
        <w:rFonts w:ascii="Calibri" w:hAnsi="Calibri" w:cs="Calibri"/>
      </w:rPr>
      <w:fldChar w:fldCharType="begin"/>
    </w:r>
    <w:r w:rsidR="00E312D2" w:rsidRPr="00A66E3E">
      <w:rPr>
        <w:rStyle w:val="PageNumber"/>
        <w:rFonts w:ascii="Calibri" w:hAnsi="Calibri" w:cs="Calibri"/>
      </w:rPr>
      <w:instrText xml:space="preserve"> PAGE </w:instrText>
    </w:r>
    <w:r w:rsidR="00E312D2" w:rsidRPr="00A66E3E">
      <w:rPr>
        <w:rStyle w:val="PageNumber"/>
        <w:rFonts w:ascii="Calibri" w:hAnsi="Calibri" w:cs="Calibri"/>
      </w:rPr>
      <w:fldChar w:fldCharType="separate"/>
    </w:r>
    <w:r w:rsidR="00684E6F">
      <w:rPr>
        <w:rStyle w:val="PageNumber"/>
        <w:rFonts w:ascii="Calibri" w:hAnsi="Calibri" w:cs="Calibri"/>
        <w:noProof/>
      </w:rPr>
      <w:t>177</w:t>
    </w:r>
    <w:r w:rsidR="00E312D2" w:rsidRPr="00A66E3E">
      <w:rPr>
        <w:rStyle w:val="PageNumber"/>
        <w:rFonts w:ascii="Calibri" w:hAnsi="Calibri" w:cs="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6E3856" w14:textId="77777777" w:rsidR="006617DE" w:rsidRDefault="006617DE" w:rsidP="00C702C7">
      <w:pPr>
        <w:spacing w:line="240" w:lineRule="auto"/>
      </w:pPr>
      <w:bookmarkStart w:id="0" w:name="_Hlk479143786"/>
      <w:bookmarkEnd w:id="0"/>
      <w:r>
        <w:separator/>
      </w:r>
    </w:p>
  </w:footnote>
  <w:footnote w:type="continuationSeparator" w:id="0">
    <w:p w14:paraId="0122783B" w14:textId="77777777" w:rsidR="006617DE" w:rsidRDefault="006617DE" w:rsidP="00C702C7">
      <w:pPr>
        <w:spacing w:line="240" w:lineRule="auto"/>
      </w:pPr>
      <w:r>
        <w:continuationSeparator/>
      </w:r>
    </w:p>
  </w:footnote>
  <w:footnote w:type="continuationNotice" w:id="1">
    <w:p w14:paraId="0526BF4D" w14:textId="77777777" w:rsidR="006617DE" w:rsidRDefault="006617DE">
      <w:pPr>
        <w:spacing w:after="0" w:line="240" w:lineRule="auto"/>
      </w:pPr>
    </w:p>
  </w:footnote>
  <w:footnote w:id="2">
    <w:p w14:paraId="71586542" w14:textId="79C52524" w:rsidR="00E312D2" w:rsidRPr="00815FC2" w:rsidRDefault="00E312D2" w:rsidP="00815FC2">
      <w:pPr>
        <w:pStyle w:val="FootnoteText"/>
      </w:pPr>
      <w:r w:rsidRPr="00A03A1F">
        <w:rPr>
          <w:rStyle w:val="FootnoteReference"/>
        </w:rPr>
        <w:footnoteRef/>
      </w:r>
      <w:r w:rsidRPr="00815FC2">
        <w:t xml:space="preserve"> Only Victoria at the time of the assessment has conferred powers to NOPSEMA for health and safety and well integrity </w:t>
      </w:r>
      <w:r>
        <w:t xml:space="preserve">matters </w:t>
      </w:r>
      <w:r w:rsidRPr="00815FC2">
        <w:t>(2013).</w:t>
      </w:r>
    </w:p>
  </w:footnote>
  <w:footnote w:id="3">
    <w:p w14:paraId="1856F64E" w14:textId="4B861D81" w:rsidR="00E312D2" w:rsidRDefault="00E312D2" w:rsidP="00901C7B">
      <w:pPr>
        <w:pStyle w:val="FootnoteText"/>
      </w:pPr>
      <w:r>
        <w:rPr>
          <w:rStyle w:val="FootnoteReference"/>
        </w:rPr>
        <w:footnoteRef/>
      </w:r>
      <w:r>
        <w:t xml:space="preserve"> For the purposes of our report, we use the term ‘offshore legislative framework’ to refer to the collective relevant legislation, regulation, policies, regulators, and government departments (state, territory and Commonwealth) that collectively enable offshore resource exploration. For simplicity of language we use the term ‘offshore’ through our report to refer to Commonwealth waters as defined by the OPGGS Act. Where a state or territory has conferred powers to NOPSEMA for coastal waters, offshore is taken to include these elements.</w:t>
      </w:r>
    </w:p>
  </w:footnote>
  <w:footnote w:id="4">
    <w:p w14:paraId="6731813F" w14:textId="77777777" w:rsidR="00E312D2" w:rsidRPr="00E94BB2" w:rsidRDefault="00E312D2" w:rsidP="00815FC2">
      <w:pPr>
        <w:pStyle w:val="FootnoteText"/>
        <w:rPr>
          <w:sz w:val="18"/>
          <w:szCs w:val="22"/>
        </w:rPr>
      </w:pPr>
      <w:r w:rsidRPr="00901C7B">
        <w:rPr>
          <w:rStyle w:val="FootnoteReference"/>
        </w:rPr>
        <w:footnoteRef/>
      </w:r>
      <w:r w:rsidRPr="00901C7B">
        <w:rPr>
          <w:vertAlign w:val="superscript"/>
        </w:rPr>
        <w:t xml:space="preserve"> </w:t>
      </w:r>
      <w:r w:rsidRPr="00815FC2">
        <w:t>The review of NOPSEMA’s activities is not designed to provide assurance as defined by the Australian Auditing Standards Board.</w:t>
      </w:r>
    </w:p>
  </w:footnote>
  <w:footnote w:id="5">
    <w:p w14:paraId="5E36DB38" w14:textId="7A6FDF55" w:rsidR="00E312D2" w:rsidRDefault="00E312D2" w:rsidP="00C01409">
      <w:pPr>
        <w:pStyle w:val="FootnoteText"/>
      </w:pPr>
      <w:r>
        <w:rPr>
          <w:rStyle w:val="FootnoteReference"/>
        </w:rPr>
        <w:footnoteRef/>
      </w:r>
      <w:r>
        <w:t xml:space="preserve"> See the OPGGS Act, section 695(2).</w:t>
      </w:r>
    </w:p>
  </w:footnote>
  <w:footnote w:id="6">
    <w:p w14:paraId="155D4CB2" w14:textId="4A603EDC" w:rsidR="00E312D2" w:rsidRDefault="00E312D2" w:rsidP="00700262">
      <w:pPr>
        <w:pStyle w:val="FootnoteText"/>
      </w:pPr>
      <w:r>
        <w:rPr>
          <w:rStyle w:val="FootnoteReference"/>
        </w:rPr>
        <w:footnoteRef/>
      </w:r>
      <w:r>
        <w:t>As of writing this report no formal decision has been made by Government as to whether NOPSEMA will inherit responsibility for regulating safety and environment matters for offshore renewables and clean energy in Commonwealth waters (</w:t>
      </w:r>
      <w:r w:rsidRPr="004D3F70">
        <w:rPr>
          <w:b/>
          <w:bCs/>
        </w:rPr>
        <w:t>offshore renewables</w:t>
      </w:r>
      <w:r>
        <w:t>). Consequently, we preface all comments made in respect to offshore renewables as a potential, but not confirmed, direction for NOPSEMA.</w:t>
      </w:r>
    </w:p>
  </w:footnote>
  <w:footnote w:id="7">
    <w:p w14:paraId="05BCFC30" w14:textId="4E8F8AF6" w:rsidR="00E312D2" w:rsidRDefault="00E312D2" w:rsidP="00815FC2">
      <w:pPr>
        <w:pStyle w:val="FootnoteText"/>
      </w:pPr>
      <w:r>
        <w:rPr>
          <w:rStyle w:val="FootnoteReference"/>
        </w:rPr>
        <w:footnoteRef/>
      </w:r>
      <w:r>
        <w:t xml:space="preserve"> NOPSEMA ha</w:t>
      </w:r>
      <w:r w:rsidR="008E0CF8">
        <w:t>s</w:t>
      </w:r>
      <w:r>
        <w:t xml:space="preserve"> a published Corporate Plan. We do not consider the Corporate Plan, in its current format, to be a ‘regulatory strategy’.</w:t>
      </w:r>
    </w:p>
  </w:footnote>
  <w:footnote w:id="8">
    <w:p w14:paraId="7A1D3C49" w14:textId="77777777" w:rsidR="00E312D2" w:rsidRDefault="00E312D2" w:rsidP="00815FC2">
      <w:pPr>
        <w:pStyle w:val="FootnoteText"/>
      </w:pPr>
      <w:r>
        <w:rPr>
          <w:rStyle w:val="FootnoteReference"/>
        </w:rPr>
        <w:footnoteRef/>
      </w:r>
      <w:r>
        <w:t xml:space="preserve"> </w:t>
      </w:r>
      <w:r w:rsidRPr="00DD79F6">
        <w:t>Section 4.16 ‘Case Decision Record’ of the Level 3 Investigation Procedure provides that ‘critical decisions are recorded at key junctions of investigations and are an important record of decision making. The Lead Investigator is responsible for creating all critical decision records in RMS and forwarding to the RON for review and approval (with the Head of Division, as investigation sponsor, advised).</w:t>
      </w:r>
    </w:p>
  </w:footnote>
  <w:footnote w:id="9">
    <w:p w14:paraId="6099D482" w14:textId="77777777" w:rsidR="00E312D2" w:rsidRDefault="00E312D2" w:rsidP="00336577">
      <w:pPr>
        <w:pStyle w:val="FootnoteText"/>
      </w:pPr>
      <w:r>
        <w:rPr>
          <w:rStyle w:val="FootnoteReference"/>
        </w:rPr>
        <w:footnoteRef/>
      </w:r>
      <w:r>
        <w:t xml:space="preserve"> NOPTA, 2020.</w:t>
      </w:r>
    </w:p>
  </w:footnote>
  <w:footnote w:id="10">
    <w:p w14:paraId="087A5B8B" w14:textId="77777777" w:rsidR="00E312D2" w:rsidRDefault="00E312D2" w:rsidP="00336577">
      <w:pPr>
        <w:pStyle w:val="FootnoteText"/>
      </w:pPr>
      <w:r>
        <w:rPr>
          <w:rStyle w:val="FootnoteReference"/>
        </w:rPr>
        <w:footnoteRef/>
      </w:r>
      <w:r>
        <w:t xml:space="preserve"> This is at the time of writing the report.</w:t>
      </w:r>
    </w:p>
  </w:footnote>
  <w:footnote w:id="11">
    <w:p w14:paraId="39671A56" w14:textId="77777777" w:rsidR="00E312D2" w:rsidRDefault="00E312D2" w:rsidP="00AB5DDD">
      <w:pPr>
        <w:pStyle w:val="FootnoteText"/>
      </w:pPr>
      <w:r>
        <w:rPr>
          <w:rStyle w:val="FootnoteReference"/>
        </w:rPr>
        <w:footnoteRef/>
      </w:r>
      <w:r>
        <w:t xml:space="preserve"> NOPSEMA, 2020. See: </w:t>
      </w:r>
      <w:r w:rsidRPr="00CD14CF">
        <w:t>https://www.nopsema.gov.au/about/</w:t>
      </w:r>
    </w:p>
  </w:footnote>
  <w:footnote w:id="12">
    <w:p w14:paraId="042F524F" w14:textId="1DA8435F" w:rsidR="00E312D2" w:rsidRDefault="00E312D2">
      <w:pPr>
        <w:pStyle w:val="FootnoteText"/>
      </w:pPr>
      <w:r>
        <w:rPr>
          <w:rStyle w:val="FootnoteReference"/>
        </w:rPr>
        <w:footnoteRef/>
      </w:r>
      <w:r>
        <w:t xml:space="preserve"> The responsible party may include the titleholder and/or operator and differs on a case by case basis. For example, the titleholder is not always the operator of the facility. </w:t>
      </w:r>
    </w:p>
  </w:footnote>
  <w:footnote w:id="13">
    <w:p w14:paraId="66C809C3" w14:textId="77777777" w:rsidR="00E312D2" w:rsidRDefault="00E312D2" w:rsidP="00AB5DDD">
      <w:pPr>
        <w:pStyle w:val="FootnoteText"/>
      </w:pPr>
      <w:r>
        <w:rPr>
          <w:rStyle w:val="FootnoteReference"/>
        </w:rPr>
        <w:footnoteRef/>
      </w:r>
      <w:r>
        <w:t xml:space="preserve"> Due to similarities in observations and recommendations, we do not outline NOPSEMA’s role in examining Offshore Project Proposals, which are required for all offshore projects. The Offshore Project Proposal was introduced, among other reasons, to allow for public scrutiny and comment on offshore petroleum developments early in the project lifecycle.</w:t>
      </w:r>
      <w:r w:rsidRPr="004E7EF9">
        <w:t xml:space="preserve"> Th</w:t>
      </w:r>
      <w:r>
        <w:t>is process aligns to that</w:t>
      </w:r>
      <w:r w:rsidRPr="004E7EF9">
        <w:t xml:space="preserve"> provided for through the Environmental Impact Statement/Public Environmental Review process under the EPBC Act.</w:t>
      </w:r>
    </w:p>
  </w:footnote>
  <w:footnote w:id="14">
    <w:p w14:paraId="5531CB8E" w14:textId="7BA6243F" w:rsidR="00E312D2" w:rsidRDefault="00E312D2">
      <w:pPr>
        <w:pStyle w:val="FootnoteText"/>
      </w:pPr>
      <w:r>
        <w:rPr>
          <w:rStyle w:val="FootnoteReference"/>
        </w:rPr>
        <w:footnoteRef/>
      </w:r>
      <w:r>
        <w:t xml:space="preserve"> All references to ‘better practice’ within </w:t>
      </w:r>
      <w:r w:rsidRPr="0054490D">
        <w:rPr>
          <w:b/>
          <w:bCs/>
        </w:rPr>
        <w:t>Section 6</w:t>
      </w:r>
      <w:r>
        <w:t xml:space="preserve"> have been made in the context of NOPSEMA’s operations and in comparison to its peers, comparable industries, and organisations with mature regulatory approaches to compliance, monitoring and enforcement. </w:t>
      </w:r>
    </w:p>
  </w:footnote>
  <w:footnote w:id="15">
    <w:p w14:paraId="23A9EC27" w14:textId="0DAA26BE" w:rsidR="00E312D2" w:rsidRDefault="00E312D2">
      <w:pPr>
        <w:pStyle w:val="FootnoteText"/>
      </w:pPr>
      <w:r>
        <w:rPr>
          <w:rStyle w:val="FootnoteReference"/>
        </w:rPr>
        <w:footnoteRef/>
      </w:r>
      <w:r>
        <w:t xml:space="preserve"> The decision criteria is listed in relevant OPGGS Regulations and supported by extensive guidance.</w:t>
      </w:r>
    </w:p>
  </w:footnote>
  <w:footnote w:id="16">
    <w:p w14:paraId="78C7540F" w14:textId="77777777" w:rsidR="00E312D2" w:rsidRDefault="00E312D2" w:rsidP="00AB5DDD">
      <w:pPr>
        <w:pStyle w:val="FootnoteText"/>
      </w:pPr>
      <w:r>
        <w:rPr>
          <w:rStyle w:val="FootnoteReference"/>
        </w:rPr>
        <w:footnoteRef/>
      </w:r>
      <w:r>
        <w:t xml:space="preserve"> Note that this may require amendment to legislation or regulation.</w:t>
      </w:r>
    </w:p>
  </w:footnote>
  <w:footnote w:id="17">
    <w:p w14:paraId="2B61AF06" w14:textId="2E0DB871" w:rsidR="00E312D2" w:rsidRDefault="00E312D2">
      <w:pPr>
        <w:pStyle w:val="FootnoteText"/>
      </w:pPr>
      <w:r>
        <w:rPr>
          <w:rStyle w:val="FootnoteReference"/>
        </w:rPr>
        <w:footnoteRef/>
      </w:r>
      <w:r>
        <w:t xml:space="preserve"> The NOPSEMA Compliance Committee is chaired by the CEO and has the divisional heads as standing attendees. Compliance issues are ‘presented’ by inspectors to the committee for discussion. The committee is intended to challenge compliance findings and identify cross-cutting or strategic compliance matters across all compliance matters. The committee, among other matters, will discuss the most appropriate compliance approach which could be applied and provide further support and insight to the inspector presenting. The decision for compliance activities ultimately rests with the respective inspectors empowered under the OPGGS Act and its regulations.</w:t>
      </w:r>
    </w:p>
  </w:footnote>
  <w:footnote w:id="18">
    <w:p w14:paraId="5E165EF9" w14:textId="77777777" w:rsidR="00E312D2" w:rsidRDefault="00E312D2" w:rsidP="00AB5DDD">
      <w:pPr>
        <w:pStyle w:val="FootnoteText"/>
      </w:pPr>
      <w:r>
        <w:rPr>
          <w:rStyle w:val="FootnoteReference"/>
        </w:rPr>
        <w:footnoteRef/>
      </w:r>
      <w:r>
        <w:t xml:space="preserve"> Walker, 2020. Pg. 6. See: </w:t>
      </w:r>
      <w:r w:rsidRPr="00572B03">
        <w:t>https://www.industry.gov.au/sites/default/files/2020-08/review-of-circumstances-that-led-to-the-administration-of-noga-executive-summary-and-recommendations.pdf</w:t>
      </w:r>
    </w:p>
  </w:footnote>
  <w:footnote w:id="19">
    <w:p w14:paraId="0215D732" w14:textId="77777777" w:rsidR="00E312D2" w:rsidRDefault="00E312D2" w:rsidP="00AB5DDD">
      <w:pPr>
        <w:pStyle w:val="FootnoteText"/>
      </w:pPr>
      <w:r>
        <w:rPr>
          <w:rStyle w:val="FootnoteReference"/>
        </w:rPr>
        <w:footnoteRef/>
      </w:r>
      <w:r>
        <w:t xml:space="preserve"> Deloitte stakeholder consultation.</w:t>
      </w:r>
    </w:p>
  </w:footnote>
  <w:footnote w:id="20">
    <w:p w14:paraId="77204CAA" w14:textId="15899F25" w:rsidR="00E312D2" w:rsidRDefault="00E312D2">
      <w:pPr>
        <w:pStyle w:val="FootnoteText"/>
      </w:pPr>
      <w:r>
        <w:rPr>
          <w:rStyle w:val="FootnoteReference"/>
        </w:rPr>
        <w:footnoteRef/>
      </w:r>
      <w:r>
        <w:t xml:space="preserve"> See: https://www.cdpp.gov.au/prosecution-process/prosecution-policy</w:t>
      </w:r>
    </w:p>
  </w:footnote>
  <w:footnote w:id="21">
    <w:p w14:paraId="44056D81" w14:textId="77777777" w:rsidR="00E312D2" w:rsidRDefault="00E312D2" w:rsidP="00A611FB">
      <w:pPr>
        <w:pStyle w:val="FootnoteText"/>
      </w:pPr>
      <w:r>
        <w:rPr>
          <w:rStyle w:val="FootnoteReference"/>
        </w:rPr>
        <w:footnoteRef/>
      </w:r>
      <w:r>
        <w:t xml:space="preserve"> </w:t>
      </w:r>
      <w:r w:rsidRPr="00DD79F6">
        <w:t>Section 4.16 ‘Case Decision Record’ of the Level 3 Investigation Procedure provides that ‘critical decisions are recorded at key junctions of investigations and are an important record of decision making. The Lead Investigator is responsible for creating all critical decision records in RMS and forwarding to the RON for review and approval (with the Head of Division, as investigation sponsor, advised).</w:t>
      </w:r>
    </w:p>
  </w:footnote>
  <w:footnote w:id="22">
    <w:p w14:paraId="67513DA2" w14:textId="45A2F7B7" w:rsidR="00E312D2" w:rsidRPr="00766FFE" w:rsidRDefault="00E312D2" w:rsidP="008079C6">
      <w:pPr>
        <w:pStyle w:val="FootnoteText"/>
      </w:pPr>
      <w:r>
        <w:rPr>
          <w:rStyle w:val="FootnoteReference"/>
        </w:rPr>
        <w:footnoteRef/>
      </w:r>
      <w:r>
        <w:t xml:space="preserve"> </w:t>
      </w:r>
      <w:r w:rsidRPr="004D1C94">
        <w:t>Section 611D and 611E of Division 5 ‘Infringement notices’ of Part 6.5 Compliance &amp; Enforcement of the Act provides for infringement notices that can be issued and enforced in accordance with Part 5 of the RPSP</w:t>
      </w:r>
      <w:r>
        <w:t xml:space="preserve"> </w:t>
      </w:r>
      <w:r w:rsidRPr="004D1C94">
        <w:t>Act for prescribed offences under the Act only (not the Regulation)</w:t>
      </w:r>
      <w:r>
        <w:t>.</w:t>
      </w:r>
    </w:p>
  </w:footnote>
  <w:footnote w:id="23">
    <w:p w14:paraId="7E1998A9" w14:textId="7A4E6D67" w:rsidR="00E312D2" w:rsidRDefault="00E312D2" w:rsidP="008079C6">
      <w:pPr>
        <w:pStyle w:val="FootnoteText"/>
      </w:pPr>
      <w:r>
        <w:rPr>
          <w:rStyle w:val="FootnoteReference"/>
        </w:rPr>
        <w:footnoteRef/>
      </w:r>
      <w:r>
        <w:t xml:space="preserve"> </w:t>
      </w:r>
      <w:r w:rsidRPr="004D1C94">
        <w:t>Section 611J of Division 6 ‘Injunctions’ of Part 6.5 Compliance and Enforcement of the Act provides that court ordered injunctions can be used in accordance with Part 7 of the RPSP Act to enforce prescribed provisions under the Act only (not the Regulation) – the Table to section 611J identifies (variously) the responsible Commonwealth Minister, the Secretary, CEO of NOPSEMA or the Titles Administrator as ‘authorised</w:t>
      </w:r>
      <w:r>
        <w:t xml:space="preserve"> </w:t>
      </w:r>
      <w:r w:rsidRPr="004D1C94">
        <w:t>applicants’ for injunctions</w:t>
      </w:r>
      <w:r>
        <w:t>.</w:t>
      </w:r>
    </w:p>
  </w:footnote>
  <w:footnote w:id="24">
    <w:p w14:paraId="0601A860" w14:textId="5BAB1B64" w:rsidR="00E312D2" w:rsidRDefault="00E312D2" w:rsidP="008079C6">
      <w:pPr>
        <w:pStyle w:val="FootnoteText"/>
      </w:pPr>
      <w:r>
        <w:rPr>
          <w:rStyle w:val="FootnoteReference"/>
        </w:rPr>
        <w:footnoteRef/>
      </w:r>
      <w:r>
        <w:t xml:space="preserve"> </w:t>
      </w:r>
      <w:r w:rsidRPr="004D1C94">
        <w:t>Section 611B of Division 4 ‘Civil penalties’ of Part 6.5 Compliance &amp; Enforcement of the Act provides that civil penalty provisions set out in the Act are enforceable under Part 4 of the RPSP Act</w:t>
      </w:r>
      <w:r>
        <w:t>.</w:t>
      </w:r>
    </w:p>
  </w:footnote>
  <w:footnote w:id="25">
    <w:p w14:paraId="44A5458F" w14:textId="340F6222" w:rsidR="00E312D2" w:rsidRDefault="00E312D2" w:rsidP="008079C6">
      <w:pPr>
        <w:pStyle w:val="BodycopyNEW0"/>
      </w:pPr>
      <w:r>
        <w:rPr>
          <w:rStyle w:val="FootnoteReference"/>
        </w:rPr>
        <w:footnoteRef/>
      </w:r>
      <w:r>
        <w:t xml:space="preserve"> </w:t>
      </w:r>
      <w:r w:rsidRPr="00925CD7">
        <w:rPr>
          <w:rFonts w:cs="Calibri Light"/>
          <w:sz w:val="16"/>
        </w:rPr>
        <w:t>The ability for NOPSEMA to ‘lift the corporate veil’ in order to also prosecute officers of a corporation (in addition to the corporation) should help improve confidence in NOPSEMA’s capacity to regulate and better address root causes of non-compliance</w:t>
      </w:r>
      <w:r>
        <w:rPr>
          <w:rFonts w:cs="Calibri Light"/>
          <w:sz w:val="16"/>
        </w:rPr>
        <w:t>.</w:t>
      </w:r>
    </w:p>
  </w:footnote>
  <w:footnote w:id="26">
    <w:p w14:paraId="6FDCB66A" w14:textId="77777777" w:rsidR="00E312D2" w:rsidRDefault="00E312D2" w:rsidP="008079C6">
      <w:pPr>
        <w:pStyle w:val="FootnoteText"/>
      </w:pPr>
      <w:r>
        <w:rPr>
          <w:rStyle w:val="FootnoteReference"/>
        </w:rPr>
        <w:footnoteRef/>
      </w:r>
      <w:r>
        <w:t xml:space="preserve"> Section 602B has provisions for NOPTA to reimburse NOPSEMA if a NOPSEMA inspector exercises and/or prepares to exercise powers for a purpose that relates to the functions of NOPTA.</w:t>
      </w:r>
    </w:p>
  </w:footnote>
  <w:footnote w:id="27">
    <w:p w14:paraId="014EFF71" w14:textId="77777777" w:rsidR="00E312D2" w:rsidRPr="0029237E" w:rsidRDefault="00E312D2" w:rsidP="008079C6">
      <w:pPr>
        <w:pStyle w:val="FootnoteText"/>
        <w:rPr>
          <w:i/>
        </w:rPr>
      </w:pPr>
      <w:r>
        <w:rPr>
          <w:rStyle w:val="FootnoteReference"/>
        </w:rPr>
        <w:footnoteRef/>
      </w:r>
      <w:r>
        <w:t xml:space="preserve"> Also see section 707A of the OPGGS Act – </w:t>
      </w:r>
      <w:r>
        <w:rPr>
          <w:i/>
        </w:rPr>
        <w:t>Directions by Titles Administrator</w:t>
      </w:r>
      <w:r w:rsidRPr="007B2456">
        <w:rPr>
          <w:iCs/>
        </w:rPr>
        <w:t>.</w:t>
      </w:r>
    </w:p>
  </w:footnote>
  <w:footnote w:id="28">
    <w:p w14:paraId="589B5E7F" w14:textId="0E55BC9A" w:rsidR="00E312D2" w:rsidRDefault="00E312D2" w:rsidP="008079C6">
      <w:pPr>
        <w:pStyle w:val="FootnoteText"/>
      </w:pPr>
      <w:r>
        <w:rPr>
          <w:rStyle w:val="FootnoteReference"/>
        </w:rPr>
        <w:footnoteRef/>
      </w:r>
      <w:r>
        <w:t xml:space="preserve"> This is an indicator of workload only. Care must be taken in interpreting these trends given that there is not a 1:1 relationship between a WOMP and the number of wells within that WOMP or the relative complexity of the WOMP in question. </w:t>
      </w:r>
    </w:p>
  </w:footnote>
  <w:footnote w:id="29">
    <w:p w14:paraId="61C0C4A1" w14:textId="77777777" w:rsidR="00E312D2" w:rsidRDefault="00E312D2" w:rsidP="009413F9">
      <w:pPr>
        <w:pStyle w:val="FootnoteText"/>
      </w:pPr>
      <w:r>
        <w:rPr>
          <w:rStyle w:val="FootnoteReference"/>
        </w:rPr>
        <w:footnoteRef/>
      </w:r>
      <w:r>
        <w:t xml:space="preserve"> NOPSEMA, 2020.</w:t>
      </w:r>
    </w:p>
  </w:footnote>
  <w:footnote w:id="30">
    <w:p w14:paraId="5821A254" w14:textId="77777777" w:rsidR="00E312D2" w:rsidRDefault="00E312D2" w:rsidP="00EB1893">
      <w:pPr>
        <w:pStyle w:val="FootnoteText"/>
      </w:pPr>
      <w:r>
        <w:rPr>
          <w:rStyle w:val="FootnoteReference"/>
        </w:rPr>
        <w:footnoteRef/>
      </w:r>
      <w:r>
        <w:t xml:space="preserve"> </w:t>
      </w:r>
      <w:r w:rsidRPr="00E05A3C">
        <w:t>The Australian Public Service census is an annual employee perception survey. The survey captures attitude and opinion data on important issues such as wellbeing, innovation, leadership, learning and development, and engagement of the APS workforce. It provides an opportunity for all APS employees to have their say about their workplace and help make the public sector a better place to work.</w:t>
      </w:r>
      <w:r>
        <w:t xml:space="preserve"> 104 of 123 NOPSEMA staff participated in the survey in 2019, an 85% response rate. For further details see: </w:t>
      </w:r>
      <w:r w:rsidRPr="001C5946">
        <w:t>https://www.apsc.gov.au/aps-employee-census-2019</w:t>
      </w:r>
    </w:p>
  </w:footnote>
  <w:footnote w:id="31">
    <w:p w14:paraId="04ABF165" w14:textId="09BE0C5B" w:rsidR="00E312D2" w:rsidRDefault="00E312D2" w:rsidP="009413F9">
      <w:pPr>
        <w:pStyle w:val="FootnoteText"/>
      </w:pPr>
      <w:r>
        <w:rPr>
          <w:rStyle w:val="FootnoteReference"/>
        </w:rPr>
        <w:footnoteRef/>
      </w:r>
      <w:r>
        <w:t xml:space="preserve"> NOPSEMA Competency Framework.</w:t>
      </w:r>
    </w:p>
  </w:footnote>
  <w:footnote w:id="32">
    <w:p w14:paraId="3A468679" w14:textId="77777777" w:rsidR="00E312D2" w:rsidRDefault="00E312D2" w:rsidP="009413F9">
      <w:pPr>
        <w:pStyle w:val="FootnoteText"/>
      </w:pPr>
      <w:r>
        <w:rPr>
          <w:rStyle w:val="FootnoteReference"/>
        </w:rPr>
        <w:footnoteRef/>
      </w:r>
      <w:r>
        <w:t xml:space="preserve"> As of 31 October 2020.</w:t>
      </w:r>
    </w:p>
  </w:footnote>
  <w:footnote w:id="33">
    <w:p w14:paraId="3DF7C4E3" w14:textId="77777777" w:rsidR="00E312D2" w:rsidRDefault="00E312D2" w:rsidP="00EB1893">
      <w:pPr>
        <w:pStyle w:val="FootnoteText"/>
      </w:pPr>
      <w:r>
        <w:rPr>
          <w:rStyle w:val="FootnoteReference"/>
        </w:rPr>
        <w:footnoteRef/>
      </w:r>
      <w:r>
        <w:t xml:space="preserve"> Some NOPSEMA managers are ‘rotated’ to different positions within the organisation.</w:t>
      </w:r>
    </w:p>
  </w:footnote>
  <w:footnote w:id="34">
    <w:p w14:paraId="6BE27C8C" w14:textId="3EA19A23" w:rsidR="00E312D2" w:rsidRDefault="00E312D2" w:rsidP="00815FC2">
      <w:pPr>
        <w:pStyle w:val="FootnoteText"/>
      </w:pPr>
      <w:r>
        <w:rPr>
          <w:rStyle w:val="FootnoteReference"/>
        </w:rPr>
        <w:footnoteRef/>
      </w:r>
      <w:r>
        <w:t xml:space="preserve"> AICD, 2016.</w:t>
      </w:r>
    </w:p>
  </w:footnote>
  <w:footnote w:id="35">
    <w:p w14:paraId="35821897" w14:textId="2181E722" w:rsidR="00E312D2" w:rsidRDefault="00E312D2" w:rsidP="00815FC2">
      <w:pPr>
        <w:pStyle w:val="FootnoteText"/>
      </w:pPr>
      <w:r>
        <w:rPr>
          <w:rStyle w:val="FootnoteReference"/>
        </w:rPr>
        <w:footnoteRef/>
      </w:r>
      <w:r>
        <w:t xml:space="preserve"> For further information, please see: </w:t>
      </w:r>
      <w:r w:rsidRPr="00AF1459">
        <w:t>https://www2.deloitte.com</w:t>
      </w:r>
      <w:bookmarkStart w:id="86" w:name="_Hlt56339569"/>
      <w:bookmarkStart w:id="87" w:name="_Hlt56339570"/>
      <w:r w:rsidRPr="00AF1459">
        <w:t>/</w:t>
      </w:r>
      <w:bookmarkEnd w:id="86"/>
      <w:bookmarkEnd w:id="87"/>
      <w:r w:rsidRPr="00AF1459">
        <w:t>au/en/pages/financial-services/articles/royal-commission.html</w:t>
      </w:r>
    </w:p>
  </w:footnote>
  <w:footnote w:id="36">
    <w:p w14:paraId="287F6313" w14:textId="2D38BCC3" w:rsidR="00E312D2" w:rsidRDefault="00E312D2">
      <w:pPr>
        <w:pStyle w:val="FootnoteText"/>
      </w:pPr>
      <w:r>
        <w:rPr>
          <w:rStyle w:val="FootnoteReference"/>
        </w:rPr>
        <w:footnoteRef/>
      </w:r>
      <w:r>
        <w:t xml:space="preserve"> We note that, although outside of the formal review period, NOPSEMA and Parks Australia have developed and implemented an MOU during our review process.</w:t>
      </w:r>
    </w:p>
  </w:footnote>
  <w:footnote w:id="37">
    <w:p w14:paraId="69CF12D3" w14:textId="03ECFA4A" w:rsidR="00E312D2" w:rsidRPr="00AE6C91" w:rsidRDefault="00E312D2" w:rsidP="00815FC2">
      <w:pPr>
        <w:pStyle w:val="FootnoteText"/>
      </w:pPr>
      <w:r w:rsidRPr="00AE6C91">
        <w:rPr>
          <w:rStyle w:val="FootnoteReference"/>
          <w:szCs w:val="16"/>
        </w:rPr>
        <w:footnoteRef/>
      </w:r>
      <w:r w:rsidRPr="00AE6C91">
        <w:t xml:space="preserve"> International Regulators Forum, 2020. See: https://irfoffshoresafety.com</w:t>
      </w:r>
    </w:p>
  </w:footnote>
  <w:footnote w:id="38">
    <w:p w14:paraId="481218F9" w14:textId="354A88F4" w:rsidR="00E312D2" w:rsidRDefault="00E312D2" w:rsidP="00815FC2">
      <w:pPr>
        <w:pStyle w:val="FootnoteText"/>
      </w:pPr>
      <w:r w:rsidRPr="00AE6C91">
        <w:rPr>
          <w:rStyle w:val="FootnoteReference"/>
          <w:szCs w:val="16"/>
        </w:rPr>
        <w:footnoteRef/>
      </w:r>
      <w:r w:rsidRPr="00AE6C91">
        <w:t xml:space="preserve"> International Offshore Petroleum Environment Regulators Forum, 2020. See: http://www.ioper.org/about-us</w:t>
      </w:r>
    </w:p>
  </w:footnote>
  <w:footnote w:id="39">
    <w:p w14:paraId="1EB7A065" w14:textId="77777777" w:rsidR="00E312D2" w:rsidRDefault="00E312D2" w:rsidP="00C51A9F">
      <w:pPr>
        <w:pStyle w:val="FootnoteText"/>
      </w:pPr>
      <w:r>
        <w:rPr>
          <w:rStyle w:val="FootnoteReference"/>
        </w:rPr>
        <w:footnoteRef/>
      </w:r>
      <w:r>
        <w:t xml:space="preserve"> NOPSEMA, 2017. See: </w:t>
      </w:r>
      <w:r w:rsidRPr="00D94D92">
        <w:t>https://www.nopsema.gov.au/assets/Environment-resources/A562339.pdf</w:t>
      </w:r>
    </w:p>
  </w:footnote>
  <w:footnote w:id="40">
    <w:p w14:paraId="5C47AB44" w14:textId="77777777" w:rsidR="00E312D2" w:rsidRDefault="00E312D2" w:rsidP="00117B67">
      <w:pPr>
        <w:pStyle w:val="FootnoteText"/>
      </w:pPr>
      <w:r>
        <w:rPr>
          <w:rStyle w:val="FootnoteReference"/>
        </w:rPr>
        <w:footnoteRef/>
      </w:r>
      <w:r>
        <w:t xml:space="preserve"> We limit our comments and observations here to the underlying quality of the relationship between NOPSEMA and its stakeholders in relation to engagement and communication of shared issues. We limit, where possible, discussions on satisfaction with regulatory processes, which are the subject of other sections of the review.</w:t>
      </w:r>
    </w:p>
  </w:footnote>
  <w:footnote w:id="41">
    <w:p w14:paraId="073757DA" w14:textId="30404F29" w:rsidR="00E312D2" w:rsidRDefault="00E312D2" w:rsidP="00C51A9F">
      <w:pPr>
        <w:pStyle w:val="FootnoteText"/>
      </w:pPr>
      <w:r>
        <w:rPr>
          <w:rStyle w:val="FootnoteReference"/>
        </w:rPr>
        <w:footnoteRef/>
      </w:r>
      <w:r>
        <w:t xml:space="preserve"> NOPSEMA annual report 2018-19.</w:t>
      </w:r>
    </w:p>
  </w:footnote>
  <w:footnote w:id="42">
    <w:p w14:paraId="4D257332" w14:textId="77777777" w:rsidR="00E312D2" w:rsidRDefault="00E312D2" w:rsidP="00520AB6">
      <w:pPr>
        <w:pStyle w:val="FootnoteText"/>
      </w:pPr>
      <w:r w:rsidRPr="00170494">
        <w:rPr>
          <w:rStyle w:val="FootnoteReference"/>
        </w:rPr>
        <w:footnoteRef/>
      </w:r>
      <w:r w:rsidRPr="00170494">
        <w:t xml:space="preserve"> Chief Scientist, 2019. See: https://www.industry.gov.au/sites/default/files/2019-09/independent-audit-of-nopsemas-consideration-of-exploration-in-the-great-australian-bight.pdf</w:t>
      </w:r>
    </w:p>
  </w:footnote>
  <w:footnote w:id="43">
    <w:p w14:paraId="7C18A2CC" w14:textId="77777777" w:rsidR="00E312D2" w:rsidRDefault="00E312D2" w:rsidP="00520AB6">
      <w:pPr>
        <w:pStyle w:val="FootnoteText"/>
      </w:pPr>
      <w:r>
        <w:rPr>
          <w:rStyle w:val="FootnoteReference"/>
        </w:rPr>
        <w:footnoteRef/>
      </w:r>
      <w:r>
        <w:t xml:space="preserve"> Please refer to the following NOPSEMA Bulletin. NOPSEMA, 2019. See: </w:t>
      </w:r>
      <w:r w:rsidRPr="00C92348">
        <w:t>https://www.nopsema.gov.au/assets/Bulletins/A696998.pdf</w:t>
      </w:r>
    </w:p>
  </w:footnote>
  <w:footnote w:id="44">
    <w:p w14:paraId="2476FBC9" w14:textId="77777777" w:rsidR="00E312D2" w:rsidRDefault="00E312D2" w:rsidP="00520AB6">
      <w:pPr>
        <w:pStyle w:val="FootnoteText"/>
      </w:pPr>
      <w:r>
        <w:rPr>
          <w:rStyle w:val="FootnoteReference"/>
        </w:rPr>
        <w:footnoteRef/>
      </w:r>
      <w:r>
        <w:t xml:space="preserve"> MOU between AMSA and NOPSEMA available at </w:t>
      </w:r>
      <w:r w:rsidRPr="00E94BB2">
        <w:t>https://www.nopsema.gov.au/assets/Corporate/A667383.pdf</w:t>
      </w:r>
    </w:p>
  </w:footnote>
  <w:footnote w:id="45">
    <w:p w14:paraId="27FCA126" w14:textId="77777777" w:rsidR="00E312D2" w:rsidRDefault="00E312D2" w:rsidP="00520AB6">
      <w:pPr>
        <w:pStyle w:val="FootnoteText"/>
      </w:pPr>
      <w:r>
        <w:rPr>
          <w:rStyle w:val="FootnoteReference"/>
        </w:rPr>
        <w:footnoteRef/>
      </w:r>
      <w:r>
        <w:t xml:space="preserve"> ERM, 2015. See: </w:t>
      </w:r>
      <w:r w:rsidRPr="00E32029">
        <w:t>https://www.nopsema.gov.au/assets/Corporate/EPBC-Streamlining-review-report-August-2015.pdf</w:t>
      </w:r>
    </w:p>
  </w:footnote>
  <w:footnote w:id="46">
    <w:p w14:paraId="105B218E" w14:textId="77777777" w:rsidR="00E312D2" w:rsidRDefault="00E312D2" w:rsidP="00520AB6">
      <w:pPr>
        <w:pStyle w:val="FootnoteText"/>
      </w:pPr>
      <w:r>
        <w:rPr>
          <w:rStyle w:val="FootnoteReference"/>
        </w:rPr>
        <w:footnoteRef/>
      </w:r>
      <w:r>
        <w:t xml:space="preserve"> NOPSEMA, 2020. See: </w:t>
      </w:r>
      <w:r w:rsidRPr="00E94BB2">
        <w:t>https://www.nopsema.gov.au/assets/Guidance-notes/A620236.pdf</w:t>
      </w:r>
      <w:r>
        <w:t xml:space="preserve"> </w:t>
      </w:r>
    </w:p>
  </w:footnote>
  <w:footnote w:id="47">
    <w:p w14:paraId="0CE19B36" w14:textId="77777777" w:rsidR="00E312D2" w:rsidRDefault="00E312D2" w:rsidP="00520AB6">
      <w:pPr>
        <w:pStyle w:val="FootnoteText"/>
      </w:pPr>
      <w:r>
        <w:rPr>
          <w:rStyle w:val="FootnoteReference"/>
        </w:rPr>
        <w:footnoteRef/>
      </w:r>
      <w:r>
        <w:t xml:space="preserve"> Available: </w:t>
      </w:r>
      <w:r w:rsidRPr="009B6ED0">
        <w:t>https://www.nopsema.gov.au/assets/Corporate/A745685.pdf</w:t>
      </w:r>
      <w:r>
        <w:t xml:space="preserve"> </w:t>
      </w:r>
    </w:p>
  </w:footnote>
  <w:footnote w:id="48">
    <w:p w14:paraId="6EF30ECB" w14:textId="77777777" w:rsidR="00E312D2" w:rsidRDefault="00E312D2" w:rsidP="00520AB6">
      <w:pPr>
        <w:pStyle w:val="FootnoteText"/>
      </w:pPr>
      <w:r>
        <w:rPr>
          <w:rStyle w:val="FootnoteReference"/>
        </w:rPr>
        <w:footnoteRef/>
      </w:r>
      <w:r>
        <w:t xml:space="preserve"> Innovation grants available to help better protect whales - </w:t>
      </w:r>
      <w:r w:rsidRPr="00C371E3">
        <w:t>https://www.nopsema.gov.au/news-and-publications/latest-news/news-announcement/2020/08/18/innovation-grants-available-to-help-better-protect-whales/</w:t>
      </w:r>
    </w:p>
  </w:footnote>
  <w:footnote w:id="49">
    <w:p w14:paraId="359C828F" w14:textId="78197B84" w:rsidR="00E312D2" w:rsidRDefault="00E312D2" w:rsidP="0073194D">
      <w:pPr>
        <w:pStyle w:val="FootnoteText"/>
      </w:pPr>
      <w:r w:rsidRPr="00547DEA">
        <w:rPr>
          <w:vertAlign w:val="superscript"/>
        </w:rPr>
        <w:footnoteRef/>
      </w:r>
      <w:r w:rsidRPr="00547DEA">
        <w:rPr>
          <w:vertAlign w:val="superscript"/>
        </w:rPr>
        <w:t xml:space="preserve"> </w:t>
      </w:r>
      <w:r w:rsidRPr="00C14094">
        <w:t>Australian Government Cost Recovery Guidelines (RMG 304)</w:t>
      </w:r>
      <w:r>
        <w:t xml:space="preserve">. See: </w:t>
      </w:r>
      <w:r w:rsidRPr="008B1D3E">
        <w:t>https://www.finance.gov.au/publications/resource-management-guides/australian-government-cost-recovery-guidelines-rmg-304</w:t>
      </w:r>
    </w:p>
  </w:footnote>
  <w:footnote w:id="50">
    <w:p w14:paraId="441F44C2" w14:textId="439ED64B" w:rsidR="00E312D2" w:rsidRDefault="00E312D2" w:rsidP="00815FC2">
      <w:pPr>
        <w:pStyle w:val="FootnoteText"/>
      </w:pPr>
      <w:r>
        <w:rPr>
          <w:rStyle w:val="FootnoteReference"/>
        </w:rPr>
        <w:footnoteRef/>
      </w:r>
      <w:r>
        <w:t xml:space="preserve"> After the cost of transitioning from NOPSA to NOPSEMA was removed.</w:t>
      </w:r>
    </w:p>
  </w:footnote>
  <w:footnote w:id="51">
    <w:p w14:paraId="799F9028" w14:textId="69F768CA" w:rsidR="00E312D2" w:rsidRDefault="00E312D2">
      <w:pPr>
        <w:pStyle w:val="FootnoteText"/>
      </w:pPr>
      <w:r>
        <w:rPr>
          <w:rStyle w:val="FootnoteReference"/>
        </w:rPr>
        <w:footnoteRef/>
      </w:r>
      <w:r>
        <w:t xml:space="preserve"> For further information, please see the NOPSEMA 2018-19 CRIS: </w:t>
      </w:r>
      <w:r w:rsidRPr="002A30C4">
        <w:t>https://www.nopsema.gov.au/assets/Corporate/A638103.pdf</w:t>
      </w:r>
    </w:p>
  </w:footnote>
  <w:footnote w:id="52">
    <w:p w14:paraId="07A9D4E5" w14:textId="37BF7B93" w:rsidR="00E312D2" w:rsidRDefault="00E312D2" w:rsidP="00815FC2">
      <w:pPr>
        <w:pStyle w:val="FootnoteText"/>
      </w:pPr>
      <w:r>
        <w:rPr>
          <w:rStyle w:val="FootnoteReference"/>
        </w:rPr>
        <w:footnoteRef/>
      </w:r>
      <w:r>
        <w:t xml:space="preserve"> This includes additional functions that consume NOPSEMA’s resources and are of benefit to both industry and the community. An example includes stakeholder and community engagement to build confidence in NOPSEMA’S regulatory framework. </w:t>
      </w:r>
    </w:p>
  </w:footnote>
  <w:footnote w:id="53">
    <w:p w14:paraId="5560B432" w14:textId="77777777" w:rsidR="00E312D2" w:rsidRDefault="00E312D2" w:rsidP="00815FC2">
      <w:pPr>
        <w:pStyle w:val="FootnoteText"/>
      </w:pPr>
      <w:r>
        <w:rPr>
          <w:rStyle w:val="FootnoteReference"/>
        </w:rPr>
        <w:footnoteRef/>
      </w:r>
      <w:r>
        <w:t xml:space="preserve"> Or at the level set by the Australian Government if partial cost recovery has been agreed. </w:t>
      </w:r>
    </w:p>
  </w:footnote>
  <w:footnote w:id="54">
    <w:p w14:paraId="05869097" w14:textId="77777777" w:rsidR="00E312D2" w:rsidRDefault="00E312D2" w:rsidP="0073194D">
      <w:pPr>
        <w:pStyle w:val="FootnoteText"/>
      </w:pPr>
      <w:r>
        <w:rPr>
          <w:rStyle w:val="FootnoteReference"/>
        </w:rPr>
        <w:footnoteRef/>
      </w:r>
      <w:r>
        <w:t xml:space="preserve"> Australian Cost Recovery Guidelines, p.17.</w:t>
      </w:r>
    </w:p>
  </w:footnote>
  <w:footnote w:id="55">
    <w:p w14:paraId="7C8C0426" w14:textId="30AF13F7" w:rsidR="003745B5" w:rsidRDefault="003745B5" w:rsidP="003745B5">
      <w:pPr>
        <w:pStyle w:val="FootnoteText"/>
      </w:pPr>
      <w:r>
        <w:rPr>
          <w:rStyle w:val="FootnoteReference"/>
        </w:rPr>
        <w:footnoteRef/>
      </w:r>
      <w:r>
        <w:t xml:space="preserve"> Approval Decision for the taking of actions in accordance with an Endorsed </w:t>
      </w:r>
      <w:r w:rsidR="006368C8">
        <w:t>P</w:t>
      </w:r>
      <w:r>
        <w:t>rogram under the EPBC Act 1999 (Cth), made by the then Environment Minister on 27 February 2014.</w:t>
      </w:r>
    </w:p>
  </w:footnote>
  <w:footnote w:id="56">
    <w:p w14:paraId="2D087426" w14:textId="77777777" w:rsidR="00E312D2" w:rsidRDefault="00E312D2" w:rsidP="00C67BC7">
      <w:pPr>
        <w:pStyle w:val="FootnoteText"/>
      </w:pPr>
      <w:r>
        <w:rPr>
          <w:rStyle w:val="FootnoteReference"/>
        </w:rPr>
        <w:footnoteRef/>
      </w:r>
      <w:r>
        <w:t xml:space="preserve"> </w:t>
      </w:r>
      <w:r w:rsidRPr="00B81804">
        <w:t>In accordance with section 695 of the OPGGS Act, NOPSEMA is subject to an independent review (the review) of its operations every five-year period after its first review.</w:t>
      </w:r>
    </w:p>
  </w:footnote>
  <w:footnote w:id="57">
    <w:p w14:paraId="4613D604" w14:textId="77777777" w:rsidR="00E312D2" w:rsidRDefault="00E312D2" w:rsidP="00194A3D">
      <w:pPr>
        <w:pStyle w:val="FootnoteText"/>
      </w:pPr>
      <w:r>
        <w:rPr>
          <w:rStyle w:val="FootnoteReference"/>
        </w:rPr>
        <w:footnoteRef/>
      </w:r>
      <w:r>
        <w:t xml:space="preserve"> </w:t>
      </w:r>
      <w:r w:rsidRPr="00665A26">
        <w:t>https://www.environment.gov.au/system/files/pages/06872cd4-b755-4ecf-a4e7-dd16145e1384/files/offshore-program-report.pdf</w:t>
      </w:r>
    </w:p>
  </w:footnote>
  <w:footnote w:id="58">
    <w:p w14:paraId="1BB3255F" w14:textId="7AF0C7FC" w:rsidR="00E312D2" w:rsidRDefault="00E312D2" w:rsidP="00160054">
      <w:pPr>
        <w:pStyle w:val="FootnoteText"/>
      </w:pPr>
      <w:r>
        <w:rPr>
          <w:rStyle w:val="FootnoteReference"/>
        </w:rPr>
        <w:footnoteRef/>
      </w:r>
      <w:r>
        <w:t xml:space="preserve"> Case study </w:t>
      </w:r>
      <w:r w:rsidR="00704119">
        <w:t>(</w:t>
      </w:r>
      <w:r w:rsidR="00704119" w:rsidRPr="00704119">
        <w:rPr>
          <w:b/>
          <w:bCs/>
        </w:rPr>
        <w:t>CS</w:t>
      </w:r>
      <w:r w:rsidR="00704119">
        <w:t xml:space="preserve">) </w:t>
      </w:r>
      <w:r>
        <w:t xml:space="preserve">numbers </w:t>
      </w:r>
      <w:r w:rsidR="00C02C33">
        <w:t xml:space="preserve">have been developed by the review team to preserve anonymity of cases extracted from </w:t>
      </w:r>
      <w:r>
        <w:t>NOPSEMA’s Regulatory Management System (</w:t>
      </w:r>
      <w:r w:rsidRPr="00A27958">
        <w:rPr>
          <w:b/>
          <w:bCs/>
        </w:rPr>
        <w:t>RMS</w:t>
      </w:r>
      <w:r>
        <w:t>).</w:t>
      </w:r>
    </w:p>
  </w:footnote>
  <w:footnote w:id="59">
    <w:p w14:paraId="3D0BFB39" w14:textId="77777777" w:rsidR="00E312D2" w:rsidRDefault="00E312D2" w:rsidP="00580F77">
      <w:pPr>
        <w:pStyle w:val="FootnoteText"/>
      </w:pPr>
      <w:r>
        <w:rPr>
          <w:rStyle w:val="FootnoteReference"/>
        </w:rPr>
        <w:footnoteRef/>
      </w:r>
      <w:r>
        <w:t xml:space="preserve"> </w:t>
      </w:r>
      <w:r w:rsidRPr="00C9141A">
        <w:t>For fixed facilities (platforms and pipelines), all facilities with an accepted safety case are deemed 'active' as they are still being maintained/inspected (regulatory effort) and there are people safety risks. However not all are currently producing hydrocarbons.</w:t>
      </w:r>
      <w:r w:rsidRPr="00606916">
        <w:t xml:space="preserve"> For mobile facilities, they must be in jurisdiction and engaged in petroleum activity at some stage within the year to be deemed 'active').</w:t>
      </w:r>
      <w:r>
        <w:t xml:space="preserve"> </w:t>
      </w:r>
      <w:r w:rsidRPr="00EE6060">
        <w:t>The majority of activities that began in 2015 would have been assessed in years leading up to 2015, during the previous</w:t>
      </w:r>
      <w:r>
        <w:t xml:space="preserve"> review period and are thus out of scope of the present review.</w:t>
      </w:r>
    </w:p>
  </w:footnote>
  <w:footnote w:id="60">
    <w:p w14:paraId="1DA86D4E" w14:textId="77777777" w:rsidR="00E312D2" w:rsidRDefault="00E312D2" w:rsidP="00580F77">
      <w:pPr>
        <w:pStyle w:val="FootnoteText"/>
      </w:pPr>
      <w:r>
        <w:rPr>
          <w:rStyle w:val="FootnoteReference"/>
        </w:rPr>
        <w:footnoteRef/>
      </w:r>
      <w:r>
        <w:t xml:space="preserve"> NOPSEMA internal document, 2021.</w:t>
      </w:r>
    </w:p>
  </w:footnote>
  <w:footnote w:id="61">
    <w:p w14:paraId="28F80B52" w14:textId="77777777" w:rsidR="00E312D2" w:rsidRDefault="00E312D2" w:rsidP="008638D4">
      <w:pPr>
        <w:pStyle w:val="FootnoteText"/>
      </w:pPr>
      <w:r>
        <w:rPr>
          <w:rStyle w:val="FootnoteReference"/>
        </w:rPr>
        <w:footnoteRef/>
      </w:r>
      <w:r>
        <w:t xml:space="preserve"> Jurisdiction covers Commonwealth waters only; petroleum activities are as defined in the OPGGS (Environment) Regulations.</w:t>
      </w:r>
    </w:p>
  </w:footnote>
  <w:footnote w:id="62">
    <w:p w14:paraId="740FB855" w14:textId="77777777" w:rsidR="00E312D2" w:rsidRDefault="00E312D2" w:rsidP="00262053">
      <w:pPr>
        <w:pStyle w:val="FootnoteText"/>
      </w:pPr>
      <w:r>
        <w:rPr>
          <w:rStyle w:val="FootnoteReference"/>
        </w:rPr>
        <w:footnoteRef/>
      </w:r>
      <w:r>
        <w:t xml:space="preserve"> Figures are dependent on titleholders providing start/stop notifications to NOPSEMA. For a petroleum activity that spans multiple years, the activity has been counted for each year it is active.</w:t>
      </w:r>
    </w:p>
  </w:footnote>
  <w:footnote w:id="63">
    <w:p w14:paraId="19D532F2" w14:textId="77777777" w:rsidR="00E312D2" w:rsidRDefault="00E312D2" w:rsidP="00580F77">
      <w:pPr>
        <w:pStyle w:val="FootnoteText"/>
      </w:pPr>
      <w:r>
        <w:rPr>
          <w:rStyle w:val="FootnoteReference"/>
        </w:rPr>
        <w:footnoteRef/>
      </w:r>
      <w:r>
        <w:t xml:space="preserve"> </w:t>
      </w:r>
      <w:r w:rsidRPr="00EE6060">
        <w:t>The majority of activities that began in 2015 would have been assessed in years leading up to 2015, during the previous</w:t>
      </w:r>
      <w:r>
        <w:t xml:space="preserve"> review period and are thus out of scope of the present review.</w:t>
      </w:r>
    </w:p>
  </w:footnote>
  <w:footnote w:id="64">
    <w:p w14:paraId="6D13A525" w14:textId="77777777" w:rsidR="00E312D2" w:rsidRDefault="00E312D2" w:rsidP="006B22CB">
      <w:pPr>
        <w:pStyle w:val="FootnoteText"/>
      </w:pPr>
      <w:r>
        <w:rPr>
          <w:rStyle w:val="FootnoteReference"/>
        </w:rPr>
        <w:footnoteRef/>
      </w:r>
      <w:r>
        <w:t xml:space="preserve"> Jurisdiction covers Commonwealth waters only; petroleum activities are as defined in the OPGGS (Environment) Regulations.</w:t>
      </w:r>
    </w:p>
  </w:footnote>
  <w:footnote w:id="65">
    <w:p w14:paraId="0D5741B1" w14:textId="77777777" w:rsidR="00E312D2" w:rsidRDefault="00E312D2" w:rsidP="000B5DF5">
      <w:pPr>
        <w:pStyle w:val="FootnoteText"/>
      </w:pPr>
      <w:r>
        <w:rPr>
          <w:rStyle w:val="FootnoteReference"/>
        </w:rPr>
        <w:footnoteRef/>
      </w:r>
      <w:r>
        <w:t xml:space="preserve"> </w:t>
      </w:r>
      <w:r w:rsidRPr="009C5E7B">
        <w:t>All incidents occurred in the Commonwealth Marine Area. Accidental chemical, fluid and hydrocarbon release volumes vary and initial investigations indicate</w:t>
      </w:r>
      <w:r>
        <w:t>d</w:t>
      </w:r>
      <w:r w:rsidRPr="009C5E7B">
        <w:t xml:space="preserve"> that total numbers provided are generally not indicative of significant impacts to the environment. </w:t>
      </w:r>
      <w:r>
        <w:t xml:space="preserve">Therefore, the figures noted above should not be used as a proxy for evaluating actual environmental impacts across the review period. </w:t>
      </w:r>
      <w:r w:rsidRPr="009C5E7B">
        <w:t>Fauna incidents includes all fauna related incidents without distinguishing the listing status or severity of incident.</w:t>
      </w:r>
    </w:p>
  </w:footnote>
  <w:footnote w:id="66">
    <w:p w14:paraId="258F6D50" w14:textId="77777777" w:rsidR="00E312D2" w:rsidRDefault="00E312D2" w:rsidP="00D91B84">
      <w:pPr>
        <w:pStyle w:val="FootnoteText"/>
      </w:pPr>
      <w:r>
        <w:rPr>
          <w:rStyle w:val="FootnoteReference"/>
        </w:rPr>
        <w:footnoteRef/>
      </w:r>
      <w:r>
        <w:t xml:space="preserve"> NOPSEMA, 2020. See: </w:t>
      </w:r>
      <w:r w:rsidRPr="00132DFB">
        <w:t>https://www.nopsema.gov.au/environmental-management/assessment-process/offshore-project-proposals/</w:t>
      </w:r>
    </w:p>
  </w:footnote>
  <w:footnote w:id="67">
    <w:p w14:paraId="109CBF25" w14:textId="77777777" w:rsidR="00E312D2" w:rsidRDefault="00E312D2" w:rsidP="009829BA">
      <w:pPr>
        <w:pStyle w:val="FootnoteText"/>
      </w:pPr>
      <w:r>
        <w:rPr>
          <w:rStyle w:val="FootnoteReference"/>
        </w:rPr>
        <w:footnoteRef/>
      </w:r>
      <w:r>
        <w:t xml:space="preserve"> Section 3A of the EPBC Act.</w:t>
      </w:r>
    </w:p>
  </w:footnote>
  <w:footnote w:id="68">
    <w:p w14:paraId="3A32E21E" w14:textId="77777777" w:rsidR="00E312D2" w:rsidRDefault="00E312D2" w:rsidP="000B5DF5">
      <w:pPr>
        <w:pStyle w:val="FootnoteText"/>
      </w:pPr>
      <w:r>
        <w:rPr>
          <w:rStyle w:val="FootnoteReference"/>
        </w:rPr>
        <w:footnoteRef/>
      </w:r>
      <w:r>
        <w:t xml:space="preserve"> Regulation 5C relates to the assessment of suitability of offshore project proposals for publication. The criteria for assessment are set out in 5C(2) and include that the proposal identifies and evaluates the environmental impacts and risks of the project, sets out environmental performance outcomes that are consistent with the principles of ecologically sustainable development and relevant to the identified environmental impacts and risks for the project, does not involve an activity or part of an activity being undertaken in any part of a declared World Heritage property within the meaning of the EPBC Act. NOPSEMA may only accept a proposal for an offshore project if it is consistent with the principles of ESD are enshrined in regulation 5D (5) and (6) (there are a number of other criteria that must also be met). </w:t>
      </w:r>
    </w:p>
  </w:footnote>
  <w:footnote w:id="69">
    <w:p w14:paraId="238219B1" w14:textId="77777777" w:rsidR="006F0ECB" w:rsidRDefault="006F0ECB" w:rsidP="006F0ECB">
      <w:pPr>
        <w:pStyle w:val="FootnoteText"/>
      </w:pPr>
      <w:r>
        <w:rPr>
          <w:rStyle w:val="FootnoteReference"/>
        </w:rPr>
        <w:footnoteRef/>
      </w:r>
      <w:r>
        <w:t xml:space="preserve"> NOPSEMA internal documents.</w:t>
      </w:r>
    </w:p>
  </w:footnote>
  <w:footnote w:id="70">
    <w:p w14:paraId="0A58EF79" w14:textId="77777777" w:rsidR="00427F3C" w:rsidRDefault="00427F3C" w:rsidP="00427F3C">
      <w:pPr>
        <w:pStyle w:val="FootnoteText"/>
      </w:pPr>
      <w:r>
        <w:rPr>
          <w:rStyle w:val="FootnoteReference"/>
        </w:rPr>
        <w:footnoteRef/>
      </w:r>
      <w:r>
        <w:t xml:space="preserve"> Ibid.</w:t>
      </w:r>
    </w:p>
  </w:footnote>
  <w:footnote w:id="71">
    <w:p w14:paraId="10EF3424" w14:textId="77777777" w:rsidR="002723F9" w:rsidRDefault="002723F9" w:rsidP="002723F9">
      <w:pPr>
        <w:pStyle w:val="FootnoteText"/>
      </w:pPr>
      <w:r>
        <w:rPr>
          <w:rStyle w:val="FootnoteReference"/>
        </w:rPr>
        <w:footnoteRef/>
      </w:r>
      <w:r>
        <w:t xml:space="preserve"> Ibid.</w:t>
      </w:r>
    </w:p>
  </w:footnote>
  <w:footnote w:id="72">
    <w:p w14:paraId="6FBB1307" w14:textId="56203F9F" w:rsidR="0060700A" w:rsidRDefault="0060700A" w:rsidP="0060700A">
      <w:pPr>
        <w:pStyle w:val="FootnoteText"/>
      </w:pPr>
      <w:r>
        <w:rPr>
          <w:rStyle w:val="FootnoteReference"/>
        </w:rPr>
        <w:footnoteRef/>
      </w:r>
      <w:r>
        <w:t xml:space="preserve"> For example</w:t>
      </w:r>
      <w:r w:rsidR="002527EA">
        <w:t>, see</w:t>
      </w:r>
      <w:r w:rsidR="00B37588">
        <w:rPr>
          <w:lang w:val="en-GB"/>
        </w:rPr>
        <w:t xml:space="preserve">: </w:t>
      </w:r>
      <w:r w:rsidR="00B37588" w:rsidRPr="00B37588">
        <w:rPr>
          <w:lang w:val="en-GB"/>
        </w:rPr>
        <w:t>https://www.nopsema.gov.au/assets/OPPs/A724553.pdf</w:t>
      </w:r>
    </w:p>
  </w:footnote>
  <w:footnote w:id="73">
    <w:p w14:paraId="209A38CD" w14:textId="1D1BA299" w:rsidR="00DB0737" w:rsidRDefault="00DB0737">
      <w:pPr>
        <w:pStyle w:val="FootnoteText"/>
      </w:pPr>
      <w:r>
        <w:rPr>
          <w:rStyle w:val="FootnoteReference"/>
        </w:rPr>
        <w:footnoteRef/>
      </w:r>
      <w:r>
        <w:t xml:space="preserve"> Ibid.</w:t>
      </w:r>
    </w:p>
  </w:footnote>
  <w:footnote w:id="74">
    <w:p w14:paraId="5377AE26" w14:textId="77777777" w:rsidR="00E312D2" w:rsidRDefault="00E312D2" w:rsidP="000B5DF5">
      <w:pPr>
        <w:pStyle w:val="FootnoteText"/>
      </w:pPr>
      <w:r>
        <w:rPr>
          <w:rStyle w:val="FootnoteReference"/>
        </w:rPr>
        <w:footnoteRef/>
      </w:r>
      <w:r>
        <w:t xml:space="preserve"> NOPSEMA, 2019. See: </w:t>
      </w:r>
      <w:r w:rsidRPr="007C5305">
        <w:t>https://www.nopsema.gov.au/assets/Guidelines/A524696.pdf</w:t>
      </w:r>
    </w:p>
  </w:footnote>
  <w:footnote w:id="75">
    <w:p w14:paraId="3A23A77F" w14:textId="77777777" w:rsidR="00E312D2" w:rsidRDefault="00E312D2" w:rsidP="00232334">
      <w:pPr>
        <w:pStyle w:val="FootnoteText"/>
      </w:pPr>
      <w:r>
        <w:rPr>
          <w:rStyle w:val="FootnoteReference"/>
        </w:rPr>
        <w:footnoteRef/>
      </w:r>
      <w:r>
        <w:t xml:space="preserve"> NOPSEMA internal document.</w:t>
      </w:r>
    </w:p>
  </w:footnote>
  <w:footnote w:id="76">
    <w:p w14:paraId="04DD7D3F" w14:textId="77777777" w:rsidR="00E312D2" w:rsidRDefault="00E312D2" w:rsidP="00232334">
      <w:pPr>
        <w:pStyle w:val="FootnoteText"/>
      </w:pPr>
      <w:r>
        <w:rPr>
          <w:rStyle w:val="FootnoteReference"/>
        </w:rPr>
        <w:footnoteRef/>
      </w:r>
      <w:r>
        <w:t xml:space="preserve"> Ibid.</w:t>
      </w:r>
    </w:p>
  </w:footnote>
  <w:footnote w:id="77">
    <w:p w14:paraId="661C079C" w14:textId="77777777" w:rsidR="00E312D2" w:rsidRDefault="00E312D2" w:rsidP="00715AF0">
      <w:pPr>
        <w:pStyle w:val="FootnoteText"/>
      </w:pPr>
      <w:r>
        <w:rPr>
          <w:rStyle w:val="FootnoteReference"/>
        </w:rPr>
        <w:footnoteRef/>
      </w:r>
      <w:r>
        <w:t xml:space="preserve"> NOPSEMA, 2019. See: </w:t>
      </w:r>
      <w:r w:rsidRPr="007C5305">
        <w:t>https://www.nopsema.gov.au/assets/Guidelines/A524696.pdf</w:t>
      </w:r>
    </w:p>
  </w:footnote>
  <w:footnote w:id="78">
    <w:p w14:paraId="615682F0" w14:textId="77777777" w:rsidR="00E312D2" w:rsidRDefault="00E312D2" w:rsidP="007B26DD">
      <w:pPr>
        <w:pStyle w:val="FootnoteText"/>
      </w:pPr>
      <w:r>
        <w:rPr>
          <w:rStyle w:val="FootnoteReference"/>
        </w:rPr>
        <w:footnoteRef/>
      </w:r>
      <w:r>
        <w:t xml:space="preserve"> Endorsed Program, page 10.</w:t>
      </w:r>
    </w:p>
  </w:footnote>
  <w:footnote w:id="79">
    <w:p w14:paraId="254355C6" w14:textId="77777777" w:rsidR="00E312D2" w:rsidRDefault="00E312D2" w:rsidP="00715AF0">
      <w:pPr>
        <w:pStyle w:val="FootnoteText"/>
      </w:pPr>
      <w:r>
        <w:rPr>
          <w:rStyle w:val="FootnoteReference"/>
        </w:rPr>
        <w:footnoteRef/>
      </w:r>
      <w:r>
        <w:t xml:space="preserve"> Available at: </w:t>
      </w:r>
      <w:r w:rsidRPr="00D03305">
        <w:t>https://www.nopsema.gov.au/assets/Guidance-notes/A339814.pdf</w:t>
      </w:r>
      <w:r w:rsidRPr="00AB597A">
        <w:rPr>
          <w:szCs w:val="16"/>
        </w:rPr>
        <w:t xml:space="preserve">. </w:t>
      </w:r>
      <w:r w:rsidRPr="00AB597A">
        <w:rPr>
          <w:bCs/>
          <w:szCs w:val="16"/>
        </w:rPr>
        <w:t xml:space="preserve">Other guidance includes the Petroleum activities and Australian marine parks guidance note, and the Responding to public comment on environment plans guidance note, the ALARP Guidance note, the Risk assessment guidance note, ALARP in the context of well integrity. The </w:t>
      </w:r>
      <w:r>
        <w:rPr>
          <w:bCs/>
          <w:szCs w:val="16"/>
        </w:rPr>
        <w:t>e</w:t>
      </w:r>
      <w:r w:rsidRPr="00AB597A">
        <w:rPr>
          <w:bCs/>
          <w:szCs w:val="16"/>
        </w:rPr>
        <w:t>nvironment plan assessment policy and environment inspections policy also reflect this requirement.</w:t>
      </w:r>
      <w:r>
        <w:rPr>
          <w:bCs/>
          <w:sz w:val="18"/>
          <w:szCs w:val="18"/>
        </w:rPr>
        <w:t xml:space="preserve"> </w:t>
      </w:r>
    </w:p>
  </w:footnote>
  <w:footnote w:id="80">
    <w:p w14:paraId="02A65673" w14:textId="77777777" w:rsidR="00E312D2" w:rsidRDefault="00E312D2" w:rsidP="00715AF0">
      <w:pPr>
        <w:pStyle w:val="FootnoteText"/>
      </w:pPr>
      <w:r>
        <w:rPr>
          <w:rStyle w:val="FootnoteReference"/>
        </w:rPr>
        <w:footnoteRef/>
      </w:r>
      <w:r>
        <w:t xml:space="preserve"> Ibid.</w:t>
      </w:r>
    </w:p>
  </w:footnote>
  <w:footnote w:id="81">
    <w:p w14:paraId="50E8C640" w14:textId="77777777" w:rsidR="00E312D2" w:rsidRDefault="00E312D2" w:rsidP="00715AF0">
      <w:pPr>
        <w:pStyle w:val="FootnoteText"/>
      </w:pPr>
      <w:r>
        <w:rPr>
          <w:rStyle w:val="FootnoteReference"/>
        </w:rPr>
        <w:footnoteRef/>
      </w:r>
      <w:r>
        <w:t xml:space="preserve"> Endorsed Program, page 45.</w:t>
      </w:r>
    </w:p>
  </w:footnote>
  <w:footnote w:id="82">
    <w:p w14:paraId="2EFFB010" w14:textId="77777777" w:rsidR="00E312D2" w:rsidRDefault="00E312D2" w:rsidP="00DB5A6A">
      <w:pPr>
        <w:pStyle w:val="FootnoteText"/>
      </w:pPr>
      <w:r>
        <w:rPr>
          <w:rStyle w:val="FootnoteReference"/>
        </w:rPr>
        <w:footnoteRef/>
      </w:r>
      <w:r>
        <w:t xml:space="preserve"> </w:t>
      </w:r>
      <w:r>
        <w:rPr>
          <w:lang w:val="en-GB"/>
        </w:rPr>
        <w:t xml:space="preserve">As described in NOPSEMA publication </w:t>
      </w:r>
      <w:r w:rsidRPr="00067275">
        <w:rPr>
          <w:i/>
          <w:iCs/>
          <w:lang w:val="en-GB"/>
        </w:rPr>
        <w:t>Clarifying arrangements for Environmental regulation of petroleum activities in Commonwealth waters March 2014</w:t>
      </w:r>
      <w:r>
        <w:rPr>
          <w:lang w:val="en-GB"/>
        </w:rPr>
        <w:t>.</w:t>
      </w:r>
    </w:p>
  </w:footnote>
  <w:footnote w:id="83">
    <w:p w14:paraId="72A3BCC6" w14:textId="0CFC0CA0" w:rsidR="00E312D2" w:rsidRDefault="00E312D2" w:rsidP="007C15D8">
      <w:pPr>
        <w:pStyle w:val="FootnoteText"/>
      </w:pPr>
      <w:r>
        <w:rPr>
          <w:rStyle w:val="FootnoteReference"/>
        </w:rPr>
        <w:footnoteRef/>
      </w:r>
      <w:r>
        <w:t xml:space="preserve"> Reference to the respective OFI and/or observation from the 2015 Endorsed Program Assessment.</w:t>
      </w:r>
    </w:p>
  </w:footnote>
  <w:footnote w:id="84">
    <w:p w14:paraId="0E8DFB82" w14:textId="52616248" w:rsidR="00E312D2" w:rsidRDefault="00E312D2" w:rsidP="007C15D8">
      <w:pPr>
        <w:pStyle w:val="FootnoteText"/>
      </w:pPr>
      <w:r>
        <w:rPr>
          <w:rStyle w:val="FootnoteReference"/>
        </w:rPr>
        <w:footnoteRef/>
      </w:r>
      <w:r>
        <w:t xml:space="preserve"> OFI and/or observation as described in the 2015 Endorsed Program Assessment.</w:t>
      </w:r>
    </w:p>
  </w:footnote>
  <w:footnote w:id="85">
    <w:p w14:paraId="77F667BD" w14:textId="20DB4EB0" w:rsidR="00E312D2" w:rsidRDefault="00E312D2" w:rsidP="007C15D8">
      <w:pPr>
        <w:pStyle w:val="FootnoteText"/>
      </w:pPr>
      <w:r>
        <w:rPr>
          <w:rStyle w:val="FootnoteReference"/>
        </w:rPr>
        <w:footnoteRef/>
      </w:r>
      <w:r>
        <w:t xml:space="preserve"> Our review and assessment of NOPSEMA’s progress in addressing OFIs and/or observations raised in the 2015 Endorsed Program Assessment.</w:t>
      </w:r>
    </w:p>
  </w:footnote>
  <w:footnote w:id="86">
    <w:p w14:paraId="44D85456" w14:textId="77777777" w:rsidR="00E312D2" w:rsidRDefault="00E312D2" w:rsidP="007C15D8">
      <w:pPr>
        <w:pStyle w:val="FootnoteText"/>
      </w:pPr>
      <w:r>
        <w:rPr>
          <w:rStyle w:val="FootnoteReference"/>
        </w:rPr>
        <w:footnoteRef/>
      </w:r>
      <w:r>
        <w:t xml:space="preserve"> These refer to NOPSEMA document reference numbers.</w:t>
      </w:r>
    </w:p>
  </w:footnote>
  <w:footnote w:id="87">
    <w:p w14:paraId="217A2751" w14:textId="77777777" w:rsidR="00E312D2" w:rsidRDefault="00E312D2" w:rsidP="007C15D8">
      <w:pPr>
        <w:pStyle w:val="FootnoteText"/>
      </w:pPr>
      <w:r>
        <w:rPr>
          <w:rStyle w:val="FootnoteReference"/>
        </w:rPr>
        <w:footnoteRef/>
      </w:r>
      <w:r>
        <w:t xml:space="preserve"> NOPSEMA, 2020. See: https://www.nopsema.gov.au/assets/Guidance-notes/A473026.pdf</w:t>
      </w:r>
    </w:p>
  </w:footnote>
  <w:footnote w:id="88">
    <w:p w14:paraId="3E0FBCE0" w14:textId="322F6C4F" w:rsidR="00E312D2" w:rsidRDefault="00E312D2" w:rsidP="007C15D8">
      <w:pPr>
        <w:pStyle w:val="FootnoteText"/>
      </w:pPr>
      <w:r>
        <w:rPr>
          <w:rStyle w:val="FootnoteReference"/>
        </w:rPr>
        <w:footnoteRef/>
      </w:r>
      <w:r>
        <w:t xml:space="preserve"> We note earlier in our report that NOPSEMA would benefit from greater use of data-driven risk-based assessments and inspections processes.</w:t>
      </w:r>
    </w:p>
  </w:footnote>
  <w:footnote w:id="89">
    <w:p w14:paraId="50D7F23E" w14:textId="4E2224EC" w:rsidR="00E312D2" w:rsidRPr="00067275" w:rsidRDefault="00E312D2" w:rsidP="007C15D8">
      <w:pPr>
        <w:pStyle w:val="FootnoteText"/>
        <w:rPr>
          <w:lang w:val="en-GB"/>
        </w:rPr>
      </w:pPr>
      <w:r>
        <w:rPr>
          <w:rStyle w:val="FootnoteReference"/>
        </w:rPr>
        <w:footnoteRef/>
      </w:r>
      <w:r>
        <w:t xml:space="preserve"> DAWE, 2020. See: </w:t>
      </w:r>
      <w:r w:rsidRPr="000C2EAF">
        <w:t>http://www.environment.gov.au/webgis-framework/apps/pmst/pmst.jsf</w:t>
      </w:r>
    </w:p>
  </w:footnote>
  <w:footnote w:id="90">
    <w:p w14:paraId="3F3D338E" w14:textId="1774DB6D" w:rsidR="000E27D8" w:rsidRDefault="000E27D8">
      <w:pPr>
        <w:pStyle w:val="FootnoteText"/>
      </w:pPr>
      <w:r>
        <w:rPr>
          <w:rStyle w:val="FootnoteReference"/>
        </w:rPr>
        <w:footnoteRef/>
      </w:r>
      <w:r>
        <w:t xml:space="preserve"> 2017 Administrative Arrangements </w:t>
      </w:r>
      <w:r w:rsidR="006E64A7">
        <w:t>commitments</w:t>
      </w:r>
      <w:r w:rsidR="00EB0244">
        <w:t>.</w:t>
      </w:r>
    </w:p>
  </w:footnote>
  <w:footnote w:id="91">
    <w:p w14:paraId="4740B561" w14:textId="77777777" w:rsidR="00E312D2" w:rsidRDefault="00E312D2" w:rsidP="007C15D8">
      <w:pPr>
        <w:pStyle w:val="FootnoteText"/>
      </w:pPr>
      <w:r>
        <w:rPr>
          <w:rStyle w:val="FootnoteReference"/>
        </w:rPr>
        <w:footnoteRef/>
      </w:r>
      <w:r>
        <w:t xml:space="preserve"> NOPSEMA, 2020. See: https://www.nopsema.gov.au/assets/Guidance-notes/A620236.pdf </w:t>
      </w:r>
    </w:p>
  </w:footnote>
  <w:footnote w:id="92">
    <w:p w14:paraId="7A8AE1EB" w14:textId="12C2A513" w:rsidR="00E312D2" w:rsidRDefault="00E312D2" w:rsidP="005727A7">
      <w:pPr>
        <w:pStyle w:val="FootnoteText"/>
      </w:pPr>
      <w:r>
        <w:rPr>
          <w:rStyle w:val="FootnoteReference"/>
        </w:rPr>
        <w:footnoteRef/>
      </w:r>
      <w:r>
        <w:t xml:space="preserve"> Consultation with Commonwealth agencies with responsibilities in the marine area – document number N-06800-GL1887 - A705589. See: https://www.nopsema.gov.au/assets/Guidelines/A705589.pdf </w:t>
      </w:r>
    </w:p>
  </w:footnote>
  <w:footnote w:id="93">
    <w:p w14:paraId="54E5020E" w14:textId="09F2F2E8" w:rsidR="00E312D2" w:rsidRDefault="00E312D2" w:rsidP="00866EDB">
      <w:pPr>
        <w:pStyle w:val="FootnoteText"/>
      </w:pPr>
      <w:r>
        <w:rPr>
          <w:rStyle w:val="FootnoteReference"/>
        </w:rPr>
        <w:footnoteRef/>
      </w:r>
      <w:r>
        <w:t xml:space="preserve"> NOPSEMA, 2020. See: https://www.nopsema.gov.au/assets/Corporate/A745685.pdf </w:t>
      </w:r>
    </w:p>
  </w:footnote>
  <w:footnote w:id="94">
    <w:p w14:paraId="3A6A7294" w14:textId="0EA9ADF6" w:rsidR="00E312D2" w:rsidRDefault="00E312D2" w:rsidP="00866EDB">
      <w:pPr>
        <w:pStyle w:val="FootnoteText"/>
      </w:pPr>
      <w:r>
        <w:rPr>
          <w:rStyle w:val="FootnoteReference"/>
        </w:rPr>
        <w:footnoteRef/>
      </w:r>
      <w:r>
        <w:t xml:space="preserve"> Innovation grants available to help better protect whales. See: https://www.nopsema.gov.au/news-and-publications/latest-news/news-announcement/2020/08/18/innovation-grants-available-to-help-better-protect-whales/</w:t>
      </w:r>
    </w:p>
  </w:footnote>
  <w:footnote w:id="95">
    <w:p w14:paraId="799DD99E" w14:textId="77777777" w:rsidR="00E312D2" w:rsidRDefault="00E312D2" w:rsidP="00866EDB">
      <w:pPr>
        <w:pStyle w:val="FootnoteText"/>
      </w:pPr>
      <w:r>
        <w:rPr>
          <w:rStyle w:val="FootnoteReference"/>
        </w:rPr>
        <w:footnoteRef/>
      </w:r>
      <w:r>
        <w:t xml:space="preserve"> Document reference N-04750-SOP1369 Rev 16.</w:t>
      </w:r>
    </w:p>
  </w:footnote>
  <w:footnote w:id="96">
    <w:p w14:paraId="48045EF1" w14:textId="77777777" w:rsidR="00E312D2" w:rsidRDefault="00E312D2" w:rsidP="00866EDB">
      <w:pPr>
        <w:pStyle w:val="FootnoteText"/>
      </w:pPr>
      <w:r>
        <w:rPr>
          <w:rStyle w:val="FootnoteReference"/>
        </w:rPr>
        <w:footnoteRef/>
      </w:r>
      <w:r>
        <w:t xml:space="preserve"> This section contains our assessment of all of NOPSEMA’s permissioning documents, including additional detail on stakeholder perceptions.</w:t>
      </w:r>
    </w:p>
  </w:footnote>
  <w:footnote w:id="97">
    <w:p w14:paraId="37E906DD" w14:textId="51A8DE57" w:rsidR="00E312D2" w:rsidRDefault="00E312D2" w:rsidP="00866EDB">
      <w:pPr>
        <w:pStyle w:val="FootnoteText"/>
      </w:pPr>
      <w:r>
        <w:rPr>
          <w:rStyle w:val="FootnoteReference"/>
        </w:rPr>
        <w:footnoteRef/>
      </w:r>
      <w:r>
        <w:t xml:space="preserve"> DAWE. See: </w:t>
      </w:r>
      <w:r w:rsidRPr="00457EED">
        <w:t>https://www.environment.gov.au/topics/marine/marine-bioregional-plans/conservation-values-atlas</w:t>
      </w:r>
    </w:p>
  </w:footnote>
  <w:footnote w:id="98">
    <w:p w14:paraId="052CA507" w14:textId="77777777" w:rsidR="00E312D2" w:rsidRDefault="00E312D2" w:rsidP="00866EDB">
      <w:pPr>
        <w:pStyle w:val="FootnoteText"/>
      </w:pPr>
      <w:r>
        <w:rPr>
          <w:rStyle w:val="FootnoteReference"/>
        </w:rPr>
        <w:footnoteRef/>
      </w:r>
      <w:r>
        <w:t xml:space="preserve"> Ibid.</w:t>
      </w:r>
    </w:p>
  </w:footnote>
  <w:footnote w:id="99">
    <w:p w14:paraId="0D913571" w14:textId="77777777" w:rsidR="00E312D2" w:rsidRDefault="00E312D2" w:rsidP="00DA0585">
      <w:pPr>
        <w:pStyle w:val="FootnoteText"/>
      </w:pPr>
      <w:r>
        <w:rPr>
          <w:rStyle w:val="FootnoteReference"/>
        </w:rPr>
        <w:footnoteRef/>
      </w:r>
      <w:r>
        <w:t xml:space="preserve"> Although we discuss NOPTA as an ‘entity’ here, it is important to reinforce that NOPTA exists as a branch of DISER.</w:t>
      </w:r>
    </w:p>
  </w:footnote>
  <w:footnote w:id="100">
    <w:p w14:paraId="633A81AA" w14:textId="77777777" w:rsidR="00E312D2" w:rsidRDefault="00E312D2" w:rsidP="00866EDB">
      <w:pPr>
        <w:pStyle w:val="FootnoteText"/>
      </w:pPr>
      <w:r>
        <w:rPr>
          <w:rStyle w:val="FootnoteReference"/>
        </w:rPr>
        <w:footnoteRef/>
      </w:r>
      <w:r>
        <w:t xml:space="preserve"> Productivity Commission Review.</w:t>
      </w:r>
    </w:p>
  </w:footnote>
  <w:footnote w:id="101">
    <w:p w14:paraId="4FAF4371" w14:textId="77777777" w:rsidR="00E312D2" w:rsidRDefault="00E312D2" w:rsidP="00DA0585">
      <w:pPr>
        <w:pStyle w:val="FootnoteText"/>
      </w:pPr>
      <w:r>
        <w:rPr>
          <w:rStyle w:val="FootnoteReference"/>
        </w:rPr>
        <w:footnoteRef/>
      </w:r>
      <w:r>
        <w:t xml:space="preserve"> For the avoidance of doubt, this is not referring to the sharing of organisational governance models.</w:t>
      </w:r>
    </w:p>
  </w:footnote>
  <w:footnote w:id="102">
    <w:p w14:paraId="5A82DA6F" w14:textId="77777777" w:rsidR="00E312D2" w:rsidRDefault="00E312D2" w:rsidP="00866EDB">
      <w:pPr>
        <w:pStyle w:val="FootnoteText"/>
      </w:pPr>
      <w:r>
        <w:rPr>
          <w:rStyle w:val="FootnoteReference"/>
        </w:rPr>
        <w:footnoteRef/>
      </w:r>
      <w:r>
        <w:t xml:space="preserve"> Deloitte, Regulator’s New Toolkit.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7A882" w14:textId="77777777" w:rsidR="00E635B6" w:rsidRDefault="00E635B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2173F" w14:textId="5B01F534" w:rsidR="00E312D2" w:rsidRPr="002B0B05" w:rsidRDefault="00E312D2">
    <w:pPr>
      <w:rPr>
        <w:rFonts w:ascii="Calibri Light" w:hAnsi="Calibri Light" w:cs="Calibri Light"/>
      </w:rPr>
    </w:pPr>
    <w:r w:rsidRPr="00B34F07">
      <w:rPr>
        <w:rFonts w:ascii="Calibri Light" w:hAnsi="Calibri Light" w:cs="Calibri Light"/>
        <w:noProof/>
        <w:lang w:eastAsia="en-AU"/>
      </w:rPr>
      <w:drawing>
        <wp:anchor distT="0" distB="0" distL="0" distR="0" simplePos="0" relativeHeight="251658273" behindDoc="1" locked="0" layoutInCell="1" allowOverlap="1" wp14:anchorId="1FE2CC2B" wp14:editId="5ABF3FE6">
          <wp:simplePos x="0" y="0"/>
          <wp:positionH relativeFrom="page">
            <wp:posOffset>3600000</wp:posOffset>
          </wp:positionH>
          <wp:positionV relativeFrom="page">
            <wp:posOffset>10188000</wp:posOffset>
          </wp:positionV>
          <wp:extent cx="5553450" cy="154800"/>
          <wp:effectExtent l="0" t="0" r="0" b="0"/>
          <wp:wrapNone/>
          <wp:docPr id="1179951919"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75" behindDoc="1" locked="0" layoutInCell="1" allowOverlap="1" wp14:anchorId="259B05EC" wp14:editId="5CB76152">
          <wp:simplePos x="0" y="0"/>
          <wp:positionH relativeFrom="page">
            <wp:posOffset>3600000</wp:posOffset>
          </wp:positionH>
          <wp:positionV relativeFrom="page">
            <wp:posOffset>10188000</wp:posOffset>
          </wp:positionV>
          <wp:extent cx="5553450" cy="154800"/>
          <wp:effectExtent l="0" t="0" r="0" b="0"/>
          <wp:wrapNone/>
          <wp:docPr id="1179951921"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B34F07">
      <w:rPr>
        <w:rFonts w:ascii="Calibri Light" w:hAnsi="Calibri Light" w:cs="Calibri Light"/>
      </w:rPr>
      <w:t>2020 Statutory Review of the National Offshore Petroleum Safety and Environmental Management Authority</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62110" w14:textId="13257AF4" w:rsidR="00E312D2" w:rsidRPr="002B0B05" w:rsidRDefault="00E312D2">
    <w:pPr>
      <w:rPr>
        <w:rFonts w:ascii="Calibri Light" w:hAnsi="Calibri Light" w:cs="Calibri Light"/>
      </w:rPr>
    </w:pPr>
    <w:r w:rsidRPr="00B34F07">
      <w:rPr>
        <w:rFonts w:ascii="Calibri Light" w:hAnsi="Calibri Light" w:cs="Calibri Light"/>
        <w:noProof/>
        <w:lang w:eastAsia="en-AU"/>
      </w:rPr>
      <w:drawing>
        <wp:anchor distT="0" distB="0" distL="0" distR="0" simplePos="0" relativeHeight="251658276" behindDoc="1" locked="0" layoutInCell="1" allowOverlap="1" wp14:anchorId="376F4C63" wp14:editId="43D254A5">
          <wp:simplePos x="0" y="0"/>
          <wp:positionH relativeFrom="page">
            <wp:posOffset>3600000</wp:posOffset>
          </wp:positionH>
          <wp:positionV relativeFrom="page">
            <wp:posOffset>10188000</wp:posOffset>
          </wp:positionV>
          <wp:extent cx="5553450" cy="154800"/>
          <wp:effectExtent l="0" t="0" r="0" b="0"/>
          <wp:wrapNone/>
          <wp:docPr id="1179951922"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77" behindDoc="1" locked="0" layoutInCell="1" allowOverlap="1" wp14:anchorId="1C789EA1" wp14:editId="5A6A394A">
          <wp:simplePos x="0" y="0"/>
          <wp:positionH relativeFrom="page">
            <wp:posOffset>3600000</wp:posOffset>
          </wp:positionH>
          <wp:positionV relativeFrom="page">
            <wp:posOffset>10188000</wp:posOffset>
          </wp:positionV>
          <wp:extent cx="5553450" cy="154800"/>
          <wp:effectExtent l="0" t="0" r="0" b="0"/>
          <wp:wrapNone/>
          <wp:docPr id="1179951924"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B34F07">
      <w:rPr>
        <w:rFonts w:ascii="Calibri Light" w:hAnsi="Calibri Light" w:cs="Calibri Light"/>
      </w:rPr>
      <w:t>2020 Statutory Review of the National Offshore Petroleum Safety and Environmental Management Authority</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8908C7" w14:textId="7832193A" w:rsidR="00E312D2" w:rsidRPr="002B0B05" w:rsidRDefault="00E312D2">
    <w:pPr>
      <w:rPr>
        <w:rFonts w:ascii="Calibri Light" w:hAnsi="Calibri Light" w:cs="Calibri Light"/>
      </w:rPr>
    </w:pPr>
    <w:r w:rsidRPr="00B34F07">
      <w:rPr>
        <w:rFonts w:ascii="Calibri Light" w:hAnsi="Calibri Light" w:cs="Calibri Light"/>
        <w:noProof/>
        <w:lang w:eastAsia="en-AU"/>
      </w:rPr>
      <w:drawing>
        <wp:anchor distT="0" distB="0" distL="0" distR="0" simplePos="0" relativeHeight="251658280" behindDoc="1" locked="0" layoutInCell="1" allowOverlap="1" wp14:anchorId="52226AEC" wp14:editId="0D6CB528">
          <wp:simplePos x="0" y="0"/>
          <wp:positionH relativeFrom="page">
            <wp:posOffset>3600000</wp:posOffset>
          </wp:positionH>
          <wp:positionV relativeFrom="page">
            <wp:posOffset>10188000</wp:posOffset>
          </wp:positionV>
          <wp:extent cx="5553450" cy="154800"/>
          <wp:effectExtent l="0" t="0" r="0" b="0"/>
          <wp:wrapNone/>
          <wp:docPr id="1179951928"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81" behindDoc="1" locked="0" layoutInCell="1" allowOverlap="1" wp14:anchorId="1E6E75B5" wp14:editId="0EA660BF">
          <wp:simplePos x="0" y="0"/>
          <wp:positionH relativeFrom="page">
            <wp:posOffset>3600000</wp:posOffset>
          </wp:positionH>
          <wp:positionV relativeFrom="page">
            <wp:posOffset>10188000</wp:posOffset>
          </wp:positionV>
          <wp:extent cx="5553450" cy="154800"/>
          <wp:effectExtent l="0" t="0" r="0" b="0"/>
          <wp:wrapNone/>
          <wp:docPr id="1179951929" name="Confidential_Hide4"/>
          <wp:cNvGraphicFramePr/>
          <a:graphic xmlns:a="http://schemas.openxmlformats.org/drawingml/2006/main">
            <a:graphicData uri="http://schemas.openxmlformats.org/drawingml/2006/picture">
              <pic:pic xmlns:pic="http://schemas.openxmlformats.org/drawingml/2006/picture">
                <pic:nvPicPr>
                  <pic:cNvPr id="2126269769" name="Confidential_Hide4"/>
                  <pic:cNvPicPr/>
                </pic:nvPicPr>
                <pic:blipFill>
                  <a:blip r:embed="rId2"/>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82" behindDoc="1" locked="0" layoutInCell="1" allowOverlap="1" wp14:anchorId="1FDA3783" wp14:editId="119051F1">
          <wp:simplePos x="0" y="0"/>
          <wp:positionH relativeFrom="page">
            <wp:posOffset>3600000</wp:posOffset>
          </wp:positionH>
          <wp:positionV relativeFrom="page">
            <wp:posOffset>10188000</wp:posOffset>
          </wp:positionV>
          <wp:extent cx="5553450" cy="154800"/>
          <wp:effectExtent l="0" t="0" r="0" b="0"/>
          <wp:wrapNone/>
          <wp:docPr id="1179951930"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3"/>
                  <a:srcRect/>
                  <a:stretch/>
                </pic:blipFill>
                <pic:spPr>
                  <a:xfrm>
                    <a:off x="0" y="0"/>
                    <a:ext cx="5553450" cy="154800"/>
                  </a:xfrm>
                  <a:prstGeom prst="rect">
                    <a:avLst/>
                  </a:prstGeom>
                </pic:spPr>
              </pic:pic>
            </a:graphicData>
          </a:graphic>
        </wp:anchor>
      </w:drawing>
    </w:r>
    <w:r w:rsidRPr="00B34F07">
      <w:rPr>
        <w:rFonts w:ascii="Calibri Light" w:hAnsi="Calibri Light" w:cs="Calibri Light"/>
      </w:rPr>
      <w:t>2020 Statutory Review of the National Offshore Petroleum Safety and Environmental Management Authority</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37DFF" w14:textId="5335767B" w:rsidR="00E312D2" w:rsidRPr="002B0B05" w:rsidRDefault="00E312D2">
    <w:pPr>
      <w:rPr>
        <w:rFonts w:ascii="Calibri Light" w:hAnsi="Calibri Light" w:cs="Calibri Light"/>
      </w:rPr>
    </w:pPr>
    <w:r w:rsidRPr="00B34F07">
      <w:rPr>
        <w:rFonts w:ascii="Calibri Light" w:hAnsi="Calibri Light" w:cs="Calibri Light"/>
        <w:noProof/>
        <w:lang w:eastAsia="en-AU"/>
      </w:rPr>
      <w:drawing>
        <wp:anchor distT="0" distB="0" distL="0" distR="0" simplePos="0" relativeHeight="251658278" behindDoc="1" locked="0" layoutInCell="1" allowOverlap="1" wp14:anchorId="57358071" wp14:editId="3A8D62F7">
          <wp:simplePos x="0" y="0"/>
          <wp:positionH relativeFrom="page">
            <wp:posOffset>3600000</wp:posOffset>
          </wp:positionH>
          <wp:positionV relativeFrom="page">
            <wp:posOffset>10188000</wp:posOffset>
          </wp:positionV>
          <wp:extent cx="5553450" cy="154800"/>
          <wp:effectExtent l="0" t="0" r="0" b="0"/>
          <wp:wrapNone/>
          <wp:docPr id="1179951925"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79" behindDoc="1" locked="0" layoutInCell="1" allowOverlap="1" wp14:anchorId="1B8ACE9E" wp14:editId="37255140">
          <wp:simplePos x="0" y="0"/>
          <wp:positionH relativeFrom="page">
            <wp:posOffset>3600000</wp:posOffset>
          </wp:positionH>
          <wp:positionV relativeFrom="page">
            <wp:posOffset>10188000</wp:posOffset>
          </wp:positionV>
          <wp:extent cx="5553450" cy="154800"/>
          <wp:effectExtent l="0" t="0" r="0" b="0"/>
          <wp:wrapNone/>
          <wp:docPr id="1179951927"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B34F07">
      <w:rPr>
        <w:rFonts w:ascii="Calibri Light" w:hAnsi="Calibri Light" w:cs="Calibri Light"/>
      </w:rPr>
      <w:t>2020 Statutory Review of the National Offshore Petroleum Safety and Environmental Management Authority</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FE12C" w14:textId="488EF309" w:rsidR="00E312D2" w:rsidRPr="002B0B05" w:rsidRDefault="00E312D2">
    <w:pPr>
      <w:rPr>
        <w:rFonts w:ascii="Calibri Light" w:hAnsi="Calibri Light" w:cs="Calibri Light"/>
      </w:rPr>
    </w:pPr>
    <w:r w:rsidRPr="00B34F07">
      <w:rPr>
        <w:rFonts w:ascii="Calibri Light" w:hAnsi="Calibri Light" w:cs="Calibri Light"/>
        <w:noProof/>
        <w:lang w:eastAsia="en-AU"/>
      </w:rPr>
      <w:drawing>
        <wp:anchor distT="0" distB="0" distL="0" distR="0" simplePos="0" relativeHeight="251658283" behindDoc="1" locked="0" layoutInCell="1" allowOverlap="1" wp14:anchorId="0BDE01DF" wp14:editId="5EFA73EB">
          <wp:simplePos x="0" y="0"/>
          <wp:positionH relativeFrom="page">
            <wp:posOffset>3600000</wp:posOffset>
          </wp:positionH>
          <wp:positionV relativeFrom="page">
            <wp:posOffset>10188000</wp:posOffset>
          </wp:positionV>
          <wp:extent cx="5553450" cy="154800"/>
          <wp:effectExtent l="0" t="0" r="0" b="0"/>
          <wp:wrapNone/>
          <wp:docPr id="1179951931"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84" behindDoc="1" locked="0" layoutInCell="1" allowOverlap="1" wp14:anchorId="493DE925" wp14:editId="6726040F">
          <wp:simplePos x="0" y="0"/>
          <wp:positionH relativeFrom="page">
            <wp:posOffset>3600000</wp:posOffset>
          </wp:positionH>
          <wp:positionV relativeFrom="page">
            <wp:posOffset>10188000</wp:posOffset>
          </wp:positionV>
          <wp:extent cx="5553450" cy="154800"/>
          <wp:effectExtent l="0" t="0" r="0" b="0"/>
          <wp:wrapNone/>
          <wp:docPr id="1179951932" name="Confidential_Hide4"/>
          <wp:cNvGraphicFramePr/>
          <a:graphic xmlns:a="http://schemas.openxmlformats.org/drawingml/2006/main">
            <a:graphicData uri="http://schemas.openxmlformats.org/drawingml/2006/picture">
              <pic:pic xmlns:pic="http://schemas.openxmlformats.org/drawingml/2006/picture">
                <pic:nvPicPr>
                  <pic:cNvPr id="2126269769" name="Confidential_Hide4"/>
                  <pic:cNvPicPr/>
                </pic:nvPicPr>
                <pic:blipFill>
                  <a:blip r:embed="rId2"/>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85" behindDoc="1" locked="0" layoutInCell="1" allowOverlap="1" wp14:anchorId="3876A890" wp14:editId="3B2D727B">
          <wp:simplePos x="0" y="0"/>
          <wp:positionH relativeFrom="page">
            <wp:posOffset>3600000</wp:posOffset>
          </wp:positionH>
          <wp:positionV relativeFrom="page">
            <wp:posOffset>10188000</wp:posOffset>
          </wp:positionV>
          <wp:extent cx="5553450" cy="154800"/>
          <wp:effectExtent l="0" t="0" r="0" b="0"/>
          <wp:wrapNone/>
          <wp:docPr id="1179951933"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3"/>
                  <a:srcRect/>
                  <a:stretch/>
                </pic:blipFill>
                <pic:spPr>
                  <a:xfrm>
                    <a:off x="0" y="0"/>
                    <a:ext cx="5553450" cy="154800"/>
                  </a:xfrm>
                  <a:prstGeom prst="rect">
                    <a:avLst/>
                  </a:prstGeom>
                </pic:spPr>
              </pic:pic>
            </a:graphicData>
          </a:graphic>
        </wp:anchor>
      </w:drawing>
    </w:r>
    <w:r w:rsidRPr="00B34F07">
      <w:rPr>
        <w:rFonts w:ascii="Calibri Light" w:hAnsi="Calibri Light" w:cs="Calibri Light"/>
      </w:rPr>
      <w:t>2020 Statutory Review of the National Offshore Petroleum Safety and Environmental Management Authority</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ACE59" w14:textId="542990D3" w:rsidR="00E312D2" w:rsidRPr="002B0B05" w:rsidRDefault="00E312D2">
    <w:pPr>
      <w:rPr>
        <w:rFonts w:ascii="Calibri Light" w:hAnsi="Calibri Light" w:cs="Calibri Light"/>
      </w:rPr>
    </w:pPr>
    <w:r w:rsidRPr="00B34F07">
      <w:rPr>
        <w:rFonts w:ascii="Calibri Light" w:hAnsi="Calibri Light" w:cs="Calibri Light"/>
        <w:noProof/>
        <w:lang w:eastAsia="en-AU"/>
      </w:rPr>
      <w:drawing>
        <wp:anchor distT="0" distB="0" distL="0" distR="0" simplePos="0" relativeHeight="251658286" behindDoc="1" locked="0" layoutInCell="1" allowOverlap="1" wp14:anchorId="101B0679" wp14:editId="77D41723">
          <wp:simplePos x="0" y="0"/>
          <wp:positionH relativeFrom="page">
            <wp:posOffset>3600000</wp:posOffset>
          </wp:positionH>
          <wp:positionV relativeFrom="page">
            <wp:posOffset>10188000</wp:posOffset>
          </wp:positionV>
          <wp:extent cx="5553450" cy="154800"/>
          <wp:effectExtent l="0" t="0" r="0" b="0"/>
          <wp:wrapNone/>
          <wp:docPr id="5"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87" behindDoc="1" locked="0" layoutInCell="1" allowOverlap="1" wp14:anchorId="3BE649F8" wp14:editId="0CB07142">
          <wp:simplePos x="0" y="0"/>
          <wp:positionH relativeFrom="page">
            <wp:posOffset>3600000</wp:posOffset>
          </wp:positionH>
          <wp:positionV relativeFrom="page">
            <wp:posOffset>10188000</wp:posOffset>
          </wp:positionV>
          <wp:extent cx="5553450" cy="154800"/>
          <wp:effectExtent l="0" t="0" r="0" b="0"/>
          <wp:wrapNone/>
          <wp:docPr id="13"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B34F07">
      <w:rPr>
        <w:rFonts w:ascii="Calibri Light" w:hAnsi="Calibri Light" w:cs="Calibri Light"/>
      </w:rPr>
      <w:t>2020 Statutory Review of the National Offshore Petroleum Safety and Environmental Management Authority</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CD4EEE" w14:textId="2A021344" w:rsidR="00E312D2" w:rsidRPr="002B0B05" w:rsidRDefault="00E312D2">
    <w:pPr>
      <w:rPr>
        <w:rFonts w:ascii="Calibri Light" w:hAnsi="Calibri Light" w:cs="Calibri Light"/>
      </w:rPr>
    </w:pPr>
    <w:r w:rsidRPr="00B34F07">
      <w:rPr>
        <w:rFonts w:ascii="Calibri Light" w:hAnsi="Calibri Light" w:cs="Calibri Light"/>
        <w:noProof/>
        <w:lang w:eastAsia="en-AU"/>
      </w:rPr>
      <w:drawing>
        <wp:anchor distT="0" distB="0" distL="0" distR="0" simplePos="0" relativeHeight="251658288" behindDoc="1" locked="0" layoutInCell="1" allowOverlap="1" wp14:anchorId="0659EC70" wp14:editId="42D02E59">
          <wp:simplePos x="0" y="0"/>
          <wp:positionH relativeFrom="page">
            <wp:posOffset>3600000</wp:posOffset>
          </wp:positionH>
          <wp:positionV relativeFrom="page">
            <wp:posOffset>10188000</wp:posOffset>
          </wp:positionV>
          <wp:extent cx="5553450" cy="154800"/>
          <wp:effectExtent l="0" t="0" r="0" b="0"/>
          <wp:wrapNone/>
          <wp:docPr id="14"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89" behindDoc="1" locked="0" layoutInCell="1" allowOverlap="1" wp14:anchorId="478EE5DF" wp14:editId="5015782C">
          <wp:simplePos x="0" y="0"/>
          <wp:positionH relativeFrom="page">
            <wp:posOffset>3600000</wp:posOffset>
          </wp:positionH>
          <wp:positionV relativeFrom="page">
            <wp:posOffset>10188000</wp:posOffset>
          </wp:positionV>
          <wp:extent cx="5553450" cy="154800"/>
          <wp:effectExtent l="0" t="0" r="0" b="0"/>
          <wp:wrapNone/>
          <wp:docPr id="22" name="Confidential_Hide4"/>
          <wp:cNvGraphicFramePr/>
          <a:graphic xmlns:a="http://schemas.openxmlformats.org/drawingml/2006/main">
            <a:graphicData uri="http://schemas.openxmlformats.org/drawingml/2006/picture">
              <pic:pic xmlns:pic="http://schemas.openxmlformats.org/drawingml/2006/picture">
                <pic:nvPicPr>
                  <pic:cNvPr id="2126269769" name="Confidential_Hide4"/>
                  <pic:cNvPicPr/>
                </pic:nvPicPr>
                <pic:blipFill>
                  <a:blip r:embed="rId2"/>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90" behindDoc="1" locked="0" layoutInCell="1" allowOverlap="1" wp14:anchorId="62B019DB" wp14:editId="18DCD9A7">
          <wp:simplePos x="0" y="0"/>
          <wp:positionH relativeFrom="page">
            <wp:posOffset>3600000</wp:posOffset>
          </wp:positionH>
          <wp:positionV relativeFrom="page">
            <wp:posOffset>10188000</wp:posOffset>
          </wp:positionV>
          <wp:extent cx="5553450" cy="154800"/>
          <wp:effectExtent l="0" t="0" r="0" b="0"/>
          <wp:wrapNone/>
          <wp:docPr id="24"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3"/>
                  <a:srcRect/>
                  <a:stretch/>
                </pic:blipFill>
                <pic:spPr>
                  <a:xfrm>
                    <a:off x="0" y="0"/>
                    <a:ext cx="5553450" cy="154800"/>
                  </a:xfrm>
                  <a:prstGeom prst="rect">
                    <a:avLst/>
                  </a:prstGeom>
                </pic:spPr>
              </pic:pic>
            </a:graphicData>
          </a:graphic>
        </wp:anchor>
      </w:drawing>
    </w:r>
    <w:r w:rsidRPr="00B34F07">
      <w:rPr>
        <w:rFonts w:ascii="Calibri Light" w:hAnsi="Calibri Light" w:cs="Calibri Light"/>
      </w:rPr>
      <w:t>2020 Statutory Review of the National Offshore Petroleum Safety and Environmental Management Authority</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49A764" w14:textId="36AD6B10" w:rsidR="00E312D2" w:rsidRPr="002B0B05" w:rsidRDefault="00E312D2">
    <w:pPr>
      <w:rPr>
        <w:rFonts w:ascii="Calibri Light" w:hAnsi="Calibri Light" w:cs="Calibri Light"/>
      </w:rPr>
    </w:pPr>
    <w:r w:rsidRPr="00B34F07">
      <w:rPr>
        <w:rFonts w:ascii="Calibri Light" w:hAnsi="Calibri Light" w:cs="Calibri Light"/>
        <w:noProof/>
        <w:lang w:eastAsia="en-AU"/>
      </w:rPr>
      <w:drawing>
        <wp:anchor distT="0" distB="0" distL="0" distR="0" simplePos="0" relativeHeight="251658291" behindDoc="1" locked="0" layoutInCell="1" allowOverlap="1" wp14:anchorId="5AA78117" wp14:editId="6710406C">
          <wp:simplePos x="0" y="0"/>
          <wp:positionH relativeFrom="page">
            <wp:posOffset>3600000</wp:posOffset>
          </wp:positionH>
          <wp:positionV relativeFrom="page">
            <wp:posOffset>10188000</wp:posOffset>
          </wp:positionV>
          <wp:extent cx="5553450" cy="154800"/>
          <wp:effectExtent l="0" t="0" r="0" b="0"/>
          <wp:wrapNone/>
          <wp:docPr id="742327107"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92" behindDoc="1" locked="0" layoutInCell="1" allowOverlap="1" wp14:anchorId="444C3882" wp14:editId="3B20BADA">
          <wp:simplePos x="0" y="0"/>
          <wp:positionH relativeFrom="page">
            <wp:posOffset>3600000</wp:posOffset>
          </wp:positionH>
          <wp:positionV relativeFrom="page">
            <wp:posOffset>10188000</wp:posOffset>
          </wp:positionV>
          <wp:extent cx="5553450" cy="154800"/>
          <wp:effectExtent l="0" t="0" r="0" b="0"/>
          <wp:wrapNone/>
          <wp:docPr id="742327109"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B34F07">
      <w:rPr>
        <w:rFonts w:ascii="Calibri Light" w:hAnsi="Calibri Light" w:cs="Calibri Light"/>
      </w:rPr>
      <w:t>2020 Statutory Review of the National Offshore Petroleum Safety and Environmental Management Authority</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C3EFED" w14:textId="62A01071" w:rsidR="00E312D2" w:rsidRPr="002B0B05" w:rsidRDefault="00E312D2">
    <w:pPr>
      <w:rPr>
        <w:rFonts w:ascii="Calibri Light" w:hAnsi="Calibri Light" w:cs="Calibri Light"/>
      </w:rPr>
    </w:pPr>
    <w:r w:rsidRPr="00B34F07">
      <w:rPr>
        <w:rFonts w:ascii="Calibri Light" w:hAnsi="Calibri Light" w:cs="Calibri Light"/>
        <w:noProof/>
        <w:lang w:eastAsia="en-AU"/>
      </w:rPr>
      <w:drawing>
        <wp:anchor distT="0" distB="0" distL="0" distR="0" simplePos="0" relativeHeight="251658258" behindDoc="1" locked="0" layoutInCell="1" allowOverlap="1" wp14:anchorId="5DD82B8A" wp14:editId="490B422C">
          <wp:simplePos x="0" y="0"/>
          <wp:positionH relativeFrom="page">
            <wp:posOffset>3600000</wp:posOffset>
          </wp:positionH>
          <wp:positionV relativeFrom="page">
            <wp:posOffset>10188000</wp:posOffset>
          </wp:positionV>
          <wp:extent cx="5553450" cy="154800"/>
          <wp:effectExtent l="0" t="0" r="0" b="0"/>
          <wp:wrapNone/>
          <wp:docPr id="742327110"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59" behindDoc="1" locked="0" layoutInCell="1" allowOverlap="1" wp14:anchorId="4FF6612F" wp14:editId="39FB21B0">
          <wp:simplePos x="0" y="0"/>
          <wp:positionH relativeFrom="page">
            <wp:posOffset>3600000</wp:posOffset>
          </wp:positionH>
          <wp:positionV relativeFrom="page">
            <wp:posOffset>10188000</wp:posOffset>
          </wp:positionV>
          <wp:extent cx="5553450" cy="154800"/>
          <wp:effectExtent l="0" t="0" r="0" b="0"/>
          <wp:wrapNone/>
          <wp:docPr id="742327111" name="Confidential_Hide4"/>
          <wp:cNvGraphicFramePr/>
          <a:graphic xmlns:a="http://schemas.openxmlformats.org/drawingml/2006/main">
            <a:graphicData uri="http://schemas.openxmlformats.org/drawingml/2006/picture">
              <pic:pic xmlns:pic="http://schemas.openxmlformats.org/drawingml/2006/picture">
                <pic:nvPicPr>
                  <pic:cNvPr id="2126269769" name="Confidential_Hide4"/>
                  <pic:cNvPicPr/>
                </pic:nvPicPr>
                <pic:blipFill>
                  <a:blip r:embed="rId2"/>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60" behindDoc="1" locked="0" layoutInCell="1" allowOverlap="1" wp14:anchorId="72484011" wp14:editId="58CEB1ED">
          <wp:simplePos x="0" y="0"/>
          <wp:positionH relativeFrom="page">
            <wp:posOffset>3600000</wp:posOffset>
          </wp:positionH>
          <wp:positionV relativeFrom="page">
            <wp:posOffset>10188000</wp:posOffset>
          </wp:positionV>
          <wp:extent cx="5553450" cy="154800"/>
          <wp:effectExtent l="0" t="0" r="0" b="0"/>
          <wp:wrapNone/>
          <wp:docPr id="742327112"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3"/>
                  <a:srcRect/>
                  <a:stretch/>
                </pic:blipFill>
                <pic:spPr>
                  <a:xfrm>
                    <a:off x="0" y="0"/>
                    <a:ext cx="5553450" cy="154800"/>
                  </a:xfrm>
                  <a:prstGeom prst="rect">
                    <a:avLst/>
                  </a:prstGeom>
                </pic:spPr>
              </pic:pic>
            </a:graphicData>
          </a:graphic>
        </wp:anchor>
      </w:drawing>
    </w:r>
    <w:r w:rsidRPr="00B34F07">
      <w:rPr>
        <w:rFonts w:ascii="Calibri Light" w:hAnsi="Calibri Light" w:cs="Calibri Light"/>
      </w:rPr>
      <w:t>2020 Statutory Review of the National Offshore Petroleum Safety and Environmental Management Authority</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E6C426" w14:textId="1E19D891" w:rsidR="00E312D2" w:rsidRPr="002B0B05" w:rsidRDefault="00E312D2">
    <w:pPr>
      <w:rPr>
        <w:rFonts w:ascii="Calibri Light" w:hAnsi="Calibri Light" w:cs="Calibri Light"/>
      </w:rPr>
    </w:pPr>
    <w:r w:rsidRPr="003D383A">
      <w:rPr>
        <w:rFonts w:ascii="Calibri Light" w:hAnsi="Calibri Light" w:cs="Calibri Light"/>
        <w:noProof/>
        <w:lang w:eastAsia="en-AU"/>
      </w:rPr>
      <w:drawing>
        <wp:anchor distT="0" distB="0" distL="0" distR="0" simplePos="0" relativeHeight="251658263" behindDoc="1" locked="0" layoutInCell="1" allowOverlap="1" wp14:anchorId="0FFFC830" wp14:editId="62AF9FDE">
          <wp:simplePos x="0" y="0"/>
          <wp:positionH relativeFrom="page">
            <wp:posOffset>3600000</wp:posOffset>
          </wp:positionH>
          <wp:positionV relativeFrom="page">
            <wp:posOffset>10188000</wp:posOffset>
          </wp:positionV>
          <wp:extent cx="5553450" cy="154800"/>
          <wp:effectExtent l="0" t="0" r="0" b="0"/>
          <wp:wrapNone/>
          <wp:docPr id="16"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3D383A">
      <w:rPr>
        <w:rFonts w:ascii="Calibri Light" w:hAnsi="Calibri Light" w:cs="Calibri Light"/>
        <w:noProof/>
        <w:lang w:eastAsia="en-AU"/>
      </w:rPr>
      <w:drawing>
        <wp:anchor distT="0" distB="0" distL="0" distR="0" simplePos="0" relativeHeight="251658264" behindDoc="1" locked="0" layoutInCell="1" allowOverlap="1" wp14:anchorId="48FB0F78" wp14:editId="628D5817">
          <wp:simplePos x="0" y="0"/>
          <wp:positionH relativeFrom="page">
            <wp:posOffset>3600000</wp:posOffset>
          </wp:positionH>
          <wp:positionV relativeFrom="page">
            <wp:posOffset>10188000</wp:posOffset>
          </wp:positionV>
          <wp:extent cx="5553450" cy="154800"/>
          <wp:effectExtent l="0" t="0" r="0" b="0"/>
          <wp:wrapNone/>
          <wp:docPr id="20"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3D383A">
      <w:rPr>
        <w:rFonts w:ascii="Calibri Light" w:hAnsi="Calibri Light" w:cs="Calibri Light"/>
      </w:rPr>
      <w:t>2020 Statutory Review of the National Offshore Petroleum Safety and Environmental Management Authority</w:t>
    </w:r>
    <w:r>
      <w:rPr>
        <w:noProof/>
        <w:lang w:eastAsia="en-AU"/>
      </w:rPr>
      <w:drawing>
        <wp:anchor distT="0" distB="0" distL="0" distR="0" simplePos="0" relativeHeight="251658261" behindDoc="1" locked="0" layoutInCell="1" allowOverlap="1" wp14:anchorId="637960F7" wp14:editId="4289D22D">
          <wp:simplePos x="0" y="0"/>
          <wp:positionH relativeFrom="page">
            <wp:posOffset>3600000</wp:posOffset>
          </wp:positionH>
          <wp:positionV relativeFrom="page">
            <wp:posOffset>10188000</wp:posOffset>
          </wp:positionV>
          <wp:extent cx="5553450" cy="154800"/>
          <wp:effectExtent l="0" t="0" r="0" b="0"/>
          <wp:wrapNone/>
          <wp:docPr id="25"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58262" behindDoc="1" locked="0" layoutInCell="1" allowOverlap="1" wp14:anchorId="61482736" wp14:editId="28152B5E">
          <wp:simplePos x="0" y="0"/>
          <wp:positionH relativeFrom="page">
            <wp:posOffset>3600000</wp:posOffset>
          </wp:positionH>
          <wp:positionV relativeFrom="page">
            <wp:posOffset>10188000</wp:posOffset>
          </wp:positionV>
          <wp:extent cx="5553450" cy="154800"/>
          <wp:effectExtent l="0" t="0" r="0" b="0"/>
          <wp:wrapNone/>
          <wp:docPr id="27"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CAA40" w14:textId="640728B6" w:rsidR="00E312D2" w:rsidRDefault="00E312D2" w:rsidP="00474643">
    <w:pPr>
      <w:pStyle w:val="Header"/>
    </w:pPr>
  </w:p>
  <w:p w14:paraId="106C38A3" w14:textId="2B802148" w:rsidR="00E312D2" w:rsidRPr="00474643" w:rsidRDefault="00E312D2" w:rsidP="00474643">
    <w:pPr>
      <w:pStyle w:val="Header"/>
    </w:pPr>
    <w:r>
      <w:rPr>
        <w:noProof/>
        <w:lang w:eastAsia="en-AU"/>
      </w:rPr>
      <w:drawing>
        <wp:anchor distT="0" distB="0" distL="0" distR="0" simplePos="0" relativeHeight="251658240" behindDoc="0" locked="0" layoutInCell="1" allowOverlap="1" wp14:anchorId="06457C6B" wp14:editId="08E17F7A">
          <wp:simplePos x="0" y="0"/>
          <wp:positionH relativeFrom="margin">
            <wp:align>left</wp:align>
          </wp:positionH>
          <wp:positionV relativeFrom="page">
            <wp:posOffset>10314000</wp:posOffset>
          </wp:positionV>
          <wp:extent cx="5940000" cy="156704"/>
          <wp:effectExtent l="0" t="0" r="0" b="0"/>
          <wp:wrapNone/>
          <wp:docPr id="1179951877" name="Draft_Text"/>
          <wp:cNvGraphicFramePr/>
          <a:graphic xmlns:a="http://schemas.openxmlformats.org/drawingml/2006/main">
            <a:graphicData uri="http://schemas.openxmlformats.org/drawingml/2006/picture">
              <pic:pic xmlns:pic="http://schemas.openxmlformats.org/drawingml/2006/picture">
                <pic:nvPicPr>
                  <pic:cNvPr id="250706794" name="Draft_Text"/>
                  <pic:cNvPicPr/>
                </pic:nvPicPr>
                <pic:blipFill>
                  <a:blip r:embed="rId1"/>
                  <a:srcRect/>
                  <a:stretch/>
                </pic:blipFill>
                <pic:spPr>
                  <a:xfrm>
                    <a:off x="0" y="0"/>
                    <a:ext cx="5940000" cy="156704"/>
                  </a:xfrm>
                  <a:prstGeom prst="rect">
                    <a:avLst/>
                  </a:prstGeom>
                </pic:spPr>
              </pic:pic>
            </a:graphicData>
          </a:graphic>
        </wp:anchor>
      </w:drawing>
    </w:r>
    <w:r>
      <w:rPr>
        <w:noProof/>
        <w:lang w:eastAsia="en-AU"/>
      </w:rPr>
      <w:drawing>
        <wp:anchor distT="0" distB="0" distL="0" distR="0" simplePos="0" relativeHeight="251658241" behindDoc="1" locked="0" layoutInCell="1" allowOverlap="1" wp14:anchorId="73876748" wp14:editId="6091E431">
          <wp:simplePos x="0" y="0"/>
          <wp:positionH relativeFrom="page">
            <wp:posOffset>3600000</wp:posOffset>
          </wp:positionH>
          <wp:positionV relativeFrom="page">
            <wp:posOffset>10188000</wp:posOffset>
          </wp:positionV>
          <wp:extent cx="5553450" cy="154800"/>
          <wp:effectExtent l="0" t="0" r="0" b="0"/>
          <wp:wrapNone/>
          <wp:docPr id="1179951880" name="Public_Hide" hidden="1"/>
          <wp:cNvGraphicFramePr/>
          <a:graphic xmlns:a="http://schemas.openxmlformats.org/drawingml/2006/main">
            <a:graphicData uri="http://schemas.openxmlformats.org/drawingml/2006/picture">
              <pic:pic xmlns:pic="http://schemas.openxmlformats.org/drawingml/2006/picture">
                <pic:nvPicPr>
                  <pic:cNvPr id="2016123439" name="Public_Hide"/>
                  <pic:cNvPicPr/>
                </pic:nvPicPr>
                <pic:blipFill>
                  <a:blip r:embed="rId2"/>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58242" behindDoc="1" locked="0" layoutInCell="1" allowOverlap="1" wp14:anchorId="32AE2A22" wp14:editId="46BBBE4B">
          <wp:simplePos x="0" y="0"/>
          <wp:positionH relativeFrom="page">
            <wp:posOffset>3600000</wp:posOffset>
          </wp:positionH>
          <wp:positionV relativeFrom="page">
            <wp:posOffset>10188000</wp:posOffset>
          </wp:positionV>
          <wp:extent cx="5553450" cy="154800"/>
          <wp:effectExtent l="0" t="0" r="0" b="0"/>
          <wp:wrapNone/>
          <wp:docPr id="1179951882" name="HighRisk_Hide" hidden="1"/>
          <wp:cNvGraphicFramePr/>
          <a:graphic xmlns:a="http://schemas.openxmlformats.org/drawingml/2006/main">
            <a:graphicData uri="http://schemas.openxmlformats.org/drawingml/2006/picture">
              <pic:pic xmlns:pic="http://schemas.openxmlformats.org/drawingml/2006/picture">
                <pic:nvPicPr>
                  <pic:cNvPr id="7226961" name="HighRisk_Hide"/>
                  <pic:cNvPicPr/>
                </pic:nvPicPr>
                <pic:blipFill>
                  <a:blip r:embed="rId3"/>
                  <a:srcRect/>
                  <a:stretch/>
                </pic:blipFill>
                <pic:spPr>
                  <a:xfrm>
                    <a:off x="0" y="0"/>
                    <a:ext cx="5553450" cy="154800"/>
                  </a:xfrm>
                  <a:prstGeom prst="rect">
                    <a:avLst/>
                  </a:prstGeom>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C436D" w14:textId="31508980" w:rsidR="00E312D2" w:rsidRPr="00A30201" w:rsidRDefault="00E312D2">
    <w:pPr>
      <w:rPr>
        <w:rFonts w:ascii="Calibri Light" w:hAnsi="Calibri Light" w:cs="Calibri Light"/>
      </w:rPr>
    </w:pPr>
    <w:r w:rsidRPr="003D383A">
      <w:rPr>
        <w:rFonts w:ascii="Calibri Light" w:hAnsi="Calibri Light" w:cs="Calibri Light"/>
        <w:noProof/>
        <w:lang w:eastAsia="en-AU"/>
      </w:rPr>
      <w:drawing>
        <wp:anchor distT="0" distB="0" distL="0" distR="0" simplePos="0" relativeHeight="251658267" behindDoc="1" locked="0" layoutInCell="1" allowOverlap="1" wp14:anchorId="229376A2" wp14:editId="0E3ADAA7">
          <wp:simplePos x="0" y="0"/>
          <wp:positionH relativeFrom="page">
            <wp:posOffset>3600000</wp:posOffset>
          </wp:positionH>
          <wp:positionV relativeFrom="page">
            <wp:posOffset>10188000</wp:posOffset>
          </wp:positionV>
          <wp:extent cx="5553450" cy="154800"/>
          <wp:effectExtent l="0" t="0" r="0" b="0"/>
          <wp:wrapNone/>
          <wp:docPr id="65"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3D383A">
      <w:rPr>
        <w:rFonts w:ascii="Calibri Light" w:hAnsi="Calibri Light" w:cs="Calibri Light"/>
        <w:noProof/>
        <w:lang w:eastAsia="en-AU"/>
      </w:rPr>
      <w:drawing>
        <wp:anchor distT="0" distB="0" distL="0" distR="0" simplePos="0" relativeHeight="251658268" behindDoc="1" locked="0" layoutInCell="1" allowOverlap="1" wp14:anchorId="39CECB88" wp14:editId="4D62E2B8">
          <wp:simplePos x="0" y="0"/>
          <wp:positionH relativeFrom="page">
            <wp:posOffset>3600000</wp:posOffset>
          </wp:positionH>
          <wp:positionV relativeFrom="page">
            <wp:posOffset>10188000</wp:posOffset>
          </wp:positionV>
          <wp:extent cx="5553450" cy="154800"/>
          <wp:effectExtent l="0" t="0" r="0" b="0"/>
          <wp:wrapNone/>
          <wp:docPr id="67"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3D383A">
      <w:rPr>
        <w:rFonts w:ascii="Calibri Light" w:hAnsi="Calibri Light" w:cs="Calibri Light"/>
      </w:rPr>
      <w:t>2020 Statutory Review of the National Offshore Petroleum Safety and Environmental Management Authority</w:t>
    </w:r>
    <w:r>
      <w:rPr>
        <w:noProof/>
        <w:lang w:eastAsia="en-AU"/>
      </w:rPr>
      <w:drawing>
        <wp:anchor distT="0" distB="0" distL="0" distR="0" simplePos="0" relativeHeight="251658265" behindDoc="1" locked="0" layoutInCell="1" allowOverlap="1" wp14:anchorId="65A07D2A" wp14:editId="58EEA9AB">
          <wp:simplePos x="0" y="0"/>
          <wp:positionH relativeFrom="page">
            <wp:posOffset>3600000</wp:posOffset>
          </wp:positionH>
          <wp:positionV relativeFrom="page">
            <wp:posOffset>10188000</wp:posOffset>
          </wp:positionV>
          <wp:extent cx="5553450" cy="154800"/>
          <wp:effectExtent l="0" t="0" r="0" b="0"/>
          <wp:wrapNone/>
          <wp:docPr id="68"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58266" behindDoc="1" locked="0" layoutInCell="1" allowOverlap="1" wp14:anchorId="7A27D4B4" wp14:editId="6517F7E5">
          <wp:simplePos x="0" y="0"/>
          <wp:positionH relativeFrom="page">
            <wp:posOffset>3600000</wp:posOffset>
          </wp:positionH>
          <wp:positionV relativeFrom="page">
            <wp:posOffset>10188000</wp:posOffset>
          </wp:positionV>
          <wp:extent cx="5553450" cy="154800"/>
          <wp:effectExtent l="0" t="0" r="0" b="0"/>
          <wp:wrapNone/>
          <wp:docPr id="69"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B3C01" w14:textId="5C890FE1" w:rsidR="00E312D2" w:rsidRPr="00A30201" w:rsidRDefault="00E312D2">
    <w:pPr>
      <w:rPr>
        <w:rFonts w:ascii="Calibri Light" w:hAnsi="Calibri Light" w:cs="Calibri Light"/>
      </w:rPr>
    </w:pPr>
    <w:r w:rsidRPr="003D383A">
      <w:rPr>
        <w:rFonts w:ascii="Calibri Light" w:hAnsi="Calibri Light" w:cs="Calibri Light"/>
        <w:noProof/>
        <w:lang w:eastAsia="en-AU"/>
      </w:rPr>
      <w:drawing>
        <wp:anchor distT="0" distB="0" distL="0" distR="0" simplePos="0" relativeHeight="251658271" behindDoc="1" locked="0" layoutInCell="1" allowOverlap="1" wp14:anchorId="2BE0B10D" wp14:editId="65F4F884">
          <wp:simplePos x="0" y="0"/>
          <wp:positionH relativeFrom="page">
            <wp:posOffset>3600000</wp:posOffset>
          </wp:positionH>
          <wp:positionV relativeFrom="page">
            <wp:posOffset>10188000</wp:posOffset>
          </wp:positionV>
          <wp:extent cx="5553450" cy="154800"/>
          <wp:effectExtent l="0" t="0" r="0" b="0"/>
          <wp:wrapNone/>
          <wp:docPr id="70"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3D383A">
      <w:rPr>
        <w:rFonts w:ascii="Calibri Light" w:hAnsi="Calibri Light" w:cs="Calibri Light"/>
        <w:noProof/>
        <w:lang w:eastAsia="en-AU"/>
      </w:rPr>
      <w:drawing>
        <wp:anchor distT="0" distB="0" distL="0" distR="0" simplePos="0" relativeHeight="251658272" behindDoc="1" locked="0" layoutInCell="1" allowOverlap="1" wp14:anchorId="732911FE" wp14:editId="09A4328A">
          <wp:simplePos x="0" y="0"/>
          <wp:positionH relativeFrom="page">
            <wp:posOffset>3600000</wp:posOffset>
          </wp:positionH>
          <wp:positionV relativeFrom="page">
            <wp:posOffset>10188000</wp:posOffset>
          </wp:positionV>
          <wp:extent cx="5553450" cy="154800"/>
          <wp:effectExtent l="0" t="0" r="0" b="0"/>
          <wp:wrapNone/>
          <wp:docPr id="71"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3D383A">
      <w:rPr>
        <w:rFonts w:ascii="Calibri Light" w:hAnsi="Calibri Light" w:cs="Calibri Light"/>
      </w:rPr>
      <w:t>2020 Statutory Review of the National Offshore Petroleum Safety and Environmental Management Authority</w:t>
    </w:r>
    <w:r>
      <w:rPr>
        <w:noProof/>
        <w:lang w:eastAsia="en-AU"/>
      </w:rPr>
      <w:drawing>
        <wp:anchor distT="0" distB="0" distL="0" distR="0" simplePos="0" relativeHeight="251658269" behindDoc="1" locked="0" layoutInCell="1" allowOverlap="1" wp14:anchorId="7B3395F2" wp14:editId="050C5F80">
          <wp:simplePos x="0" y="0"/>
          <wp:positionH relativeFrom="page">
            <wp:posOffset>3600000</wp:posOffset>
          </wp:positionH>
          <wp:positionV relativeFrom="page">
            <wp:posOffset>10188000</wp:posOffset>
          </wp:positionV>
          <wp:extent cx="5553450" cy="154800"/>
          <wp:effectExtent l="0" t="0" r="0" b="0"/>
          <wp:wrapNone/>
          <wp:docPr id="72"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Pr>
        <w:noProof/>
        <w:lang w:eastAsia="en-AU"/>
      </w:rPr>
      <w:drawing>
        <wp:anchor distT="0" distB="0" distL="0" distR="0" simplePos="0" relativeHeight="251658270" behindDoc="1" locked="0" layoutInCell="1" allowOverlap="1" wp14:anchorId="66C925FA" wp14:editId="4DC2D584">
          <wp:simplePos x="0" y="0"/>
          <wp:positionH relativeFrom="page">
            <wp:posOffset>3600000</wp:posOffset>
          </wp:positionH>
          <wp:positionV relativeFrom="page">
            <wp:posOffset>10188000</wp:posOffset>
          </wp:positionV>
          <wp:extent cx="5553450" cy="154800"/>
          <wp:effectExtent l="0" t="0" r="0" b="0"/>
          <wp:wrapNone/>
          <wp:docPr id="73"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E3FD76" w14:textId="662D2B2A" w:rsidR="00E312D2" w:rsidRDefault="00E312D2">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18508" w14:textId="077D1F79" w:rsidR="00E312D2" w:rsidRDefault="00E312D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26C34" w14:textId="77777777" w:rsidR="00E635B6" w:rsidRDefault="00E635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550863" w14:textId="1CCFE072" w:rsidR="00E312D2" w:rsidRDefault="00E312D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C31F5" w14:textId="19D935B2" w:rsidR="00E312D2" w:rsidRPr="006C33D4" w:rsidRDefault="00E312D2">
    <w:pPr>
      <w:rPr>
        <w:rFonts w:ascii="Calibri Light" w:hAnsi="Calibri Light" w:cs="Calibri Light"/>
      </w:rPr>
    </w:pPr>
    <w:r w:rsidRPr="00B34F07">
      <w:rPr>
        <w:rFonts w:ascii="Calibri Light" w:hAnsi="Calibri Light" w:cs="Calibri Light"/>
        <w:noProof/>
        <w:lang w:eastAsia="en-AU"/>
      </w:rPr>
      <w:drawing>
        <wp:anchor distT="0" distB="0" distL="0" distR="0" simplePos="0" relativeHeight="251658254" behindDoc="1" locked="0" layoutInCell="1" allowOverlap="1" wp14:anchorId="42636D16" wp14:editId="7B5CAFEB">
          <wp:simplePos x="0" y="0"/>
          <wp:positionH relativeFrom="page">
            <wp:posOffset>3600000</wp:posOffset>
          </wp:positionH>
          <wp:positionV relativeFrom="page">
            <wp:posOffset>10188000</wp:posOffset>
          </wp:positionV>
          <wp:extent cx="5553450" cy="154800"/>
          <wp:effectExtent l="0" t="0" r="0" b="0"/>
          <wp:wrapNone/>
          <wp:docPr id="7227007"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55" behindDoc="1" locked="0" layoutInCell="1" allowOverlap="1" wp14:anchorId="6952E547" wp14:editId="2C32CD34">
          <wp:simplePos x="0" y="0"/>
          <wp:positionH relativeFrom="page">
            <wp:posOffset>3600000</wp:posOffset>
          </wp:positionH>
          <wp:positionV relativeFrom="page">
            <wp:posOffset>10188000</wp:posOffset>
          </wp:positionV>
          <wp:extent cx="5553450" cy="154800"/>
          <wp:effectExtent l="0" t="0" r="0" b="0"/>
          <wp:wrapNone/>
          <wp:docPr id="689643777"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B34F07">
      <w:rPr>
        <w:rFonts w:ascii="Calibri Light" w:hAnsi="Calibri Light" w:cs="Calibri Light"/>
      </w:rPr>
      <w:t>2020 Statutory Review of the National Offshore Petroleum Safety and Environmental Management Authority</w:t>
    </w:r>
    <w:r w:rsidRPr="00B34F07">
      <w:rPr>
        <w:rFonts w:ascii="Calibri" w:hAnsi="Calibri" w:cs="Calibri"/>
        <w:noProof/>
        <w:lang w:eastAsia="en-AU"/>
      </w:rPr>
      <w:drawing>
        <wp:anchor distT="0" distB="0" distL="0" distR="0" simplePos="0" relativeHeight="251658243" behindDoc="1" locked="0" layoutInCell="1" allowOverlap="1" wp14:anchorId="2A46DF9A" wp14:editId="052BD7F6">
          <wp:simplePos x="0" y="0"/>
          <wp:positionH relativeFrom="page">
            <wp:posOffset>3600000</wp:posOffset>
          </wp:positionH>
          <wp:positionV relativeFrom="page">
            <wp:posOffset>10188000</wp:posOffset>
          </wp:positionV>
          <wp:extent cx="5553450" cy="154800"/>
          <wp:effectExtent l="0" t="0" r="0" b="0"/>
          <wp:wrapNone/>
          <wp:docPr id="689643779" name="Public_Hide3" hidden="1"/>
          <wp:cNvGraphicFramePr/>
          <a:graphic xmlns:a="http://schemas.openxmlformats.org/drawingml/2006/main">
            <a:graphicData uri="http://schemas.openxmlformats.org/drawingml/2006/picture">
              <pic:pic xmlns:pic="http://schemas.openxmlformats.org/drawingml/2006/picture">
                <pic:nvPicPr>
                  <pic:cNvPr id="9740549" name="Public_Hide3"/>
                  <pic:cNvPicPr/>
                </pic:nvPicPr>
                <pic:blipFill>
                  <a:blip r:embed="rId1"/>
                  <a:srcRect/>
                  <a:stretch/>
                </pic:blipFill>
                <pic:spPr>
                  <a:xfrm>
                    <a:off x="0" y="0"/>
                    <a:ext cx="5553450" cy="154800"/>
                  </a:xfrm>
                  <a:prstGeom prst="rect">
                    <a:avLst/>
                  </a:prstGeom>
                </pic:spPr>
              </pic:pic>
            </a:graphicData>
          </a:graphic>
        </wp:anchor>
      </w:drawing>
    </w:r>
    <w:r w:rsidRPr="00B34F07">
      <w:rPr>
        <w:rFonts w:ascii="Calibri" w:hAnsi="Calibri" w:cs="Calibri"/>
        <w:noProof/>
        <w:lang w:eastAsia="en-AU"/>
      </w:rPr>
      <w:drawing>
        <wp:anchor distT="0" distB="0" distL="0" distR="0" simplePos="0" relativeHeight="251658244" behindDoc="1" locked="0" layoutInCell="1" allowOverlap="1" wp14:anchorId="1A60F55A" wp14:editId="14B14BD9">
          <wp:simplePos x="0" y="0"/>
          <wp:positionH relativeFrom="page">
            <wp:posOffset>3600000</wp:posOffset>
          </wp:positionH>
          <wp:positionV relativeFrom="page">
            <wp:posOffset>10188000</wp:posOffset>
          </wp:positionV>
          <wp:extent cx="5553450" cy="154800"/>
          <wp:effectExtent l="0" t="0" r="0" b="0"/>
          <wp:wrapNone/>
          <wp:docPr id="689643781" name="HighRisk_Hide3" hidden="1"/>
          <wp:cNvGraphicFramePr/>
          <a:graphic xmlns:a="http://schemas.openxmlformats.org/drawingml/2006/main">
            <a:graphicData uri="http://schemas.openxmlformats.org/drawingml/2006/picture">
              <pic:pic xmlns:pic="http://schemas.openxmlformats.org/drawingml/2006/picture">
                <pic:nvPicPr>
                  <pic:cNvPr id="1646385626" name="HighRisk_Hide3"/>
                  <pic:cNvPicPr/>
                </pic:nvPicPr>
                <pic:blipFill>
                  <a:blip r:embed="rId2"/>
                  <a:srcRect/>
                  <a:stretch/>
                </pic:blipFill>
                <pic:spPr>
                  <a:xfrm>
                    <a:off x="0" y="0"/>
                    <a:ext cx="5553450" cy="154800"/>
                  </a:xfrm>
                  <a:prstGeom prst="rect">
                    <a:avLst/>
                  </a:prstGeom>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8CCCA" w14:textId="22E741B1" w:rsidR="00E312D2" w:rsidRDefault="00E312D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7A0DF" w14:textId="49814FCB" w:rsidR="00E312D2" w:rsidRDefault="00E312D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8819F" w14:textId="4CEDF4AD" w:rsidR="00E312D2" w:rsidRPr="006C33D4" w:rsidRDefault="00E312D2">
    <w:pPr>
      <w:rPr>
        <w:rFonts w:ascii="Calibri Light" w:hAnsi="Calibri Light" w:cs="Calibri Light"/>
      </w:rPr>
    </w:pPr>
    <w:r w:rsidRPr="00B34F07">
      <w:rPr>
        <w:rFonts w:ascii="Calibri Light" w:hAnsi="Calibri Light" w:cs="Calibri Light"/>
        <w:noProof/>
        <w:lang w:eastAsia="en-AU"/>
      </w:rPr>
      <w:drawing>
        <wp:anchor distT="0" distB="0" distL="0" distR="0" simplePos="0" relativeHeight="251658245" behindDoc="1" locked="0" layoutInCell="1" allowOverlap="1" wp14:anchorId="23F05069" wp14:editId="55498EC1">
          <wp:simplePos x="0" y="0"/>
          <wp:positionH relativeFrom="page">
            <wp:posOffset>3600000</wp:posOffset>
          </wp:positionH>
          <wp:positionV relativeFrom="page">
            <wp:posOffset>10188000</wp:posOffset>
          </wp:positionV>
          <wp:extent cx="5553450" cy="154800"/>
          <wp:effectExtent l="0" t="0" r="0" b="0"/>
          <wp:wrapNone/>
          <wp:docPr id="1347981894" name="Public_Hide4" hidden="1"/>
          <wp:cNvGraphicFramePr/>
          <a:graphic xmlns:a="http://schemas.openxmlformats.org/drawingml/2006/main">
            <a:graphicData uri="http://schemas.openxmlformats.org/drawingml/2006/picture">
              <pic:pic xmlns:pic="http://schemas.openxmlformats.org/drawingml/2006/picture">
                <pic:nvPicPr>
                  <pic:cNvPr id="543710173" name="Public_Hide4"/>
                  <pic:cNvPicPr/>
                </pic:nvPicPr>
                <pic:blipFill>
                  <a:blip r:embed="rId1"/>
                  <a:srcRect/>
                  <a:stretch/>
                </pic:blipFill>
                <pic:spPr>
                  <a:xfrm>
                    <a:off x="0" y="0"/>
                    <a:ext cx="5553450" cy="154800"/>
                  </a:xfrm>
                  <a:prstGeom prst="rect">
                    <a:avLst/>
                  </a:prstGeom>
                </pic:spPr>
              </pic:pic>
            </a:graphicData>
          </a:graphic>
        </wp:anchor>
      </w:drawing>
    </w:r>
    <w:r w:rsidRPr="00B34F07">
      <w:rPr>
        <w:rFonts w:ascii="Calibri Light" w:hAnsi="Calibri Light" w:cs="Calibri Light"/>
        <w:noProof/>
        <w:lang w:eastAsia="en-AU"/>
      </w:rPr>
      <w:drawing>
        <wp:anchor distT="0" distB="0" distL="0" distR="0" simplePos="0" relativeHeight="251658246" behindDoc="1" locked="0" layoutInCell="1" allowOverlap="1" wp14:anchorId="2A953AAB" wp14:editId="39F8800C">
          <wp:simplePos x="0" y="0"/>
          <wp:positionH relativeFrom="page">
            <wp:posOffset>3600000</wp:posOffset>
          </wp:positionH>
          <wp:positionV relativeFrom="page">
            <wp:posOffset>10188000</wp:posOffset>
          </wp:positionV>
          <wp:extent cx="5553450" cy="154800"/>
          <wp:effectExtent l="0" t="0" r="0" b="0"/>
          <wp:wrapNone/>
          <wp:docPr id="1347981903" name="HighRisk_Hide4" hidden="1"/>
          <wp:cNvGraphicFramePr/>
          <a:graphic xmlns:a="http://schemas.openxmlformats.org/drawingml/2006/main">
            <a:graphicData uri="http://schemas.openxmlformats.org/drawingml/2006/picture">
              <pic:pic xmlns:pic="http://schemas.openxmlformats.org/drawingml/2006/picture">
                <pic:nvPicPr>
                  <pic:cNvPr id="906275776" name="HighRisk_Hide4"/>
                  <pic:cNvPicPr/>
                </pic:nvPicPr>
                <pic:blipFill>
                  <a:blip r:embed="rId2"/>
                  <a:srcRect/>
                  <a:stretch/>
                </pic:blipFill>
                <pic:spPr>
                  <a:xfrm>
                    <a:off x="0" y="0"/>
                    <a:ext cx="5553450" cy="154800"/>
                  </a:xfrm>
                  <a:prstGeom prst="rect">
                    <a:avLst/>
                  </a:prstGeom>
                </pic:spPr>
              </pic:pic>
            </a:graphicData>
          </a:graphic>
        </wp:anchor>
      </w:drawing>
    </w:r>
    <w:r w:rsidRPr="00B34F07">
      <w:rPr>
        <w:rFonts w:ascii="Calibri Light" w:hAnsi="Calibri Light" w:cs="Calibri Light"/>
      </w:rPr>
      <w:t>2020 Statutory Review of the National Offshore Petroleum Safety and Environmental Management Authority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191442" w14:textId="19897605" w:rsidR="00E312D2" w:rsidRDefault="00E312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6649B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hybridMultilevel"/>
    <w:tmpl w:val="42CAA2C8"/>
    <w:lvl w:ilvl="0" w:tplc="8BCCA5CE">
      <w:start w:val="1"/>
      <w:numFmt w:val="decimal"/>
      <w:pStyle w:val="ListNumber4"/>
      <w:lvlText w:val="%1."/>
      <w:lvlJc w:val="left"/>
      <w:pPr>
        <w:tabs>
          <w:tab w:val="num" w:pos="1209"/>
        </w:tabs>
        <w:ind w:left="1209" w:hanging="360"/>
      </w:pPr>
    </w:lvl>
    <w:lvl w:ilvl="1" w:tplc="53EAC4FA">
      <w:numFmt w:val="decimal"/>
      <w:lvlText w:val=""/>
      <w:lvlJc w:val="left"/>
    </w:lvl>
    <w:lvl w:ilvl="2" w:tplc="40C64798">
      <w:numFmt w:val="decimal"/>
      <w:lvlText w:val=""/>
      <w:lvlJc w:val="left"/>
    </w:lvl>
    <w:lvl w:ilvl="3" w:tplc="1770765E">
      <w:numFmt w:val="decimal"/>
      <w:lvlText w:val=""/>
      <w:lvlJc w:val="left"/>
    </w:lvl>
    <w:lvl w:ilvl="4" w:tplc="7BFAA572">
      <w:numFmt w:val="decimal"/>
      <w:lvlText w:val=""/>
      <w:lvlJc w:val="left"/>
    </w:lvl>
    <w:lvl w:ilvl="5" w:tplc="A1EA3FFE">
      <w:numFmt w:val="decimal"/>
      <w:lvlText w:val=""/>
      <w:lvlJc w:val="left"/>
    </w:lvl>
    <w:lvl w:ilvl="6" w:tplc="6D18CFE6">
      <w:numFmt w:val="decimal"/>
      <w:lvlText w:val=""/>
      <w:lvlJc w:val="left"/>
    </w:lvl>
    <w:lvl w:ilvl="7" w:tplc="216A4172">
      <w:numFmt w:val="decimal"/>
      <w:lvlText w:val=""/>
      <w:lvlJc w:val="left"/>
    </w:lvl>
    <w:lvl w:ilvl="8" w:tplc="3D04475C">
      <w:numFmt w:val="decimal"/>
      <w:lvlText w:val=""/>
      <w:lvlJc w:val="left"/>
    </w:lvl>
  </w:abstractNum>
  <w:abstractNum w:abstractNumId="2" w15:restartNumberingAfterBreak="0">
    <w:nsid w:val="FFFFFF80"/>
    <w:multiLevelType w:val="hybridMultilevel"/>
    <w:tmpl w:val="13643CFC"/>
    <w:lvl w:ilvl="0" w:tplc="B072B786">
      <w:start w:val="1"/>
      <w:numFmt w:val="bullet"/>
      <w:pStyle w:val="ListBullet5"/>
      <w:lvlText w:val=""/>
      <w:lvlJc w:val="left"/>
      <w:pPr>
        <w:tabs>
          <w:tab w:val="num" w:pos="1492"/>
        </w:tabs>
        <w:ind w:left="1492" w:hanging="360"/>
      </w:pPr>
      <w:rPr>
        <w:rFonts w:ascii="Symbol" w:hAnsi="Symbol" w:hint="default"/>
      </w:rPr>
    </w:lvl>
    <w:lvl w:ilvl="1" w:tplc="25628F5C">
      <w:numFmt w:val="decimal"/>
      <w:lvlText w:val=""/>
      <w:lvlJc w:val="left"/>
    </w:lvl>
    <w:lvl w:ilvl="2" w:tplc="3C10A48E">
      <w:numFmt w:val="decimal"/>
      <w:lvlText w:val=""/>
      <w:lvlJc w:val="left"/>
    </w:lvl>
    <w:lvl w:ilvl="3" w:tplc="5158F9D2">
      <w:numFmt w:val="decimal"/>
      <w:lvlText w:val=""/>
      <w:lvlJc w:val="left"/>
    </w:lvl>
    <w:lvl w:ilvl="4" w:tplc="931AEEF2">
      <w:numFmt w:val="decimal"/>
      <w:lvlText w:val=""/>
      <w:lvlJc w:val="left"/>
    </w:lvl>
    <w:lvl w:ilvl="5" w:tplc="3FFAC02C">
      <w:numFmt w:val="decimal"/>
      <w:lvlText w:val=""/>
      <w:lvlJc w:val="left"/>
    </w:lvl>
    <w:lvl w:ilvl="6" w:tplc="08226608">
      <w:numFmt w:val="decimal"/>
      <w:lvlText w:val=""/>
      <w:lvlJc w:val="left"/>
    </w:lvl>
    <w:lvl w:ilvl="7" w:tplc="D0A868DC">
      <w:numFmt w:val="decimal"/>
      <w:lvlText w:val=""/>
      <w:lvlJc w:val="left"/>
    </w:lvl>
    <w:lvl w:ilvl="8" w:tplc="460EF9B6">
      <w:numFmt w:val="decimal"/>
      <w:lvlText w:val=""/>
      <w:lvlJc w:val="left"/>
    </w:lvl>
  </w:abstractNum>
  <w:abstractNum w:abstractNumId="3" w15:restartNumberingAfterBreak="0">
    <w:nsid w:val="FFFFFF81"/>
    <w:multiLevelType w:val="hybridMultilevel"/>
    <w:tmpl w:val="5A6A3224"/>
    <w:lvl w:ilvl="0" w:tplc="8996AF94">
      <w:start w:val="1"/>
      <w:numFmt w:val="bullet"/>
      <w:pStyle w:val="ListBullet4"/>
      <w:lvlText w:val=""/>
      <w:lvlJc w:val="left"/>
      <w:pPr>
        <w:tabs>
          <w:tab w:val="num" w:pos="1209"/>
        </w:tabs>
        <w:ind w:left="1209" w:hanging="360"/>
      </w:pPr>
      <w:rPr>
        <w:rFonts w:ascii="Symbol" w:hAnsi="Symbol" w:hint="default"/>
      </w:rPr>
    </w:lvl>
    <w:lvl w:ilvl="1" w:tplc="4A669C56">
      <w:numFmt w:val="decimal"/>
      <w:lvlText w:val=""/>
      <w:lvlJc w:val="left"/>
    </w:lvl>
    <w:lvl w:ilvl="2" w:tplc="33C8F61C">
      <w:numFmt w:val="decimal"/>
      <w:lvlText w:val=""/>
      <w:lvlJc w:val="left"/>
    </w:lvl>
    <w:lvl w:ilvl="3" w:tplc="4C2C8CC8">
      <w:numFmt w:val="decimal"/>
      <w:lvlText w:val=""/>
      <w:lvlJc w:val="left"/>
    </w:lvl>
    <w:lvl w:ilvl="4" w:tplc="5762E020">
      <w:numFmt w:val="decimal"/>
      <w:lvlText w:val=""/>
      <w:lvlJc w:val="left"/>
    </w:lvl>
    <w:lvl w:ilvl="5" w:tplc="B0AE7524">
      <w:numFmt w:val="decimal"/>
      <w:lvlText w:val=""/>
      <w:lvlJc w:val="left"/>
    </w:lvl>
    <w:lvl w:ilvl="6" w:tplc="7ACA0BCE">
      <w:numFmt w:val="decimal"/>
      <w:lvlText w:val=""/>
      <w:lvlJc w:val="left"/>
    </w:lvl>
    <w:lvl w:ilvl="7" w:tplc="632643E2">
      <w:numFmt w:val="decimal"/>
      <w:lvlText w:val=""/>
      <w:lvlJc w:val="left"/>
    </w:lvl>
    <w:lvl w:ilvl="8" w:tplc="AC640730">
      <w:numFmt w:val="decimal"/>
      <w:lvlText w:val=""/>
      <w:lvlJc w:val="left"/>
    </w:lvl>
  </w:abstractNum>
  <w:abstractNum w:abstractNumId="4" w15:restartNumberingAfterBreak="0">
    <w:nsid w:val="00BF47A6"/>
    <w:multiLevelType w:val="hybridMultilevel"/>
    <w:tmpl w:val="4476DDC4"/>
    <w:lvl w:ilvl="0" w:tplc="5D3AE17C">
      <w:start w:val="1"/>
      <w:numFmt w:val="bullet"/>
      <w:pStyle w:val="Bodybullet2"/>
      <w:lvlText w:val="‒"/>
      <w:lvlJc w:val="left"/>
      <w:pPr>
        <w:ind w:left="720" w:hanging="360"/>
      </w:pPr>
      <w:rPr>
        <w:rFonts w:ascii="Verdana" w:hAnsi="Verdana"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2DB2827"/>
    <w:multiLevelType w:val="hybridMultilevel"/>
    <w:tmpl w:val="E0023528"/>
    <w:lvl w:ilvl="0" w:tplc="56F0A334">
      <w:start w:val="1"/>
      <w:numFmt w:val="upperLetter"/>
      <w:pStyle w:val="AlphabeticList"/>
      <w:lvlText w:val="%1"/>
      <w:lvlJc w:val="left"/>
      <w:pPr>
        <w:ind w:left="340" w:hanging="340"/>
      </w:pPr>
      <w:rPr>
        <w:rFonts w:hint="default"/>
      </w:rPr>
    </w:lvl>
    <w:lvl w:ilvl="1" w:tplc="89E81198">
      <w:start w:val="1"/>
      <w:numFmt w:val="lowerLetter"/>
      <w:pStyle w:val="AlphabeticList2"/>
      <w:lvlText w:val="%2"/>
      <w:lvlJc w:val="left"/>
      <w:pPr>
        <w:ind w:left="680" w:hanging="340"/>
      </w:pPr>
      <w:rPr>
        <w:rFonts w:hint="default"/>
      </w:rPr>
    </w:lvl>
    <w:lvl w:ilvl="2" w:tplc="56A0B870">
      <w:start w:val="1"/>
      <w:numFmt w:val="lowerRoman"/>
      <w:lvlText w:val="%3."/>
      <w:lvlJc w:val="left"/>
      <w:pPr>
        <w:ind w:left="1020" w:hanging="340"/>
      </w:pPr>
      <w:rPr>
        <w:rFonts w:hint="default"/>
      </w:rPr>
    </w:lvl>
    <w:lvl w:ilvl="3" w:tplc="45F2BB8E">
      <w:start w:val="1"/>
      <w:numFmt w:val="decimal"/>
      <w:lvlText w:val="(%4)"/>
      <w:lvlJc w:val="left"/>
      <w:pPr>
        <w:ind w:left="1360" w:hanging="340"/>
      </w:pPr>
      <w:rPr>
        <w:rFonts w:hint="default"/>
      </w:rPr>
    </w:lvl>
    <w:lvl w:ilvl="4" w:tplc="DABCE348">
      <w:start w:val="1"/>
      <w:numFmt w:val="lowerLetter"/>
      <w:lvlText w:val="(%5)"/>
      <w:lvlJc w:val="left"/>
      <w:pPr>
        <w:ind w:left="1700" w:hanging="340"/>
      </w:pPr>
      <w:rPr>
        <w:rFonts w:hint="default"/>
      </w:rPr>
    </w:lvl>
    <w:lvl w:ilvl="5" w:tplc="F17A90D4">
      <w:start w:val="1"/>
      <w:numFmt w:val="lowerRoman"/>
      <w:lvlText w:val="(%6)"/>
      <w:lvlJc w:val="left"/>
      <w:pPr>
        <w:ind w:left="2040" w:hanging="340"/>
      </w:pPr>
      <w:rPr>
        <w:rFonts w:hint="default"/>
      </w:rPr>
    </w:lvl>
    <w:lvl w:ilvl="6" w:tplc="8F7E6926">
      <w:start w:val="1"/>
      <w:numFmt w:val="decimal"/>
      <w:lvlText w:val="%7."/>
      <w:lvlJc w:val="left"/>
      <w:pPr>
        <w:ind w:left="2380" w:hanging="340"/>
      </w:pPr>
      <w:rPr>
        <w:rFonts w:hint="default"/>
      </w:rPr>
    </w:lvl>
    <w:lvl w:ilvl="7" w:tplc="7304EB58">
      <w:start w:val="1"/>
      <w:numFmt w:val="lowerLetter"/>
      <w:lvlText w:val="%8."/>
      <w:lvlJc w:val="left"/>
      <w:pPr>
        <w:ind w:left="2720" w:hanging="340"/>
      </w:pPr>
      <w:rPr>
        <w:rFonts w:hint="default"/>
      </w:rPr>
    </w:lvl>
    <w:lvl w:ilvl="8" w:tplc="340C3444">
      <w:start w:val="1"/>
      <w:numFmt w:val="lowerRoman"/>
      <w:lvlText w:val="%9."/>
      <w:lvlJc w:val="left"/>
      <w:pPr>
        <w:ind w:left="3060" w:hanging="340"/>
      </w:pPr>
      <w:rPr>
        <w:rFonts w:hint="default"/>
      </w:rPr>
    </w:lvl>
  </w:abstractNum>
  <w:abstractNum w:abstractNumId="6" w15:restartNumberingAfterBreak="0">
    <w:nsid w:val="06581B21"/>
    <w:multiLevelType w:val="hybridMultilevel"/>
    <w:tmpl w:val="CBF4DDEE"/>
    <w:lvl w:ilvl="0" w:tplc="0C09000F">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7" w15:restartNumberingAfterBreak="0">
    <w:nsid w:val="0BE805CD"/>
    <w:multiLevelType w:val="multilevel"/>
    <w:tmpl w:val="8A02E0FA"/>
    <w:lvl w:ilvl="0">
      <w:start w:val="1"/>
      <w:numFmt w:val="upperLetter"/>
      <w:pStyle w:val="Appendixhead1"/>
      <w:suff w:val="space"/>
      <w:lvlText w:val="Appendix %1:"/>
      <w:lvlJc w:val="left"/>
      <w:pPr>
        <w:ind w:left="0" w:firstLine="0"/>
      </w:pPr>
      <w:rPr>
        <w:rFonts w:ascii="Calibri Light" w:hAnsi="Calibri Light" w:cs="Calibri Light"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ppendixhead2"/>
      <w:lvlText w:val="%1.%2."/>
      <w:lvlJc w:val="left"/>
      <w:pPr>
        <w:ind w:left="792" w:hanging="792"/>
      </w:pPr>
      <w:rPr>
        <w:rFonts w:hint="default"/>
      </w:rPr>
    </w:lvl>
    <w:lvl w:ilvl="2">
      <w:start w:val="1"/>
      <w:numFmt w:val="decimal"/>
      <w:pStyle w:val="Appendixhead3"/>
      <w:lvlText w:val="%1.%2.%3."/>
      <w:lvlJc w:val="left"/>
      <w:pPr>
        <w:ind w:left="794" w:hanging="794"/>
      </w:pPr>
      <w:rPr>
        <w:rFonts w:hint="default"/>
      </w:rPr>
    </w:lvl>
    <w:lvl w:ilvl="3">
      <w:start w:val="1"/>
      <w:numFmt w:val="decimal"/>
      <w:pStyle w:val="Appendixhead4"/>
      <w:lvlText w:val="%1.%2.%3.%4."/>
      <w:lvlJc w:val="left"/>
      <w:pPr>
        <w:ind w:left="794" w:hanging="794"/>
      </w:pPr>
      <w:rPr>
        <w:rFonts w:hint="default"/>
      </w:rPr>
    </w:lvl>
    <w:lvl w:ilvl="4">
      <w:start w:val="1"/>
      <w:numFmt w:val="decimal"/>
      <w:lvlText w:val="%1.%2.%3.%4.%5."/>
      <w:lvlJc w:val="left"/>
      <w:pPr>
        <w:ind w:left="1134" w:hanging="1134"/>
      </w:pPr>
      <w:rPr>
        <w:rFonts w:hint="default"/>
        <w:color w:val="44546A" w:themeColor="text2"/>
        <w:sz w:val="22"/>
      </w:rPr>
    </w:lvl>
    <w:lvl w:ilvl="5">
      <w:start w:val="1"/>
      <w:numFmt w:val="decimal"/>
      <w:lvlText w:val="%1.%2.%3.%4.%5.%6."/>
      <w:lvlJc w:val="left"/>
      <w:pPr>
        <w:ind w:left="1701" w:hanging="1701"/>
      </w:pPr>
      <w:rPr>
        <w:rFonts w:hint="default"/>
      </w:rPr>
    </w:lvl>
    <w:lvl w:ilvl="6">
      <w:start w:val="1"/>
      <w:numFmt w:val="decimal"/>
      <w:lvlRestart w:val="1"/>
      <w:pStyle w:val="AppendixTableCaption"/>
      <w:suff w:val="space"/>
      <w:lvlText w:val="Table %1.%7:"/>
      <w:lvlJc w:val="left"/>
      <w:pPr>
        <w:ind w:left="0" w:firstLine="0"/>
      </w:pPr>
      <w:rPr>
        <w:rFonts w:hint="default"/>
      </w:rPr>
    </w:lvl>
    <w:lvl w:ilvl="7">
      <w:start w:val="1"/>
      <w:numFmt w:val="decimal"/>
      <w:lvlRestart w:val="1"/>
      <w:pStyle w:val="AppendixChartCaption"/>
      <w:suff w:val="space"/>
      <w:lvlText w:val="Chart %1.%8:"/>
      <w:lvlJc w:val="left"/>
      <w:pPr>
        <w:ind w:left="0" w:firstLine="0"/>
      </w:pPr>
      <w:rPr>
        <w:rFonts w:hint="default"/>
      </w:rPr>
    </w:lvl>
    <w:lvl w:ilvl="8">
      <w:start w:val="1"/>
      <w:numFmt w:val="decimal"/>
      <w:lvlRestart w:val="1"/>
      <w:pStyle w:val="AppendixFigureCaption"/>
      <w:suff w:val="space"/>
      <w:lvlText w:val="Figure %1.%9:"/>
      <w:lvlJc w:val="left"/>
      <w:pPr>
        <w:ind w:left="0" w:firstLine="0"/>
      </w:pPr>
      <w:rPr>
        <w:rFonts w:hint="default"/>
      </w:rPr>
    </w:lvl>
  </w:abstractNum>
  <w:abstractNum w:abstractNumId="8" w15:restartNumberingAfterBreak="0">
    <w:nsid w:val="1579747A"/>
    <w:multiLevelType w:val="hybridMultilevel"/>
    <w:tmpl w:val="46B05C90"/>
    <w:lvl w:ilvl="0" w:tplc="76F07362">
      <w:start w:val="1"/>
      <w:numFmt w:val="none"/>
      <w:pStyle w:val="ExecutiveHeading"/>
      <w:suff w:val="nothing"/>
      <w:lvlText w:val=""/>
      <w:lvlJc w:val="left"/>
      <w:pPr>
        <w:ind w:left="0" w:firstLine="0"/>
      </w:pPr>
      <w:rPr>
        <w:rFonts w:hint="default"/>
      </w:rPr>
    </w:lvl>
    <w:lvl w:ilvl="1" w:tplc="110E8176">
      <w:start w:val="1"/>
      <w:numFmt w:val="lowerRoman"/>
      <w:lvlRestart w:val="0"/>
      <w:pStyle w:val="ExecTableCaption"/>
      <w:suff w:val="space"/>
      <w:lvlText w:val="Table %2:"/>
      <w:lvlJc w:val="left"/>
      <w:pPr>
        <w:ind w:left="0" w:firstLine="0"/>
      </w:pPr>
      <w:rPr>
        <w:rFonts w:hint="default"/>
      </w:rPr>
    </w:lvl>
    <w:lvl w:ilvl="2" w:tplc="1528EE26">
      <w:start w:val="1"/>
      <w:numFmt w:val="lowerRoman"/>
      <w:lvlRestart w:val="0"/>
      <w:pStyle w:val="ExecChartCaption"/>
      <w:suff w:val="space"/>
      <w:lvlText w:val="Chart %3:"/>
      <w:lvlJc w:val="left"/>
      <w:pPr>
        <w:ind w:left="0" w:firstLine="0"/>
      </w:pPr>
      <w:rPr>
        <w:rFonts w:hint="default"/>
      </w:rPr>
    </w:lvl>
    <w:lvl w:ilvl="3" w:tplc="CA50FEB4">
      <w:start w:val="1"/>
      <w:numFmt w:val="lowerRoman"/>
      <w:lvlRestart w:val="0"/>
      <w:pStyle w:val="ExecFigureCaption"/>
      <w:suff w:val="space"/>
      <w:lvlText w:val="Figure %4:"/>
      <w:lvlJc w:val="left"/>
      <w:pPr>
        <w:ind w:left="0" w:firstLine="0"/>
      </w:pPr>
      <w:rPr>
        <w:rFonts w:hint="default"/>
      </w:rPr>
    </w:lvl>
    <w:lvl w:ilvl="4" w:tplc="01B871B6">
      <w:start w:val="1"/>
      <w:numFmt w:val="none"/>
      <w:lvlText w:val=""/>
      <w:lvlJc w:val="left"/>
      <w:pPr>
        <w:ind w:left="0" w:firstLine="0"/>
      </w:pPr>
      <w:rPr>
        <w:rFonts w:hint="default"/>
      </w:rPr>
    </w:lvl>
    <w:lvl w:ilvl="5" w:tplc="BAA025DE">
      <w:start w:val="1"/>
      <w:numFmt w:val="none"/>
      <w:lvlText w:val=""/>
      <w:lvlJc w:val="left"/>
      <w:pPr>
        <w:ind w:left="0" w:firstLine="0"/>
      </w:pPr>
      <w:rPr>
        <w:rFonts w:hint="default"/>
      </w:rPr>
    </w:lvl>
    <w:lvl w:ilvl="6" w:tplc="065A1DCC">
      <w:start w:val="1"/>
      <w:numFmt w:val="none"/>
      <w:lvlText w:val="%7"/>
      <w:lvlJc w:val="left"/>
      <w:pPr>
        <w:ind w:left="0" w:firstLine="0"/>
      </w:pPr>
      <w:rPr>
        <w:rFonts w:hint="default"/>
      </w:rPr>
    </w:lvl>
    <w:lvl w:ilvl="7" w:tplc="75C46A3C">
      <w:start w:val="1"/>
      <w:numFmt w:val="none"/>
      <w:lvlText w:val="%8"/>
      <w:lvlJc w:val="left"/>
      <w:pPr>
        <w:ind w:left="0" w:firstLine="0"/>
      </w:pPr>
      <w:rPr>
        <w:rFonts w:hint="default"/>
      </w:rPr>
    </w:lvl>
    <w:lvl w:ilvl="8" w:tplc="F99809A0">
      <w:start w:val="1"/>
      <w:numFmt w:val="none"/>
      <w:lvlText w:val="%9"/>
      <w:lvlJc w:val="left"/>
      <w:pPr>
        <w:ind w:left="0" w:firstLine="0"/>
      </w:pPr>
      <w:rPr>
        <w:rFonts w:hint="default"/>
      </w:rPr>
    </w:lvl>
  </w:abstractNum>
  <w:abstractNum w:abstractNumId="9" w15:restartNumberingAfterBreak="0">
    <w:nsid w:val="1CCD2D25"/>
    <w:multiLevelType w:val="hybridMultilevel"/>
    <w:tmpl w:val="381E2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9610DE"/>
    <w:multiLevelType w:val="hybridMultilevel"/>
    <w:tmpl w:val="95DEEB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B9F302D"/>
    <w:multiLevelType w:val="hybridMultilevel"/>
    <w:tmpl w:val="58063B50"/>
    <w:lvl w:ilvl="0" w:tplc="74C89078">
      <w:start w:val="1"/>
      <w:numFmt w:val="bullet"/>
      <w:pStyle w:val="BulletedText1"/>
      <w:lvlText w:val=""/>
      <w:lvlJc w:val="left"/>
      <w:pPr>
        <w:ind w:left="227" w:hanging="227"/>
      </w:pPr>
      <w:rPr>
        <w:rFonts w:ascii="Wingdings" w:hAnsi="Wingdings" w:hint="default"/>
        <w:color w:val="44546A" w:themeColor="text2"/>
        <w:sz w:val="18"/>
      </w:rPr>
    </w:lvl>
    <w:lvl w:ilvl="1" w:tplc="D6E0F388">
      <w:start w:val="1"/>
      <w:numFmt w:val="bullet"/>
      <w:pStyle w:val="BulletedText2"/>
      <w:lvlText w:val="–"/>
      <w:lvlJc w:val="left"/>
      <w:pPr>
        <w:ind w:left="454" w:hanging="227"/>
      </w:pPr>
      <w:rPr>
        <w:rFonts w:ascii="Verdana" w:hAnsi="Verdana" w:hint="default"/>
      </w:rPr>
    </w:lvl>
    <w:lvl w:ilvl="2" w:tplc="33ACBB52">
      <w:start w:val="1"/>
      <w:numFmt w:val="bullet"/>
      <w:lvlText w:val=""/>
      <w:lvlJc w:val="left"/>
      <w:pPr>
        <w:ind w:left="681" w:hanging="227"/>
      </w:pPr>
      <w:rPr>
        <w:rFonts w:ascii="Wingdings" w:hAnsi="Wingdings" w:hint="default"/>
        <w:color w:val="44546A" w:themeColor="text2"/>
      </w:rPr>
    </w:lvl>
    <w:lvl w:ilvl="3" w:tplc="D16A83DE">
      <w:start w:val="1"/>
      <w:numFmt w:val="bullet"/>
      <w:lvlText w:val="–"/>
      <w:lvlJc w:val="left"/>
      <w:pPr>
        <w:ind w:left="908" w:hanging="227"/>
      </w:pPr>
      <w:rPr>
        <w:rFonts w:ascii="Gotham Bold" w:hAnsi="Gotham Bold" w:hint="default"/>
        <w:color w:val="64645A"/>
      </w:rPr>
    </w:lvl>
    <w:lvl w:ilvl="4" w:tplc="7AE6345E">
      <w:start w:val="1"/>
      <w:numFmt w:val="bullet"/>
      <w:lvlText w:val=""/>
      <w:lvlJc w:val="left"/>
      <w:pPr>
        <w:ind w:left="1135" w:hanging="227"/>
      </w:pPr>
      <w:rPr>
        <w:rFonts w:ascii="Wingdings" w:hAnsi="Wingdings" w:hint="default"/>
        <w:color w:val="44546A" w:themeColor="text2"/>
      </w:rPr>
    </w:lvl>
    <w:lvl w:ilvl="5" w:tplc="870443B2">
      <w:start w:val="1"/>
      <w:numFmt w:val="bullet"/>
      <w:lvlText w:val="–"/>
      <w:lvlJc w:val="left"/>
      <w:pPr>
        <w:ind w:left="1362" w:hanging="227"/>
      </w:pPr>
      <w:rPr>
        <w:rFonts w:ascii="Gotham Bold" w:hAnsi="Gotham Bold" w:hint="default"/>
        <w:color w:val="64645A"/>
      </w:rPr>
    </w:lvl>
    <w:lvl w:ilvl="6" w:tplc="84123C40">
      <w:start w:val="1"/>
      <w:numFmt w:val="bullet"/>
      <w:lvlText w:val=""/>
      <w:lvlJc w:val="left"/>
      <w:pPr>
        <w:ind w:left="1589" w:hanging="227"/>
      </w:pPr>
      <w:rPr>
        <w:rFonts w:ascii="Wingdings" w:hAnsi="Wingdings" w:hint="default"/>
        <w:color w:val="44546A" w:themeColor="text2"/>
      </w:rPr>
    </w:lvl>
    <w:lvl w:ilvl="7" w:tplc="DE0C355E">
      <w:start w:val="1"/>
      <w:numFmt w:val="bullet"/>
      <w:lvlText w:val="–"/>
      <w:lvlJc w:val="left"/>
      <w:pPr>
        <w:ind w:left="1816" w:hanging="227"/>
      </w:pPr>
      <w:rPr>
        <w:rFonts w:ascii="Gotham Bold" w:hAnsi="Gotham Bold" w:hint="default"/>
        <w:color w:val="64645A"/>
      </w:rPr>
    </w:lvl>
    <w:lvl w:ilvl="8" w:tplc="D19E3234">
      <w:start w:val="1"/>
      <w:numFmt w:val="bullet"/>
      <w:lvlText w:val=""/>
      <w:lvlJc w:val="left"/>
      <w:pPr>
        <w:ind w:left="2043" w:hanging="227"/>
      </w:pPr>
      <w:rPr>
        <w:rFonts w:ascii="Wingdings" w:hAnsi="Wingdings" w:hint="default"/>
        <w:color w:val="44546A" w:themeColor="text2"/>
      </w:rPr>
    </w:lvl>
  </w:abstractNum>
  <w:abstractNum w:abstractNumId="12" w15:restartNumberingAfterBreak="0">
    <w:nsid w:val="2C9B01E7"/>
    <w:multiLevelType w:val="hybridMultilevel"/>
    <w:tmpl w:val="032AA1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843D13"/>
    <w:multiLevelType w:val="hybridMultilevel"/>
    <w:tmpl w:val="2CB0B978"/>
    <w:lvl w:ilvl="0" w:tplc="DD022246">
      <w:start w:val="1"/>
      <w:numFmt w:val="decimal"/>
      <w:pStyle w:val="Numberlist1"/>
      <w:lvlText w:val="%1."/>
      <w:lvlJc w:val="left"/>
      <w:pPr>
        <w:ind w:left="720" w:hanging="360"/>
      </w:pPr>
    </w:lvl>
    <w:lvl w:ilvl="1" w:tplc="7A383020">
      <w:start w:val="1"/>
      <w:numFmt w:val="lowerLetter"/>
      <w:pStyle w:val="Numberlist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C55CFD"/>
    <w:multiLevelType w:val="hybridMultilevel"/>
    <w:tmpl w:val="8A985210"/>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15" w15:restartNumberingAfterBreak="0">
    <w:nsid w:val="34085298"/>
    <w:multiLevelType w:val="hybridMultilevel"/>
    <w:tmpl w:val="A628F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AD01D2"/>
    <w:multiLevelType w:val="multilevel"/>
    <w:tmpl w:val="597A2360"/>
    <w:lvl w:ilvl="0">
      <w:start w:val="1"/>
      <w:numFmt w:val="decimal"/>
      <w:pStyle w:val="Heading1"/>
      <w:lvlText w:val="%1"/>
      <w:lvlJc w:val="left"/>
      <w:pPr>
        <w:ind w:left="794" w:hanging="794"/>
      </w:pPr>
      <w:rPr>
        <w:rFonts w:hint="default"/>
      </w:rPr>
    </w:lvl>
    <w:lvl w:ilvl="1">
      <w:start w:val="1"/>
      <w:numFmt w:val="decimal"/>
      <w:pStyle w:val="Heading2"/>
      <w:lvlText w:val="%1.%2"/>
      <w:lvlJc w:val="left"/>
      <w:pPr>
        <w:ind w:left="794" w:hanging="794"/>
      </w:pPr>
      <w:rPr>
        <w:rFonts w:hint="default"/>
      </w:rPr>
    </w:lvl>
    <w:lvl w:ilvl="2">
      <w:start w:val="1"/>
      <w:numFmt w:val="decimal"/>
      <w:pStyle w:val="Heading3"/>
      <w:lvlText w:val="%1.%2.%3"/>
      <w:lvlJc w:val="left"/>
      <w:pPr>
        <w:ind w:left="1021" w:hanging="1021"/>
      </w:pPr>
      <w:rPr>
        <w:rFonts w:hint="default"/>
      </w:rPr>
    </w:lvl>
    <w:lvl w:ilvl="3">
      <w:start w:val="1"/>
      <w:numFmt w:val="decimal"/>
      <w:pStyle w:val="Heading4"/>
      <w:lvlText w:val="%1.%2.%3.%4"/>
      <w:lvlJc w:val="left"/>
      <w:pPr>
        <w:ind w:left="1134" w:hanging="1134"/>
      </w:pPr>
      <w:rPr>
        <w:rFonts w:hint="default"/>
        <w:i w:val="0"/>
        <w:iCs w:val="0"/>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247" w:hanging="1247"/>
      </w:pPr>
      <w:rPr>
        <w:rFonts w:hint="default"/>
      </w:rPr>
    </w:lvl>
    <w:lvl w:ilvl="6">
      <w:start w:val="1"/>
      <w:numFmt w:val="decimal"/>
      <w:lvlRestart w:val="1"/>
      <w:pStyle w:val="CaptionTable"/>
      <w:suff w:val="space"/>
      <w:lvlText w:val="Table %1.%7:"/>
      <w:lvlJc w:val="left"/>
      <w:pPr>
        <w:ind w:left="0" w:firstLine="0"/>
      </w:pPr>
      <w:rPr>
        <w:rFonts w:ascii="Calibri" w:hAnsi="Calibri" w:cs="Calibri" w:hint="default"/>
        <w:b/>
        <w:bCs/>
      </w:rPr>
    </w:lvl>
    <w:lvl w:ilvl="7">
      <w:start w:val="1"/>
      <w:numFmt w:val="decimal"/>
      <w:lvlRestart w:val="1"/>
      <w:pStyle w:val="CaptionChart"/>
      <w:suff w:val="space"/>
      <w:lvlText w:val="Chart %1.%8:"/>
      <w:lvlJc w:val="left"/>
      <w:pPr>
        <w:ind w:left="0" w:firstLine="0"/>
      </w:pPr>
      <w:rPr>
        <w:rFonts w:hint="default"/>
      </w:rPr>
    </w:lvl>
    <w:lvl w:ilvl="8">
      <w:start w:val="1"/>
      <w:numFmt w:val="decimal"/>
      <w:lvlRestart w:val="1"/>
      <w:pStyle w:val="CaptionFigure"/>
      <w:suff w:val="space"/>
      <w:lvlText w:val="Figure %1.%9:"/>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17" w15:restartNumberingAfterBreak="0">
    <w:nsid w:val="405F4842"/>
    <w:multiLevelType w:val="hybridMultilevel"/>
    <w:tmpl w:val="281C291A"/>
    <w:lvl w:ilvl="0" w:tplc="6C5443F4">
      <w:start w:val="1"/>
      <w:numFmt w:val="decimal"/>
      <w:pStyle w:val="ListNumber"/>
      <w:lvlText w:val="%1."/>
      <w:lvlJc w:val="left"/>
      <w:pPr>
        <w:ind w:left="340" w:hanging="340"/>
      </w:pPr>
      <w:rPr>
        <w:rFonts w:hint="default"/>
      </w:rPr>
    </w:lvl>
    <w:lvl w:ilvl="1" w:tplc="40DCA896">
      <w:start w:val="1"/>
      <w:numFmt w:val="lowerLetter"/>
      <w:pStyle w:val="ListNumber2"/>
      <w:lvlText w:val="%2)"/>
      <w:lvlJc w:val="left"/>
      <w:pPr>
        <w:ind w:left="680" w:hanging="340"/>
      </w:pPr>
      <w:rPr>
        <w:rFonts w:hint="default"/>
      </w:rPr>
    </w:lvl>
    <w:lvl w:ilvl="2" w:tplc="013487B0">
      <w:start w:val="1"/>
      <w:numFmt w:val="lowerRoman"/>
      <w:pStyle w:val="ListNumber3"/>
      <w:lvlText w:val="%3)"/>
      <w:lvlJc w:val="left"/>
      <w:pPr>
        <w:ind w:left="1020" w:hanging="340"/>
      </w:pPr>
      <w:rPr>
        <w:rFonts w:hint="default"/>
      </w:rPr>
    </w:lvl>
    <w:lvl w:ilvl="3" w:tplc="EF9E2FF4">
      <w:start w:val="1"/>
      <w:numFmt w:val="decimal"/>
      <w:lvlText w:val="(%4)"/>
      <w:lvlJc w:val="left"/>
      <w:pPr>
        <w:ind w:left="1360" w:hanging="340"/>
      </w:pPr>
      <w:rPr>
        <w:rFonts w:hint="default"/>
      </w:rPr>
    </w:lvl>
    <w:lvl w:ilvl="4" w:tplc="F5B4AFE8">
      <w:start w:val="1"/>
      <w:numFmt w:val="lowerLetter"/>
      <w:lvlText w:val="(%5)"/>
      <w:lvlJc w:val="left"/>
      <w:pPr>
        <w:ind w:left="1700" w:hanging="340"/>
      </w:pPr>
      <w:rPr>
        <w:rFonts w:hint="default"/>
      </w:rPr>
    </w:lvl>
    <w:lvl w:ilvl="5" w:tplc="D324881C">
      <w:start w:val="1"/>
      <w:numFmt w:val="lowerRoman"/>
      <w:lvlText w:val="(%6)"/>
      <w:lvlJc w:val="left"/>
      <w:pPr>
        <w:ind w:left="2040" w:hanging="340"/>
      </w:pPr>
      <w:rPr>
        <w:rFonts w:hint="default"/>
      </w:rPr>
    </w:lvl>
    <w:lvl w:ilvl="6" w:tplc="006A53BE">
      <w:start w:val="1"/>
      <w:numFmt w:val="decimal"/>
      <w:lvlText w:val="%7."/>
      <w:lvlJc w:val="left"/>
      <w:pPr>
        <w:ind w:left="2380" w:hanging="340"/>
      </w:pPr>
      <w:rPr>
        <w:rFonts w:hint="default"/>
      </w:rPr>
    </w:lvl>
    <w:lvl w:ilvl="7" w:tplc="F89ABA8C">
      <w:start w:val="1"/>
      <w:numFmt w:val="lowerLetter"/>
      <w:lvlText w:val="%8."/>
      <w:lvlJc w:val="left"/>
      <w:pPr>
        <w:ind w:left="2720" w:hanging="340"/>
      </w:pPr>
      <w:rPr>
        <w:rFonts w:hint="default"/>
      </w:rPr>
    </w:lvl>
    <w:lvl w:ilvl="8" w:tplc="2B5CB6AE">
      <w:start w:val="1"/>
      <w:numFmt w:val="lowerRoman"/>
      <w:lvlText w:val="%9."/>
      <w:lvlJc w:val="left"/>
      <w:pPr>
        <w:ind w:left="3060" w:hanging="340"/>
      </w:pPr>
      <w:rPr>
        <w:rFonts w:hint="default"/>
      </w:rPr>
    </w:lvl>
  </w:abstractNum>
  <w:abstractNum w:abstractNumId="18" w15:restartNumberingAfterBreak="0">
    <w:nsid w:val="451578A7"/>
    <w:multiLevelType w:val="hybridMultilevel"/>
    <w:tmpl w:val="E4369E80"/>
    <w:lvl w:ilvl="0" w:tplc="BDC25C40">
      <w:start w:val="1"/>
      <w:numFmt w:val="bullet"/>
      <w:pStyle w:val="ListBullet"/>
      <w:lvlText w:val=""/>
      <w:lvlJc w:val="left"/>
      <w:pPr>
        <w:ind w:left="340" w:hanging="340"/>
      </w:pPr>
      <w:rPr>
        <w:rFonts w:ascii="Symbol" w:hAnsi="Symbol" w:hint="default"/>
        <w:color w:val="auto"/>
      </w:rPr>
    </w:lvl>
    <w:lvl w:ilvl="1" w:tplc="93967506">
      <w:start w:val="1"/>
      <w:numFmt w:val="bullet"/>
      <w:pStyle w:val="ListBullet2"/>
      <w:lvlText w:val="–"/>
      <w:lvlJc w:val="left"/>
      <w:pPr>
        <w:ind w:left="680" w:hanging="340"/>
      </w:pPr>
      <w:rPr>
        <w:rFonts w:ascii="Verdana" w:hAnsi="Verdana" w:hint="default"/>
      </w:rPr>
    </w:lvl>
    <w:lvl w:ilvl="2" w:tplc="D7FA2702">
      <w:start w:val="1"/>
      <w:numFmt w:val="bullet"/>
      <w:pStyle w:val="ListBullet3"/>
      <w:lvlText w:val=""/>
      <w:lvlJc w:val="left"/>
      <w:pPr>
        <w:ind w:left="1020" w:hanging="340"/>
      </w:pPr>
      <w:rPr>
        <w:rFonts w:ascii="Symbol" w:hAnsi="Symbol" w:hint="default"/>
        <w:color w:val="auto"/>
      </w:rPr>
    </w:lvl>
    <w:lvl w:ilvl="3" w:tplc="C674C70E">
      <w:start w:val="1"/>
      <w:numFmt w:val="bullet"/>
      <w:lvlText w:val="–"/>
      <w:lvlJc w:val="left"/>
      <w:pPr>
        <w:ind w:left="1360" w:hanging="340"/>
      </w:pPr>
      <w:rPr>
        <w:rFonts w:ascii="Verdana" w:hAnsi="Verdana" w:hint="default"/>
      </w:rPr>
    </w:lvl>
    <w:lvl w:ilvl="4" w:tplc="D8E8BCC6">
      <w:start w:val="1"/>
      <w:numFmt w:val="bullet"/>
      <w:lvlText w:val=""/>
      <w:lvlJc w:val="left"/>
      <w:pPr>
        <w:ind w:left="1700" w:hanging="340"/>
      </w:pPr>
      <w:rPr>
        <w:rFonts w:ascii="Symbol" w:hAnsi="Symbol" w:hint="default"/>
      </w:rPr>
    </w:lvl>
    <w:lvl w:ilvl="5" w:tplc="995A795E">
      <w:start w:val="1"/>
      <w:numFmt w:val="bullet"/>
      <w:lvlText w:val="–"/>
      <w:lvlJc w:val="left"/>
      <w:pPr>
        <w:ind w:left="2040" w:hanging="340"/>
      </w:pPr>
      <w:rPr>
        <w:rFonts w:ascii="Verdana" w:hAnsi="Verdana" w:hint="default"/>
      </w:rPr>
    </w:lvl>
    <w:lvl w:ilvl="6" w:tplc="8DF8C50C">
      <w:start w:val="1"/>
      <w:numFmt w:val="bullet"/>
      <w:lvlText w:val=""/>
      <w:lvlJc w:val="left"/>
      <w:pPr>
        <w:ind w:left="2380" w:hanging="340"/>
      </w:pPr>
      <w:rPr>
        <w:rFonts w:ascii="Symbol" w:hAnsi="Symbol" w:hint="default"/>
      </w:rPr>
    </w:lvl>
    <w:lvl w:ilvl="7" w:tplc="0E62323E">
      <w:start w:val="1"/>
      <w:numFmt w:val="bullet"/>
      <w:lvlText w:val="–"/>
      <w:lvlJc w:val="left"/>
      <w:pPr>
        <w:ind w:left="2720" w:hanging="340"/>
      </w:pPr>
      <w:rPr>
        <w:rFonts w:ascii="Verdana" w:hAnsi="Verdana" w:hint="default"/>
      </w:rPr>
    </w:lvl>
    <w:lvl w:ilvl="8" w:tplc="D6C83EEE">
      <w:start w:val="1"/>
      <w:numFmt w:val="bullet"/>
      <w:lvlText w:val=""/>
      <w:lvlJc w:val="left"/>
      <w:pPr>
        <w:ind w:left="3060" w:hanging="340"/>
      </w:pPr>
      <w:rPr>
        <w:rFonts w:ascii="Symbol" w:hAnsi="Symbol" w:hint="default"/>
      </w:rPr>
    </w:lvl>
  </w:abstractNum>
  <w:abstractNum w:abstractNumId="19" w15:restartNumberingAfterBreak="0">
    <w:nsid w:val="457C67BE"/>
    <w:multiLevelType w:val="hybridMultilevel"/>
    <w:tmpl w:val="9A7E6C42"/>
    <w:lvl w:ilvl="0" w:tplc="2E444D5E">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7E6EBC"/>
    <w:multiLevelType w:val="hybridMultilevel"/>
    <w:tmpl w:val="7B98EE74"/>
    <w:lvl w:ilvl="0" w:tplc="E264A970">
      <w:start w:val="1"/>
      <w:numFmt w:val="decimal"/>
      <w:pStyle w:val="Numberslevel1"/>
      <w:lvlText w:val="%1."/>
      <w:lvlJc w:val="left"/>
      <w:pPr>
        <w:ind w:left="360" w:hanging="360"/>
      </w:pPr>
      <w:rPr>
        <w:rFonts w:hint="default"/>
      </w:rPr>
    </w:lvl>
    <w:lvl w:ilvl="1" w:tplc="D144D462">
      <w:start w:val="1"/>
      <w:numFmt w:val="lowerLetter"/>
      <w:pStyle w:val="Numberslevel2"/>
      <w:lvlText w:val="%2)"/>
      <w:lvlJc w:val="left"/>
      <w:pPr>
        <w:ind w:left="720" w:hanging="360"/>
      </w:pPr>
      <w:rPr>
        <w:rFonts w:hint="default"/>
      </w:rPr>
    </w:lvl>
    <w:lvl w:ilvl="2" w:tplc="511E46DE">
      <w:start w:val="1"/>
      <w:numFmt w:val="lowerRoman"/>
      <w:pStyle w:val="Numberslevel3"/>
      <w:lvlText w:val="%3)"/>
      <w:lvlJc w:val="left"/>
      <w:pPr>
        <w:ind w:left="1080" w:hanging="360"/>
      </w:pPr>
      <w:rPr>
        <w:rFonts w:hint="default"/>
      </w:rPr>
    </w:lvl>
    <w:lvl w:ilvl="3" w:tplc="11AE7D9C">
      <w:start w:val="1"/>
      <w:numFmt w:val="decimal"/>
      <w:lvlText w:val="(%4)"/>
      <w:lvlJc w:val="left"/>
      <w:pPr>
        <w:ind w:left="1440" w:hanging="360"/>
      </w:pPr>
      <w:rPr>
        <w:rFonts w:hint="default"/>
      </w:rPr>
    </w:lvl>
    <w:lvl w:ilvl="4" w:tplc="6FB626AE">
      <w:start w:val="1"/>
      <w:numFmt w:val="lowerLetter"/>
      <w:lvlText w:val="(%5)"/>
      <w:lvlJc w:val="left"/>
      <w:pPr>
        <w:ind w:left="1800" w:hanging="360"/>
      </w:pPr>
      <w:rPr>
        <w:rFonts w:hint="default"/>
      </w:rPr>
    </w:lvl>
    <w:lvl w:ilvl="5" w:tplc="5754904A">
      <w:start w:val="1"/>
      <w:numFmt w:val="lowerRoman"/>
      <w:lvlText w:val="(%6)"/>
      <w:lvlJc w:val="left"/>
      <w:pPr>
        <w:ind w:left="2160" w:hanging="360"/>
      </w:pPr>
      <w:rPr>
        <w:rFonts w:hint="default"/>
      </w:rPr>
    </w:lvl>
    <w:lvl w:ilvl="6" w:tplc="E16EC88C">
      <w:start w:val="1"/>
      <w:numFmt w:val="decimal"/>
      <w:lvlText w:val="%7."/>
      <w:lvlJc w:val="left"/>
      <w:pPr>
        <w:ind w:left="2520" w:hanging="360"/>
      </w:pPr>
      <w:rPr>
        <w:rFonts w:hint="default"/>
      </w:rPr>
    </w:lvl>
    <w:lvl w:ilvl="7" w:tplc="1E60C22C">
      <w:start w:val="1"/>
      <w:numFmt w:val="lowerLetter"/>
      <w:lvlText w:val="%8."/>
      <w:lvlJc w:val="left"/>
      <w:pPr>
        <w:ind w:left="2880" w:hanging="360"/>
      </w:pPr>
      <w:rPr>
        <w:rFonts w:hint="default"/>
      </w:rPr>
    </w:lvl>
    <w:lvl w:ilvl="8" w:tplc="9EFCD282">
      <w:start w:val="1"/>
      <w:numFmt w:val="lowerRoman"/>
      <w:lvlText w:val="%9."/>
      <w:lvlJc w:val="left"/>
      <w:pPr>
        <w:ind w:left="3240" w:hanging="360"/>
      </w:pPr>
      <w:rPr>
        <w:rFonts w:hint="default"/>
      </w:rPr>
    </w:lvl>
  </w:abstractNum>
  <w:abstractNum w:abstractNumId="21" w15:restartNumberingAfterBreak="0">
    <w:nsid w:val="4A0445F4"/>
    <w:multiLevelType w:val="hybridMultilevel"/>
    <w:tmpl w:val="2CAA0284"/>
    <w:styleLink w:val="Lists"/>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DCE2E8E"/>
    <w:multiLevelType w:val="hybridMultilevel"/>
    <w:tmpl w:val="3D485516"/>
    <w:name w:val="BulletList"/>
    <w:lvl w:ilvl="0" w:tplc="5694D08C">
      <w:numFmt w:val="none"/>
      <w:lvlText w:val=""/>
      <w:lvlJc w:val="left"/>
      <w:pPr>
        <w:tabs>
          <w:tab w:val="num" w:pos="360"/>
        </w:tabs>
      </w:pPr>
    </w:lvl>
    <w:lvl w:ilvl="1" w:tplc="23200BC6">
      <w:start w:val="1"/>
      <w:numFmt w:val="bullet"/>
      <w:lvlRestart w:val="0"/>
      <w:lvlText w:val=""/>
      <w:lvlJc w:val="left"/>
      <w:pPr>
        <w:tabs>
          <w:tab w:val="num" w:pos="1134"/>
        </w:tabs>
        <w:ind w:left="1134" w:hanging="567"/>
      </w:pPr>
      <w:rPr>
        <w:rFonts w:ascii="Wingdings 3" w:hAnsi="Wingdings 3" w:hint="default"/>
        <w:b/>
        <w:i w:val="0"/>
        <w:color w:val="931638"/>
        <w:sz w:val="24"/>
      </w:rPr>
    </w:lvl>
    <w:lvl w:ilvl="2" w:tplc="19B0BED6">
      <w:start w:val="1"/>
      <w:numFmt w:val="lowerRoman"/>
      <w:lvlText w:val="%3)"/>
      <w:lvlJc w:val="left"/>
      <w:pPr>
        <w:tabs>
          <w:tab w:val="num" w:pos="1080"/>
        </w:tabs>
        <w:ind w:left="1080" w:hanging="360"/>
      </w:pPr>
    </w:lvl>
    <w:lvl w:ilvl="3" w:tplc="A41AFC46">
      <w:start w:val="1"/>
      <w:numFmt w:val="decimal"/>
      <w:lvlText w:val="(%4)"/>
      <w:lvlJc w:val="left"/>
      <w:pPr>
        <w:tabs>
          <w:tab w:val="num" w:pos="1440"/>
        </w:tabs>
        <w:ind w:left="1440" w:hanging="360"/>
      </w:pPr>
    </w:lvl>
    <w:lvl w:ilvl="4" w:tplc="C96CCB10">
      <w:start w:val="1"/>
      <w:numFmt w:val="lowerLetter"/>
      <w:lvlText w:val="(%5)"/>
      <w:lvlJc w:val="left"/>
      <w:pPr>
        <w:tabs>
          <w:tab w:val="num" w:pos="1800"/>
        </w:tabs>
        <w:ind w:left="1800" w:hanging="360"/>
      </w:pPr>
    </w:lvl>
    <w:lvl w:ilvl="5" w:tplc="A73639CE">
      <w:start w:val="1"/>
      <w:numFmt w:val="lowerRoman"/>
      <w:lvlText w:val="(%6)"/>
      <w:lvlJc w:val="left"/>
      <w:pPr>
        <w:tabs>
          <w:tab w:val="num" w:pos="2160"/>
        </w:tabs>
        <w:ind w:left="2160" w:hanging="360"/>
      </w:pPr>
    </w:lvl>
    <w:lvl w:ilvl="6" w:tplc="26420FE6">
      <w:start w:val="1"/>
      <w:numFmt w:val="decimal"/>
      <w:lvlText w:val="%7."/>
      <w:lvlJc w:val="left"/>
      <w:pPr>
        <w:tabs>
          <w:tab w:val="num" w:pos="2520"/>
        </w:tabs>
        <w:ind w:left="2520" w:hanging="360"/>
      </w:pPr>
    </w:lvl>
    <w:lvl w:ilvl="7" w:tplc="476E9754">
      <w:start w:val="1"/>
      <w:numFmt w:val="lowerLetter"/>
      <w:lvlText w:val="%8."/>
      <w:lvlJc w:val="left"/>
      <w:pPr>
        <w:tabs>
          <w:tab w:val="num" w:pos="2880"/>
        </w:tabs>
        <w:ind w:left="2880" w:hanging="360"/>
      </w:pPr>
    </w:lvl>
    <w:lvl w:ilvl="8" w:tplc="1D280466">
      <w:start w:val="1"/>
      <w:numFmt w:val="lowerRoman"/>
      <w:lvlText w:val="%9."/>
      <w:lvlJc w:val="left"/>
      <w:pPr>
        <w:tabs>
          <w:tab w:val="num" w:pos="3240"/>
        </w:tabs>
        <w:ind w:left="3240" w:hanging="360"/>
      </w:pPr>
    </w:lvl>
  </w:abstractNum>
  <w:abstractNum w:abstractNumId="23" w15:restartNumberingAfterBreak="0">
    <w:nsid w:val="58D47322"/>
    <w:multiLevelType w:val="hybridMultilevel"/>
    <w:tmpl w:val="46B291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B690B59"/>
    <w:multiLevelType w:val="hybridMultilevel"/>
    <w:tmpl w:val="FFC85F92"/>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E146941"/>
    <w:multiLevelType w:val="hybridMultilevel"/>
    <w:tmpl w:val="332C8394"/>
    <w:lvl w:ilvl="0" w:tplc="E02481F4">
      <w:start w:val="1"/>
      <w:numFmt w:val="bullet"/>
      <w:pStyle w:val="BodyBullet1NEW"/>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09152D5"/>
    <w:multiLevelType w:val="hybridMultilevel"/>
    <w:tmpl w:val="95E85276"/>
    <w:lvl w:ilvl="0" w:tplc="0D3636FA">
      <w:start w:val="1"/>
      <w:numFmt w:val="decimal"/>
      <w:pStyle w:val="Tablenumbered"/>
      <w:lvlText w:val="%1."/>
      <w:lvlJc w:val="left"/>
      <w:pPr>
        <w:ind w:left="720" w:hanging="360"/>
      </w:pPr>
    </w:lvl>
    <w:lvl w:ilvl="1" w:tplc="7996F936" w:tentative="1">
      <w:start w:val="1"/>
      <w:numFmt w:val="lowerLetter"/>
      <w:lvlText w:val="%2."/>
      <w:lvlJc w:val="left"/>
      <w:pPr>
        <w:ind w:left="1440" w:hanging="360"/>
      </w:pPr>
    </w:lvl>
    <w:lvl w:ilvl="2" w:tplc="0E6C94CC" w:tentative="1">
      <w:start w:val="1"/>
      <w:numFmt w:val="lowerRoman"/>
      <w:lvlText w:val="%3."/>
      <w:lvlJc w:val="right"/>
      <w:pPr>
        <w:ind w:left="2160" w:hanging="180"/>
      </w:pPr>
    </w:lvl>
    <w:lvl w:ilvl="3" w:tplc="00DA055E" w:tentative="1">
      <w:start w:val="1"/>
      <w:numFmt w:val="decimal"/>
      <w:lvlText w:val="%4."/>
      <w:lvlJc w:val="left"/>
      <w:pPr>
        <w:ind w:left="2880" w:hanging="360"/>
      </w:pPr>
    </w:lvl>
    <w:lvl w:ilvl="4" w:tplc="5BE0FF6A" w:tentative="1">
      <w:start w:val="1"/>
      <w:numFmt w:val="lowerLetter"/>
      <w:lvlText w:val="%5."/>
      <w:lvlJc w:val="left"/>
      <w:pPr>
        <w:ind w:left="3600" w:hanging="360"/>
      </w:pPr>
    </w:lvl>
    <w:lvl w:ilvl="5" w:tplc="0AE2F662" w:tentative="1">
      <w:start w:val="1"/>
      <w:numFmt w:val="lowerRoman"/>
      <w:lvlText w:val="%6."/>
      <w:lvlJc w:val="right"/>
      <w:pPr>
        <w:ind w:left="4320" w:hanging="180"/>
      </w:pPr>
    </w:lvl>
    <w:lvl w:ilvl="6" w:tplc="BB2E865E" w:tentative="1">
      <w:start w:val="1"/>
      <w:numFmt w:val="decimal"/>
      <w:lvlText w:val="%7."/>
      <w:lvlJc w:val="left"/>
      <w:pPr>
        <w:ind w:left="5040" w:hanging="360"/>
      </w:pPr>
    </w:lvl>
    <w:lvl w:ilvl="7" w:tplc="23A4B1A6" w:tentative="1">
      <w:start w:val="1"/>
      <w:numFmt w:val="lowerLetter"/>
      <w:lvlText w:val="%8."/>
      <w:lvlJc w:val="left"/>
      <w:pPr>
        <w:ind w:left="5760" w:hanging="360"/>
      </w:pPr>
    </w:lvl>
    <w:lvl w:ilvl="8" w:tplc="C82247A4" w:tentative="1">
      <w:start w:val="1"/>
      <w:numFmt w:val="lowerRoman"/>
      <w:lvlText w:val="%9."/>
      <w:lvlJc w:val="right"/>
      <w:pPr>
        <w:ind w:left="6480" w:hanging="180"/>
      </w:pPr>
    </w:lvl>
  </w:abstractNum>
  <w:abstractNum w:abstractNumId="27" w15:restartNumberingAfterBreak="0">
    <w:nsid w:val="61D61EE1"/>
    <w:multiLevelType w:val="hybridMultilevel"/>
    <w:tmpl w:val="8A848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254908"/>
    <w:multiLevelType w:val="hybridMultilevel"/>
    <w:tmpl w:val="1D4085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3417825"/>
    <w:multiLevelType w:val="hybridMultilevel"/>
    <w:tmpl w:val="0666E9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66440AC2"/>
    <w:multiLevelType w:val="hybridMultilevel"/>
    <w:tmpl w:val="D2A81D9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5B32CF"/>
    <w:multiLevelType w:val="hybridMultilevel"/>
    <w:tmpl w:val="5A2469FC"/>
    <w:lvl w:ilvl="0" w:tplc="61128572">
      <w:start w:val="1"/>
      <w:numFmt w:val="bullet"/>
      <w:pStyle w:val="Bullet2"/>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41170AB"/>
    <w:multiLevelType w:val="hybridMultilevel"/>
    <w:tmpl w:val="29E24B30"/>
    <w:lvl w:ilvl="0" w:tplc="EE361F2A">
      <w:start w:val="1"/>
      <w:numFmt w:val="decimal"/>
      <w:lvlText w:val="%1."/>
      <w:lvlJc w:val="left"/>
      <w:pPr>
        <w:tabs>
          <w:tab w:val="num" w:pos="360"/>
        </w:tabs>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5EC3874"/>
    <w:multiLevelType w:val="hybridMultilevel"/>
    <w:tmpl w:val="EACE9E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77D4D21"/>
    <w:multiLevelType w:val="hybridMultilevel"/>
    <w:tmpl w:val="84843AF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3F1C2C"/>
    <w:multiLevelType w:val="hybridMultilevel"/>
    <w:tmpl w:val="046CE3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F14659A"/>
    <w:multiLevelType w:val="hybridMultilevel"/>
    <w:tmpl w:val="415272D4"/>
    <w:lvl w:ilvl="0" w:tplc="9996A442">
      <w:start w:val="1"/>
      <w:numFmt w:val="bullet"/>
      <w:pStyle w:val="BodyBullet1"/>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num>
  <w:num w:numId="4">
    <w:abstractNumId w:val="3"/>
  </w:num>
  <w:num w:numId="5">
    <w:abstractNumId w:val="2"/>
  </w:num>
  <w:num w:numId="6">
    <w:abstractNumId w:val="1"/>
  </w:num>
  <w:num w:numId="7">
    <w:abstractNumId w:val="0"/>
  </w:num>
  <w:num w:numId="8">
    <w:abstractNumId w:val="20"/>
  </w:num>
  <w:num w:numId="9">
    <w:abstractNumId w:val="19"/>
  </w:num>
  <w:num w:numId="10">
    <w:abstractNumId w:val="26"/>
  </w:num>
  <w:num w:numId="11">
    <w:abstractNumId w:val="8"/>
  </w:num>
  <w:num w:numId="12">
    <w:abstractNumId w:val="5"/>
  </w:num>
  <w:num w:numId="13">
    <w:abstractNumId w:val="18"/>
  </w:num>
  <w:num w:numId="14">
    <w:abstractNumId w:val="17"/>
  </w:num>
  <w:num w:numId="15">
    <w:abstractNumId w:val="32"/>
  </w:num>
  <w:num w:numId="16">
    <w:abstractNumId w:val="27"/>
  </w:num>
  <w:num w:numId="17">
    <w:abstractNumId w:val="31"/>
  </w:num>
  <w:num w:numId="18">
    <w:abstractNumId w:val="13"/>
  </w:num>
  <w:num w:numId="19">
    <w:abstractNumId w:val="24"/>
  </w:num>
  <w:num w:numId="20">
    <w:abstractNumId w:val="12"/>
  </w:num>
  <w:num w:numId="21">
    <w:abstractNumId w:val="29"/>
  </w:num>
  <w:num w:numId="22">
    <w:abstractNumId w:val="28"/>
  </w:num>
  <w:num w:numId="23">
    <w:abstractNumId w:val="23"/>
  </w:num>
  <w:num w:numId="24">
    <w:abstractNumId w:val="21"/>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30"/>
  </w:num>
  <w:num w:numId="28">
    <w:abstractNumId w:val="36"/>
  </w:num>
  <w:num w:numId="29">
    <w:abstractNumId w:val="4"/>
  </w:num>
  <w:num w:numId="30">
    <w:abstractNumId w:val="9"/>
  </w:num>
  <w:num w:numId="31">
    <w:abstractNumId w:val="15"/>
  </w:num>
  <w:num w:numId="32">
    <w:abstractNumId w:val="25"/>
  </w:num>
  <w:num w:numId="33">
    <w:abstractNumId w:val="6"/>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5"/>
  </w:num>
  <w:num w:numId="36">
    <w:abstractNumId w:val="10"/>
  </w:num>
  <w:num w:numId="37">
    <w:abstractNumId w:val="14"/>
  </w:num>
  <w:num w:numId="38">
    <w:abstractNumId w:val="7"/>
  </w:num>
  <w:num w:numId="39">
    <w:abstractNumId w:val="36"/>
  </w:num>
  <w:num w:numId="40">
    <w:abstractNumId w:val="36"/>
  </w:num>
  <w:num w:numId="41">
    <w:abstractNumId w:val="3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hideSpellingErrors/>
  <w:hideGrammaticalError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AU" w:vendorID="64" w:dllVersion="131078" w:nlCheck="1" w:checkStyle="1"/>
  <w:activeWritingStyle w:appName="MSWord" w:lang="en-GB" w:vendorID="64" w:dllVersion="131078" w:nlCheck="1" w:checkStyle="1"/>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0AB"/>
    <w:rsid w:val="00000030"/>
    <w:rsid w:val="000000E3"/>
    <w:rsid w:val="0000019A"/>
    <w:rsid w:val="000005FE"/>
    <w:rsid w:val="0000083C"/>
    <w:rsid w:val="00000A0E"/>
    <w:rsid w:val="00000AA3"/>
    <w:rsid w:val="00000AA5"/>
    <w:rsid w:val="00000B44"/>
    <w:rsid w:val="00000B59"/>
    <w:rsid w:val="00000B83"/>
    <w:rsid w:val="00000BFD"/>
    <w:rsid w:val="00000E9E"/>
    <w:rsid w:val="0000109F"/>
    <w:rsid w:val="00001188"/>
    <w:rsid w:val="000011F7"/>
    <w:rsid w:val="00001248"/>
    <w:rsid w:val="00001322"/>
    <w:rsid w:val="000013E4"/>
    <w:rsid w:val="000017E0"/>
    <w:rsid w:val="0000180A"/>
    <w:rsid w:val="00001830"/>
    <w:rsid w:val="00001AF5"/>
    <w:rsid w:val="00001C53"/>
    <w:rsid w:val="00001CAE"/>
    <w:rsid w:val="00001D7D"/>
    <w:rsid w:val="00001D9F"/>
    <w:rsid w:val="00001F20"/>
    <w:rsid w:val="0000228E"/>
    <w:rsid w:val="00002361"/>
    <w:rsid w:val="0000244F"/>
    <w:rsid w:val="000026D3"/>
    <w:rsid w:val="000027B0"/>
    <w:rsid w:val="0000286E"/>
    <w:rsid w:val="000029C3"/>
    <w:rsid w:val="00002CF7"/>
    <w:rsid w:val="00002D9F"/>
    <w:rsid w:val="00003545"/>
    <w:rsid w:val="000035A8"/>
    <w:rsid w:val="000035EE"/>
    <w:rsid w:val="00003692"/>
    <w:rsid w:val="00003B0F"/>
    <w:rsid w:val="00003B42"/>
    <w:rsid w:val="00003BCC"/>
    <w:rsid w:val="00003C94"/>
    <w:rsid w:val="00003E4E"/>
    <w:rsid w:val="00003E9E"/>
    <w:rsid w:val="000040FA"/>
    <w:rsid w:val="0000437C"/>
    <w:rsid w:val="00004B7A"/>
    <w:rsid w:val="00004DCD"/>
    <w:rsid w:val="00004DFB"/>
    <w:rsid w:val="00005005"/>
    <w:rsid w:val="0000514C"/>
    <w:rsid w:val="000052F2"/>
    <w:rsid w:val="00005313"/>
    <w:rsid w:val="00005386"/>
    <w:rsid w:val="00005572"/>
    <w:rsid w:val="0000563F"/>
    <w:rsid w:val="00005824"/>
    <w:rsid w:val="0000586F"/>
    <w:rsid w:val="00005A9D"/>
    <w:rsid w:val="00005B1E"/>
    <w:rsid w:val="00005B9B"/>
    <w:rsid w:val="00005FB9"/>
    <w:rsid w:val="000061C7"/>
    <w:rsid w:val="00006237"/>
    <w:rsid w:val="000063C9"/>
    <w:rsid w:val="00006436"/>
    <w:rsid w:val="00006585"/>
    <w:rsid w:val="000065F8"/>
    <w:rsid w:val="00006691"/>
    <w:rsid w:val="00006904"/>
    <w:rsid w:val="000069C3"/>
    <w:rsid w:val="00006DEF"/>
    <w:rsid w:val="000070B3"/>
    <w:rsid w:val="00007383"/>
    <w:rsid w:val="000074F4"/>
    <w:rsid w:val="000076B5"/>
    <w:rsid w:val="00007C2E"/>
    <w:rsid w:val="00007F01"/>
    <w:rsid w:val="00010004"/>
    <w:rsid w:val="000100AD"/>
    <w:rsid w:val="00010269"/>
    <w:rsid w:val="00010281"/>
    <w:rsid w:val="00010E0E"/>
    <w:rsid w:val="000111DD"/>
    <w:rsid w:val="000113B9"/>
    <w:rsid w:val="00011477"/>
    <w:rsid w:val="00011578"/>
    <w:rsid w:val="000116B0"/>
    <w:rsid w:val="0001185B"/>
    <w:rsid w:val="000118F1"/>
    <w:rsid w:val="00012034"/>
    <w:rsid w:val="000120C7"/>
    <w:rsid w:val="0001221E"/>
    <w:rsid w:val="000122EE"/>
    <w:rsid w:val="00012504"/>
    <w:rsid w:val="00012571"/>
    <w:rsid w:val="0001268F"/>
    <w:rsid w:val="00012953"/>
    <w:rsid w:val="000129E1"/>
    <w:rsid w:val="000129F6"/>
    <w:rsid w:val="00012A55"/>
    <w:rsid w:val="00012A65"/>
    <w:rsid w:val="00012AC2"/>
    <w:rsid w:val="00012B31"/>
    <w:rsid w:val="00012E1E"/>
    <w:rsid w:val="000130B6"/>
    <w:rsid w:val="0001311B"/>
    <w:rsid w:val="00013121"/>
    <w:rsid w:val="000131A3"/>
    <w:rsid w:val="000131B3"/>
    <w:rsid w:val="00013269"/>
    <w:rsid w:val="000136EB"/>
    <w:rsid w:val="00013959"/>
    <w:rsid w:val="00013AF9"/>
    <w:rsid w:val="00013B02"/>
    <w:rsid w:val="00013D09"/>
    <w:rsid w:val="000143EA"/>
    <w:rsid w:val="00014506"/>
    <w:rsid w:val="000148AB"/>
    <w:rsid w:val="00014B89"/>
    <w:rsid w:val="00014BBD"/>
    <w:rsid w:val="00014C0F"/>
    <w:rsid w:val="00014C53"/>
    <w:rsid w:val="00014C5B"/>
    <w:rsid w:val="00014D03"/>
    <w:rsid w:val="00014DC0"/>
    <w:rsid w:val="00015057"/>
    <w:rsid w:val="00015333"/>
    <w:rsid w:val="00015376"/>
    <w:rsid w:val="000154CF"/>
    <w:rsid w:val="00015588"/>
    <w:rsid w:val="000157AF"/>
    <w:rsid w:val="000157BB"/>
    <w:rsid w:val="000158F4"/>
    <w:rsid w:val="00015D3F"/>
    <w:rsid w:val="0001610A"/>
    <w:rsid w:val="00016218"/>
    <w:rsid w:val="00016436"/>
    <w:rsid w:val="00016505"/>
    <w:rsid w:val="00016911"/>
    <w:rsid w:val="0001696F"/>
    <w:rsid w:val="00016A1C"/>
    <w:rsid w:val="00016A22"/>
    <w:rsid w:val="00016DA9"/>
    <w:rsid w:val="00016DF6"/>
    <w:rsid w:val="00016F60"/>
    <w:rsid w:val="000171CF"/>
    <w:rsid w:val="000171FA"/>
    <w:rsid w:val="00017201"/>
    <w:rsid w:val="000173B3"/>
    <w:rsid w:val="00017586"/>
    <w:rsid w:val="00017BA0"/>
    <w:rsid w:val="00017BAB"/>
    <w:rsid w:val="00017EAF"/>
    <w:rsid w:val="00017EC2"/>
    <w:rsid w:val="00017FF8"/>
    <w:rsid w:val="00020004"/>
    <w:rsid w:val="000200F3"/>
    <w:rsid w:val="00020297"/>
    <w:rsid w:val="000205D2"/>
    <w:rsid w:val="000208C0"/>
    <w:rsid w:val="00020D44"/>
    <w:rsid w:val="000210BE"/>
    <w:rsid w:val="00021249"/>
    <w:rsid w:val="000213C2"/>
    <w:rsid w:val="00021427"/>
    <w:rsid w:val="0002144B"/>
    <w:rsid w:val="000215EF"/>
    <w:rsid w:val="00021639"/>
    <w:rsid w:val="00021790"/>
    <w:rsid w:val="000219D5"/>
    <w:rsid w:val="00021A39"/>
    <w:rsid w:val="00021BAD"/>
    <w:rsid w:val="00021D0A"/>
    <w:rsid w:val="00021DA6"/>
    <w:rsid w:val="000220DC"/>
    <w:rsid w:val="000221B2"/>
    <w:rsid w:val="0002280E"/>
    <w:rsid w:val="000229D7"/>
    <w:rsid w:val="00022A18"/>
    <w:rsid w:val="00022BA9"/>
    <w:rsid w:val="00022FE5"/>
    <w:rsid w:val="00023069"/>
    <w:rsid w:val="000230DF"/>
    <w:rsid w:val="000232AE"/>
    <w:rsid w:val="000232E0"/>
    <w:rsid w:val="0002337F"/>
    <w:rsid w:val="0002350C"/>
    <w:rsid w:val="0002353A"/>
    <w:rsid w:val="000237EA"/>
    <w:rsid w:val="00023B00"/>
    <w:rsid w:val="00023E52"/>
    <w:rsid w:val="00023ED2"/>
    <w:rsid w:val="000244D9"/>
    <w:rsid w:val="00024771"/>
    <w:rsid w:val="00024830"/>
    <w:rsid w:val="0002496C"/>
    <w:rsid w:val="00024A20"/>
    <w:rsid w:val="00024A55"/>
    <w:rsid w:val="00024A5C"/>
    <w:rsid w:val="00024B49"/>
    <w:rsid w:val="00024B63"/>
    <w:rsid w:val="00024C10"/>
    <w:rsid w:val="00024D28"/>
    <w:rsid w:val="00024DCA"/>
    <w:rsid w:val="00024EDB"/>
    <w:rsid w:val="00024F0C"/>
    <w:rsid w:val="00024F5A"/>
    <w:rsid w:val="00025009"/>
    <w:rsid w:val="00025087"/>
    <w:rsid w:val="00025228"/>
    <w:rsid w:val="0002523B"/>
    <w:rsid w:val="0002543A"/>
    <w:rsid w:val="0002565A"/>
    <w:rsid w:val="00025791"/>
    <w:rsid w:val="00025C0E"/>
    <w:rsid w:val="00025DE0"/>
    <w:rsid w:val="00025E7D"/>
    <w:rsid w:val="000263B7"/>
    <w:rsid w:val="000265CD"/>
    <w:rsid w:val="00026686"/>
    <w:rsid w:val="000266A7"/>
    <w:rsid w:val="0002675E"/>
    <w:rsid w:val="00026A30"/>
    <w:rsid w:val="00026A96"/>
    <w:rsid w:val="00026C7B"/>
    <w:rsid w:val="00026D71"/>
    <w:rsid w:val="00026E3D"/>
    <w:rsid w:val="00026F1A"/>
    <w:rsid w:val="00026F71"/>
    <w:rsid w:val="000271A6"/>
    <w:rsid w:val="0002732A"/>
    <w:rsid w:val="00027396"/>
    <w:rsid w:val="00027BC8"/>
    <w:rsid w:val="00027D0C"/>
    <w:rsid w:val="00027E4D"/>
    <w:rsid w:val="000301CE"/>
    <w:rsid w:val="000302DC"/>
    <w:rsid w:val="0003038B"/>
    <w:rsid w:val="000303A3"/>
    <w:rsid w:val="0003063D"/>
    <w:rsid w:val="00030697"/>
    <w:rsid w:val="00030859"/>
    <w:rsid w:val="00030921"/>
    <w:rsid w:val="0003092F"/>
    <w:rsid w:val="00030A28"/>
    <w:rsid w:val="00030CDE"/>
    <w:rsid w:val="00030EFB"/>
    <w:rsid w:val="00030F89"/>
    <w:rsid w:val="0003103C"/>
    <w:rsid w:val="00031499"/>
    <w:rsid w:val="0003149F"/>
    <w:rsid w:val="000314FB"/>
    <w:rsid w:val="0003155F"/>
    <w:rsid w:val="000319FC"/>
    <w:rsid w:val="00031E12"/>
    <w:rsid w:val="00031E42"/>
    <w:rsid w:val="00031F08"/>
    <w:rsid w:val="00031F75"/>
    <w:rsid w:val="0003228A"/>
    <w:rsid w:val="00032305"/>
    <w:rsid w:val="00032623"/>
    <w:rsid w:val="00032739"/>
    <w:rsid w:val="000328A5"/>
    <w:rsid w:val="00032922"/>
    <w:rsid w:val="000329ED"/>
    <w:rsid w:val="00032AD9"/>
    <w:rsid w:val="00032B13"/>
    <w:rsid w:val="00032DB0"/>
    <w:rsid w:val="00032F20"/>
    <w:rsid w:val="00032F53"/>
    <w:rsid w:val="0003307A"/>
    <w:rsid w:val="00033219"/>
    <w:rsid w:val="000332E7"/>
    <w:rsid w:val="000333E2"/>
    <w:rsid w:val="00033470"/>
    <w:rsid w:val="000334C1"/>
    <w:rsid w:val="00033A82"/>
    <w:rsid w:val="00033A87"/>
    <w:rsid w:val="00033BFE"/>
    <w:rsid w:val="00033CBB"/>
    <w:rsid w:val="0003400F"/>
    <w:rsid w:val="00034482"/>
    <w:rsid w:val="0003449D"/>
    <w:rsid w:val="00034709"/>
    <w:rsid w:val="00034747"/>
    <w:rsid w:val="000348BB"/>
    <w:rsid w:val="00034C0A"/>
    <w:rsid w:val="00034DB8"/>
    <w:rsid w:val="00034ED7"/>
    <w:rsid w:val="00035015"/>
    <w:rsid w:val="00035082"/>
    <w:rsid w:val="00035569"/>
    <w:rsid w:val="00035A45"/>
    <w:rsid w:val="00035A48"/>
    <w:rsid w:val="00035B76"/>
    <w:rsid w:val="00035C23"/>
    <w:rsid w:val="00035DBA"/>
    <w:rsid w:val="0003616F"/>
    <w:rsid w:val="000361DA"/>
    <w:rsid w:val="00036245"/>
    <w:rsid w:val="000363A5"/>
    <w:rsid w:val="00036B8A"/>
    <w:rsid w:val="00036BB1"/>
    <w:rsid w:val="00036D9D"/>
    <w:rsid w:val="00036F61"/>
    <w:rsid w:val="000371EC"/>
    <w:rsid w:val="00037216"/>
    <w:rsid w:val="000373BA"/>
    <w:rsid w:val="0003755E"/>
    <w:rsid w:val="0003783B"/>
    <w:rsid w:val="00037C17"/>
    <w:rsid w:val="00037C63"/>
    <w:rsid w:val="00037E1E"/>
    <w:rsid w:val="00040260"/>
    <w:rsid w:val="00040305"/>
    <w:rsid w:val="0004064F"/>
    <w:rsid w:val="00040B5B"/>
    <w:rsid w:val="00040C83"/>
    <w:rsid w:val="00040D76"/>
    <w:rsid w:val="00040E48"/>
    <w:rsid w:val="00040EBD"/>
    <w:rsid w:val="0004112D"/>
    <w:rsid w:val="000411AE"/>
    <w:rsid w:val="0004188F"/>
    <w:rsid w:val="00041A57"/>
    <w:rsid w:val="00041B8B"/>
    <w:rsid w:val="00041C86"/>
    <w:rsid w:val="00041DB4"/>
    <w:rsid w:val="00041DBB"/>
    <w:rsid w:val="00041DDC"/>
    <w:rsid w:val="00041FC8"/>
    <w:rsid w:val="000422C5"/>
    <w:rsid w:val="000423B1"/>
    <w:rsid w:val="000424D5"/>
    <w:rsid w:val="000424F3"/>
    <w:rsid w:val="00042687"/>
    <w:rsid w:val="000426D8"/>
    <w:rsid w:val="0004272D"/>
    <w:rsid w:val="000429AC"/>
    <w:rsid w:val="00042A04"/>
    <w:rsid w:val="00042B6A"/>
    <w:rsid w:val="00042B99"/>
    <w:rsid w:val="00042C07"/>
    <w:rsid w:val="00042C4C"/>
    <w:rsid w:val="00042ED7"/>
    <w:rsid w:val="0004359F"/>
    <w:rsid w:val="000435E1"/>
    <w:rsid w:val="0004369E"/>
    <w:rsid w:val="000436E2"/>
    <w:rsid w:val="0004383F"/>
    <w:rsid w:val="00043DE7"/>
    <w:rsid w:val="00043EC0"/>
    <w:rsid w:val="00043FAE"/>
    <w:rsid w:val="00043FE1"/>
    <w:rsid w:val="00044086"/>
    <w:rsid w:val="00044152"/>
    <w:rsid w:val="0004458C"/>
    <w:rsid w:val="0004473F"/>
    <w:rsid w:val="00044879"/>
    <w:rsid w:val="0004499D"/>
    <w:rsid w:val="00044A58"/>
    <w:rsid w:val="00044A7C"/>
    <w:rsid w:val="00044FF1"/>
    <w:rsid w:val="000450EE"/>
    <w:rsid w:val="0004545D"/>
    <w:rsid w:val="000456EB"/>
    <w:rsid w:val="000459C9"/>
    <w:rsid w:val="00045CBC"/>
    <w:rsid w:val="00045DD6"/>
    <w:rsid w:val="00045E59"/>
    <w:rsid w:val="00045ECD"/>
    <w:rsid w:val="00046029"/>
    <w:rsid w:val="000460D5"/>
    <w:rsid w:val="00046151"/>
    <w:rsid w:val="000464DE"/>
    <w:rsid w:val="00046519"/>
    <w:rsid w:val="0004681E"/>
    <w:rsid w:val="00046862"/>
    <w:rsid w:val="00047317"/>
    <w:rsid w:val="00047698"/>
    <w:rsid w:val="00047785"/>
    <w:rsid w:val="000477C2"/>
    <w:rsid w:val="00047A2F"/>
    <w:rsid w:val="00047B19"/>
    <w:rsid w:val="00047C2A"/>
    <w:rsid w:val="00047DC2"/>
    <w:rsid w:val="00047E0F"/>
    <w:rsid w:val="000500F1"/>
    <w:rsid w:val="000503A2"/>
    <w:rsid w:val="000506E6"/>
    <w:rsid w:val="00050795"/>
    <w:rsid w:val="000507AE"/>
    <w:rsid w:val="000507D3"/>
    <w:rsid w:val="00050B5C"/>
    <w:rsid w:val="00050C6F"/>
    <w:rsid w:val="00050FB6"/>
    <w:rsid w:val="000512BA"/>
    <w:rsid w:val="000513CF"/>
    <w:rsid w:val="00051505"/>
    <w:rsid w:val="000515E9"/>
    <w:rsid w:val="000516C4"/>
    <w:rsid w:val="000517C0"/>
    <w:rsid w:val="000517CD"/>
    <w:rsid w:val="000518B1"/>
    <w:rsid w:val="00051A18"/>
    <w:rsid w:val="00051A60"/>
    <w:rsid w:val="00051B4B"/>
    <w:rsid w:val="00051BB6"/>
    <w:rsid w:val="00051C39"/>
    <w:rsid w:val="00051F62"/>
    <w:rsid w:val="0005217A"/>
    <w:rsid w:val="00052276"/>
    <w:rsid w:val="000522B4"/>
    <w:rsid w:val="00052325"/>
    <w:rsid w:val="00052346"/>
    <w:rsid w:val="000524F9"/>
    <w:rsid w:val="0005253F"/>
    <w:rsid w:val="0005258F"/>
    <w:rsid w:val="000527DE"/>
    <w:rsid w:val="000529FD"/>
    <w:rsid w:val="00052ABC"/>
    <w:rsid w:val="00052DD6"/>
    <w:rsid w:val="00052F3F"/>
    <w:rsid w:val="00052FC6"/>
    <w:rsid w:val="00053165"/>
    <w:rsid w:val="00053250"/>
    <w:rsid w:val="00053595"/>
    <w:rsid w:val="000536A4"/>
    <w:rsid w:val="00053810"/>
    <w:rsid w:val="00053BAB"/>
    <w:rsid w:val="00053BE7"/>
    <w:rsid w:val="00053EAF"/>
    <w:rsid w:val="000540A5"/>
    <w:rsid w:val="00054327"/>
    <w:rsid w:val="0005438C"/>
    <w:rsid w:val="0005450D"/>
    <w:rsid w:val="0005463A"/>
    <w:rsid w:val="0005463E"/>
    <w:rsid w:val="00054823"/>
    <w:rsid w:val="00054A71"/>
    <w:rsid w:val="00054D60"/>
    <w:rsid w:val="00054DAF"/>
    <w:rsid w:val="00054E78"/>
    <w:rsid w:val="00054F8E"/>
    <w:rsid w:val="00055090"/>
    <w:rsid w:val="00055221"/>
    <w:rsid w:val="00055255"/>
    <w:rsid w:val="000555A4"/>
    <w:rsid w:val="0005562F"/>
    <w:rsid w:val="00055653"/>
    <w:rsid w:val="000556F9"/>
    <w:rsid w:val="0005592A"/>
    <w:rsid w:val="00055AB4"/>
    <w:rsid w:val="00055CB5"/>
    <w:rsid w:val="00055DF8"/>
    <w:rsid w:val="00055E83"/>
    <w:rsid w:val="00055FEA"/>
    <w:rsid w:val="0005609A"/>
    <w:rsid w:val="000560CA"/>
    <w:rsid w:val="00056425"/>
    <w:rsid w:val="000564DB"/>
    <w:rsid w:val="00056545"/>
    <w:rsid w:val="0005684B"/>
    <w:rsid w:val="000569BE"/>
    <w:rsid w:val="00056A91"/>
    <w:rsid w:val="00056CCE"/>
    <w:rsid w:val="00056F59"/>
    <w:rsid w:val="0005709C"/>
    <w:rsid w:val="000570F0"/>
    <w:rsid w:val="00057355"/>
    <w:rsid w:val="000577C0"/>
    <w:rsid w:val="000577DD"/>
    <w:rsid w:val="000577ED"/>
    <w:rsid w:val="000579DE"/>
    <w:rsid w:val="00057AD4"/>
    <w:rsid w:val="00057C79"/>
    <w:rsid w:val="00057C98"/>
    <w:rsid w:val="00060042"/>
    <w:rsid w:val="000601D3"/>
    <w:rsid w:val="00060617"/>
    <w:rsid w:val="000606CA"/>
    <w:rsid w:val="0006086A"/>
    <w:rsid w:val="00060A04"/>
    <w:rsid w:val="00060B07"/>
    <w:rsid w:val="00060D0D"/>
    <w:rsid w:val="00060E50"/>
    <w:rsid w:val="00060E53"/>
    <w:rsid w:val="000610EE"/>
    <w:rsid w:val="00061120"/>
    <w:rsid w:val="000614C1"/>
    <w:rsid w:val="00061559"/>
    <w:rsid w:val="000619C0"/>
    <w:rsid w:val="000619F3"/>
    <w:rsid w:val="00061A3D"/>
    <w:rsid w:val="00061A77"/>
    <w:rsid w:val="00061AA4"/>
    <w:rsid w:val="00061CA3"/>
    <w:rsid w:val="00061EFA"/>
    <w:rsid w:val="00061FF5"/>
    <w:rsid w:val="000620EB"/>
    <w:rsid w:val="00062249"/>
    <w:rsid w:val="00062483"/>
    <w:rsid w:val="00062619"/>
    <w:rsid w:val="000627DB"/>
    <w:rsid w:val="00062829"/>
    <w:rsid w:val="00062919"/>
    <w:rsid w:val="00062A14"/>
    <w:rsid w:val="00062B96"/>
    <w:rsid w:val="00062C4A"/>
    <w:rsid w:val="00062D31"/>
    <w:rsid w:val="00062D62"/>
    <w:rsid w:val="00062E83"/>
    <w:rsid w:val="00062F82"/>
    <w:rsid w:val="00063031"/>
    <w:rsid w:val="000630A7"/>
    <w:rsid w:val="000633CE"/>
    <w:rsid w:val="0006343C"/>
    <w:rsid w:val="000637A6"/>
    <w:rsid w:val="00063E17"/>
    <w:rsid w:val="0006438A"/>
    <w:rsid w:val="00064489"/>
    <w:rsid w:val="000645FE"/>
    <w:rsid w:val="00064833"/>
    <w:rsid w:val="000649BB"/>
    <w:rsid w:val="00064C17"/>
    <w:rsid w:val="00064C26"/>
    <w:rsid w:val="00064C77"/>
    <w:rsid w:val="00064FA6"/>
    <w:rsid w:val="0006508A"/>
    <w:rsid w:val="0006509D"/>
    <w:rsid w:val="00065122"/>
    <w:rsid w:val="00065219"/>
    <w:rsid w:val="00065305"/>
    <w:rsid w:val="000653FF"/>
    <w:rsid w:val="00065818"/>
    <w:rsid w:val="00065A9C"/>
    <w:rsid w:val="00065B86"/>
    <w:rsid w:val="00065C8B"/>
    <w:rsid w:val="00065D26"/>
    <w:rsid w:val="00065E18"/>
    <w:rsid w:val="00065F49"/>
    <w:rsid w:val="00065F92"/>
    <w:rsid w:val="000660A9"/>
    <w:rsid w:val="0006639E"/>
    <w:rsid w:val="000663A5"/>
    <w:rsid w:val="00066735"/>
    <w:rsid w:val="00066986"/>
    <w:rsid w:val="00066B44"/>
    <w:rsid w:val="00066BBA"/>
    <w:rsid w:val="00066C0C"/>
    <w:rsid w:val="00066E41"/>
    <w:rsid w:val="00067012"/>
    <w:rsid w:val="000671CA"/>
    <w:rsid w:val="000674AB"/>
    <w:rsid w:val="0006753D"/>
    <w:rsid w:val="00067663"/>
    <w:rsid w:val="000677D1"/>
    <w:rsid w:val="00067889"/>
    <w:rsid w:val="0006788B"/>
    <w:rsid w:val="000678F3"/>
    <w:rsid w:val="00067BDC"/>
    <w:rsid w:val="000701F4"/>
    <w:rsid w:val="0007025B"/>
    <w:rsid w:val="0007091A"/>
    <w:rsid w:val="00070979"/>
    <w:rsid w:val="00070CCF"/>
    <w:rsid w:val="00070CEE"/>
    <w:rsid w:val="00070DC5"/>
    <w:rsid w:val="000711A3"/>
    <w:rsid w:val="00071213"/>
    <w:rsid w:val="000713A9"/>
    <w:rsid w:val="00071446"/>
    <w:rsid w:val="00071456"/>
    <w:rsid w:val="00071509"/>
    <w:rsid w:val="00071575"/>
    <w:rsid w:val="00071818"/>
    <w:rsid w:val="00071CE3"/>
    <w:rsid w:val="00072212"/>
    <w:rsid w:val="00072340"/>
    <w:rsid w:val="0007236E"/>
    <w:rsid w:val="00072422"/>
    <w:rsid w:val="00072494"/>
    <w:rsid w:val="00072658"/>
    <w:rsid w:val="000727C2"/>
    <w:rsid w:val="000727FA"/>
    <w:rsid w:val="00072A83"/>
    <w:rsid w:val="00072A8D"/>
    <w:rsid w:val="00072AFF"/>
    <w:rsid w:val="00072E18"/>
    <w:rsid w:val="00072F50"/>
    <w:rsid w:val="000730BB"/>
    <w:rsid w:val="000730C8"/>
    <w:rsid w:val="000731D7"/>
    <w:rsid w:val="00073514"/>
    <w:rsid w:val="00073543"/>
    <w:rsid w:val="0007385F"/>
    <w:rsid w:val="00073AA1"/>
    <w:rsid w:val="00073AEE"/>
    <w:rsid w:val="00073B02"/>
    <w:rsid w:val="00073D09"/>
    <w:rsid w:val="00073FAB"/>
    <w:rsid w:val="00074049"/>
    <w:rsid w:val="000742F8"/>
    <w:rsid w:val="000746D8"/>
    <w:rsid w:val="000746F4"/>
    <w:rsid w:val="00074786"/>
    <w:rsid w:val="00074B23"/>
    <w:rsid w:val="00074FF1"/>
    <w:rsid w:val="00075062"/>
    <w:rsid w:val="000751E0"/>
    <w:rsid w:val="00075764"/>
    <w:rsid w:val="00075859"/>
    <w:rsid w:val="00075C97"/>
    <w:rsid w:val="000760C2"/>
    <w:rsid w:val="00076294"/>
    <w:rsid w:val="0007634B"/>
    <w:rsid w:val="0007650E"/>
    <w:rsid w:val="00076BF6"/>
    <w:rsid w:val="00076CBF"/>
    <w:rsid w:val="00076DCC"/>
    <w:rsid w:val="00076F75"/>
    <w:rsid w:val="00076F7F"/>
    <w:rsid w:val="00076FFA"/>
    <w:rsid w:val="00077094"/>
    <w:rsid w:val="000770A5"/>
    <w:rsid w:val="00077235"/>
    <w:rsid w:val="00077292"/>
    <w:rsid w:val="000772AD"/>
    <w:rsid w:val="00077434"/>
    <w:rsid w:val="000775A8"/>
    <w:rsid w:val="0007787C"/>
    <w:rsid w:val="00077941"/>
    <w:rsid w:val="00077980"/>
    <w:rsid w:val="00077A63"/>
    <w:rsid w:val="00077A9D"/>
    <w:rsid w:val="00077AA4"/>
    <w:rsid w:val="00077BF3"/>
    <w:rsid w:val="00077C8F"/>
    <w:rsid w:val="00077C96"/>
    <w:rsid w:val="00077E6E"/>
    <w:rsid w:val="000803BD"/>
    <w:rsid w:val="0008042B"/>
    <w:rsid w:val="0008090D"/>
    <w:rsid w:val="00080A74"/>
    <w:rsid w:val="00080C30"/>
    <w:rsid w:val="00080E45"/>
    <w:rsid w:val="00080F7A"/>
    <w:rsid w:val="0008113C"/>
    <w:rsid w:val="00081283"/>
    <w:rsid w:val="00081430"/>
    <w:rsid w:val="000815D0"/>
    <w:rsid w:val="0008188C"/>
    <w:rsid w:val="000819A5"/>
    <w:rsid w:val="00081B24"/>
    <w:rsid w:val="00081F70"/>
    <w:rsid w:val="0008218D"/>
    <w:rsid w:val="0008219C"/>
    <w:rsid w:val="0008225A"/>
    <w:rsid w:val="000825BD"/>
    <w:rsid w:val="0008263A"/>
    <w:rsid w:val="000826B8"/>
    <w:rsid w:val="0008273A"/>
    <w:rsid w:val="0008277E"/>
    <w:rsid w:val="00082893"/>
    <w:rsid w:val="000830E5"/>
    <w:rsid w:val="00083536"/>
    <w:rsid w:val="0008377F"/>
    <w:rsid w:val="000839EE"/>
    <w:rsid w:val="00083A93"/>
    <w:rsid w:val="00083AB5"/>
    <w:rsid w:val="00083C9D"/>
    <w:rsid w:val="00083DD5"/>
    <w:rsid w:val="00083E97"/>
    <w:rsid w:val="00083FA9"/>
    <w:rsid w:val="00084158"/>
    <w:rsid w:val="0008416B"/>
    <w:rsid w:val="000841C2"/>
    <w:rsid w:val="00084313"/>
    <w:rsid w:val="00084399"/>
    <w:rsid w:val="000843B6"/>
    <w:rsid w:val="000845DC"/>
    <w:rsid w:val="00084C5B"/>
    <w:rsid w:val="00084E39"/>
    <w:rsid w:val="00084F88"/>
    <w:rsid w:val="00085119"/>
    <w:rsid w:val="000856B7"/>
    <w:rsid w:val="00085962"/>
    <w:rsid w:val="00085ADC"/>
    <w:rsid w:val="00085AF4"/>
    <w:rsid w:val="00085B0E"/>
    <w:rsid w:val="00085BB4"/>
    <w:rsid w:val="00085D47"/>
    <w:rsid w:val="00085EAC"/>
    <w:rsid w:val="00085F06"/>
    <w:rsid w:val="00085F0E"/>
    <w:rsid w:val="000860AF"/>
    <w:rsid w:val="00086117"/>
    <w:rsid w:val="0008613D"/>
    <w:rsid w:val="000861E3"/>
    <w:rsid w:val="000866EF"/>
    <w:rsid w:val="00086896"/>
    <w:rsid w:val="00086898"/>
    <w:rsid w:val="00086999"/>
    <w:rsid w:val="00086A21"/>
    <w:rsid w:val="00086C54"/>
    <w:rsid w:val="0008716D"/>
    <w:rsid w:val="000871EC"/>
    <w:rsid w:val="0008731B"/>
    <w:rsid w:val="00087B94"/>
    <w:rsid w:val="00087BDD"/>
    <w:rsid w:val="00087D0F"/>
    <w:rsid w:val="00087F1A"/>
    <w:rsid w:val="00090210"/>
    <w:rsid w:val="0009046D"/>
    <w:rsid w:val="00090DD2"/>
    <w:rsid w:val="00090F86"/>
    <w:rsid w:val="00091392"/>
    <w:rsid w:val="00091692"/>
    <w:rsid w:val="0009190A"/>
    <w:rsid w:val="00091BF5"/>
    <w:rsid w:val="00091FD0"/>
    <w:rsid w:val="00092341"/>
    <w:rsid w:val="0009243B"/>
    <w:rsid w:val="0009253A"/>
    <w:rsid w:val="000925F8"/>
    <w:rsid w:val="0009269B"/>
    <w:rsid w:val="00092769"/>
    <w:rsid w:val="00092BEE"/>
    <w:rsid w:val="00092C98"/>
    <w:rsid w:val="00092DAA"/>
    <w:rsid w:val="00092EFC"/>
    <w:rsid w:val="00092F4B"/>
    <w:rsid w:val="00092FD1"/>
    <w:rsid w:val="00093085"/>
    <w:rsid w:val="000930A4"/>
    <w:rsid w:val="00093332"/>
    <w:rsid w:val="00093545"/>
    <w:rsid w:val="00093AE0"/>
    <w:rsid w:val="00093C2E"/>
    <w:rsid w:val="000940AF"/>
    <w:rsid w:val="000940C6"/>
    <w:rsid w:val="00094314"/>
    <w:rsid w:val="00094499"/>
    <w:rsid w:val="00094965"/>
    <w:rsid w:val="00094A64"/>
    <w:rsid w:val="00094DF3"/>
    <w:rsid w:val="00094FA8"/>
    <w:rsid w:val="000950B5"/>
    <w:rsid w:val="000950C7"/>
    <w:rsid w:val="0009521D"/>
    <w:rsid w:val="00095279"/>
    <w:rsid w:val="000958AA"/>
    <w:rsid w:val="00095992"/>
    <w:rsid w:val="000959C9"/>
    <w:rsid w:val="000959DE"/>
    <w:rsid w:val="00095C35"/>
    <w:rsid w:val="00095C74"/>
    <w:rsid w:val="000961D8"/>
    <w:rsid w:val="00096555"/>
    <w:rsid w:val="000966FD"/>
    <w:rsid w:val="000968E7"/>
    <w:rsid w:val="0009698C"/>
    <w:rsid w:val="00096BC3"/>
    <w:rsid w:val="00096C77"/>
    <w:rsid w:val="00096CC2"/>
    <w:rsid w:val="00096E77"/>
    <w:rsid w:val="00097007"/>
    <w:rsid w:val="0009711E"/>
    <w:rsid w:val="0009726C"/>
    <w:rsid w:val="00097339"/>
    <w:rsid w:val="0009747A"/>
    <w:rsid w:val="0009767E"/>
    <w:rsid w:val="000976DF"/>
    <w:rsid w:val="000977C8"/>
    <w:rsid w:val="000A0359"/>
    <w:rsid w:val="000A0533"/>
    <w:rsid w:val="000A058F"/>
    <w:rsid w:val="000A060C"/>
    <w:rsid w:val="000A083C"/>
    <w:rsid w:val="000A0842"/>
    <w:rsid w:val="000A093C"/>
    <w:rsid w:val="000A09FE"/>
    <w:rsid w:val="000A0A34"/>
    <w:rsid w:val="000A0AC8"/>
    <w:rsid w:val="000A0CEA"/>
    <w:rsid w:val="000A0FC5"/>
    <w:rsid w:val="000A126C"/>
    <w:rsid w:val="000A133C"/>
    <w:rsid w:val="000A159E"/>
    <w:rsid w:val="000A1616"/>
    <w:rsid w:val="000A1950"/>
    <w:rsid w:val="000A19E2"/>
    <w:rsid w:val="000A1AA7"/>
    <w:rsid w:val="000A1F9B"/>
    <w:rsid w:val="000A21D7"/>
    <w:rsid w:val="000A2591"/>
    <w:rsid w:val="000A25BA"/>
    <w:rsid w:val="000A2818"/>
    <w:rsid w:val="000A2985"/>
    <w:rsid w:val="000A29CF"/>
    <w:rsid w:val="000A2AED"/>
    <w:rsid w:val="000A2BD9"/>
    <w:rsid w:val="000A2CF9"/>
    <w:rsid w:val="000A2EA8"/>
    <w:rsid w:val="000A2F90"/>
    <w:rsid w:val="000A3087"/>
    <w:rsid w:val="000A32A8"/>
    <w:rsid w:val="000A32EB"/>
    <w:rsid w:val="000A33AE"/>
    <w:rsid w:val="000A3436"/>
    <w:rsid w:val="000A35CE"/>
    <w:rsid w:val="000A36BF"/>
    <w:rsid w:val="000A38DC"/>
    <w:rsid w:val="000A397A"/>
    <w:rsid w:val="000A3DC1"/>
    <w:rsid w:val="000A3E00"/>
    <w:rsid w:val="000A3ED2"/>
    <w:rsid w:val="000A3F79"/>
    <w:rsid w:val="000A3FB0"/>
    <w:rsid w:val="000A3FDF"/>
    <w:rsid w:val="000A415D"/>
    <w:rsid w:val="000A423C"/>
    <w:rsid w:val="000A4310"/>
    <w:rsid w:val="000A452E"/>
    <w:rsid w:val="000A46E1"/>
    <w:rsid w:val="000A4A81"/>
    <w:rsid w:val="000A4AEC"/>
    <w:rsid w:val="000A4BC9"/>
    <w:rsid w:val="000A4BCF"/>
    <w:rsid w:val="000A4E61"/>
    <w:rsid w:val="000A50EF"/>
    <w:rsid w:val="000A571E"/>
    <w:rsid w:val="000A573D"/>
    <w:rsid w:val="000A587B"/>
    <w:rsid w:val="000A58E1"/>
    <w:rsid w:val="000A5AA7"/>
    <w:rsid w:val="000A5BA1"/>
    <w:rsid w:val="000A5C3A"/>
    <w:rsid w:val="000A5E04"/>
    <w:rsid w:val="000A5EB3"/>
    <w:rsid w:val="000A611C"/>
    <w:rsid w:val="000A62F2"/>
    <w:rsid w:val="000A66F3"/>
    <w:rsid w:val="000A6870"/>
    <w:rsid w:val="000A6871"/>
    <w:rsid w:val="000A6A8B"/>
    <w:rsid w:val="000A6ABF"/>
    <w:rsid w:val="000A6EA8"/>
    <w:rsid w:val="000A6F3E"/>
    <w:rsid w:val="000A7080"/>
    <w:rsid w:val="000A70AD"/>
    <w:rsid w:val="000A7101"/>
    <w:rsid w:val="000A7328"/>
    <w:rsid w:val="000A7456"/>
    <w:rsid w:val="000A752E"/>
    <w:rsid w:val="000A76ED"/>
    <w:rsid w:val="000A7927"/>
    <w:rsid w:val="000A7A79"/>
    <w:rsid w:val="000A7C60"/>
    <w:rsid w:val="000A7DE6"/>
    <w:rsid w:val="000A7F05"/>
    <w:rsid w:val="000B0077"/>
    <w:rsid w:val="000B0191"/>
    <w:rsid w:val="000B0233"/>
    <w:rsid w:val="000B02D8"/>
    <w:rsid w:val="000B0783"/>
    <w:rsid w:val="000B0878"/>
    <w:rsid w:val="000B0885"/>
    <w:rsid w:val="000B096E"/>
    <w:rsid w:val="000B0B5E"/>
    <w:rsid w:val="000B0DFB"/>
    <w:rsid w:val="000B11BB"/>
    <w:rsid w:val="000B1289"/>
    <w:rsid w:val="000B136C"/>
    <w:rsid w:val="000B1991"/>
    <w:rsid w:val="000B1BE5"/>
    <w:rsid w:val="000B1CA0"/>
    <w:rsid w:val="000B1D93"/>
    <w:rsid w:val="000B20FB"/>
    <w:rsid w:val="000B2407"/>
    <w:rsid w:val="000B2AD3"/>
    <w:rsid w:val="000B2D79"/>
    <w:rsid w:val="000B2E3C"/>
    <w:rsid w:val="000B2FB1"/>
    <w:rsid w:val="000B2FE8"/>
    <w:rsid w:val="000B2FF6"/>
    <w:rsid w:val="000B33B2"/>
    <w:rsid w:val="000B34C6"/>
    <w:rsid w:val="000B3580"/>
    <w:rsid w:val="000B35DE"/>
    <w:rsid w:val="000B373F"/>
    <w:rsid w:val="000B379C"/>
    <w:rsid w:val="000B3847"/>
    <w:rsid w:val="000B3A06"/>
    <w:rsid w:val="000B3A50"/>
    <w:rsid w:val="000B3AA4"/>
    <w:rsid w:val="000B3B4C"/>
    <w:rsid w:val="000B4182"/>
    <w:rsid w:val="000B461F"/>
    <w:rsid w:val="000B47A2"/>
    <w:rsid w:val="000B47C9"/>
    <w:rsid w:val="000B4B10"/>
    <w:rsid w:val="000B4D15"/>
    <w:rsid w:val="000B4DD8"/>
    <w:rsid w:val="000B4DF9"/>
    <w:rsid w:val="000B4E31"/>
    <w:rsid w:val="000B4FC2"/>
    <w:rsid w:val="000B5016"/>
    <w:rsid w:val="000B5081"/>
    <w:rsid w:val="000B51D6"/>
    <w:rsid w:val="000B5211"/>
    <w:rsid w:val="000B556E"/>
    <w:rsid w:val="000B563E"/>
    <w:rsid w:val="000B583B"/>
    <w:rsid w:val="000B5A2E"/>
    <w:rsid w:val="000B5DF5"/>
    <w:rsid w:val="000B5E31"/>
    <w:rsid w:val="000B5FAC"/>
    <w:rsid w:val="000B62A1"/>
    <w:rsid w:val="000B631F"/>
    <w:rsid w:val="000B65C9"/>
    <w:rsid w:val="000B67B0"/>
    <w:rsid w:val="000B67D5"/>
    <w:rsid w:val="000B6806"/>
    <w:rsid w:val="000B68B9"/>
    <w:rsid w:val="000B6C05"/>
    <w:rsid w:val="000B6F14"/>
    <w:rsid w:val="000B7131"/>
    <w:rsid w:val="000B738B"/>
    <w:rsid w:val="000B7451"/>
    <w:rsid w:val="000B781A"/>
    <w:rsid w:val="000B79A3"/>
    <w:rsid w:val="000B7B64"/>
    <w:rsid w:val="000B7C27"/>
    <w:rsid w:val="000B7CF2"/>
    <w:rsid w:val="000C0003"/>
    <w:rsid w:val="000C006C"/>
    <w:rsid w:val="000C08CC"/>
    <w:rsid w:val="000C0A90"/>
    <w:rsid w:val="000C0CD5"/>
    <w:rsid w:val="000C0EAF"/>
    <w:rsid w:val="000C0F28"/>
    <w:rsid w:val="000C1475"/>
    <w:rsid w:val="000C175C"/>
    <w:rsid w:val="000C17F6"/>
    <w:rsid w:val="000C192B"/>
    <w:rsid w:val="000C1986"/>
    <w:rsid w:val="000C1BE8"/>
    <w:rsid w:val="000C1C4E"/>
    <w:rsid w:val="000C1CE2"/>
    <w:rsid w:val="000C1F53"/>
    <w:rsid w:val="000C1F77"/>
    <w:rsid w:val="000C20BD"/>
    <w:rsid w:val="000C220D"/>
    <w:rsid w:val="000C2224"/>
    <w:rsid w:val="000C24DC"/>
    <w:rsid w:val="000C2520"/>
    <w:rsid w:val="000C2555"/>
    <w:rsid w:val="000C271F"/>
    <w:rsid w:val="000C2986"/>
    <w:rsid w:val="000C2B24"/>
    <w:rsid w:val="000C2C7E"/>
    <w:rsid w:val="000C2CEE"/>
    <w:rsid w:val="000C2DB6"/>
    <w:rsid w:val="000C2FCC"/>
    <w:rsid w:val="000C3336"/>
    <w:rsid w:val="000C342E"/>
    <w:rsid w:val="000C3469"/>
    <w:rsid w:val="000C35B3"/>
    <w:rsid w:val="000C361E"/>
    <w:rsid w:val="000C3B44"/>
    <w:rsid w:val="000C3C50"/>
    <w:rsid w:val="000C3CE3"/>
    <w:rsid w:val="000C4488"/>
    <w:rsid w:val="000C487E"/>
    <w:rsid w:val="000C4A4F"/>
    <w:rsid w:val="000C4BE9"/>
    <w:rsid w:val="000C4C14"/>
    <w:rsid w:val="000C4C56"/>
    <w:rsid w:val="000C4E06"/>
    <w:rsid w:val="000C4EBD"/>
    <w:rsid w:val="000C5187"/>
    <w:rsid w:val="000C52D0"/>
    <w:rsid w:val="000C5301"/>
    <w:rsid w:val="000C54BA"/>
    <w:rsid w:val="000C5771"/>
    <w:rsid w:val="000C5A09"/>
    <w:rsid w:val="000C5A50"/>
    <w:rsid w:val="000C5DB1"/>
    <w:rsid w:val="000C5E03"/>
    <w:rsid w:val="000C5EA5"/>
    <w:rsid w:val="000C62A3"/>
    <w:rsid w:val="000C6308"/>
    <w:rsid w:val="000C691D"/>
    <w:rsid w:val="000C6D51"/>
    <w:rsid w:val="000C7120"/>
    <w:rsid w:val="000C750D"/>
    <w:rsid w:val="000C751B"/>
    <w:rsid w:val="000C76E0"/>
    <w:rsid w:val="000C7857"/>
    <w:rsid w:val="000C78B2"/>
    <w:rsid w:val="000C79C4"/>
    <w:rsid w:val="000C7A41"/>
    <w:rsid w:val="000C7D04"/>
    <w:rsid w:val="000C7D99"/>
    <w:rsid w:val="000C7DA9"/>
    <w:rsid w:val="000C7E34"/>
    <w:rsid w:val="000D017E"/>
    <w:rsid w:val="000D04F2"/>
    <w:rsid w:val="000D0566"/>
    <w:rsid w:val="000D05C6"/>
    <w:rsid w:val="000D05ED"/>
    <w:rsid w:val="000D0846"/>
    <w:rsid w:val="000D087E"/>
    <w:rsid w:val="000D0A7C"/>
    <w:rsid w:val="000D0AA7"/>
    <w:rsid w:val="000D0C8E"/>
    <w:rsid w:val="000D0D1E"/>
    <w:rsid w:val="000D0E4F"/>
    <w:rsid w:val="000D0E5C"/>
    <w:rsid w:val="000D1117"/>
    <w:rsid w:val="000D15C5"/>
    <w:rsid w:val="000D19D0"/>
    <w:rsid w:val="000D1A26"/>
    <w:rsid w:val="000D1D1F"/>
    <w:rsid w:val="000D216A"/>
    <w:rsid w:val="000D21B6"/>
    <w:rsid w:val="000D222C"/>
    <w:rsid w:val="000D22DE"/>
    <w:rsid w:val="000D22E6"/>
    <w:rsid w:val="000D251F"/>
    <w:rsid w:val="000D26AC"/>
    <w:rsid w:val="000D27B5"/>
    <w:rsid w:val="000D2A14"/>
    <w:rsid w:val="000D2DA7"/>
    <w:rsid w:val="000D2DE0"/>
    <w:rsid w:val="000D2F56"/>
    <w:rsid w:val="000D2FFE"/>
    <w:rsid w:val="000D308F"/>
    <w:rsid w:val="000D30BE"/>
    <w:rsid w:val="000D31A8"/>
    <w:rsid w:val="000D33BD"/>
    <w:rsid w:val="000D37D8"/>
    <w:rsid w:val="000D3823"/>
    <w:rsid w:val="000D397D"/>
    <w:rsid w:val="000D3CD2"/>
    <w:rsid w:val="000D3D41"/>
    <w:rsid w:val="000D4462"/>
    <w:rsid w:val="000D44C8"/>
    <w:rsid w:val="000D459D"/>
    <w:rsid w:val="000D475C"/>
    <w:rsid w:val="000D4785"/>
    <w:rsid w:val="000D4A25"/>
    <w:rsid w:val="000D4AFF"/>
    <w:rsid w:val="000D4B7E"/>
    <w:rsid w:val="000D4BE1"/>
    <w:rsid w:val="000D4CE1"/>
    <w:rsid w:val="000D4D06"/>
    <w:rsid w:val="000D4DC9"/>
    <w:rsid w:val="000D4FE8"/>
    <w:rsid w:val="000D51CD"/>
    <w:rsid w:val="000D533B"/>
    <w:rsid w:val="000D547A"/>
    <w:rsid w:val="000D5627"/>
    <w:rsid w:val="000D5721"/>
    <w:rsid w:val="000D5785"/>
    <w:rsid w:val="000D57E9"/>
    <w:rsid w:val="000D5929"/>
    <w:rsid w:val="000D5A9A"/>
    <w:rsid w:val="000D5AFB"/>
    <w:rsid w:val="000D5D33"/>
    <w:rsid w:val="000D5DA6"/>
    <w:rsid w:val="000D5EF8"/>
    <w:rsid w:val="000D5F20"/>
    <w:rsid w:val="000D5F23"/>
    <w:rsid w:val="000D623B"/>
    <w:rsid w:val="000D6597"/>
    <w:rsid w:val="000D671B"/>
    <w:rsid w:val="000D6729"/>
    <w:rsid w:val="000D677D"/>
    <w:rsid w:val="000D689B"/>
    <w:rsid w:val="000D6AA5"/>
    <w:rsid w:val="000D72D9"/>
    <w:rsid w:val="000D737D"/>
    <w:rsid w:val="000D73BA"/>
    <w:rsid w:val="000D7534"/>
    <w:rsid w:val="000D753E"/>
    <w:rsid w:val="000D7AA4"/>
    <w:rsid w:val="000D7C6D"/>
    <w:rsid w:val="000D7D3B"/>
    <w:rsid w:val="000D7F1A"/>
    <w:rsid w:val="000D7FA4"/>
    <w:rsid w:val="000E025D"/>
    <w:rsid w:val="000E026C"/>
    <w:rsid w:val="000E046A"/>
    <w:rsid w:val="000E04F1"/>
    <w:rsid w:val="000E0806"/>
    <w:rsid w:val="000E0864"/>
    <w:rsid w:val="000E0C1F"/>
    <w:rsid w:val="000E0D5F"/>
    <w:rsid w:val="000E0D73"/>
    <w:rsid w:val="000E0E7E"/>
    <w:rsid w:val="000E0EB8"/>
    <w:rsid w:val="000E10FB"/>
    <w:rsid w:val="000E112A"/>
    <w:rsid w:val="000E1148"/>
    <w:rsid w:val="000E12B4"/>
    <w:rsid w:val="000E13BB"/>
    <w:rsid w:val="000E1820"/>
    <w:rsid w:val="000E18D4"/>
    <w:rsid w:val="000E1BF3"/>
    <w:rsid w:val="000E1C36"/>
    <w:rsid w:val="000E1E00"/>
    <w:rsid w:val="000E1F1B"/>
    <w:rsid w:val="000E1F38"/>
    <w:rsid w:val="000E20DA"/>
    <w:rsid w:val="000E2180"/>
    <w:rsid w:val="000E222F"/>
    <w:rsid w:val="000E2457"/>
    <w:rsid w:val="000E27D8"/>
    <w:rsid w:val="000E28B1"/>
    <w:rsid w:val="000E2B3F"/>
    <w:rsid w:val="000E2C94"/>
    <w:rsid w:val="000E2E0C"/>
    <w:rsid w:val="000E2F89"/>
    <w:rsid w:val="000E358A"/>
    <w:rsid w:val="000E35BF"/>
    <w:rsid w:val="000E35DF"/>
    <w:rsid w:val="000E377B"/>
    <w:rsid w:val="000E37CB"/>
    <w:rsid w:val="000E3C66"/>
    <w:rsid w:val="000E3CA1"/>
    <w:rsid w:val="000E3EB8"/>
    <w:rsid w:val="000E3F8E"/>
    <w:rsid w:val="000E406F"/>
    <w:rsid w:val="000E40AC"/>
    <w:rsid w:val="000E46C7"/>
    <w:rsid w:val="000E47AF"/>
    <w:rsid w:val="000E493C"/>
    <w:rsid w:val="000E4A6A"/>
    <w:rsid w:val="000E4AA4"/>
    <w:rsid w:val="000E4B4B"/>
    <w:rsid w:val="000E4C62"/>
    <w:rsid w:val="000E4C89"/>
    <w:rsid w:val="000E4E5C"/>
    <w:rsid w:val="000E4FFF"/>
    <w:rsid w:val="000E5054"/>
    <w:rsid w:val="000E5878"/>
    <w:rsid w:val="000E58FD"/>
    <w:rsid w:val="000E5A21"/>
    <w:rsid w:val="000E5A62"/>
    <w:rsid w:val="000E5ADC"/>
    <w:rsid w:val="000E5B6E"/>
    <w:rsid w:val="000E5E85"/>
    <w:rsid w:val="000E5FF4"/>
    <w:rsid w:val="000E62D4"/>
    <w:rsid w:val="000E6487"/>
    <w:rsid w:val="000E6AA6"/>
    <w:rsid w:val="000E6B1F"/>
    <w:rsid w:val="000E6B3B"/>
    <w:rsid w:val="000E6B78"/>
    <w:rsid w:val="000E6BD3"/>
    <w:rsid w:val="000E6BF3"/>
    <w:rsid w:val="000E6C8C"/>
    <w:rsid w:val="000E72A9"/>
    <w:rsid w:val="000E737F"/>
    <w:rsid w:val="000E744F"/>
    <w:rsid w:val="000E74A6"/>
    <w:rsid w:val="000E7733"/>
    <w:rsid w:val="000E7878"/>
    <w:rsid w:val="000E7972"/>
    <w:rsid w:val="000E7A32"/>
    <w:rsid w:val="000E7AD2"/>
    <w:rsid w:val="000E7AEE"/>
    <w:rsid w:val="000E7AFA"/>
    <w:rsid w:val="000E7EE4"/>
    <w:rsid w:val="000E7EFF"/>
    <w:rsid w:val="000F008C"/>
    <w:rsid w:val="000F0117"/>
    <w:rsid w:val="000F051B"/>
    <w:rsid w:val="000F05E4"/>
    <w:rsid w:val="000F074F"/>
    <w:rsid w:val="000F0967"/>
    <w:rsid w:val="000F0A6D"/>
    <w:rsid w:val="000F0C2C"/>
    <w:rsid w:val="000F0C73"/>
    <w:rsid w:val="000F10FC"/>
    <w:rsid w:val="000F1153"/>
    <w:rsid w:val="000F11DA"/>
    <w:rsid w:val="000F1602"/>
    <w:rsid w:val="000F18D4"/>
    <w:rsid w:val="000F1B5B"/>
    <w:rsid w:val="000F1B8B"/>
    <w:rsid w:val="000F1ED5"/>
    <w:rsid w:val="000F20A8"/>
    <w:rsid w:val="000F21D0"/>
    <w:rsid w:val="000F22CD"/>
    <w:rsid w:val="000F2445"/>
    <w:rsid w:val="000F278F"/>
    <w:rsid w:val="000F282C"/>
    <w:rsid w:val="000F291A"/>
    <w:rsid w:val="000F29AC"/>
    <w:rsid w:val="000F2A2B"/>
    <w:rsid w:val="000F2B9F"/>
    <w:rsid w:val="000F2BCB"/>
    <w:rsid w:val="000F2BFC"/>
    <w:rsid w:val="000F2C92"/>
    <w:rsid w:val="000F2E08"/>
    <w:rsid w:val="000F2E3C"/>
    <w:rsid w:val="000F3029"/>
    <w:rsid w:val="000F304E"/>
    <w:rsid w:val="000F30FB"/>
    <w:rsid w:val="000F342E"/>
    <w:rsid w:val="000F37CC"/>
    <w:rsid w:val="000F3924"/>
    <w:rsid w:val="000F39AD"/>
    <w:rsid w:val="000F3B0B"/>
    <w:rsid w:val="000F3BB6"/>
    <w:rsid w:val="000F3BBA"/>
    <w:rsid w:val="000F3D18"/>
    <w:rsid w:val="000F3E24"/>
    <w:rsid w:val="000F4198"/>
    <w:rsid w:val="000F43FB"/>
    <w:rsid w:val="000F48F5"/>
    <w:rsid w:val="000F4A4C"/>
    <w:rsid w:val="000F4B8C"/>
    <w:rsid w:val="000F4BDE"/>
    <w:rsid w:val="000F4CBA"/>
    <w:rsid w:val="000F4CBE"/>
    <w:rsid w:val="000F52D0"/>
    <w:rsid w:val="000F5510"/>
    <w:rsid w:val="000F554E"/>
    <w:rsid w:val="000F5582"/>
    <w:rsid w:val="000F5850"/>
    <w:rsid w:val="000F5949"/>
    <w:rsid w:val="000F598C"/>
    <w:rsid w:val="000F59F5"/>
    <w:rsid w:val="000F5A07"/>
    <w:rsid w:val="000F5C22"/>
    <w:rsid w:val="000F5D0F"/>
    <w:rsid w:val="000F5D69"/>
    <w:rsid w:val="000F5DB9"/>
    <w:rsid w:val="000F5ED2"/>
    <w:rsid w:val="000F5F6F"/>
    <w:rsid w:val="000F6109"/>
    <w:rsid w:val="000F617B"/>
    <w:rsid w:val="000F6248"/>
    <w:rsid w:val="000F6367"/>
    <w:rsid w:val="000F642D"/>
    <w:rsid w:val="000F6630"/>
    <w:rsid w:val="000F67D5"/>
    <w:rsid w:val="000F680A"/>
    <w:rsid w:val="000F6899"/>
    <w:rsid w:val="000F6C69"/>
    <w:rsid w:val="000F6CD8"/>
    <w:rsid w:val="000F70F8"/>
    <w:rsid w:val="000F7180"/>
    <w:rsid w:val="000F722F"/>
    <w:rsid w:val="000F77F3"/>
    <w:rsid w:val="000F7986"/>
    <w:rsid w:val="000F7A03"/>
    <w:rsid w:val="000F7AC2"/>
    <w:rsid w:val="000F7EA4"/>
    <w:rsid w:val="000F7F0D"/>
    <w:rsid w:val="00100071"/>
    <w:rsid w:val="00100195"/>
    <w:rsid w:val="001001B1"/>
    <w:rsid w:val="0010025E"/>
    <w:rsid w:val="001003B9"/>
    <w:rsid w:val="00100476"/>
    <w:rsid w:val="0010066F"/>
    <w:rsid w:val="00100A74"/>
    <w:rsid w:val="00100B1D"/>
    <w:rsid w:val="00100D7F"/>
    <w:rsid w:val="00100EC3"/>
    <w:rsid w:val="0010113D"/>
    <w:rsid w:val="00101236"/>
    <w:rsid w:val="0010135D"/>
    <w:rsid w:val="00101431"/>
    <w:rsid w:val="001015FB"/>
    <w:rsid w:val="00101782"/>
    <w:rsid w:val="001017E7"/>
    <w:rsid w:val="001018AB"/>
    <w:rsid w:val="001018AF"/>
    <w:rsid w:val="00101D92"/>
    <w:rsid w:val="00101F7E"/>
    <w:rsid w:val="00101FE4"/>
    <w:rsid w:val="00102297"/>
    <w:rsid w:val="001022CB"/>
    <w:rsid w:val="00102422"/>
    <w:rsid w:val="001024C6"/>
    <w:rsid w:val="0010267A"/>
    <w:rsid w:val="00102AA8"/>
    <w:rsid w:val="00102C14"/>
    <w:rsid w:val="00103138"/>
    <w:rsid w:val="001031C0"/>
    <w:rsid w:val="0010368C"/>
    <w:rsid w:val="0010378A"/>
    <w:rsid w:val="001038B1"/>
    <w:rsid w:val="00103A82"/>
    <w:rsid w:val="00103BCB"/>
    <w:rsid w:val="00103BFC"/>
    <w:rsid w:val="00103C90"/>
    <w:rsid w:val="00103D43"/>
    <w:rsid w:val="00103E15"/>
    <w:rsid w:val="00103E86"/>
    <w:rsid w:val="001040FC"/>
    <w:rsid w:val="001045E0"/>
    <w:rsid w:val="0010462B"/>
    <w:rsid w:val="001046D5"/>
    <w:rsid w:val="00104C57"/>
    <w:rsid w:val="00104C5C"/>
    <w:rsid w:val="00104DC4"/>
    <w:rsid w:val="00104E7D"/>
    <w:rsid w:val="00104F28"/>
    <w:rsid w:val="0010505B"/>
    <w:rsid w:val="00105134"/>
    <w:rsid w:val="00105163"/>
    <w:rsid w:val="001052BE"/>
    <w:rsid w:val="0010549E"/>
    <w:rsid w:val="001054F7"/>
    <w:rsid w:val="0010580B"/>
    <w:rsid w:val="00105B6A"/>
    <w:rsid w:val="00105B82"/>
    <w:rsid w:val="00105CBB"/>
    <w:rsid w:val="00105DBD"/>
    <w:rsid w:val="00105DD5"/>
    <w:rsid w:val="00105E4B"/>
    <w:rsid w:val="00105ECF"/>
    <w:rsid w:val="001062A2"/>
    <w:rsid w:val="0010630F"/>
    <w:rsid w:val="001063AF"/>
    <w:rsid w:val="001065C5"/>
    <w:rsid w:val="001065DA"/>
    <w:rsid w:val="00106791"/>
    <w:rsid w:val="00106AF3"/>
    <w:rsid w:val="00106FB0"/>
    <w:rsid w:val="00107433"/>
    <w:rsid w:val="00107780"/>
    <w:rsid w:val="00107847"/>
    <w:rsid w:val="00107CBF"/>
    <w:rsid w:val="00107DC2"/>
    <w:rsid w:val="00110284"/>
    <w:rsid w:val="001103B4"/>
    <w:rsid w:val="0011061A"/>
    <w:rsid w:val="0011064F"/>
    <w:rsid w:val="00110732"/>
    <w:rsid w:val="0011081D"/>
    <w:rsid w:val="00110A55"/>
    <w:rsid w:val="00110B6F"/>
    <w:rsid w:val="00110C3B"/>
    <w:rsid w:val="00110C92"/>
    <w:rsid w:val="00110CE9"/>
    <w:rsid w:val="001115E2"/>
    <w:rsid w:val="001116A9"/>
    <w:rsid w:val="00111796"/>
    <w:rsid w:val="00111896"/>
    <w:rsid w:val="00111E17"/>
    <w:rsid w:val="00111F52"/>
    <w:rsid w:val="001120DE"/>
    <w:rsid w:val="001121AF"/>
    <w:rsid w:val="00112215"/>
    <w:rsid w:val="001124AB"/>
    <w:rsid w:val="00112580"/>
    <w:rsid w:val="0011288A"/>
    <w:rsid w:val="001128E3"/>
    <w:rsid w:val="00112A04"/>
    <w:rsid w:val="00112BB6"/>
    <w:rsid w:val="00112EEA"/>
    <w:rsid w:val="0011312E"/>
    <w:rsid w:val="00113553"/>
    <w:rsid w:val="00113580"/>
    <w:rsid w:val="00113661"/>
    <w:rsid w:val="00113818"/>
    <w:rsid w:val="00113866"/>
    <w:rsid w:val="00113A59"/>
    <w:rsid w:val="00113A6D"/>
    <w:rsid w:val="00113B50"/>
    <w:rsid w:val="00113B54"/>
    <w:rsid w:val="00113C2E"/>
    <w:rsid w:val="00113FC3"/>
    <w:rsid w:val="0011409D"/>
    <w:rsid w:val="00114103"/>
    <w:rsid w:val="00114117"/>
    <w:rsid w:val="001141EA"/>
    <w:rsid w:val="0011439F"/>
    <w:rsid w:val="001143F3"/>
    <w:rsid w:val="00114494"/>
    <w:rsid w:val="001144F9"/>
    <w:rsid w:val="001145DB"/>
    <w:rsid w:val="001146A7"/>
    <w:rsid w:val="001149FB"/>
    <w:rsid w:val="00114E5C"/>
    <w:rsid w:val="0011515D"/>
    <w:rsid w:val="00115396"/>
    <w:rsid w:val="001156BC"/>
    <w:rsid w:val="001156F3"/>
    <w:rsid w:val="0011589C"/>
    <w:rsid w:val="00115A42"/>
    <w:rsid w:val="00115C4B"/>
    <w:rsid w:val="00115F78"/>
    <w:rsid w:val="00116234"/>
    <w:rsid w:val="001164C1"/>
    <w:rsid w:val="00116546"/>
    <w:rsid w:val="001165D0"/>
    <w:rsid w:val="00116BBA"/>
    <w:rsid w:val="00116CB0"/>
    <w:rsid w:val="00116DE8"/>
    <w:rsid w:val="00116FDC"/>
    <w:rsid w:val="001171EC"/>
    <w:rsid w:val="00117648"/>
    <w:rsid w:val="0011779C"/>
    <w:rsid w:val="001178A0"/>
    <w:rsid w:val="00117B67"/>
    <w:rsid w:val="00117BB9"/>
    <w:rsid w:val="00117C7B"/>
    <w:rsid w:val="00117E5F"/>
    <w:rsid w:val="00117EB4"/>
    <w:rsid w:val="00117F8F"/>
    <w:rsid w:val="00120460"/>
    <w:rsid w:val="00120579"/>
    <w:rsid w:val="001207FA"/>
    <w:rsid w:val="00120817"/>
    <w:rsid w:val="00120841"/>
    <w:rsid w:val="00120943"/>
    <w:rsid w:val="00120966"/>
    <w:rsid w:val="00120C36"/>
    <w:rsid w:val="00120C38"/>
    <w:rsid w:val="00120CC4"/>
    <w:rsid w:val="00120D4E"/>
    <w:rsid w:val="00120D97"/>
    <w:rsid w:val="00120DBE"/>
    <w:rsid w:val="00120EF4"/>
    <w:rsid w:val="001211E7"/>
    <w:rsid w:val="001212A6"/>
    <w:rsid w:val="00121340"/>
    <w:rsid w:val="0012145E"/>
    <w:rsid w:val="001215E9"/>
    <w:rsid w:val="001218BE"/>
    <w:rsid w:val="0012195C"/>
    <w:rsid w:val="0012197F"/>
    <w:rsid w:val="001219E3"/>
    <w:rsid w:val="00121A19"/>
    <w:rsid w:val="00121D31"/>
    <w:rsid w:val="00121EB8"/>
    <w:rsid w:val="00121F45"/>
    <w:rsid w:val="001220C5"/>
    <w:rsid w:val="00122227"/>
    <w:rsid w:val="0012238A"/>
    <w:rsid w:val="0012261B"/>
    <w:rsid w:val="001226BC"/>
    <w:rsid w:val="00122A9B"/>
    <w:rsid w:val="00122AC6"/>
    <w:rsid w:val="00122AEB"/>
    <w:rsid w:val="00122CBE"/>
    <w:rsid w:val="00122E75"/>
    <w:rsid w:val="00122EF0"/>
    <w:rsid w:val="0012345C"/>
    <w:rsid w:val="001237D1"/>
    <w:rsid w:val="001237FD"/>
    <w:rsid w:val="0012382B"/>
    <w:rsid w:val="00123AD3"/>
    <w:rsid w:val="00123C51"/>
    <w:rsid w:val="00123CE6"/>
    <w:rsid w:val="00123D66"/>
    <w:rsid w:val="00124060"/>
    <w:rsid w:val="00124120"/>
    <w:rsid w:val="001242BE"/>
    <w:rsid w:val="00124740"/>
    <w:rsid w:val="001247A8"/>
    <w:rsid w:val="0012492B"/>
    <w:rsid w:val="00124ABC"/>
    <w:rsid w:val="00124AC5"/>
    <w:rsid w:val="00124B34"/>
    <w:rsid w:val="00124F05"/>
    <w:rsid w:val="00125042"/>
    <w:rsid w:val="001254CA"/>
    <w:rsid w:val="001254FD"/>
    <w:rsid w:val="00125530"/>
    <w:rsid w:val="00125659"/>
    <w:rsid w:val="001257BB"/>
    <w:rsid w:val="001259C8"/>
    <w:rsid w:val="00125DBF"/>
    <w:rsid w:val="00125F07"/>
    <w:rsid w:val="00125FD5"/>
    <w:rsid w:val="0012613B"/>
    <w:rsid w:val="0012633F"/>
    <w:rsid w:val="00126404"/>
    <w:rsid w:val="00126425"/>
    <w:rsid w:val="00126437"/>
    <w:rsid w:val="001265CF"/>
    <w:rsid w:val="00126648"/>
    <w:rsid w:val="001266BD"/>
    <w:rsid w:val="00126822"/>
    <w:rsid w:val="001269C0"/>
    <w:rsid w:val="00126A19"/>
    <w:rsid w:val="00126D2B"/>
    <w:rsid w:val="00126DD4"/>
    <w:rsid w:val="00126E39"/>
    <w:rsid w:val="00126F2C"/>
    <w:rsid w:val="001273CE"/>
    <w:rsid w:val="00127526"/>
    <w:rsid w:val="00127609"/>
    <w:rsid w:val="001278B4"/>
    <w:rsid w:val="00127912"/>
    <w:rsid w:val="001279E2"/>
    <w:rsid w:val="00127A0E"/>
    <w:rsid w:val="00127AB9"/>
    <w:rsid w:val="00127C64"/>
    <w:rsid w:val="00127DFE"/>
    <w:rsid w:val="00127E55"/>
    <w:rsid w:val="00127E69"/>
    <w:rsid w:val="00127E80"/>
    <w:rsid w:val="00130191"/>
    <w:rsid w:val="001301AE"/>
    <w:rsid w:val="00130268"/>
    <w:rsid w:val="001305D6"/>
    <w:rsid w:val="001309B9"/>
    <w:rsid w:val="001309FE"/>
    <w:rsid w:val="0013103C"/>
    <w:rsid w:val="0013123C"/>
    <w:rsid w:val="001313B1"/>
    <w:rsid w:val="001314F0"/>
    <w:rsid w:val="0013158F"/>
    <w:rsid w:val="00131664"/>
    <w:rsid w:val="00131AF9"/>
    <w:rsid w:val="00131E7E"/>
    <w:rsid w:val="00131E87"/>
    <w:rsid w:val="00131FE0"/>
    <w:rsid w:val="001321A4"/>
    <w:rsid w:val="0013231A"/>
    <w:rsid w:val="001324CC"/>
    <w:rsid w:val="00132CB9"/>
    <w:rsid w:val="00133083"/>
    <w:rsid w:val="00133434"/>
    <w:rsid w:val="00133513"/>
    <w:rsid w:val="0013357E"/>
    <w:rsid w:val="00133811"/>
    <w:rsid w:val="00133D4D"/>
    <w:rsid w:val="00133E6A"/>
    <w:rsid w:val="00133E73"/>
    <w:rsid w:val="00133F32"/>
    <w:rsid w:val="00133FB1"/>
    <w:rsid w:val="00134005"/>
    <w:rsid w:val="0013418D"/>
    <w:rsid w:val="00134331"/>
    <w:rsid w:val="00134375"/>
    <w:rsid w:val="001343D3"/>
    <w:rsid w:val="001347CD"/>
    <w:rsid w:val="001349A7"/>
    <w:rsid w:val="00134A8B"/>
    <w:rsid w:val="00134CD5"/>
    <w:rsid w:val="00134D8C"/>
    <w:rsid w:val="00134ED9"/>
    <w:rsid w:val="001352F3"/>
    <w:rsid w:val="00135326"/>
    <w:rsid w:val="00135336"/>
    <w:rsid w:val="001353E6"/>
    <w:rsid w:val="001356C2"/>
    <w:rsid w:val="001356C3"/>
    <w:rsid w:val="001356F4"/>
    <w:rsid w:val="00135751"/>
    <w:rsid w:val="001357C7"/>
    <w:rsid w:val="0013581E"/>
    <w:rsid w:val="0013593E"/>
    <w:rsid w:val="00135BAA"/>
    <w:rsid w:val="00135E85"/>
    <w:rsid w:val="00135F2E"/>
    <w:rsid w:val="00136145"/>
    <w:rsid w:val="00136294"/>
    <w:rsid w:val="0013657C"/>
    <w:rsid w:val="001366E8"/>
    <w:rsid w:val="00136727"/>
    <w:rsid w:val="00136CCB"/>
    <w:rsid w:val="00136DE6"/>
    <w:rsid w:val="0013718A"/>
    <w:rsid w:val="00137372"/>
    <w:rsid w:val="001374AE"/>
    <w:rsid w:val="001376A7"/>
    <w:rsid w:val="001377DE"/>
    <w:rsid w:val="00137A6A"/>
    <w:rsid w:val="00137A86"/>
    <w:rsid w:val="00137A9D"/>
    <w:rsid w:val="00137ABD"/>
    <w:rsid w:val="00137ACD"/>
    <w:rsid w:val="00137C6C"/>
    <w:rsid w:val="00137D4A"/>
    <w:rsid w:val="00137F51"/>
    <w:rsid w:val="00140021"/>
    <w:rsid w:val="001402BE"/>
    <w:rsid w:val="0014065D"/>
    <w:rsid w:val="001406BD"/>
    <w:rsid w:val="0014072D"/>
    <w:rsid w:val="001407F6"/>
    <w:rsid w:val="00140CE9"/>
    <w:rsid w:val="00140D5A"/>
    <w:rsid w:val="00140F7F"/>
    <w:rsid w:val="001412A2"/>
    <w:rsid w:val="0014146A"/>
    <w:rsid w:val="00141628"/>
    <w:rsid w:val="00141D3D"/>
    <w:rsid w:val="00141DFC"/>
    <w:rsid w:val="00141F1A"/>
    <w:rsid w:val="0014214A"/>
    <w:rsid w:val="00142673"/>
    <w:rsid w:val="0014277F"/>
    <w:rsid w:val="001427CD"/>
    <w:rsid w:val="001429B8"/>
    <w:rsid w:val="00142BE4"/>
    <w:rsid w:val="00142C19"/>
    <w:rsid w:val="00142C62"/>
    <w:rsid w:val="00142CC7"/>
    <w:rsid w:val="00142D8B"/>
    <w:rsid w:val="00142F6E"/>
    <w:rsid w:val="00143069"/>
    <w:rsid w:val="00143084"/>
    <w:rsid w:val="001433D5"/>
    <w:rsid w:val="001434CE"/>
    <w:rsid w:val="001436F1"/>
    <w:rsid w:val="00143AEA"/>
    <w:rsid w:val="00143B9D"/>
    <w:rsid w:val="00143D5F"/>
    <w:rsid w:val="00143E81"/>
    <w:rsid w:val="00143EE3"/>
    <w:rsid w:val="00143F4A"/>
    <w:rsid w:val="001441B8"/>
    <w:rsid w:val="00144477"/>
    <w:rsid w:val="001444D0"/>
    <w:rsid w:val="001446CE"/>
    <w:rsid w:val="00144835"/>
    <w:rsid w:val="00144864"/>
    <w:rsid w:val="001448A7"/>
    <w:rsid w:val="00144940"/>
    <w:rsid w:val="00144A29"/>
    <w:rsid w:val="00144BA2"/>
    <w:rsid w:val="00144DAC"/>
    <w:rsid w:val="00144E5E"/>
    <w:rsid w:val="0014533D"/>
    <w:rsid w:val="0014576C"/>
    <w:rsid w:val="001457BC"/>
    <w:rsid w:val="0014580B"/>
    <w:rsid w:val="0014599F"/>
    <w:rsid w:val="00145B4D"/>
    <w:rsid w:val="00145CD2"/>
    <w:rsid w:val="00145E13"/>
    <w:rsid w:val="00145E9E"/>
    <w:rsid w:val="00145F4F"/>
    <w:rsid w:val="0014617B"/>
    <w:rsid w:val="00146298"/>
    <w:rsid w:val="001467A8"/>
    <w:rsid w:val="00146864"/>
    <w:rsid w:val="00146991"/>
    <w:rsid w:val="00146A73"/>
    <w:rsid w:val="00146ACC"/>
    <w:rsid w:val="00146E1F"/>
    <w:rsid w:val="00146E3D"/>
    <w:rsid w:val="00146F47"/>
    <w:rsid w:val="00146FA2"/>
    <w:rsid w:val="0014705E"/>
    <w:rsid w:val="00147213"/>
    <w:rsid w:val="00147352"/>
    <w:rsid w:val="00147378"/>
    <w:rsid w:val="0014748E"/>
    <w:rsid w:val="0014756E"/>
    <w:rsid w:val="0014796C"/>
    <w:rsid w:val="00147CF0"/>
    <w:rsid w:val="00147DEF"/>
    <w:rsid w:val="001501B0"/>
    <w:rsid w:val="00150292"/>
    <w:rsid w:val="0015029D"/>
    <w:rsid w:val="001505D1"/>
    <w:rsid w:val="0015078D"/>
    <w:rsid w:val="0015080C"/>
    <w:rsid w:val="00150B93"/>
    <w:rsid w:val="00150C90"/>
    <w:rsid w:val="00151263"/>
    <w:rsid w:val="00151354"/>
    <w:rsid w:val="0015139A"/>
    <w:rsid w:val="001514AB"/>
    <w:rsid w:val="0015158E"/>
    <w:rsid w:val="00151666"/>
    <w:rsid w:val="00151687"/>
    <w:rsid w:val="00151793"/>
    <w:rsid w:val="001518FF"/>
    <w:rsid w:val="00151902"/>
    <w:rsid w:val="00151B72"/>
    <w:rsid w:val="00151CCB"/>
    <w:rsid w:val="001521B2"/>
    <w:rsid w:val="001522B7"/>
    <w:rsid w:val="00152497"/>
    <w:rsid w:val="00152631"/>
    <w:rsid w:val="00152AC9"/>
    <w:rsid w:val="00152C08"/>
    <w:rsid w:val="00152C27"/>
    <w:rsid w:val="00152D2E"/>
    <w:rsid w:val="00152ED9"/>
    <w:rsid w:val="00152EDE"/>
    <w:rsid w:val="00152F76"/>
    <w:rsid w:val="001530BC"/>
    <w:rsid w:val="001534AB"/>
    <w:rsid w:val="00153705"/>
    <w:rsid w:val="00153B91"/>
    <w:rsid w:val="00154415"/>
    <w:rsid w:val="0015455E"/>
    <w:rsid w:val="001545AD"/>
    <w:rsid w:val="0015475D"/>
    <w:rsid w:val="001548CC"/>
    <w:rsid w:val="00154CBF"/>
    <w:rsid w:val="00154DD5"/>
    <w:rsid w:val="00154DE0"/>
    <w:rsid w:val="0015526E"/>
    <w:rsid w:val="0015534C"/>
    <w:rsid w:val="00155467"/>
    <w:rsid w:val="0015554D"/>
    <w:rsid w:val="0015570B"/>
    <w:rsid w:val="00155799"/>
    <w:rsid w:val="0015584E"/>
    <w:rsid w:val="001558E0"/>
    <w:rsid w:val="00155938"/>
    <w:rsid w:val="0015606F"/>
    <w:rsid w:val="00156341"/>
    <w:rsid w:val="001563AB"/>
    <w:rsid w:val="00156476"/>
    <w:rsid w:val="00156496"/>
    <w:rsid w:val="001565AE"/>
    <w:rsid w:val="001565C1"/>
    <w:rsid w:val="0015673F"/>
    <w:rsid w:val="00156D54"/>
    <w:rsid w:val="00156E61"/>
    <w:rsid w:val="00157328"/>
    <w:rsid w:val="00157AA4"/>
    <w:rsid w:val="00157BD7"/>
    <w:rsid w:val="00157CCB"/>
    <w:rsid w:val="00157CEE"/>
    <w:rsid w:val="00157E1D"/>
    <w:rsid w:val="00157FF4"/>
    <w:rsid w:val="00160054"/>
    <w:rsid w:val="001601B9"/>
    <w:rsid w:val="001601F5"/>
    <w:rsid w:val="0016067F"/>
    <w:rsid w:val="001606DB"/>
    <w:rsid w:val="00160773"/>
    <w:rsid w:val="00160865"/>
    <w:rsid w:val="0016093B"/>
    <w:rsid w:val="0016096E"/>
    <w:rsid w:val="00160D54"/>
    <w:rsid w:val="00160E9A"/>
    <w:rsid w:val="00160ECC"/>
    <w:rsid w:val="00161006"/>
    <w:rsid w:val="001610DC"/>
    <w:rsid w:val="0016114B"/>
    <w:rsid w:val="0016142D"/>
    <w:rsid w:val="0016142F"/>
    <w:rsid w:val="00161620"/>
    <w:rsid w:val="00161923"/>
    <w:rsid w:val="00161A67"/>
    <w:rsid w:val="00161AA4"/>
    <w:rsid w:val="00161BCE"/>
    <w:rsid w:val="00161F6B"/>
    <w:rsid w:val="00162036"/>
    <w:rsid w:val="00162376"/>
    <w:rsid w:val="001624B3"/>
    <w:rsid w:val="001626E0"/>
    <w:rsid w:val="001629ED"/>
    <w:rsid w:val="00162A2C"/>
    <w:rsid w:val="00162B02"/>
    <w:rsid w:val="00162B41"/>
    <w:rsid w:val="00162BB0"/>
    <w:rsid w:val="00162D70"/>
    <w:rsid w:val="00162DBA"/>
    <w:rsid w:val="00162F96"/>
    <w:rsid w:val="00162FE8"/>
    <w:rsid w:val="0016327C"/>
    <w:rsid w:val="0016345C"/>
    <w:rsid w:val="00163497"/>
    <w:rsid w:val="001634F5"/>
    <w:rsid w:val="001637DD"/>
    <w:rsid w:val="00163881"/>
    <w:rsid w:val="00163913"/>
    <w:rsid w:val="00163B11"/>
    <w:rsid w:val="00163BD3"/>
    <w:rsid w:val="00163C9B"/>
    <w:rsid w:val="00163E9D"/>
    <w:rsid w:val="00163EF5"/>
    <w:rsid w:val="001641A5"/>
    <w:rsid w:val="001641D4"/>
    <w:rsid w:val="00164336"/>
    <w:rsid w:val="001646CB"/>
    <w:rsid w:val="00164928"/>
    <w:rsid w:val="00164999"/>
    <w:rsid w:val="00164DCC"/>
    <w:rsid w:val="00165140"/>
    <w:rsid w:val="0016536E"/>
    <w:rsid w:val="00165370"/>
    <w:rsid w:val="001654A5"/>
    <w:rsid w:val="001654FC"/>
    <w:rsid w:val="00165520"/>
    <w:rsid w:val="0016575B"/>
    <w:rsid w:val="00165775"/>
    <w:rsid w:val="00165797"/>
    <w:rsid w:val="0016589A"/>
    <w:rsid w:val="001659E4"/>
    <w:rsid w:val="00165A56"/>
    <w:rsid w:val="00165A6B"/>
    <w:rsid w:val="00165BF0"/>
    <w:rsid w:val="00165D7C"/>
    <w:rsid w:val="00165E66"/>
    <w:rsid w:val="00165EDD"/>
    <w:rsid w:val="00166383"/>
    <w:rsid w:val="001663FB"/>
    <w:rsid w:val="00166578"/>
    <w:rsid w:val="00166711"/>
    <w:rsid w:val="00166BD4"/>
    <w:rsid w:val="00166E57"/>
    <w:rsid w:val="0016716D"/>
    <w:rsid w:val="00167484"/>
    <w:rsid w:val="001676D3"/>
    <w:rsid w:val="00167754"/>
    <w:rsid w:val="001677DF"/>
    <w:rsid w:val="0016780D"/>
    <w:rsid w:val="00167D8F"/>
    <w:rsid w:val="00170494"/>
    <w:rsid w:val="001706A8"/>
    <w:rsid w:val="001707D9"/>
    <w:rsid w:val="00170895"/>
    <w:rsid w:val="001708B9"/>
    <w:rsid w:val="0017091E"/>
    <w:rsid w:val="00170A48"/>
    <w:rsid w:val="00170B4F"/>
    <w:rsid w:val="00170E04"/>
    <w:rsid w:val="00171343"/>
    <w:rsid w:val="001713D6"/>
    <w:rsid w:val="0017148F"/>
    <w:rsid w:val="001714F3"/>
    <w:rsid w:val="00171563"/>
    <w:rsid w:val="001719FE"/>
    <w:rsid w:val="00171DEA"/>
    <w:rsid w:val="001722B9"/>
    <w:rsid w:val="001723A8"/>
    <w:rsid w:val="001723F3"/>
    <w:rsid w:val="00172472"/>
    <w:rsid w:val="00172508"/>
    <w:rsid w:val="0017280D"/>
    <w:rsid w:val="00172A78"/>
    <w:rsid w:val="00172BDB"/>
    <w:rsid w:val="001732DD"/>
    <w:rsid w:val="0017331D"/>
    <w:rsid w:val="0017334B"/>
    <w:rsid w:val="001733FD"/>
    <w:rsid w:val="0017353E"/>
    <w:rsid w:val="00173554"/>
    <w:rsid w:val="0017382D"/>
    <w:rsid w:val="00173871"/>
    <w:rsid w:val="0017399F"/>
    <w:rsid w:val="001739FE"/>
    <w:rsid w:val="00173A52"/>
    <w:rsid w:val="00173C70"/>
    <w:rsid w:val="00173D96"/>
    <w:rsid w:val="00173E64"/>
    <w:rsid w:val="0017431C"/>
    <w:rsid w:val="00174496"/>
    <w:rsid w:val="0017456E"/>
    <w:rsid w:val="001745EE"/>
    <w:rsid w:val="00174693"/>
    <w:rsid w:val="0017478D"/>
    <w:rsid w:val="001747EF"/>
    <w:rsid w:val="00174924"/>
    <w:rsid w:val="00174D5B"/>
    <w:rsid w:val="00174F23"/>
    <w:rsid w:val="00175405"/>
    <w:rsid w:val="001757CE"/>
    <w:rsid w:val="001758AD"/>
    <w:rsid w:val="0017593C"/>
    <w:rsid w:val="00175A4B"/>
    <w:rsid w:val="00175AA6"/>
    <w:rsid w:val="00175B7E"/>
    <w:rsid w:val="00175BD7"/>
    <w:rsid w:val="00175D3B"/>
    <w:rsid w:val="00175DFD"/>
    <w:rsid w:val="00176154"/>
    <w:rsid w:val="00176276"/>
    <w:rsid w:val="0017627B"/>
    <w:rsid w:val="00176286"/>
    <w:rsid w:val="0017630D"/>
    <w:rsid w:val="00176398"/>
    <w:rsid w:val="001763DD"/>
    <w:rsid w:val="00176697"/>
    <w:rsid w:val="001768BD"/>
    <w:rsid w:val="0017693D"/>
    <w:rsid w:val="00176CA5"/>
    <w:rsid w:val="00176DBA"/>
    <w:rsid w:val="00176E26"/>
    <w:rsid w:val="00176F98"/>
    <w:rsid w:val="001772EA"/>
    <w:rsid w:val="00177304"/>
    <w:rsid w:val="00177389"/>
    <w:rsid w:val="0017761F"/>
    <w:rsid w:val="0017763C"/>
    <w:rsid w:val="001776AF"/>
    <w:rsid w:val="001776C2"/>
    <w:rsid w:val="00177768"/>
    <w:rsid w:val="00177953"/>
    <w:rsid w:val="00177986"/>
    <w:rsid w:val="001779E0"/>
    <w:rsid w:val="00177ACB"/>
    <w:rsid w:val="00177C68"/>
    <w:rsid w:val="00177C85"/>
    <w:rsid w:val="00177D72"/>
    <w:rsid w:val="00177DB6"/>
    <w:rsid w:val="00177F69"/>
    <w:rsid w:val="00177F6D"/>
    <w:rsid w:val="001802C9"/>
    <w:rsid w:val="0018069F"/>
    <w:rsid w:val="0018091C"/>
    <w:rsid w:val="00180A04"/>
    <w:rsid w:val="00180AFC"/>
    <w:rsid w:val="00180BDA"/>
    <w:rsid w:val="00180F03"/>
    <w:rsid w:val="0018108F"/>
    <w:rsid w:val="00181229"/>
    <w:rsid w:val="001813EB"/>
    <w:rsid w:val="0018171D"/>
    <w:rsid w:val="001817EB"/>
    <w:rsid w:val="00181866"/>
    <w:rsid w:val="0018193B"/>
    <w:rsid w:val="00181B09"/>
    <w:rsid w:val="001820D2"/>
    <w:rsid w:val="00182245"/>
    <w:rsid w:val="0018244D"/>
    <w:rsid w:val="00182AE9"/>
    <w:rsid w:val="00182C37"/>
    <w:rsid w:val="00182FA7"/>
    <w:rsid w:val="00182FAF"/>
    <w:rsid w:val="00183087"/>
    <w:rsid w:val="001833D5"/>
    <w:rsid w:val="001833E4"/>
    <w:rsid w:val="001834D2"/>
    <w:rsid w:val="001835BB"/>
    <w:rsid w:val="001835D8"/>
    <w:rsid w:val="001835EC"/>
    <w:rsid w:val="001838C1"/>
    <w:rsid w:val="00183929"/>
    <w:rsid w:val="00183970"/>
    <w:rsid w:val="00183DEF"/>
    <w:rsid w:val="00183F26"/>
    <w:rsid w:val="00183FC4"/>
    <w:rsid w:val="00183FC6"/>
    <w:rsid w:val="00183FDC"/>
    <w:rsid w:val="001840A1"/>
    <w:rsid w:val="001840E4"/>
    <w:rsid w:val="0018422F"/>
    <w:rsid w:val="0018426C"/>
    <w:rsid w:val="001842EF"/>
    <w:rsid w:val="00184379"/>
    <w:rsid w:val="001843BB"/>
    <w:rsid w:val="001843FA"/>
    <w:rsid w:val="00184413"/>
    <w:rsid w:val="0018444F"/>
    <w:rsid w:val="001844BA"/>
    <w:rsid w:val="001844CB"/>
    <w:rsid w:val="00184668"/>
    <w:rsid w:val="00184721"/>
    <w:rsid w:val="00184944"/>
    <w:rsid w:val="00184E0B"/>
    <w:rsid w:val="001851B6"/>
    <w:rsid w:val="001852E7"/>
    <w:rsid w:val="001854E3"/>
    <w:rsid w:val="001855C2"/>
    <w:rsid w:val="00185926"/>
    <w:rsid w:val="00185958"/>
    <w:rsid w:val="00185A18"/>
    <w:rsid w:val="00185B32"/>
    <w:rsid w:val="00185DB1"/>
    <w:rsid w:val="00185F10"/>
    <w:rsid w:val="00185FED"/>
    <w:rsid w:val="0018624C"/>
    <w:rsid w:val="00186290"/>
    <w:rsid w:val="00186544"/>
    <w:rsid w:val="00186563"/>
    <w:rsid w:val="00186609"/>
    <w:rsid w:val="00186858"/>
    <w:rsid w:val="0018685F"/>
    <w:rsid w:val="001868C1"/>
    <w:rsid w:val="00186907"/>
    <w:rsid w:val="00186AF4"/>
    <w:rsid w:val="00186DC9"/>
    <w:rsid w:val="00186FB1"/>
    <w:rsid w:val="00186FC8"/>
    <w:rsid w:val="001870DC"/>
    <w:rsid w:val="0018716C"/>
    <w:rsid w:val="0018734B"/>
    <w:rsid w:val="00187405"/>
    <w:rsid w:val="0018740E"/>
    <w:rsid w:val="001874EC"/>
    <w:rsid w:val="001877F0"/>
    <w:rsid w:val="001879C2"/>
    <w:rsid w:val="00187C50"/>
    <w:rsid w:val="00187D41"/>
    <w:rsid w:val="00187D49"/>
    <w:rsid w:val="00187F21"/>
    <w:rsid w:val="00190008"/>
    <w:rsid w:val="0019004D"/>
    <w:rsid w:val="001900AC"/>
    <w:rsid w:val="001902FF"/>
    <w:rsid w:val="0019040F"/>
    <w:rsid w:val="00190411"/>
    <w:rsid w:val="0019059F"/>
    <w:rsid w:val="00190621"/>
    <w:rsid w:val="00190795"/>
    <w:rsid w:val="001907C8"/>
    <w:rsid w:val="001908CD"/>
    <w:rsid w:val="0019093C"/>
    <w:rsid w:val="00190A59"/>
    <w:rsid w:val="00190DD8"/>
    <w:rsid w:val="00190DF2"/>
    <w:rsid w:val="001911C8"/>
    <w:rsid w:val="001911D7"/>
    <w:rsid w:val="0019121B"/>
    <w:rsid w:val="0019165D"/>
    <w:rsid w:val="0019167C"/>
    <w:rsid w:val="0019170D"/>
    <w:rsid w:val="00191A4A"/>
    <w:rsid w:val="00191A5D"/>
    <w:rsid w:val="00191F6E"/>
    <w:rsid w:val="00192127"/>
    <w:rsid w:val="00192271"/>
    <w:rsid w:val="0019239A"/>
    <w:rsid w:val="00192574"/>
    <w:rsid w:val="00192664"/>
    <w:rsid w:val="0019272E"/>
    <w:rsid w:val="001927C8"/>
    <w:rsid w:val="00192856"/>
    <w:rsid w:val="00192BE7"/>
    <w:rsid w:val="00192F9C"/>
    <w:rsid w:val="001930C8"/>
    <w:rsid w:val="00193123"/>
    <w:rsid w:val="00193239"/>
    <w:rsid w:val="001932A8"/>
    <w:rsid w:val="0019336A"/>
    <w:rsid w:val="001934FF"/>
    <w:rsid w:val="0019358E"/>
    <w:rsid w:val="001937A5"/>
    <w:rsid w:val="00193845"/>
    <w:rsid w:val="0019384B"/>
    <w:rsid w:val="00193DDA"/>
    <w:rsid w:val="00193FA7"/>
    <w:rsid w:val="001942C6"/>
    <w:rsid w:val="00194382"/>
    <w:rsid w:val="00194402"/>
    <w:rsid w:val="00194A3D"/>
    <w:rsid w:val="00194B13"/>
    <w:rsid w:val="00194B76"/>
    <w:rsid w:val="00194BBA"/>
    <w:rsid w:val="00194D85"/>
    <w:rsid w:val="00194F61"/>
    <w:rsid w:val="00195090"/>
    <w:rsid w:val="001950FC"/>
    <w:rsid w:val="00195865"/>
    <w:rsid w:val="00195981"/>
    <w:rsid w:val="001959E0"/>
    <w:rsid w:val="00195D85"/>
    <w:rsid w:val="00195FFA"/>
    <w:rsid w:val="001960F8"/>
    <w:rsid w:val="00196370"/>
    <w:rsid w:val="001967AE"/>
    <w:rsid w:val="001967DE"/>
    <w:rsid w:val="00196B46"/>
    <w:rsid w:val="00196B4D"/>
    <w:rsid w:val="00196B90"/>
    <w:rsid w:val="00196E96"/>
    <w:rsid w:val="00196ED3"/>
    <w:rsid w:val="00197135"/>
    <w:rsid w:val="0019745C"/>
    <w:rsid w:val="00197496"/>
    <w:rsid w:val="00197500"/>
    <w:rsid w:val="001975EF"/>
    <w:rsid w:val="0019765A"/>
    <w:rsid w:val="00197883"/>
    <w:rsid w:val="001979C0"/>
    <w:rsid w:val="00197BB8"/>
    <w:rsid w:val="00197DCF"/>
    <w:rsid w:val="00197F8C"/>
    <w:rsid w:val="001A0002"/>
    <w:rsid w:val="001A02A2"/>
    <w:rsid w:val="001A04B8"/>
    <w:rsid w:val="001A08B1"/>
    <w:rsid w:val="001A0A5F"/>
    <w:rsid w:val="001A0BEC"/>
    <w:rsid w:val="001A0D4C"/>
    <w:rsid w:val="001A0D5B"/>
    <w:rsid w:val="001A0F4F"/>
    <w:rsid w:val="001A1240"/>
    <w:rsid w:val="001A13C4"/>
    <w:rsid w:val="001A14F3"/>
    <w:rsid w:val="001A1538"/>
    <w:rsid w:val="001A189B"/>
    <w:rsid w:val="001A18A8"/>
    <w:rsid w:val="001A1A69"/>
    <w:rsid w:val="001A1E6A"/>
    <w:rsid w:val="001A2024"/>
    <w:rsid w:val="001A2312"/>
    <w:rsid w:val="001A2393"/>
    <w:rsid w:val="001A240B"/>
    <w:rsid w:val="001A268E"/>
    <w:rsid w:val="001A282E"/>
    <w:rsid w:val="001A28AE"/>
    <w:rsid w:val="001A2BEE"/>
    <w:rsid w:val="001A2D35"/>
    <w:rsid w:val="001A2F7D"/>
    <w:rsid w:val="001A30CA"/>
    <w:rsid w:val="001A3502"/>
    <w:rsid w:val="001A36AA"/>
    <w:rsid w:val="001A3B1F"/>
    <w:rsid w:val="001A3BAC"/>
    <w:rsid w:val="001A4003"/>
    <w:rsid w:val="001A4224"/>
    <w:rsid w:val="001A458A"/>
    <w:rsid w:val="001A45CF"/>
    <w:rsid w:val="001A45EB"/>
    <w:rsid w:val="001A46EF"/>
    <w:rsid w:val="001A47FD"/>
    <w:rsid w:val="001A4B1B"/>
    <w:rsid w:val="001A4C6C"/>
    <w:rsid w:val="001A4F1A"/>
    <w:rsid w:val="001A4F96"/>
    <w:rsid w:val="001A50EC"/>
    <w:rsid w:val="001A53A1"/>
    <w:rsid w:val="001A559B"/>
    <w:rsid w:val="001A55EA"/>
    <w:rsid w:val="001A5635"/>
    <w:rsid w:val="001A5ABB"/>
    <w:rsid w:val="001A5AFE"/>
    <w:rsid w:val="001A5C09"/>
    <w:rsid w:val="001A5D60"/>
    <w:rsid w:val="001A5DBF"/>
    <w:rsid w:val="001A60A2"/>
    <w:rsid w:val="001A6126"/>
    <w:rsid w:val="001A666C"/>
    <w:rsid w:val="001A6679"/>
    <w:rsid w:val="001A671B"/>
    <w:rsid w:val="001A676B"/>
    <w:rsid w:val="001A68DC"/>
    <w:rsid w:val="001A6ADB"/>
    <w:rsid w:val="001A6BA2"/>
    <w:rsid w:val="001A6DF1"/>
    <w:rsid w:val="001A6EDE"/>
    <w:rsid w:val="001A716D"/>
    <w:rsid w:val="001A7360"/>
    <w:rsid w:val="001A756C"/>
    <w:rsid w:val="001A7636"/>
    <w:rsid w:val="001A7818"/>
    <w:rsid w:val="001A7A20"/>
    <w:rsid w:val="001A7AF7"/>
    <w:rsid w:val="001A7CCD"/>
    <w:rsid w:val="001B0038"/>
    <w:rsid w:val="001B005E"/>
    <w:rsid w:val="001B052C"/>
    <w:rsid w:val="001B0660"/>
    <w:rsid w:val="001B0724"/>
    <w:rsid w:val="001B0781"/>
    <w:rsid w:val="001B078A"/>
    <w:rsid w:val="001B079E"/>
    <w:rsid w:val="001B0F94"/>
    <w:rsid w:val="001B0FEC"/>
    <w:rsid w:val="001B11E2"/>
    <w:rsid w:val="001B141C"/>
    <w:rsid w:val="001B190E"/>
    <w:rsid w:val="001B19DF"/>
    <w:rsid w:val="001B1B5D"/>
    <w:rsid w:val="001B1BF6"/>
    <w:rsid w:val="001B1CDC"/>
    <w:rsid w:val="001B2040"/>
    <w:rsid w:val="001B208D"/>
    <w:rsid w:val="001B2367"/>
    <w:rsid w:val="001B2432"/>
    <w:rsid w:val="001B2605"/>
    <w:rsid w:val="001B2759"/>
    <w:rsid w:val="001B282B"/>
    <w:rsid w:val="001B2907"/>
    <w:rsid w:val="001B290B"/>
    <w:rsid w:val="001B2DED"/>
    <w:rsid w:val="001B30B7"/>
    <w:rsid w:val="001B3385"/>
    <w:rsid w:val="001B339A"/>
    <w:rsid w:val="001B3464"/>
    <w:rsid w:val="001B34EF"/>
    <w:rsid w:val="001B354A"/>
    <w:rsid w:val="001B36F0"/>
    <w:rsid w:val="001B3700"/>
    <w:rsid w:val="001B3758"/>
    <w:rsid w:val="001B3CCE"/>
    <w:rsid w:val="001B40C8"/>
    <w:rsid w:val="001B449C"/>
    <w:rsid w:val="001B460B"/>
    <w:rsid w:val="001B465D"/>
    <w:rsid w:val="001B477C"/>
    <w:rsid w:val="001B4781"/>
    <w:rsid w:val="001B4890"/>
    <w:rsid w:val="001B4A74"/>
    <w:rsid w:val="001B4BC5"/>
    <w:rsid w:val="001B4E93"/>
    <w:rsid w:val="001B4EBA"/>
    <w:rsid w:val="001B4EC3"/>
    <w:rsid w:val="001B4FA0"/>
    <w:rsid w:val="001B4FE1"/>
    <w:rsid w:val="001B50E5"/>
    <w:rsid w:val="001B559F"/>
    <w:rsid w:val="001B5645"/>
    <w:rsid w:val="001B5767"/>
    <w:rsid w:val="001B5AEE"/>
    <w:rsid w:val="001B5C19"/>
    <w:rsid w:val="001B615C"/>
    <w:rsid w:val="001B6706"/>
    <w:rsid w:val="001B673E"/>
    <w:rsid w:val="001B6795"/>
    <w:rsid w:val="001B67D6"/>
    <w:rsid w:val="001B6ACF"/>
    <w:rsid w:val="001B6BEB"/>
    <w:rsid w:val="001B6C2B"/>
    <w:rsid w:val="001B6CFC"/>
    <w:rsid w:val="001B6CFE"/>
    <w:rsid w:val="001B6D71"/>
    <w:rsid w:val="001B7131"/>
    <w:rsid w:val="001B74FC"/>
    <w:rsid w:val="001B759C"/>
    <w:rsid w:val="001B76C8"/>
    <w:rsid w:val="001B777E"/>
    <w:rsid w:val="001B794C"/>
    <w:rsid w:val="001B7A71"/>
    <w:rsid w:val="001B7AB3"/>
    <w:rsid w:val="001B7ABE"/>
    <w:rsid w:val="001B7CA0"/>
    <w:rsid w:val="001C05BA"/>
    <w:rsid w:val="001C05E7"/>
    <w:rsid w:val="001C062F"/>
    <w:rsid w:val="001C07D8"/>
    <w:rsid w:val="001C07DD"/>
    <w:rsid w:val="001C0869"/>
    <w:rsid w:val="001C089B"/>
    <w:rsid w:val="001C0A78"/>
    <w:rsid w:val="001C0B70"/>
    <w:rsid w:val="001C0C6C"/>
    <w:rsid w:val="001C0E0B"/>
    <w:rsid w:val="001C0E67"/>
    <w:rsid w:val="001C0F7A"/>
    <w:rsid w:val="001C11C7"/>
    <w:rsid w:val="001C12A5"/>
    <w:rsid w:val="001C12EC"/>
    <w:rsid w:val="001C1670"/>
    <w:rsid w:val="001C167D"/>
    <w:rsid w:val="001C18C5"/>
    <w:rsid w:val="001C194F"/>
    <w:rsid w:val="001C19D4"/>
    <w:rsid w:val="001C1A20"/>
    <w:rsid w:val="001C1F93"/>
    <w:rsid w:val="001C2015"/>
    <w:rsid w:val="001C23F1"/>
    <w:rsid w:val="001C244C"/>
    <w:rsid w:val="001C2472"/>
    <w:rsid w:val="001C24B6"/>
    <w:rsid w:val="001C2712"/>
    <w:rsid w:val="001C27BA"/>
    <w:rsid w:val="001C27F0"/>
    <w:rsid w:val="001C281B"/>
    <w:rsid w:val="001C29CD"/>
    <w:rsid w:val="001C2A09"/>
    <w:rsid w:val="001C2DE0"/>
    <w:rsid w:val="001C2FBD"/>
    <w:rsid w:val="001C30FD"/>
    <w:rsid w:val="001C35A3"/>
    <w:rsid w:val="001C35A5"/>
    <w:rsid w:val="001C377B"/>
    <w:rsid w:val="001C38D9"/>
    <w:rsid w:val="001C3A79"/>
    <w:rsid w:val="001C3B25"/>
    <w:rsid w:val="001C3C43"/>
    <w:rsid w:val="001C3CB9"/>
    <w:rsid w:val="001C43B8"/>
    <w:rsid w:val="001C43E2"/>
    <w:rsid w:val="001C441A"/>
    <w:rsid w:val="001C4690"/>
    <w:rsid w:val="001C4971"/>
    <w:rsid w:val="001C4AC3"/>
    <w:rsid w:val="001C4BF4"/>
    <w:rsid w:val="001C4E02"/>
    <w:rsid w:val="001C4E3F"/>
    <w:rsid w:val="001C4E94"/>
    <w:rsid w:val="001C4ED2"/>
    <w:rsid w:val="001C4FBF"/>
    <w:rsid w:val="001C5039"/>
    <w:rsid w:val="001C5256"/>
    <w:rsid w:val="001C52E1"/>
    <w:rsid w:val="001C53A7"/>
    <w:rsid w:val="001C542E"/>
    <w:rsid w:val="001C5554"/>
    <w:rsid w:val="001C5634"/>
    <w:rsid w:val="001C5647"/>
    <w:rsid w:val="001C5881"/>
    <w:rsid w:val="001C5895"/>
    <w:rsid w:val="001C5E6E"/>
    <w:rsid w:val="001C63F8"/>
    <w:rsid w:val="001C65FD"/>
    <w:rsid w:val="001C6646"/>
    <w:rsid w:val="001C684A"/>
    <w:rsid w:val="001C6C16"/>
    <w:rsid w:val="001C6C63"/>
    <w:rsid w:val="001C6D9E"/>
    <w:rsid w:val="001C7502"/>
    <w:rsid w:val="001C75D5"/>
    <w:rsid w:val="001C77C8"/>
    <w:rsid w:val="001C78B5"/>
    <w:rsid w:val="001C79B3"/>
    <w:rsid w:val="001C7E91"/>
    <w:rsid w:val="001C7F95"/>
    <w:rsid w:val="001D003F"/>
    <w:rsid w:val="001D02D1"/>
    <w:rsid w:val="001D03A7"/>
    <w:rsid w:val="001D040E"/>
    <w:rsid w:val="001D0641"/>
    <w:rsid w:val="001D0963"/>
    <w:rsid w:val="001D0991"/>
    <w:rsid w:val="001D09AF"/>
    <w:rsid w:val="001D0AFA"/>
    <w:rsid w:val="001D0CB0"/>
    <w:rsid w:val="001D1100"/>
    <w:rsid w:val="001D1119"/>
    <w:rsid w:val="001D127C"/>
    <w:rsid w:val="001D1332"/>
    <w:rsid w:val="001D14B4"/>
    <w:rsid w:val="001D167F"/>
    <w:rsid w:val="001D1866"/>
    <w:rsid w:val="001D19CB"/>
    <w:rsid w:val="001D1B8B"/>
    <w:rsid w:val="001D1C5C"/>
    <w:rsid w:val="001D1CD4"/>
    <w:rsid w:val="001D1F94"/>
    <w:rsid w:val="001D206E"/>
    <w:rsid w:val="001D23F9"/>
    <w:rsid w:val="001D24CD"/>
    <w:rsid w:val="001D2601"/>
    <w:rsid w:val="001D272D"/>
    <w:rsid w:val="001D282B"/>
    <w:rsid w:val="001D2E3D"/>
    <w:rsid w:val="001D310B"/>
    <w:rsid w:val="001D31D3"/>
    <w:rsid w:val="001D32BA"/>
    <w:rsid w:val="001D32D9"/>
    <w:rsid w:val="001D3433"/>
    <w:rsid w:val="001D355A"/>
    <w:rsid w:val="001D35F9"/>
    <w:rsid w:val="001D3602"/>
    <w:rsid w:val="001D3713"/>
    <w:rsid w:val="001D3AD1"/>
    <w:rsid w:val="001D3D14"/>
    <w:rsid w:val="001D3E58"/>
    <w:rsid w:val="001D3FD6"/>
    <w:rsid w:val="001D41F7"/>
    <w:rsid w:val="001D4317"/>
    <w:rsid w:val="001D47D4"/>
    <w:rsid w:val="001D47EF"/>
    <w:rsid w:val="001D4901"/>
    <w:rsid w:val="001D4ADE"/>
    <w:rsid w:val="001D4B3F"/>
    <w:rsid w:val="001D4C9C"/>
    <w:rsid w:val="001D4CE9"/>
    <w:rsid w:val="001D4D8C"/>
    <w:rsid w:val="001D4D8F"/>
    <w:rsid w:val="001D4E79"/>
    <w:rsid w:val="001D513C"/>
    <w:rsid w:val="001D5314"/>
    <w:rsid w:val="001D5450"/>
    <w:rsid w:val="001D5C77"/>
    <w:rsid w:val="001D5D6F"/>
    <w:rsid w:val="001D6019"/>
    <w:rsid w:val="001D60DE"/>
    <w:rsid w:val="001D613F"/>
    <w:rsid w:val="001D62FA"/>
    <w:rsid w:val="001D6639"/>
    <w:rsid w:val="001D68A4"/>
    <w:rsid w:val="001D6C2E"/>
    <w:rsid w:val="001D6D5E"/>
    <w:rsid w:val="001D6E54"/>
    <w:rsid w:val="001D6F19"/>
    <w:rsid w:val="001D7019"/>
    <w:rsid w:val="001D70AB"/>
    <w:rsid w:val="001D70D4"/>
    <w:rsid w:val="001D7140"/>
    <w:rsid w:val="001D74C6"/>
    <w:rsid w:val="001D75F9"/>
    <w:rsid w:val="001D76C7"/>
    <w:rsid w:val="001D7745"/>
    <w:rsid w:val="001D7BB4"/>
    <w:rsid w:val="001D7C52"/>
    <w:rsid w:val="001E004D"/>
    <w:rsid w:val="001E0058"/>
    <w:rsid w:val="001E00F0"/>
    <w:rsid w:val="001E016B"/>
    <w:rsid w:val="001E01CC"/>
    <w:rsid w:val="001E0466"/>
    <w:rsid w:val="001E0542"/>
    <w:rsid w:val="001E071B"/>
    <w:rsid w:val="001E09BB"/>
    <w:rsid w:val="001E0A0C"/>
    <w:rsid w:val="001E0A33"/>
    <w:rsid w:val="001E0AD0"/>
    <w:rsid w:val="001E0BBB"/>
    <w:rsid w:val="001E0EDB"/>
    <w:rsid w:val="001E0FB6"/>
    <w:rsid w:val="001E1253"/>
    <w:rsid w:val="001E132B"/>
    <w:rsid w:val="001E16A7"/>
    <w:rsid w:val="001E17E4"/>
    <w:rsid w:val="001E18F4"/>
    <w:rsid w:val="001E193B"/>
    <w:rsid w:val="001E1B76"/>
    <w:rsid w:val="001E1C73"/>
    <w:rsid w:val="001E1D27"/>
    <w:rsid w:val="001E1D60"/>
    <w:rsid w:val="001E1EE5"/>
    <w:rsid w:val="001E1F36"/>
    <w:rsid w:val="001E1FDC"/>
    <w:rsid w:val="001E201D"/>
    <w:rsid w:val="001E2168"/>
    <w:rsid w:val="001E2601"/>
    <w:rsid w:val="001E29D2"/>
    <w:rsid w:val="001E2AF9"/>
    <w:rsid w:val="001E2CD8"/>
    <w:rsid w:val="001E2E46"/>
    <w:rsid w:val="001E2F5F"/>
    <w:rsid w:val="001E3078"/>
    <w:rsid w:val="001E34A0"/>
    <w:rsid w:val="001E34E0"/>
    <w:rsid w:val="001E3933"/>
    <w:rsid w:val="001E39EB"/>
    <w:rsid w:val="001E3A71"/>
    <w:rsid w:val="001E3D64"/>
    <w:rsid w:val="001E3E9B"/>
    <w:rsid w:val="001E3F70"/>
    <w:rsid w:val="001E40AB"/>
    <w:rsid w:val="001E41B5"/>
    <w:rsid w:val="001E41C7"/>
    <w:rsid w:val="001E421F"/>
    <w:rsid w:val="001E4276"/>
    <w:rsid w:val="001E42D0"/>
    <w:rsid w:val="001E43D6"/>
    <w:rsid w:val="001E4D36"/>
    <w:rsid w:val="001E4E15"/>
    <w:rsid w:val="001E4F29"/>
    <w:rsid w:val="001E5175"/>
    <w:rsid w:val="001E530D"/>
    <w:rsid w:val="001E594B"/>
    <w:rsid w:val="001E5C7A"/>
    <w:rsid w:val="001E5D31"/>
    <w:rsid w:val="001E5D9A"/>
    <w:rsid w:val="001E5E48"/>
    <w:rsid w:val="001E5F33"/>
    <w:rsid w:val="001E600B"/>
    <w:rsid w:val="001E60B1"/>
    <w:rsid w:val="001E6221"/>
    <w:rsid w:val="001E6515"/>
    <w:rsid w:val="001E6665"/>
    <w:rsid w:val="001E66A6"/>
    <w:rsid w:val="001E66BB"/>
    <w:rsid w:val="001E6776"/>
    <w:rsid w:val="001E6822"/>
    <w:rsid w:val="001E6A1F"/>
    <w:rsid w:val="001E6A27"/>
    <w:rsid w:val="001E6F65"/>
    <w:rsid w:val="001E7330"/>
    <w:rsid w:val="001E7359"/>
    <w:rsid w:val="001E749A"/>
    <w:rsid w:val="001E7513"/>
    <w:rsid w:val="001E7D30"/>
    <w:rsid w:val="001E7D3E"/>
    <w:rsid w:val="001E7F74"/>
    <w:rsid w:val="001E7FCA"/>
    <w:rsid w:val="001F01B4"/>
    <w:rsid w:val="001F04B5"/>
    <w:rsid w:val="001F052F"/>
    <w:rsid w:val="001F06E1"/>
    <w:rsid w:val="001F0701"/>
    <w:rsid w:val="001F0793"/>
    <w:rsid w:val="001F0837"/>
    <w:rsid w:val="001F0AD3"/>
    <w:rsid w:val="001F0E28"/>
    <w:rsid w:val="001F0F0B"/>
    <w:rsid w:val="001F0F24"/>
    <w:rsid w:val="001F0F5C"/>
    <w:rsid w:val="001F119B"/>
    <w:rsid w:val="001F1440"/>
    <w:rsid w:val="001F1583"/>
    <w:rsid w:val="001F1601"/>
    <w:rsid w:val="001F16F7"/>
    <w:rsid w:val="001F1841"/>
    <w:rsid w:val="001F1A56"/>
    <w:rsid w:val="001F1B2B"/>
    <w:rsid w:val="001F1B70"/>
    <w:rsid w:val="001F1DD9"/>
    <w:rsid w:val="001F1E78"/>
    <w:rsid w:val="001F214F"/>
    <w:rsid w:val="001F2597"/>
    <w:rsid w:val="001F27F7"/>
    <w:rsid w:val="001F2ADB"/>
    <w:rsid w:val="001F2C01"/>
    <w:rsid w:val="001F2D8B"/>
    <w:rsid w:val="001F2E78"/>
    <w:rsid w:val="001F2EE5"/>
    <w:rsid w:val="001F33A3"/>
    <w:rsid w:val="001F33CA"/>
    <w:rsid w:val="001F35B8"/>
    <w:rsid w:val="001F38BE"/>
    <w:rsid w:val="001F3A89"/>
    <w:rsid w:val="001F3B3D"/>
    <w:rsid w:val="001F40B3"/>
    <w:rsid w:val="001F40C1"/>
    <w:rsid w:val="001F429F"/>
    <w:rsid w:val="001F4428"/>
    <w:rsid w:val="001F47D8"/>
    <w:rsid w:val="001F48AE"/>
    <w:rsid w:val="001F4A00"/>
    <w:rsid w:val="001F4B59"/>
    <w:rsid w:val="001F4B8C"/>
    <w:rsid w:val="001F4C07"/>
    <w:rsid w:val="001F4C94"/>
    <w:rsid w:val="001F4DE2"/>
    <w:rsid w:val="001F4E31"/>
    <w:rsid w:val="001F5441"/>
    <w:rsid w:val="001F5A01"/>
    <w:rsid w:val="001F5A18"/>
    <w:rsid w:val="001F5A68"/>
    <w:rsid w:val="001F5DE0"/>
    <w:rsid w:val="001F5E09"/>
    <w:rsid w:val="001F5F1E"/>
    <w:rsid w:val="001F607F"/>
    <w:rsid w:val="001F60EA"/>
    <w:rsid w:val="001F61A2"/>
    <w:rsid w:val="001F61B8"/>
    <w:rsid w:val="001F661C"/>
    <w:rsid w:val="001F669D"/>
    <w:rsid w:val="001F6747"/>
    <w:rsid w:val="001F6839"/>
    <w:rsid w:val="001F68D1"/>
    <w:rsid w:val="001F69F2"/>
    <w:rsid w:val="001F7026"/>
    <w:rsid w:val="001F73BE"/>
    <w:rsid w:val="001F785B"/>
    <w:rsid w:val="001F7928"/>
    <w:rsid w:val="001F7978"/>
    <w:rsid w:val="001F7D79"/>
    <w:rsid w:val="001F7DA8"/>
    <w:rsid w:val="001F7ECC"/>
    <w:rsid w:val="001F7FA3"/>
    <w:rsid w:val="001F7FA6"/>
    <w:rsid w:val="0020008E"/>
    <w:rsid w:val="002001FC"/>
    <w:rsid w:val="0020025A"/>
    <w:rsid w:val="0020025D"/>
    <w:rsid w:val="0020026A"/>
    <w:rsid w:val="00200300"/>
    <w:rsid w:val="002004B4"/>
    <w:rsid w:val="0020067D"/>
    <w:rsid w:val="0020068E"/>
    <w:rsid w:val="00200787"/>
    <w:rsid w:val="00200861"/>
    <w:rsid w:val="00200B12"/>
    <w:rsid w:val="00200BF5"/>
    <w:rsid w:val="00200CEB"/>
    <w:rsid w:val="00200F0F"/>
    <w:rsid w:val="00200F7F"/>
    <w:rsid w:val="00200FBB"/>
    <w:rsid w:val="002010A5"/>
    <w:rsid w:val="002012F2"/>
    <w:rsid w:val="002015DE"/>
    <w:rsid w:val="00201686"/>
    <w:rsid w:val="002017B3"/>
    <w:rsid w:val="00201828"/>
    <w:rsid w:val="0020185E"/>
    <w:rsid w:val="00201B0B"/>
    <w:rsid w:val="00201B76"/>
    <w:rsid w:val="00201C90"/>
    <w:rsid w:val="00201F17"/>
    <w:rsid w:val="002020EF"/>
    <w:rsid w:val="00202775"/>
    <w:rsid w:val="00202C66"/>
    <w:rsid w:val="00202C9E"/>
    <w:rsid w:val="00202CC1"/>
    <w:rsid w:val="00202E80"/>
    <w:rsid w:val="002030E5"/>
    <w:rsid w:val="002031AC"/>
    <w:rsid w:val="00203391"/>
    <w:rsid w:val="0020343F"/>
    <w:rsid w:val="00203471"/>
    <w:rsid w:val="002036DF"/>
    <w:rsid w:val="00203A59"/>
    <w:rsid w:val="00203EA5"/>
    <w:rsid w:val="002041B1"/>
    <w:rsid w:val="002044FD"/>
    <w:rsid w:val="0020480C"/>
    <w:rsid w:val="00204CBA"/>
    <w:rsid w:val="00204F03"/>
    <w:rsid w:val="00204F89"/>
    <w:rsid w:val="00205544"/>
    <w:rsid w:val="00205593"/>
    <w:rsid w:val="00205930"/>
    <w:rsid w:val="00205E51"/>
    <w:rsid w:val="00205F8F"/>
    <w:rsid w:val="002062FF"/>
    <w:rsid w:val="00206422"/>
    <w:rsid w:val="002064DC"/>
    <w:rsid w:val="00206611"/>
    <w:rsid w:val="0020690A"/>
    <w:rsid w:val="0020699E"/>
    <w:rsid w:val="00206A3D"/>
    <w:rsid w:val="00206C59"/>
    <w:rsid w:val="00206C63"/>
    <w:rsid w:val="00206D1B"/>
    <w:rsid w:val="002073D8"/>
    <w:rsid w:val="002074E8"/>
    <w:rsid w:val="0020796D"/>
    <w:rsid w:val="00207A96"/>
    <w:rsid w:val="00207B32"/>
    <w:rsid w:val="00207C85"/>
    <w:rsid w:val="00207EA6"/>
    <w:rsid w:val="00210080"/>
    <w:rsid w:val="0021028B"/>
    <w:rsid w:val="002102AE"/>
    <w:rsid w:val="00210740"/>
    <w:rsid w:val="002107FD"/>
    <w:rsid w:val="00210821"/>
    <w:rsid w:val="00210C2F"/>
    <w:rsid w:val="00210F14"/>
    <w:rsid w:val="00210F69"/>
    <w:rsid w:val="00211110"/>
    <w:rsid w:val="00211392"/>
    <w:rsid w:val="002113A4"/>
    <w:rsid w:val="002113C3"/>
    <w:rsid w:val="00211551"/>
    <w:rsid w:val="00211559"/>
    <w:rsid w:val="002115CB"/>
    <w:rsid w:val="00211854"/>
    <w:rsid w:val="002119FC"/>
    <w:rsid w:val="00211B6C"/>
    <w:rsid w:val="00211CB8"/>
    <w:rsid w:val="002121F8"/>
    <w:rsid w:val="002123F9"/>
    <w:rsid w:val="0021240A"/>
    <w:rsid w:val="00212431"/>
    <w:rsid w:val="002124DB"/>
    <w:rsid w:val="00212852"/>
    <w:rsid w:val="00212DB6"/>
    <w:rsid w:val="002133D7"/>
    <w:rsid w:val="0021369A"/>
    <w:rsid w:val="0021393F"/>
    <w:rsid w:val="00213CC2"/>
    <w:rsid w:val="00213E34"/>
    <w:rsid w:val="00213EF4"/>
    <w:rsid w:val="00214167"/>
    <w:rsid w:val="00214219"/>
    <w:rsid w:val="002142B7"/>
    <w:rsid w:val="0021490D"/>
    <w:rsid w:val="002149E1"/>
    <w:rsid w:val="002149E5"/>
    <w:rsid w:val="00214C72"/>
    <w:rsid w:val="00214E31"/>
    <w:rsid w:val="00214EE1"/>
    <w:rsid w:val="00215858"/>
    <w:rsid w:val="00215948"/>
    <w:rsid w:val="002159F8"/>
    <w:rsid w:val="00215A61"/>
    <w:rsid w:val="00215BBD"/>
    <w:rsid w:val="00215CB6"/>
    <w:rsid w:val="00215E3D"/>
    <w:rsid w:val="00215E56"/>
    <w:rsid w:val="0021601E"/>
    <w:rsid w:val="00216232"/>
    <w:rsid w:val="0021641B"/>
    <w:rsid w:val="00216612"/>
    <w:rsid w:val="00216757"/>
    <w:rsid w:val="002168E2"/>
    <w:rsid w:val="00216A5B"/>
    <w:rsid w:val="00216C65"/>
    <w:rsid w:val="00216CF6"/>
    <w:rsid w:val="00216DE7"/>
    <w:rsid w:val="0021723F"/>
    <w:rsid w:val="00217363"/>
    <w:rsid w:val="0021740C"/>
    <w:rsid w:val="002179BA"/>
    <w:rsid w:val="00217A94"/>
    <w:rsid w:val="00217B25"/>
    <w:rsid w:val="00217D4A"/>
    <w:rsid w:val="00217D5E"/>
    <w:rsid w:val="0022019D"/>
    <w:rsid w:val="002201AC"/>
    <w:rsid w:val="002201B9"/>
    <w:rsid w:val="002203E1"/>
    <w:rsid w:val="0022091F"/>
    <w:rsid w:val="00220B29"/>
    <w:rsid w:val="00220CCF"/>
    <w:rsid w:val="00220DAC"/>
    <w:rsid w:val="00220FFA"/>
    <w:rsid w:val="00221040"/>
    <w:rsid w:val="00221088"/>
    <w:rsid w:val="002213D0"/>
    <w:rsid w:val="002213F8"/>
    <w:rsid w:val="002215D2"/>
    <w:rsid w:val="0022166F"/>
    <w:rsid w:val="002216C6"/>
    <w:rsid w:val="0022176F"/>
    <w:rsid w:val="002218D8"/>
    <w:rsid w:val="00221A8A"/>
    <w:rsid w:val="00221CA2"/>
    <w:rsid w:val="00221D8A"/>
    <w:rsid w:val="00221DD6"/>
    <w:rsid w:val="00221DF5"/>
    <w:rsid w:val="00221F65"/>
    <w:rsid w:val="00221F80"/>
    <w:rsid w:val="00221F81"/>
    <w:rsid w:val="00222225"/>
    <w:rsid w:val="002223A6"/>
    <w:rsid w:val="00222409"/>
    <w:rsid w:val="00222929"/>
    <w:rsid w:val="002229C5"/>
    <w:rsid w:val="00222AB6"/>
    <w:rsid w:val="00222B3F"/>
    <w:rsid w:val="00222C0A"/>
    <w:rsid w:val="00222E48"/>
    <w:rsid w:val="00222EA2"/>
    <w:rsid w:val="00222F5C"/>
    <w:rsid w:val="002233BF"/>
    <w:rsid w:val="0022348A"/>
    <w:rsid w:val="00223590"/>
    <w:rsid w:val="002235FE"/>
    <w:rsid w:val="00223656"/>
    <w:rsid w:val="002238A0"/>
    <w:rsid w:val="002238C4"/>
    <w:rsid w:val="00223947"/>
    <w:rsid w:val="0022394E"/>
    <w:rsid w:val="00223A03"/>
    <w:rsid w:val="00223A8B"/>
    <w:rsid w:val="00223DB8"/>
    <w:rsid w:val="00223EB6"/>
    <w:rsid w:val="00224083"/>
    <w:rsid w:val="0022418F"/>
    <w:rsid w:val="002246C5"/>
    <w:rsid w:val="002246DE"/>
    <w:rsid w:val="0022472E"/>
    <w:rsid w:val="00224AC5"/>
    <w:rsid w:val="00224B8F"/>
    <w:rsid w:val="00224FA3"/>
    <w:rsid w:val="00224FBA"/>
    <w:rsid w:val="002250C9"/>
    <w:rsid w:val="002252CF"/>
    <w:rsid w:val="00225371"/>
    <w:rsid w:val="0022546B"/>
    <w:rsid w:val="00225574"/>
    <w:rsid w:val="00225712"/>
    <w:rsid w:val="0022579C"/>
    <w:rsid w:val="0022589B"/>
    <w:rsid w:val="00225AA8"/>
    <w:rsid w:val="00225BBB"/>
    <w:rsid w:val="00225C17"/>
    <w:rsid w:val="00225FF6"/>
    <w:rsid w:val="0022607F"/>
    <w:rsid w:val="0022609F"/>
    <w:rsid w:val="002260C2"/>
    <w:rsid w:val="002262C0"/>
    <w:rsid w:val="002264AA"/>
    <w:rsid w:val="00226853"/>
    <w:rsid w:val="00226A35"/>
    <w:rsid w:val="00226A3A"/>
    <w:rsid w:val="00226B62"/>
    <w:rsid w:val="00226C07"/>
    <w:rsid w:val="00226CE6"/>
    <w:rsid w:val="00226E05"/>
    <w:rsid w:val="00226F2E"/>
    <w:rsid w:val="002270F2"/>
    <w:rsid w:val="0022741F"/>
    <w:rsid w:val="00227445"/>
    <w:rsid w:val="0022744D"/>
    <w:rsid w:val="002274F2"/>
    <w:rsid w:val="00227577"/>
    <w:rsid w:val="002275EA"/>
    <w:rsid w:val="00227A8E"/>
    <w:rsid w:val="00227E20"/>
    <w:rsid w:val="00227F1F"/>
    <w:rsid w:val="002301D7"/>
    <w:rsid w:val="002302DD"/>
    <w:rsid w:val="0023034F"/>
    <w:rsid w:val="002303F3"/>
    <w:rsid w:val="002305E0"/>
    <w:rsid w:val="002306E9"/>
    <w:rsid w:val="00230710"/>
    <w:rsid w:val="00230819"/>
    <w:rsid w:val="00230B74"/>
    <w:rsid w:val="00230DA6"/>
    <w:rsid w:val="00230DCA"/>
    <w:rsid w:val="00230F21"/>
    <w:rsid w:val="00230FBE"/>
    <w:rsid w:val="002312E4"/>
    <w:rsid w:val="0023132E"/>
    <w:rsid w:val="002313B2"/>
    <w:rsid w:val="0023146D"/>
    <w:rsid w:val="002319D2"/>
    <w:rsid w:val="00231B0C"/>
    <w:rsid w:val="00231B44"/>
    <w:rsid w:val="00231B79"/>
    <w:rsid w:val="00231BE8"/>
    <w:rsid w:val="00231C83"/>
    <w:rsid w:val="00231DAC"/>
    <w:rsid w:val="00231DBA"/>
    <w:rsid w:val="00231EB9"/>
    <w:rsid w:val="00232075"/>
    <w:rsid w:val="002320F3"/>
    <w:rsid w:val="002321E8"/>
    <w:rsid w:val="0023223D"/>
    <w:rsid w:val="00232303"/>
    <w:rsid w:val="00232334"/>
    <w:rsid w:val="00232351"/>
    <w:rsid w:val="0023242F"/>
    <w:rsid w:val="00232862"/>
    <w:rsid w:val="00232866"/>
    <w:rsid w:val="00232AED"/>
    <w:rsid w:val="00232B22"/>
    <w:rsid w:val="00232BFD"/>
    <w:rsid w:val="002330A8"/>
    <w:rsid w:val="0023379D"/>
    <w:rsid w:val="00233A03"/>
    <w:rsid w:val="00233A6F"/>
    <w:rsid w:val="00233A7B"/>
    <w:rsid w:val="00233AA3"/>
    <w:rsid w:val="00233ABD"/>
    <w:rsid w:val="00233D1B"/>
    <w:rsid w:val="00233E51"/>
    <w:rsid w:val="00233E6B"/>
    <w:rsid w:val="00234019"/>
    <w:rsid w:val="002340B6"/>
    <w:rsid w:val="0023432D"/>
    <w:rsid w:val="0023448C"/>
    <w:rsid w:val="00234548"/>
    <w:rsid w:val="002346D5"/>
    <w:rsid w:val="0023472D"/>
    <w:rsid w:val="0023484F"/>
    <w:rsid w:val="00234852"/>
    <w:rsid w:val="002349CA"/>
    <w:rsid w:val="00234BA2"/>
    <w:rsid w:val="00234CB1"/>
    <w:rsid w:val="00234CEB"/>
    <w:rsid w:val="00234D34"/>
    <w:rsid w:val="00234EC2"/>
    <w:rsid w:val="00234F28"/>
    <w:rsid w:val="00235175"/>
    <w:rsid w:val="0023517A"/>
    <w:rsid w:val="00235582"/>
    <w:rsid w:val="002356CC"/>
    <w:rsid w:val="00235ADC"/>
    <w:rsid w:val="00235B87"/>
    <w:rsid w:val="00235C0A"/>
    <w:rsid w:val="00235EF8"/>
    <w:rsid w:val="0023638D"/>
    <w:rsid w:val="002363AF"/>
    <w:rsid w:val="00236462"/>
    <w:rsid w:val="00236472"/>
    <w:rsid w:val="0023652A"/>
    <w:rsid w:val="0023654C"/>
    <w:rsid w:val="002367AF"/>
    <w:rsid w:val="00236916"/>
    <w:rsid w:val="00236AC1"/>
    <w:rsid w:val="00236EE4"/>
    <w:rsid w:val="002370AB"/>
    <w:rsid w:val="002370AF"/>
    <w:rsid w:val="0023718C"/>
    <w:rsid w:val="002371EB"/>
    <w:rsid w:val="002372FD"/>
    <w:rsid w:val="00237437"/>
    <w:rsid w:val="0023753A"/>
    <w:rsid w:val="00237593"/>
    <w:rsid w:val="002375E4"/>
    <w:rsid w:val="00237702"/>
    <w:rsid w:val="002377A4"/>
    <w:rsid w:val="002377D4"/>
    <w:rsid w:val="00237872"/>
    <w:rsid w:val="0023788F"/>
    <w:rsid w:val="00237C23"/>
    <w:rsid w:val="00237CF8"/>
    <w:rsid w:val="00237EF5"/>
    <w:rsid w:val="00240220"/>
    <w:rsid w:val="0024041A"/>
    <w:rsid w:val="002405E2"/>
    <w:rsid w:val="002406CA"/>
    <w:rsid w:val="0024070D"/>
    <w:rsid w:val="00240840"/>
    <w:rsid w:val="00240874"/>
    <w:rsid w:val="002409BF"/>
    <w:rsid w:val="00240B3E"/>
    <w:rsid w:val="00240D20"/>
    <w:rsid w:val="00240F23"/>
    <w:rsid w:val="00240F78"/>
    <w:rsid w:val="00240FBD"/>
    <w:rsid w:val="00241255"/>
    <w:rsid w:val="002414F3"/>
    <w:rsid w:val="00241544"/>
    <w:rsid w:val="002415B6"/>
    <w:rsid w:val="00241647"/>
    <w:rsid w:val="00241724"/>
    <w:rsid w:val="00241BDC"/>
    <w:rsid w:val="00241D21"/>
    <w:rsid w:val="00241F15"/>
    <w:rsid w:val="0024203A"/>
    <w:rsid w:val="002420B5"/>
    <w:rsid w:val="0024214D"/>
    <w:rsid w:val="0024225F"/>
    <w:rsid w:val="002422B6"/>
    <w:rsid w:val="0024231F"/>
    <w:rsid w:val="00242367"/>
    <w:rsid w:val="002424F5"/>
    <w:rsid w:val="0024267D"/>
    <w:rsid w:val="00242986"/>
    <w:rsid w:val="002429C2"/>
    <w:rsid w:val="00242DE1"/>
    <w:rsid w:val="00242E49"/>
    <w:rsid w:val="00242F5E"/>
    <w:rsid w:val="002431AF"/>
    <w:rsid w:val="002431BA"/>
    <w:rsid w:val="0024326D"/>
    <w:rsid w:val="00243296"/>
    <w:rsid w:val="00243688"/>
    <w:rsid w:val="002436B5"/>
    <w:rsid w:val="00243F86"/>
    <w:rsid w:val="00244010"/>
    <w:rsid w:val="002440A6"/>
    <w:rsid w:val="002440B3"/>
    <w:rsid w:val="0024434A"/>
    <w:rsid w:val="002443E5"/>
    <w:rsid w:val="002445E3"/>
    <w:rsid w:val="00244817"/>
    <w:rsid w:val="002449EA"/>
    <w:rsid w:val="00244B52"/>
    <w:rsid w:val="00244BE7"/>
    <w:rsid w:val="00244BEA"/>
    <w:rsid w:val="00244D7D"/>
    <w:rsid w:val="00245104"/>
    <w:rsid w:val="00245126"/>
    <w:rsid w:val="002454C5"/>
    <w:rsid w:val="002455E4"/>
    <w:rsid w:val="00245631"/>
    <w:rsid w:val="00245A3E"/>
    <w:rsid w:val="00245B9B"/>
    <w:rsid w:val="00246043"/>
    <w:rsid w:val="002463E5"/>
    <w:rsid w:val="002464C5"/>
    <w:rsid w:val="00246991"/>
    <w:rsid w:val="00246BBF"/>
    <w:rsid w:val="00246EAC"/>
    <w:rsid w:val="00246EF5"/>
    <w:rsid w:val="00246FB5"/>
    <w:rsid w:val="0024700D"/>
    <w:rsid w:val="0024743B"/>
    <w:rsid w:val="0024747A"/>
    <w:rsid w:val="002474CB"/>
    <w:rsid w:val="002477C3"/>
    <w:rsid w:val="002477E5"/>
    <w:rsid w:val="00247902"/>
    <w:rsid w:val="00247BD5"/>
    <w:rsid w:val="00247D6A"/>
    <w:rsid w:val="00250006"/>
    <w:rsid w:val="00250104"/>
    <w:rsid w:val="00250479"/>
    <w:rsid w:val="00250485"/>
    <w:rsid w:val="002505C1"/>
    <w:rsid w:val="0025060B"/>
    <w:rsid w:val="00250614"/>
    <w:rsid w:val="0025061C"/>
    <w:rsid w:val="00250806"/>
    <w:rsid w:val="002508D8"/>
    <w:rsid w:val="00250920"/>
    <w:rsid w:val="00250B38"/>
    <w:rsid w:val="00250BEA"/>
    <w:rsid w:val="00250C98"/>
    <w:rsid w:val="002513EA"/>
    <w:rsid w:val="002514C2"/>
    <w:rsid w:val="0025153A"/>
    <w:rsid w:val="0025165B"/>
    <w:rsid w:val="002516FE"/>
    <w:rsid w:val="00251841"/>
    <w:rsid w:val="00251904"/>
    <w:rsid w:val="00251D0B"/>
    <w:rsid w:val="00251D7A"/>
    <w:rsid w:val="00251D80"/>
    <w:rsid w:val="00252210"/>
    <w:rsid w:val="002524DB"/>
    <w:rsid w:val="00252524"/>
    <w:rsid w:val="0025260D"/>
    <w:rsid w:val="002527EA"/>
    <w:rsid w:val="00252914"/>
    <w:rsid w:val="00252ADD"/>
    <w:rsid w:val="00253348"/>
    <w:rsid w:val="00253695"/>
    <w:rsid w:val="0025370E"/>
    <w:rsid w:val="00253785"/>
    <w:rsid w:val="0025378E"/>
    <w:rsid w:val="002538BB"/>
    <w:rsid w:val="0025395C"/>
    <w:rsid w:val="00253D2A"/>
    <w:rsid w:val="00253E19"/>
    <w:rsid w:val="00253FB0"/>
    <w:rsid w:val="0025457B"/>
    <w:rsid w:val="00254636"/>
    <w:rsid w:val="002546B7"/>
    <w:rsid w:val="00254831"/>
    <w:rsid w:val="002548E1"/>
    <w:rsid w:val="00254A91"/>
    <w:rsid w:val="00255062"/>
    <w:rsid w:val="00255137"/>
    <w:rsid w:val="00255183"/>
    <w:rsid w:val="002552D9"/>
    <w:rsid w:val="002553B6"/>
    <w:rsid w:val="0025541E"/>
    <w:rsid w:val="00255448"/>
    <w:rsid w:val="002554FF"/>
    <w:rsid w:val="00255638"/>
    <w:rsid w:val="0025591F"/>
    <w:rsid w:val="00255A2C"/>
    <w:rsid w:val="00255AF7"/>
    <w:rsid w:val="00255C9A"/>
    <w:rsid w:val="00255D53"/>
    <w:rsid w:val="00255E02"/>
    <w:rsid w:val="00255E05"/>
    <w:rsid w:val="00256009"/>
    <w:rsid w:val="00256336"/>
    <w:rsid w:val="00256590"/>
    <w:rsid w:val="00256600"/>
    <w:rsid w:val="00256661"/>
    <w:rsid w:val="00256721"/>
    <w:rsid w:val="00256729"/>
    <w:rsid w:val="0025687E"/>
    <w:rsid w:val="00256DFA"/>
    <w:rsid w:val="00256E15"/>
    <w:rsid w:val="00256EBC"/>
    <w:rsid w:val="00256EDD"/>
    <w:rsid w:val="00256F36"/>
    <w:rsid w:val="00256F79"/>
    <w:rsid w:val="00257018"/>
    <w:rsid w:val="002571A4"/>
    <w:rsid w:val="002572BD"/>
    <w:rsid w:val="002573DA"/>
    <w:rsid w:val="0025749E"/>
    <w:rsid w:val="002575A2"/>
    <w:rsid w:val="002575B2"/>
    <w:rsid w:val="00257633"/>
    <w:rsid w:val="002578FF"/>
    <w:rsid w:val="00257925"/>
    <w:rsid w:val="002579A2"/>
    <w:rsid w:val="00257B2C"/>
    <w:rsid w:val="00257B42"/>
    <w:rsid w:val="00257C9C"/>
    <w:rsid w:val="00257D92"/>
    <w:rsid w:val="00257F5D"/>
    <w:rsid w:val="00260348"/>
    <w:rsid w:val="00260421"/>
    <w:rsid w:val="00260448"/>
    <w:rsid w:val="002604A1"/>
    <w:rsid w:val="00260747"/>
    <w:rsid w:val="00260881"/>
    <w:rsid w:val="00260AB1"/>
    <w:rsid w:val="00260C86"/>
    <w:rsid w:val="00260CDE"/>
    <w:rsid w:val="002610B2"/>
    <w:rsid w:val="002610BE"/>
    <w:rsid w:val="00261318"/>
    <w:rsid w:val="0026152D"/>
    <w:rsid w:val="0026160B"/>
    <w:rsid w:val="00261879"/>
    <w:rsid w:val="00261904"/>
    <w:rsid w:val="00261F13"/>
    <w:rsid w:val="0026202A"/>
    <w:rsid w:val="00262053"/>
    <w:rsid w:val="002620C9"/>
    <w:rsid w:val="002621C3"/>
    <w:rsid w:val="0026278E"/>
    <w:rsid w:val="0026290B"/>
    <w:rsid w:val="00262B01"/>
    <w:rsid w:val="00262C4E"/>
    <w:rsid w:val="00263281"/>
    <w:rsid w:val="00263361"/>
    <w:rsid w:val="00263490"/>
    <w:rsid w:val="00263494"/>
    <w:rsid w:val="002634F5"/>
    <w:rsid w:val="00263691"/>
    <w:rsid w:val="002639E7"/>
    <w:rsid w:val="00263D90"/>
    <w:rsid w:val="00263DDB"/>
    <w:rsid w:val="00263E36"/>
    <w:rsid w:val="00264501"/>
    <w:rsid w:val="00264873"/>
    <w:rsid w:val="00264998"/>
    <w:rsid w:val="002649F5"/>
    <w:rsid w:val="00264F98"/>
    <w:rsid w:val="002652D5"/>
    <w:rsid w:val="0026552D"/>
    <w:rsid w:val="002656FB"/>
    <w:rsid w:val="0026593A"/>
    <w:rsid w:val="0026595E"/>
    <w:rsid w:val="00265BFE"/>
    <w:rsid w:val="00265C45"/>
    <w:rsid w:val="00266045"/>
    <w:rsid w:val="0026653C"/>
    <w:rsid w:val="002666CB"/>
    <w:rsid w:val="0026671A"/>
    <w:rsid w:val="00266860"/>
    <w:rsid w:val="00266B16"/>
    <w:rsid w:val="00266B57"/>
    <w:rsid w:val="00266D0D"/>
    <w:rsid w:val="00266F83"/>
    <w:rsid w:val="002671DF"/>
    <w:rsid w:val="0026728D"/>
    <w:rsid w:val="002672EC"/>
    <w:rsid w:val="00267405"/>
    <w:rsid w:val="0026741B"/>
    <w:rsid w:val="002674B5"/>
    <w:rsid w:val="00267597"/>
    <w:rsid w:val="002676C1"/>
    <w:rsid w:val="00267812"/>
    <w:rsid w:val="00267A59"/>
    <w:rsid w:val="00267ABF"/>
    <w:rsid w:val="00267BB0"/>
    <w:rsid w:val="00267CFF"/>
    <w:rsid w:val="00267D9A"/>
    <w:rsid w:val="00267E37"/>
    <w:rsid w:val="00267E57"/>
    <w:rsid w:val="00267E68"/>
    <w:rsid w:val="00270022"/>
    <w:rsid w:val="00270070"/>
    <w:rsid w:val="00270291"/>
    <w:rsid w:val="002703A0"/>
    <w:rsid w:val="00270751"/>
    <w:rsid w:val="002707CE"/>
    <w:rsid w:val="00270A1A"/>
    <w:rsid w:val="00270B4E"/>
    <w:rsid w:val="0027103F"/>
    <w:rsid w:val="00271181"/>
    <w:rsid w:val="002712B7"/>
    <w:rsid w:val="0027156B"/>
    <w:rsid w:val="0027170B"/>
    <w:rsid w:val="002719FA"/>
    <w:rsid w:val="00271C89"/>
    <w:rsid w:val="00271F42"/>
    <w:rsid w:val="002721C0"/>
    <w:rsid w:val="002722B8"/>
    <w:rsid w:val="0027239A"/>
    <w:rsid w:val="002723F9"/>
    <w:rsid w:val="002726A9"/>
    <w:rsid w:val="00272720"/>
    <w:rsid w:val="0027287B"/>
    <w:rsid w:val="002728FA"/>
    <w:rsid w:val="00272B45"/>
    <w:rsid w:val="00272BC6"/>
    <w:rsid w:val="00272EB7"/>
    <w:rsid w:val="00273213"/>
    <w:rsid w:val="0027322F"/>
    <w:rsid w:val="0027328E"/>
    <w:rsid w:val="00273369"/>
    <w:rsid w:val="002738BA"/>
    <w:rsid w:val="00273BAE"/>
    <w:rsid w:val="00273CCF"/>
    <w:rsid w:val="00273E35"/>
    <w:rsid w:val="00274002"/>
    <w:rsid w:val="002741AB"/>
    <w:rsid w:val="002743B9"/>
    <w:rsid w:val="0027447B"/>
    <w:rsid w:val="002744F2"/>
    <w:rsid w:val="002744F7"/>
    <w:rsid w:val="002748C8"/>
    <w:rsid w:val="002748D4"/>
    <w:rsid w:val="00274B2F"/>
    <w:rsid w:val="00274DD9"/>
    <w:rsid w:val="00274F54"/>
    <w:rsid w:val="002752EA"/>
    <w:rsid w:val="002757DB"/>
    <w:rsid w:val="0027583E"/>
    <w:rsid w:val="00275874"/>
    <w:rsid w:val="002758DC"/>
    <w:rsid w:val="002758E2"/>
    <w:rsid w:val="00275940"/>
    <w:rsid w:val="002759D3"/>
    <w:rsid w:val="00275D1B"/>
    <w:rsid w:val="00275D3E"/>
    <w:rsid w:val="00275DAF"/>
    <w:rsid w:val="00275E2D"/>
    <w:rsid w:val="0027603E"/>
    <w:rsid w:val="00276509"/>
    <w:rsid w:val="00276611"/>
    <w:rsid w:val="00276750"/>
    <w:rsid w:val="00276840"/>
    <w:rsid w:val="00276A29"/>
    <w:rsid w:val="00276B4F"/>
    <w:rsid w:val="00277219"/>
    <w:rsid w:val="002773EB"/>
    <w:rsid w:val="002774B1"/>
    <w:rsid w:val="002774B4"/>
    <w:rsid w:val="0027752B"/>
    <w:rsid w:val="0027753A"/>
    <w:rsid w:val="0027758E"/>
    <w:rsid w:val="00277652"/>
    <w:rsid w:val="00277800"/>
    <w:rsid w:val="00277ADF"/>
    <w:rsid w:val="00277BA6"/>
    <w:rsid w:val="00277E56"/>
    <w:rsid w:val="00277FB4"/>
    <w:rsid w:val="00280282"/>
    <w:rsid w:val="002803DC"/>
    <w:rsid w:val="0028044B"/>
    <w:rsid w:val="002804F4"/>
    <w:rsid w:val="002805F4"/>
    <w:rsid w:val="00280605"/>
    <w:rsid w:val="002809AD"/>
    <w:rsid w:val="00280B79"/>
    <w:rsid w:val="00280BD9"/>
    <w:rsid w:val="00280BDA"/>
    <w:rsid w:val="00280CF3"/>
    <w:rsid w:val="00280E80"/>
    <w:rsid w:val="00281117"/>
    <w:rsid w:val="0028144B"/>
    <w:rsid w:val="002814EC"/>
    <w:rsid w:val="0028186B"/>
    <w:rsid w:val="00281AF5"/>
    <w:rsid w:val="00281D6A"/>
    <w:rsid w:val="00281FE3"/>
    <w:rsid w:val="00282244"/>
    <w:rsid w:val="00282361"/>
    <w:rsid w:val="00282B2A"/>
    <w:rsid w:val="00282BDD"/>
    <w:rsid w:val="00282D09"/>
    <w:rsid w:val="0028304C"/>
    <w:rsid w:val="0028338B"/>
    <w:rsid w:val="00283419"/>
    <w:rsid w:val="00283C6C"/>
    <w:rsid w:val="00283CDD"/>
    <w:rsid w:val="00283CF3"/>
    <w:rsid w:val="00283DA6"/>
    <w:rsid w:val="00284183"/>
    <w:rsid w:val="0028418B"/>
    <w:rsid w:val="002842A9"/>
    <w:rsid w:val="0028462C"/>
    <w:rsid w:val="00284751"/>
    <w:rsid w:val="002847C0"/>
    <w:rsid w:val="00284908"/>
    <w:rsid w:val="00284EF9"/>
    <w:rsid w:val="00285010"/>
    <w:rsid w:val="0028506D"/>
    <w:rsid w:val="0028507F"/>
    <w:rsid w:val="002855EB"/>
    <w:rsid w:val="002857D6"/>
    <w:rsid w:val="0028580F"/>
    <w:rsid w:val="0028586F"/>
    <w:rsid w:val="00285900"/>
    <w:rsid w:val="00285A0E"/>
    <w:rsid w:val="00285AF8"/>
    <w:rsid w:val="00285E11"/>
    <w:rsid w:val="00285E7E"/>
    <w:rsid w:val="00285F22"/>
    <w:rsid w:val="00286284"/>
    <w:rsid w:val="002864F9"/>
    <w:rsid w:val="00286508"/>
    <w:rsid w:val="00286BB6"/>
    <w:rsid w:val="00286C63"/>
    <w:rsid w:val="00286CF6"/>
    <w:rsid w:val="00286D78"/>
    <w:rsid w:val="002870BC"/>
    <w:rsid w:val="002870E5"/>
    <w:rsid w:val="002870E7"/>
    <w:rsid w:val="00287148"/>
    <w:rsid w:val="00287873"/>
    <w:rsid w:val="00287A23"/>
    <w:rsid w:val="00287B19"/>
    <w:rsid w:val="00287E70"/>
    <w:rsid w:val="00287EAE"/>
    <w:rsid w:val="00287F79"/>
    <w:rsid w:val="002901F7"/>
    <w:rsid w:val="00290520"/>
    <w:rsid w:val="0029075D"/>
    <w:rsid w:val="002909FD"/>
    <w:rsid w:val="00290A1E"/>
    <w:rsid w:val="00290B24"/>
    <w:rsid w:val="0029128A"/>
    <w:rsid w:val="00291546"/>
    <w:rsid w:val="00291583"/>
    <w:rsid w:val="002915E7"/>
    <w:rsid w:val="00291699"/>
    <w:rsid w:val="0029173A"/>
    <w:rsid w:val="00291946"/>
    <w:rsid w:val="00291B30"/>
    <w:rsid w:val="00291C43"/>
    <w:rsid w:val="00291CEA"/>
    <w:rsid w:val="00291D98"/>
    <w:rsid w:val="00291E92"/>
    <w:rsid w:val="00292007"/>
    <w:rsid w:val="0029268F"/>
    <w:rsid w:val="00292AE9"/>
    <w:rsid w:val="00292CF1"/>
    <w:rsid w:val="00292E22"/>
    <w:rsid w:val="00292E68"/>
    <w:rsid w:val="00292F2A"/>
    <w:rsid w:val="002930B2"/>
    <w:rsid w:val="0029334B"/>
    <w:rsid w:val="00293382"/>
    <w:rsid w:val="002933C9"/>
    <w:rsid w:val="00293417"/>
    <w:rsid w:val="00293768"/>
    <w:rsid w:val="00293811"/>
    <w:rsid w:val="0029382D"/>
    <w:rsid w:val="00293864"/>
    <w:rsid w:val="002938A0"/>
    <w:rsid w:val="002939EB"/>
    <w:rsid w:val="00294060"/>
    <w:rsid w:val="00294141"/>
    <w:rsid w:val="00294439"/>
    <w:rsid w:val="00294463"/>
    <w:rsid w:val="002945B2"/>
    <w:rsid w:val="00294749"/>
    <w:rsid w:val="002948F1"/>
    <w:rsid w:val="00294970"/>
    <w:rsid w:val="00294BBA"/>
    <w:rsid w:val="00294E91"/>
    <w:rsid w:val="002950AB"/>
    <w:rsid w:val="002950F5"/>
    <w:rsid w:val="00295419"/>
    <w:rsid w:val="00295557"/>
    <w:rsid w:val="00295671"/>
    <w:rsid w:val="00295A0A"/>
    <w:rsid w:val="00295A62"/>
    <w:rsid w:val="00296770"/>
    <w:rsid w:val="00296817"/>
    <w:rsid w:val="00296C60"/>
    <w:rsid w:val="00296CD0"/>
    <w:rsid w:val="00296D32"/>
    <w:rsid w:val="00296F29"/>
    <w:rsid w:val="00297196"/>
    <w:rsid w:val="00297214"/>
    <w:rsid w:val="00297228"/>
    <w:rsid w:val="0029734E"/>
    <w:rsid w:val="002973B1"/>
    <w:rsid w:val="002974D2"/>
    <w:rsid w:val="002976C3"/>
    <w:rsid w:val="002976FF"/>
    <w:rsid w:val="00297885"/>
    <w:rsid w:val="0029798D"/>
    <w:rsid w:val="00297A17"/>
    <w:rsid w:val="00297A21"/>
    <w:rsid w:val="00297A67"/>
    <w:rsid w:val="00297A6B"/>
    <w:rsid w:val="00297ED4"/>
    <w:rsid w:val="00297FAB"/>
    <w:rsid w:val="002A00F9"/>
    <w:rsid w:val="002A029C"/>
    <w:rsid w:val="002A03E8"/>
    <w:rsid w:val="002A03E9"/>
    <w:rsid w:val="002A04A3"/>
    <w:rsid w:val="002A058D"/>
    <w:rsid w:val="002A0B4E"/>
    <w:rsid w:val="002A0C30"/>
    <w:rsid w:val="002A0D12"/>
    <w:rsid w:val="002A0DB6"/>
    <w:rsid w:val="002A0F10"/>
    <w:rsid w:val="002A1037"/>
    <w:rsid w:val="002A1467"/>
    <w:rsid w:val="002A166D"/>
    <w:rsid w:val="002A17F7"/>
    <w:rsid w:val="002A1990"/>
    <w:rsid w:val="002A19D5"/>
    <w:rsid w:val="002A19F7"/>
    <w:rsid w:val="002A1B28"/>
    <w:rsid w:val="002A1B39"/>
    <w:rsid w:val="002A1E0A"/>
    <w:rsid w:val="002A2294"/>
    <w:rsid w:val="002A22D2"/>
    <w:rsid w:val="002A282C"/>
    <w:rsid w:val="002A294C"/>
    <w:rsid w:val="002A2951"/>
    <w:rsid w:val="002A2A04"/>
    <w:rsid w:val="002A2B83"/>
    <w:rsid w:val="002A2C06"/>
    <w:rsid w:val="002A2CC9"/>
    <w:rsid w:val="002A2D8C"/>
    <w:rsid w:val="002A30C4"/>
    <w:rsid w:val="002A314F"/>
    <w:rsid w:val="002A3246"/>
    <w:rsid w:val="002A32B3"/>
    <w:rsid w:val="002A343F"/>
    <w:rsid w:val="002A39AE"/>
    <w:rsid w:val="002A3ABD"/>
    <w:rsid w:val="002A3AE6"/>
    <w:rsid w:val="002A3CB1"/>
    <w:rsid w:val="002A3D0E"/>
    <w:rsid w:val="002A3D47"/>
    <w:rsid w:val="002A40AF"/>
    <w:rsid w:val="002A43AF"/>
    <w:rsid w:val="002A44FB"/>
    <w:rsid w:val="002A4AB0"/>
    <w:rsid w:val="002A4B05"/>
    <w:rsid w:val="002A4BC1"/>
    <w:rsid w:val="002A5368"/>
    <w:rsid w:val="002A55C9"/>
    <w:rsid w:val="002A574A"/>
    <w:rsid w:val="002A5783"/>
    <w:rsid w:val="002A5784"/>
    <w:rsid w:val="002A5869"/>
    <w:rsid w:val="002A588B"/>
    <w:rsid w:val="002A5A20"/>
    <w:rsid w:val="002A5AE5"/>
    <w:rsid w:val="002A614F"/>
    <w:rsid w:val="002A6381"/>
    <w:rsid w:val="002A63C9"/>
    <w:rsid w:val="002A6635"/>
    <w:rsid w:val="002A6971"/>
    <w:rsid w:val="002A6AC8"/>
    <w:rsid w:val="002A6CB9"/>
    <w:rsid w:val="002A7009"/>
    <w:rsid w:val="002A7083"/>
    <w:rsid w:val="002A70A4"/>
    <w:rsid w:val="002A7B85"/>
    <w:rsid w:val="002A7D5D"/>
    <w:rsid w:val="002A7DED"/>
    <w:rsid w:val="002A7FC3"/>
    <w:rsid w:val="002B00CE"/>
    <w:rsid w:val="002B02AD"/>
    <w:rsid w:val="002B0680"/>
    <w:rsid w:val="002B07FC"/>
    <w:rsid w:val="002B0955"/>
    <w:rsid w:val="002B0ABD"/>
    <w:rsid w:val="002B0B05"/>
    <w:rsid w:val="002B0CB9"/>
    <w:rsid w:val="002B0DBA"/>
    <w:rsid w:val="002B0DBD"/>
    <w:rsid w:val="002B0E89"/>
    <w:rsid w:val="002B10B4"/>
    <w:rsid w:val="002B1248"/>
    <w:rsid w:val="002B12D6"/>
    <w:rsid w:val="002B13EA"/>
    <w:rsid w:val="002B150F"/>
    <w:rsid w:val="002B154E"/>
    <w:rsid w:val="002B167B"/>
    <w:rsid w:val="002B17CB"/>
    <w:rsid w:val="002B1949"/>
    <w:rsid w:val="002B1B2A"/>
    <w:rsid w:val="002B1C44"/>
    <w:rsid w:val="002B1CBF"/>
    <w:rsid w:val="002B1D9A"/>
    <w:rsid w:val="002B1E73"/>
    <w:rsid w:val="002B1FDD"/>
    <w:rsid w:val="002B2315"/>
    <w:rsid w:val="002B2376"/>
    <w:rsid w:val="002B247B"/>
    <w:rsid w:val="002B29C7"/>
    <w:rsid w:val="002B29FB"/>
    <w:rsid w:val="002B2A85"/>
    <w:rsid w:val="002B2A8B"/>
    <w:rsid w:val="002B2B01"/>
    <w:rsid w:val="002B2C60"/>
    <w:rsid w:val="002B2CC1"/>
    <w:rsid w:val="002B2E35"/>
    <w:rsid w:val="002B32AB"/>
    <w:rsid w:val="002B3401"/>
    <w:rsid w:val="002B3518"/>
    <w:rsid w:val="002B35DC"/>
    <w:rsid w:val="002B37E9"/>
    <w:rsid w:val="002B3B45"/>
    <w:rsid w:val="002B3C0F"/>
    <w:rsid w:val="002B3CCF"/>
    <w:rsid w:val="002B3E3B"/>
    <w:rsid w:val="002B3EC4"/>
    <w:rsid w:val="002B4054"/>
    <w:rsid w:val="002B40A7"/>
    <w:rsid w:val="002B4156"/>
    <w:rsid w:val="002B428A"/>
    <w:rsid w:val="002B4425"/>
    <w:rsid w:val="002B4790"/>
    <w:rsid w:val="002B47D6"/>
    <w:rsid w:val="002B48EE"/>
    <w:rsid w:val="002B4B87"/>
    <w:rsid w:val="002B4D02"/>
    <w:rsid w:val="002B4F16"/>
    <w:rsid w:val="002B544F"/>
    <w:rsid w:val="002B54E2"/>
    <w:rsid w:val="002B54E9"/>
    <w:rsid w:val="002B5523"/>
    <w:rsid w:val="002B5ABD"/>
    <w:rsid w:val="002B61B4"/>
    <w:rsid w:val="002B62E3"/>
    <w:rsid w:val="002B6383"/>
    <w:rsid w:val="002B6427"/>
    <w:rsid w:val="002B644C"/>
    <w:rsid w:val="002B645E"/>
    <w:rsid w:val="002B669C"/>
    <w:rsid w:val="002B67C6"/>
    <w:rsid w:val="002B687B"/>
    <w:rsid w:val="002B6990"/>
    <w:rsid w:val="002B6C98"/>
    <w:rsid w:val="002B6D2E"/>
    <w:rsid w:val="002B6D4A"/>
    <w:rsid w:val="002B71D4"/>
    <w:rsid w:val="002B71FF"/>
    <w:rsid w:val="002B720E"/>
    <w:rsid w:val="002B72FD"/>
    <w:rsid w:val="002B7366"/>
    <w:rsid w:val="002B777A"/>
    <w:rsid w:val="002B7883"/>
    <w:rsid w:val="002B789C"/>
    <w:rsid w:val="002B790A"/>
    <w:rsid w:val="002B7A41"/>
    <w:rsid w:val="002B7D04"/>
    <w:rsid w:val="002C0146"/>
    <w:rsid w:val="002C02D0"/>
    <w:rsid w:val="002C04AE"/>
    <w:rsid w:val="002C04BF"/>
    <w:rsid w:val="002C04E0"/>
    <w:rsid w:val="002C05A8"/>
    <w:rsid w:val="002C0600"/>
    <w:rsid w:val="002C07FB"/>
    <w:rsid w:val="002C0AD4"/>
    <w:rsid w:val="002C0F19"/>
    <w:rsid w:val="002C0F9C"/>
    <w:rsid w:val="002C1103"/>
    <w:rsid w:val="002C1140"/>
    <w:rsid w:val="002C11A5"/>
    <w:rsid w:val="002C11AB"/>
    <w:rsid w:val="002C11BE"/>
    <w:rsid w:val="002C12B7"/>
    <w:rsid w:val="002C141A"/>
    <w:rsid w:val="002C146D"/>
    <w:rsid w:val="002C1714"/>
    <w:rsid w:val="002C1784"/>
    <w:rsid w:val="002C1DDD"/>
    <w:rsid w:val="002C1E5D"/>
    <w:rsid w:val="002C1EF8"/>
    <w:rsid w:val="002C21E4"/>
    <w:rsid w:val="002C24B5"/>
    <w:rsid w:val="002C25C7"/>
    <w:rsid w:val="002C2695"/>
    <w:rsid w:val="002C2882"/>
    <w:rsid w:val="002C2A7D"/>
    <w:rsid w:val="002C2AD6"/>
    <w:rsid w:val="002C2B51"/>
    <w:rsid w:val="002C2B64"/>
    <w:rsid w:val="002C2D18"/>
    <w:rsid w:val="002C2F1D"/>
    <w:rsid w:val="002C31A6"/>
    <w:rsid w:val="002C3309"/>
    <w:rsid w:val="002C334B"/>
    <w:rsid w:val="002C336C"/>
    <w:rsid w:val="002C3482"/>
    <w:rsid w:val="002C37FF"/>
    <w:rsid w:val="002C395F"/>
    <w:rsid w:val="002C3B4B"/>
    <w:rsid w:val="002C3F0E"/>
    <w:rsid w:val="002C3F36"/>
    <w:rsid w:val="002C3F45"/>
    <w:rsid w:val="002C3F97"/>
    <w:rsid w:val="002C43F8"/>
    <w:rsid w:val="002C450A"/>
    <w:rsid w:val="002C459E"/>
    <w:rsid w:val="002C472B"/>
    <w:rsid w:val="002C4814"/>
    <w:rsid w:val="002C49AF"/>
    <w:rsid w:val="002C49B0"/>
    <w:rsid w:val="002C4E98"/>
    <w:rsid w:val="002C5064"/>
    <w:rsid w:val="002C5127"/>
    <w:rsid w:val="002C54E7"/>
    <w:rsid w:val="002C5549"/>
    <w:rsid w:val="002C56A6"/>
    <w:rsid w:val="002C59A3"/>
    <w:rsid w:val="002C59F4"/>
    <w:rsid w:val="002C5D97"/>
    <w:rsid w:val="002C5EF0"/>
    <w:rsid w:val="002C5FEA"/>
    <w:rsid w:val="002C629D"/>
    <w:rsid w:val="002C64B9"/>
    <w:rsid w:val="002C664C"/>
    <w:rsid w:val="002C675C"/>
    <w:rsid w:val="002C68EF"/>
    <w:rsid w:val="002C690A"/>
    <w:rsid w:val="002C69BF"/>
    <w:rsid w:val="002C69F8"/>
    <w:rsid w:val="002C6B4A"/>
    <w:rsid w:val="002C6B66"/>
    <w:rsid w:val="002C6DE0"/>
    <w:rsid w:val="002C6E31"/>
    <w:rsid w:val="002C6E3C"/>
    <w:rsid w:val="002C6F50"/>
    <w:rsid w:val="002C70FD"/>
    <w:rsid w:val="002C7330"/>
    <w:rsid w:val="002C7705"/>
    <w:rsid w:val="002C7806"/>
    <w:rsid w:val="002C78F5"/>
    <w:rsid w:val="002C792F"/>
    <w:rsid w:val="002C7B58"/>
    <w:rsid w:val="002C7E64"/>
    <w:rsid w:val="002C7E6E"/>
    <w:rsid w:val="002D030B"/>
    <w:rsid w:val="002D0364"/>
    <w:rsid w:val="002D0484"/>
    <w:rsid w:val="002D04B2"/>
    <w:rsid w:val="002D063A"/>
    <w:rsid w:val="002D07BB"/>
    <w:rsid w:val="002D08F7"/>
    <w:rsid w:val="002D0A19"/>
    <w:rsid w:val="002D0B64"/>
    <w:rsid w:val="002D0B9E"/>
    <w:rsid w:val="002D0C57"/>
    <w:rsid w:val="002D0C8F"/>
    <w:rsid w:val="002D0F76"/>
    <w:rsid w:val="002D0F7C"/>
    <w:rsid w:val="002D0F90"/>
    <w:rsid w:val="002D1480"/>
    <w:rsid w:val="002D17C6"/>
    <w:rsid w:val="002D181A"/>
    <w:rsid w:val="002D1AA7"/>
    <w:rsid w:val="002D1CCA"/>
    <w:rsid w:val="002D1CFC"/>
    <w:rsid w:val="002D1D5F"/>
    <w:rsid w:val="002D1F2D"/>
    <w:rsid w:val="002D2055"/>
    <w:rsid w:val="002D22C2"/>
    <w:rsid w:val="002D2815"/>
    <w:rsid w:val="002D2AC5"/>
    <w:rsid w:val="002D2C56"/>
    <w:rsid w:val="002D2D71"/>
    <w:rsid w:val="002D2EC1"/>
    <w:rsid w:val="002D3132"/>
    <w:rsid w:val="002D3247"/>
    <w:rsid w:val="002D3689"/>
    <w:rsid w:val="002D3790"/>
    <w:rsid w:val="002D3A1C"/>
    <w:rsid w:val="002D3BC7"/>
    <w:rsid w:val="002D3C48"/>
    <w:rsid w:val="002D3F5E"/>
    <w:rsid w:val="002D409E"/>
    <w:rsid w:val="002D40A1"/>
    <w:rsid w:val="002D40E5"/>
    <w:rsid w:val="002D40EF"/>
    <w:rsid w:val="002D41F7"/>
    <w:rsid w:val="002D4286"/>
    <w:rsid w:val="002D43C3"/>
    <w:rsid w:val="002D458D"/>
    <w:rsid w:val="002D45DC"/>
    <w:rsid w:val="002D4644"/>
    <w:rsid w:val="002D4740"/>
    <w:rsid w:val="002D48EA"/>
    <w:rsid w:val="002D496B"/>
    <w:rsid w:val="002D4B37"/>
    <w:rsid w:val="002D4B80"/>
    <w:rsid w:val="002D4B88"/>
    <w:rsid w:val="002D4C7E"/>
    <w:rsid w:val="002D4E5E"/>
    <w:rsid w:val="002D50A8"/>
    <w:rsid w:val="002D50AB"/>
    <w:rsid w:val="002D526F"/>
    <w:rsid w:val="002D534F"/>
    <w:rsid w:val="002D5416"/>
    <w:rsid w:val="002D577F"/>
    <w:rsid w:val="002D5900"/>
    <w:rsid w:val="002D5C86"/>
    <w:rsid w:val="002D605A"/>
    <w:rsid w:val="002D653F"/>
    <w:rsid w:val="002D6650"/>
    <w:rsid w:val="002D66BE"/>
    <w:rsid w:val="002D6911"/>
    <w:rsid w:val="002D6B24"/>
    <w:rsid w:val="002D6CB3"/>
    <w:rsid w:val="002D73A9"/>
    <w:rsid w:val="002D79AD"/>
    <w:rsid w:val="002D7CA1"/>
    <w:rsid w:val="002D7D61"/>
    <w:rsid w:val="002D7F8D"/>
    <w:rsid w:val="002E00AA"/>
    <w:rsid w:val="002E01AE"/>
    <w:rsid w:val="002E022C"/>
    <w:rsid w:val="002E02AC"/>
    <w:rsid w:val="002E0AD6"/>
    <w:rsid w:val="002E0D9A"/>
    <w:rsid w:val="002E0E1B"/>
    <w:rsid w:val="002E0E3B"/>
    <w:rsid w:val="002E0EB1"/>
    <w:rsid w:val="002E0F2C"/>
    <w:rsid w:val="002E0FA3"/>
    <w:rsid w:val="002E1033"/>
    <w:rsid w:val="002E11E9"/>
    <w:rsid w:val="002E124A"/>
    <w:rsid w:val="002E14A3"/>
    <w:rsid w:val="002E17F7"/>
    <w:rsid w:val="002E191B"/>
    <w:rsid w:val="002E1A30"/>
    <w:rsid w:val="002E1B46"/>
    <w:rsid w:val="002E1C00"/>
    <w:rsid w:val="002E1DA6"/>
    <w:rsid w:val="002E1ECA"/>
    <w:rsid w:val="002E1F4E"/>
    <w:rsid w:val="002E1FBE"/>
    <w:rsid w:val="002E243E"/>
    <w:rsid w:val="002E24FF"/>
    <w:rsid w:val="002E265D"/>
    <w:rsid w:val="002E26F9"/>
    <w:rsid w:val="002E27F3"/>
    <w:rsid w:val="002E2820"/>
    <w:rsid w:val="002E2A79"/>
    <w:rsid w:val="002E2AD4"/>
    <w:rsid w:val="002E2F1E"/>
    <w:rsid w:val="002E35FB"/>
    <w:rsid w:val="002E36C7"/>
    <w:rsid w:val="002E387D"/>
    <w:rsid w:val="002E3BD2"/>
    <w:rsid w:val="002E3C44"/>
    <w:rsid w:val="002E3C51"/>
    <w:rsid w:val="002E3E5F"/>
    <w:rsid w:val="002E40CF"/>
    <w:rsid w:val="002E40FE"/>
    <w:rsid w:val="002E4109"/>
    <w:rsid w:val="002E4181"/>
    <w:rsid w:val="002E41D4"/>
    <w:rsid w:val="002E424F"/>
    <w:rsid w:val="002E4303"/>
    <w:rsid w:val="002E4317"/>
    <w:rsid w:val="002E45AD"/>
    <w:rsid w:val="002E478C"/>
    <w:rsid w:val="002E48F3"/>
    <w:rsid w:val="002E4AE8"/>
    <w:rsid w:val="002E4EB4"/>
    <w:rsid w:val="002E50C4"/>
    <w:rsid w:val="002E5108"/>
    <w:rsid w:val="002E512A"/>
    <w:rsid w:val="002E536C"/>
    <w:rsid w:val="002E54D3"/>
    <w:rsid w:val="002E5563"/>
    <w:rsid w:val="002E55BC"/>
    <w:rsid w:val="002E5741"/>
    <w:rsid w:val="002E593B"/>
    <w:rsid w:val="002E59F7"/>
    <w:rsid w:val="002E5A6C"/>
    <w:rsid w:val="002E5E13"/>
    <w:rsid w:val="002E609E"/>
    <w:rsid w:val="002E6124"/>
    <w:rsid w:val="002E618D"/>
    <w:rsid w:val="002E62E0"/>
    <w:rsid w:val="002E6585"/>
    <w:rsid w:val="002E67A4"/>
    <w:rsid w:val="002E67BC"/>
    <w:rsid w:val="002E689C"/>
    <w:rsid w:val="002E6BC4"/>
    <w:rsid w:val="002E6BFB"/>
    <w:rsid w:val="002E6BFC"/>
    <w:rsid w:val="002E6E40"/>
    <w:rsid w:val="002E7099"/>
    <w:rsid w:val="002E7142"/>
    <w:rsid w:val="002E7149"/>
    <w:rsid w:val="002E7335"/>
    <w:rsid w:val="002E7416"/>
    <w:rsid w:val="002E747B"/>
    <w:rsid w:val="002E7BDD"/>
    <w:rsid w:val="002E7E25"/>
    <w:rsid w:val="002F0196"/>
    <w:rsid w:val="002F063C"/>
    <w:rsid w:val="002F072D"/>
    <w:rsid w:val="002F0839"/>
    <w:rsid w:val="002F0A57"/>
    <w:rsid w:val="002F0C80"/>
    <w:rsid w:val="002F0DF1"/>
    <w:rsid w:val="002F0E7E"/>
    <w:rsid w:val="002F0EC3"/>
    <w:rsid w:val="002F1078"/>
    <w:rsid w:val="002F1241"/>
    <w:rsid w:val="002F1865"/>
    <w:rsid w:val="002F1A2A"/>
    <w:rsid w:val="002F1D12"/>
    <w:rsid w:val="002F1D42"/>
    <w:rsid w:val="002F1E1F"/>
    <w:rsid w:val="002F212E"/>
    <w:rsid w:val="002F244E"/>
    <w:rsid w:val="002F2565"/>
    <w:rsid w:val="002F263E"/>
    <w:rsid w:val="002F2640"/>
    <w:rsid w:val="002F2771"/>
    <w:rsid w:val="002F284A"/>
    <w:rsid w:val="002F2876"/>
    <w:rsid w:val="002F2AF0"/>
    <w:rsid w:val="002F2B4C"/>
    <w:rsid w:val="002F2DDB"/>
    <w:rsid w:val="002F2FC5"/>
    <w:rsid w:val="002F3071"/>
    <w:rsid w:val="002F3078"/>
    <w:rsid w:val="002F34FC"/>
    <w:rsid w:val="002F397F"/>
    <w:rsid w:val="002F3E63"/>
    <w:rsid w:val="002F4201"/>
    <w:rsid w:val="002F494F"/>
    <w:rsid w:val="002F4AD3"/>
    <w:rsid w:val="002F4B26"/>
    <w:rsid w:val="002F4FDF"/>
    <w:rsid w:val="002F529F"/>
    <w:rsid w:val="002F5462"/>
    <w:rsid w:val="002F54CD"/>
    <w:rsid w:val="002F5516"/>
    <w:rsid w:val="002F551B"/>
    <w:rsid w:val="002F5862"/>
    <w:rsid w:val="002F5A06"/>
    <w:rsid w:val="002F5AC3"/>
    <w:rsid w:val="002F5E87"/>
    <w:rsid w:val="002F6250"/>
    <w:rsid w:val="002F62E0"/>
    <w:rsid w:val="002F63B7"/>
    <w:rsid w:val="002F6449"/>
    <w:rsid w:val="002F6622"/>
    <w:rsid w:val="002F6700"/>
    <w:rsid w:val="002F6990"/>
    <w:rsid w:val="002F69DB"/>
    <w:rsid w:val="002F6AEA"/>
    <w:rsid w:val="002F6E0C"/>
    <w:rsid w:val="002F6E25"/>
    <w:rsid w:val="002F6F69"/>
    <w:rsid w:val="002F716C"/>
    <w:rsid w:val="002F7366"/>
    <w:rsid w:val="002F73C5"/>
    <w:rsid w:val="002F74F3"/>
    <w:rsid w:val="002F7580"/>
    <w:rsid w:val="002F7768"/>
    <w:rsid w:val="002F77E1"/>
    <w:rsid w:val="002F7983"/>
    <w:rsid w:val="002F7AD5"/>
    <w:rsid w:val="002F7B2B"/>
    <w:rsid w:val="002F7D30"/>
    <w:rsid w:val="003005A5"/>
    <w:rsid w:val="003006BC"/>
    <w:rsid w:val="00300717"/>
    <w:rsid w:val="00300727"/>
    <w:rsid w:val="00300733"/>
    <w:rsid w:val="003007F2"/>
    <w:rsid w:val="00300AC6"/>
    <w:rsid w:val="00300ADE"/>
    <w:rsid w:val="003012CA"/>
    <w:rsid w:val="0030130F"/>
    <w:rsid w:val="0030165F"/>
    <w:rsid w:val="003017F6"/>
    <w:rsid w:val="003019B9"/>
    <w:rsid w:val="00301D33"/>
    <w:rsid w:val="003021B4"/>
    <w:rsid w:val="00302276"/>
    <w:rsid w:val="00302278"/>
    <w:rsid w:val="003023E7"/>
    <w:rsid w:val="003027F0"/>
    <w:rsid w:val="003029CD"/>
    <w:rsid w:val="003029FA"/>
    <w:rsid w:val="00302AF7"/>
    <w:rsid w:val="00302BEA"/>
    <w:rsid w:val="00302D72"/>
    <w:rsid w:val="00302D7A"/>
    <w:rsid w:val="00303151"/>
    <w:rsid w:val="0030318B"/>
    <w:rsid w:val="0030324F"/>
    <w:rsid w:val="00303523"/>
    <w:rsid w:val="00303AC3"/>
    <w:rsid w:val="00303D69"/>
    <w:rsid w:val="00303F49"/>
    <w:rsid w:val="00303F99"/>
    <w:rsid w:val="00303FEB"/>
    <w:rsid w:val="00304253"/>
    <w:rsid w:val="003043C1"/>
    <w:rsid w:val="00304A10"/>
    <w:rsid w:val="00304A9A"/>
    <w:rsid w:val="00304D50"/>
    <w:rsid w:val="00305070"/>
    <w:rsid w:val="003050A0"/>
    <w:rsid w:val="00305111"/>
    <w:rsid w:val="0030522D"/>
    <w:rsid w:val="0030524A"/>
    <w:rsid w:val="003052E4"/>
    <w:rsid w:val="00305358"/>
    <w:rsid w:val="003058D9"/>
    <w:rsid w:val="00305B21"/>
    <w:rsid w:val="00305DB0"/>
    <w:rsid w:val="0030610B"/>
    <w:rsid w:val="00306219"/>
    <w:rsid w:val="00306256"/>
    <w:rsid w:val="003063F1"/>
    <w:rsid w:val="0030656C"/>
    <w:rsid w:val="003069E0"/>
    <w:rsid w:val="00306DD4"/>
    <w:rsid w:val="003071FD"/>
    <w:rsid w:val="0030741E"/>
    <w:rsid w:val="00307462"/>
    <w:rsid w:val="00307860"/>
    <w:rsid w:val="003079D6"/>
    <w:rsid w:val="00307A08"/>
    <w:rsid w:val="00307A95"/>
    <w:rsid w:val="00307DE3"/>
    <w:rsid w:val="00307E18"/>
    <w:rsid w:val="00307FB5"/>
    <w:rsid w:val="00310087"/>
    <w:rsid w:val="0031037F"/>
    <w:rsid w:val="00310633"/>
    <w:rsid w:val="0031068D"/>
    <w:rsid w:val="003107CF"/>
    <w:rsid w:val="0031081A"/>
    <w:rsid w:val="00310B92"/>
    <w:rsid w:val="00310E44"/>
    <w:rsid w:val="00310FA9"/>
    <w:rsid w:val="00311135"/>
    <w:rsid w:val="00311266"/>
    <w:rsid w:val="003113C9"/>
    <w:rsid w:val="00311452"/>
    <w:rsid w:val="0031165F"/>
    <w:rsid w:val="0031167C"/>
    <w:rsid w:val="00311837"/>
    <w:rsid w:val="00311AD3"/>
    <w:rsid w:val="00311C1D"/>
    <w:rsid w:val="00311C2D"/>
    <w:rsid w:val="00311DAA"/>
    <w:rsid w:val="00311FC4"/>
    <w:rsid w:val="0031203A"/>
    <w:rsid w:val="00312101"/>
    <w:rsid w:val="0031216D"/>
    <w:rsid w:val="003121C1"/>
    <w:rsid w:val="0031243D"/>
    <w:rsid w:val="0031245F"/>
    <w:rsid w:val="0031258E"/>
    <w:rsid w:val="00312760"/>
    <w:rsid w:val="003129C7"/>
    <w:rsid w:val="00313067"/>
    <w:rsid w:val="003133B3"/>
    <w:rsid w:val="00313511"/>
    <w:rsid w:val="00313588"/>
    <w:rsid w:val="003135F3"/>
    <w:rsid w:val="00313611"/>
    <w:rsid w:val="003136D2"/>
    <w:rsid w:val="0031381D"/>
    <w:rsid w:val="00313AED"/>
    <w:rsid w:val="00313E18"/>
    <w:rsid w:val="00313F0C"/>
    <w:rsid w:val="00313F7B"/>
    <w:rsid w:val="00314060"/>
    <w:rsid w:val="00314065"/>
    <w:rsid w:val="003145A9"/>
    <w:rsid w:val="003145CC"/>
    <w:rsid w:val="0031489D"/>
    <w:rsid w:val="00314B12"/>
    <w:rsid w:val="00314BAC"/>
    <w:rsid w:val="00314C12"/>
    <w:rsid w:val="00314C38"/>
    <w:rsid w:val="00314C6D"/>
    <w:rsid w:val="00314D3B"/>
    <w:rsid w:val="00314F4A"/>
    <w:rsid w:val="00314F56"/>
    <w:rsid w:val="00315082"/>
    <w:rsid w:val="00315378"/>
    <w:rsid w:val="00315479"/>
    <w:rsid w:val="003154D4"/>
    <w:rsid w:val="0031560B"/>
    <w:rsid w:val="00315718"/>
    <w:rsid w:val="003157B1"/>
    <w:rsid w:val="00315ACB"/>
    <w:rsid w:val="00315B53"/>
    <w:rsid w:val="00315B87"/>
    <w:rsid w:val="00315E2C"/>
    <w:rsid w:val="00315E5C"/>
    <w:rsid w:val="00315EAC"/>
    <w:rsid w:val="00316777"/>
    <w:rsid w:val="00316861"/>
    <w:rsid w:val="00316D76"/>
    <w:rsid w:val="00316F01"/>
    <w:rsid w:val="00317106"/>
    <w:rsid w:val="0031761E"/>
    <w:rsid w:val="0031779C"/>
    <w:rsid w:val="00317961"/>
    <w:rsid w:val="00317981"/>
    <w:rsid w:val="00317C24"/>
    <w:rsid w:val="00317E24"/>
    <w:rsid w:val="00317FB4"/>
    <w:rsid w:val="00317FC1"/>
    <w:rsid w:val="003204C5"/>
    <w:rsid w:val="00320631"/>
    <w:rsid w:val="00320A30"/>
    <w:rsid w:val="00320AA9"/>
    <w:rsid w:val="00320CA0"/>
    <w:rsid w:val="00320D77"/>
    <w:rsid w:val="00320ED3"/>
    <w:rsid w:val="003211F4"/>
    <w:rsid w:val="003214A6"/>
    <w:rsid w:val="003214CE"/>
    <w:rsid w:val="003214F6"/>
    <w:rsid w:val="003215CB"/>
    <w:rsid w:val="003216A4"/>
    <w:rsid w:val="00321768"/>
    <w:rsid w:val="003218A9"/>
    <w:rsid w:val="00321AAA"/>
    <w:rsid w:val="00321B0B"/>
    <w:rsid w:val="00321D04"/>
    <w:rsid w:val="00321D4F"/>
    <w:rsid w:val="00321D98"/>
    <w:rsid w:val="00321DBC"/>
    <w:rsid w:val="00321FA7"/>
    <w:rsid w:val="0032211B"/>
    <w:rsid w:val="00322196"/>
    <w:rsid w:val="0032219A"/>
    <w:rsid w:val="003224AC"/>
    <w:rsid w:val="00322BD9"/>
    <w:rsid w:val="00322C02"/>
    <w:rsid w:val="00322EBD"/>
    <w:rsid w:val="00322F05"/>
    <w:rsid w:val="00322FD3"/>
    <w:rsid w:val="0032307C"/>
    <w:rsid w:val="003231F5"/>
    <w:rsid w:val="00323388"/>
    <w:rsid w:val="00323498"/>
    <w:rsid w:val="00323645"/>
    <w:rsid w:val="003236B1"/>
    <w:rsid w:val="0032373B"/>
    <w:rsid w:val="0032376E"/>
    <w:rsid w:val="00323825"/>
    <w:rsid w:val="003239A7"/>
    <w:rsid w:val="00324193"/>
    <w:rsid w:val="0032448C"/>
    <w:rsid w:val="003246CA"/>
    <w:rsid w:val="00324830"/>
    <w:rsid w:val="00324BBC"/>
    <w:rsid w:val="00324C5E"/>
    <w:rsid w:val="00324D1F"/>
    <w:rsid w:val="00324E8A"/>
    <w:rsid w:val="00324EE5"/>
    <w:rsid w:val="003250FF"/>
    <w:rsid w:val="00325336"/>
    <w:rsid w:val="00325515"/>
    <w:rsid w:val="003259A2"/>
    <w:rsid w:val="00325A59"/>
    <w:rsid w:val="00325AB5"/>
    <w:rsid w:val="00325B40"/>
    <w:rsid w:val="00325DF2"/>
    <w:rsid w:val="00326080"/>
    <w:rsid w:val="003261C0"/>
    <w:rsid w:val="003261E6"/>
    <w:rsid w:val="0032637F"/>
    <w:rsid w:val="0032656F"/>
    <w:rsid w:val="003268C2"/>
    <w:rsid w:val="00326DFB"/>
    <w:rsid w:val="00327063"/>
    <w:rsid w:val="003270FB"/>
    <w:rsid w:val="003271C6"/>
    <w:rsid w:val="003273B8"/>
    <w:rsid w:val="003274C0"/>
    <w:rsid w:val="003277B2"/>
    <w:rsid w:val="0032795F"/>
    <w:rsid w:val="00327ACB"/>
    <w:rsid w:val="00327ACE"/>
    <w:rsid w:val="00327D1E"/>
    <w:rsid w:val="00327D2C"/>
    <w:rsid w:val="00327EDD"/>
    <w:rsid w:val="0032B3DE"/>
    <w:rsid w:val="003302CA"/>
    <w:rsid w:val="00330437"/>
    <w:rsid w:val="003304D1"/>
    <w:rsid w:val="00330816"/>
    <w:rsid w:val="00330887"/>
    <w:rsid w:val="003308A9"/>
    <w:rsid w:val="0033092F"/>
    <w:rsid w:val="00330EB8"/>
    <w:rsid w:val="003311FF"/>
    <w:rsid w:val="0033133E"/>
    <w:rsid w:val="003313B5"/>
    <w:rsid w:val="00331598"/>
    <w:rsid w:val="003315D7"/>
    <w:rsid w:val="0033166D"/>
    <w:rsid w:val="00331708"/>
    <w:rsid w:val="003318BC"/>
    <w:rsid w:val="00331967"/>
    <w:rsid w:val="00331CBD"/>
    <w:rsid w:val="00331CCB"/>
    <w:rsid w:val="00331D1F"/>
    <w:rsid w:val="00331D3F"/>
    <w:rsid w:val="00331D98"/>
    <w:rsid w:val="00331E8A"/>
    <w:rsid w:val="00331EC6"/>
    <w:rsid w:val="003325D4"/>
    <w:rsid w:val="00332629"/>
    <w:rsid w:val="00332AC2"/>
    <w:rsid w:val="00332DF2"/>
    <w:rsid w:val="00332E1E"/>
    <w:rsid w:val="00332EBA"/>
    <w:rsid w:val="00332EF0"/>
    <w:rsid w:val="0033338E"/>
    <w:rsid w:val="00333482"/>
    <w:rsid w:val="003336AD"/>
    <w:rsid w:val="003336C6"/>
    <w:rsid w:val="00333AF7"/>
    <w:rsid w:val="00333B2C"/>
    <w:rsid w:val="00333B50"/>
    <w:rsid w:val="00333D60"/>
    <w:rsid w:val="00333F3C"/>
    <w:rsid w:val="003340B1"/>
    <w:rsid w:val="00334171"/>
    <w:rsid w:val="00334259"/>
    <w:rsid w:val="00334360"/>
    <w:rsid w:val="0033436A"/>
    <w:rsid w:val="00334402"/>
    <w:rsid w:val="003345C4"/>
    <w:rsid w:val="00334B1B"/>
    <w:rsid w:val="00334C69"/>
    <w:rsid w:val="00334D9D"/>
    <w:rsid w:val="00334E37"/>
    <w:rsid w:val="00334E98"/>
    <w:rsid w:val="00334FF3"/>
    <w:rsid w:val="00335119"/>
    <w:rsid w:val="0033539A"/>
    <w:rsid w:val="003353EA"/>
    <w:rsid w:val="0033566C"/>
    <w:rsid w:val="00335777"/>
    <w:rsid w:val="00335807"/>
    <w:rsid w:val="00335845"/>
    <w:rsid w:val="00335AB5"/>
    <w:rsid w:val="00335B35"/>
    <w:rsid w:val="00335B41"/>
    <w:rsid w:val="00335BE6"/>
    <w:rsid w:val="00335DDD"/>
    <w:rsid w:val="003360AE"/>
    <w:rsid w:val="003363A6"/>
    <w:rsid w:val="0033649F"/>
    <w:rsid w:val="003364CC"/>
    <w:rsid w:val="00336577"/>
    <w:rsid w:val="0033665C"/>
    <w:rsid w:val="003366AE"/>
    <w:rsid w:val="003367D2"/>
    <w:rsid w:val="0033680C"/>
    <w:rsid w:val="00336AF1"/>
    <w:rsid w:val="00336B6F"/>
    <w:rsid w:val="00336C7A"/>
    <w:rsid w:val="00336ECC"/>
    <w:rsid w:val="00336F62"/>
    <w:rsid w:val="003371A8"/>
    <w:rsid w:val="00337201"/>
    <w:rsid w:val="0033739E"/>
    <w:rsid w:val="00337550"/>
    <w:rsid w:val="00337680"/>
    <w:rsid w:val="0033775E"/>
    <w:rsid w:val="00337998"/>
    <w:rsid w:val="003379F1"/>
    <w:rsid w:val="00337C9D"/>
    <w:rsid w:val="00337E7C"/>
    <w:rsid w:val="003401F1"/>
    <w:rsid w:val="00340637"/>
    <w:rsid w:val="00340CB5"/>
    <w:rsid w:val="00340EA7"/>
    <w:rsid w:val="00340F2F"/>
    <w:rsid w:val="003419B1"/>
    <w:rsid w:val="003419D2"/>
    <w:rsid w:val="00341B67"/>
    <w:rsid w:val="00341BC5"/>
    <w:rsid w:val="00341C16"/>
    <w:rsid w:val="0034247C"/>
    <w:rsid w:val="003424A4"/>
    <w:rsid w:val="00342500"/>
    <w:rsid w:val="0034269B"/>
    <w:rsid w:val="00342B1D"/>
    <w:rsid w:val="00342D1E"/>
    <w:rsid w:val="00342E34"/>
    <w:rsid w:val="00342FA3"/>
    <w:rsid w:val="003430A9"/>
    <w:rsid w:val="003432E8"/>
    <w:rsid w:val="003433CC"/>
    <w:rsid w:val="003434AC"/>
    <w:rsid w:val="003434B8"/>
    <w:rsid w:val="00343681"/>
    <w:rsid w:val="003436EF"/>
    <w:rsid w:val="0034371E"/>
    <w:rsid w:val="0034389D"/>
    <w:rsid w:val="00343917"/>
    <w:rsid w:val="003439A3"/>
    <w:rsid w:val="003439E4"/>
    <w:rsid w:val="00343C79"/>
    <w:rsid w:val="00343C89"/>
    <w:rsid w:val="00343F35"/>
    <w:rsid w:val="00344004"/>
    <w:rsid w:val="0034404B"/>
    <w:rsid w:val="00344156"/>
    <w:rsid w:val="00344189"/>
    <w:rsid w:val="0034418E"/>
    <w:rsid w:val="00344276"/>
    <w:rsid w:val="0034462B"/>
    <w:rsid w:val="00344679"/>
    <w:rsid w:val="003446EB"/>
    <w:rsid w:val="003447FE"/>
    <w:rsid w:val="0034483B"/>
    <w:rsid w:val="00344B82"/>
    <w:rsid w:val="00344D94"/>
    <w:rsid w:val="003450FC"/>
    <w:rsid w:val="003452F3"/>
    <w:rsid w:val="0034559B"/>
    <w:rsid w:val="00345A34"/>
    <w:rsid w:val="00345B14"/>
    <w:rsid w:val="00345BC4"/>
    <w:rsid w:val="00346013"/>
    <w:rsid w:val="00346223"/>
    <w:rsid w:val="003466A1"/>
    <w:rsid w:val="00346867"/>
    <w:rsid w:val="0034693F"/>
    <w:rsid w:val="003469E3"/>
    <w:rsid w:val="00346A17"/>
    <w:rsid w:val="00346B15"/>
    <w:rsid w:val="00346BF6"/>
    <w:rsid w:val="00346C72"/>
    <w:rsid w:val="00346DC3"/>
    <w:rsid w:val="003471CF"/>
    <w:rsid w:val="00347212"/>
    <w:rsid w:val="00347359"/>
    <w:rsid w:val="003473AF"/>
    <w:rsid w:val="003473CA"/>
    <w:rsid w:val="003473E5"/>
    <w:rsid w:val="0034740D"/>
    <w:rsid w:val="00347735"/>
    <w:rsid w:val="00347743"/>
    <w:rsid w:val="003477BE"/>
    <w:rsid w:val="0034791C"/>
    <w:rsid w:val="00347A84"/>
    <w:rsid w:val="00347A9D"/>
    <w:rsid w:val="00347AC1"/>
    <w:rsid w:val="00347B02"/>
    <w:rsid w:val="00347B04"/>
    <w:rsid w:val="00347C9C"/>
    <w:rsid w:val="00347DB1"/>
    <w:rsid w:val="00347DBB"/>
    <w:rsid w:val="00347F6B"/>
    <w:rsid w:val="00350029"/>
    <w:rsid w:val="003500B9"/>
    <w:rsid w:val="0035027A"/>
    <w:rsid w:val="00350720"/>
    <w:rsid w:val="00350C04"/>
    <w:rsid w:val="00351073"/>
    <w:rsid w:val="003511D0"/>
    <w:rsid w:val="003511D1"/>
    <w:rsid w:val="003511FA"/>
    <w:rsid w:val="003512BB"/>
    <w:rsid w:val="0035137A"/>
    <w:rsid w:val="00351948"/>
    <w:rsid w:val="00351B10"/>
    <w:rsid w:val="00351B98"/>
    <w:rsid w:val="00351EEE"/>
    <w:rsid w:val="003520F5"/>
    <w:rsid w:val="00352114"/>
    <w:rsid w:val="003523E9"/>
    <w:rsid w:val="003523EA"/>
    <w:rsid w:val="003528A5"/>
    <w:rsid w:val="00352A60"/>
    <w:rsid w:val="00352D86"/>
    <w:rsid w:val="003530DF"/>
    <w:rsid w:val="00353197"/>
    <w:rsid w:val="003535B2"/>
    <w:rsid w:val="00353744"/>
    <w:rsid w:val="00353998"/>
    <w:rsid w:val="00353A16"/>
    <w:rsid w:val="00353C38"/>
    <w:rsid w:val="00353CFC"/>
    <w:rsid w:val="00353E24"/>
    <w:rsid w:val="0035401D"/>
    <w:rsid w:val="00354402"/>
    <w:rsid w:val="0035465D"/>
    <w:rsid w:val="00354771"/>
    <w:rsid w:val="00354858"/>
    <w:rsid w:val="003549D4"/>
    <w:rsid w:val="00354A36"/>
    <w:rsid w:val="00354B80"/>
    <w:rsid w:val="00354B9B"/>
    <w:rsid w:val="00354BEF"/>
    <w:rsid w:val="00354C5E"/>
    <w:rsid w:val="00354CF3"/>
    <w:rsid w:val="00354E9B"/>
    <w:rsid w:val="00354F38"/>
    <w:rsid w:val="00354FBE"/>
    <w:rsid w:val="00355144"/>
    <w:rsid w:val="003554C0"/>
    <w:rsid w:val="003554EA"/>
    <w:rsid w:val="00355671"/>
    <w:rsid w:val="003556E4"/>
    <w:rsid w:val="003556E5"/>
    <w:rsid w:val="00355791"/>
    <w:rsid w:val="00355B58"/>
    <w:rsid w:val="00355D46"/>
    <w:rsid w:val="00355D9E"/>
    <w:rsid w:val="003561F0"/>
    <w:rsid w:val="0035627C"/>
    <w:rsid w:val="00356317"/>
    <w:rsid w:val="00356441"/>
    <w:rsid w:val="00356576"/>
    <w:rsid w:val="003565EF"/>
    <w:rsid w:val="00356736"/>
    <w:rsid w:val="00356C35"/>
    <w:rsid w:val="00356C6E"/>
    <w:rsid w:val="00356CD2"/>
    <w:rsid w:val="003570A7"/>
    <w:rsid w:val="003570CA"/>
    <w:rsid w:val="00357174"/>
    <w:rsid w:val="003577C1"/>
    <w:rsid w:val="00357936"/>
    <w:rsid w:val="00357C30"/>
    <w:rsid w:val="00357C81"/>
    <w:rsid w:val="00357CF7"/>
    <w:rsid w:val="00357E4F"/>
    <w:rsid w:val="00360185"/>
    <w:rsid w:val="003601E6"/>
    <w:rsid w:val="00360238"/>
    <w:rsid w:val="003602A4"/>
    <w:rsid w:val="00360355"/>
    <w:rsid w:val="0036036B"/>
    <w:rsid w:val="003603C2"/>
    <w:rsid w:val="00360442"/>
    <w:rsid w:val="00360704"/>
    <w:rsid w:val="003607AB"/>
    <w:rsid w:val="003607E2"/>
    <w:rsid w:val="0036096A"/>
    <w:rsid w:val="00360A29"/>
    <w:rsid w:val="00360FAB"/>
    <w:rsid w:val="00361049"/>
    <w:rsid w:val="00361289"/>
    <w:rsid w:val="0036133A"/>
    <w:rsid w:val="003614C6"/>
    <w:rsid w:val="0036158E"/>
    <w:rsid w:val="00361797"/>
    <w:rsid w:val="00361876"/>
    <w:rsid w:val="00361919"/>
    <w:rsid w:val="00361C08"/>
    <w:rsid w:val="00361C3A"/>
    <w:rsid w:val="00361EB7"/>
    <w:rsid w:val="00361EE9"/>
    <w:rsid w:val="00361EF2"/>
    <w:rsid w:val="00361F92"/>
    <w:rsid w:val="003620A7"/>
    <w:rsid w:val="00362307"/>
    <w:rsid w:val="00362390"/>
    <w:rsid w:val="003623EF"/>
    <w:rsid w:val="0036256A"/>
    <w:rsid w:val="00362827"/>
    <w:rsid w:val="003628C2"/>
    <w:rsid w:val="00362B05"/>
    <w:rsid w:val="00362B77"/>
    <w:rsid w:val="00362C53"/>
    <w:rsid w:val="00362DC3"/>
    <w:rsid w:val="00362DFB"/>
    <w:rsid w:val="00362EEC"/>
    <w:rsid w:val="0036302A"/>
    <w:rsid w:val="003631ED"/>
    <w:rsid w:val="0036321A"/>
    <w:rsid w:val="003634B6"/>
    <w:rsid w:val="00363960"/>
    <w:rsid w:val="00363ABD"/>
    <w:rsid w:val="00363B8A"/>
    <w:rsid w:val="00363D6D"/>
    <w:rsid w:val="00363DC3"/>
    <w:rsid w:val="00363E18"/>
    <w:rsid w:val="00363EBC"/>
    <w:rsid w:val="003640CA"/>
    <w:rsid w:val="003641DA"/>
    <w:rsid w:val="003643A2"/>
    <w:rsid w:val="003643D6"/>
    <w:rsid w:val="003644B5"/>
    <w:rsid w:val="003645B6"/>
    <w:rsid w:val="003646D4"/>
    <w:rsid w:val="0036487E"/>
    <w:rsid w:val="00364975"/>
    <w:rsid w:val="00364C8F"/>
    <w:rsid w:val="00364CAA"/>
    <w:rsid w:val="00365097"/>
    <w:rsid w:val="003650DA"/>
    <w:rsid w:val="00365159"/>
    <w:rsid w:val="00365618"/>
    <w:rsid w:val="003656C3"/>
    <w:rsid w:val="003656FA"/>
    <w:rsid w:val="003657BE"/>
    <w:rsid w:val="00365B66"/>
    <w:rsid w:val="00365C22"/>
    <w:rsid w:val="00365C6E"/>
    <w:rsid w:val="00365EDC"/>
    <w:rsid w:val="00365FF0"/>
    <w:rsid w:val="003660E7"/>
    <w:rsid w:val="0036619C"/>
    <w:rsid w:val="00366210"/>
    <w:rsid w:val="003663DA"/>
    <w:rsid w:val="003664DD"/>
    <w:rsid w:val="003667CD"/>
    <w:rsid w:val="00366842"/>
    <w:rsid w:val="00366B13"/>
    <w:rsid w:val="00366DF2"/>
    <w:rsid w:val="00366F0F"/>
    <w:rsid w:val="00366F2B"/>
    <w:rsid w:val="0036709E"/>
    <w:rsid w:val="003673AD"/>
    <w:rsid w:val="003674C6"/>
    <w:rsid w:val="0036775E"/>
    <w:rsid w:val="00367A99"/>
    <w:rsid w:val="00367CB5"/>
    <w:rsid w:val="00367EF8"/>
    <w:rsid w:val="00370004"/>
    <w:rsid w:val="003703D1"/>
    <w:rsid w:val="0037043F"/>
    <w:rsid w:val="0037049B"/>
    <w:rsid w:val="00370527"/>
    <w:rsid w:val="003705A7"/>
    <w:rsid w:val="0037063B"/>
    <w:rsid w:val="00370693"/>
    <w:rsid w:val="003709C1"/>
    <w:rsid w:val="00370E42"/>
    <w:rsid w:val="00370EC2"/>
    <w:rsid w:val="0037138D"/>
    <w:rsid w:val="00371464"/>
    <w:rsid w:val="00371823"/>
    <w:rsid w:val="00371844"/>
    <w:rsid w:val="003718F0"/>
    <w:rsid w:val="00371939"/>
    <w:rsid w:val="00371A23"/>
    <w:rsid w:val="00371A3A"/>
    <w:rsid w:val="00371AE5"/>
    <w:rsid w:val="00371B1A"/>
    <w:rsid w:val="00371C12"/>
    <w:rsid w:val="00371C27"/>
    <w:rsid w:val="00371E12"/>
    <w:rsid w:val="00371FCC"/>
    <w:rsid w:val="00372238"/>
    <w:rsid w:val="00372386"/>
    <w:rsid w:val="0037256C"/>
    <w:rsid w:val="003728BC"/>
    <w:rsid w:val="003728EE"/>
    <w:rsid w:val="00372941"/>
    <w:rsid w:val="00372B8D"/>
    <w:rsid w:val="00372EB0"/>
    <w:rsid w:val="00372F2E"/>
    <w:rsid w:val="00372FB6"/>
    <w:rsid w:val="00373098"/>
    <w:rsid w:val="00373320"/>
    <w:rsid w:val="00373698"/>
    <w:rsid w:val="00373739"/>
    <w:rsid w:val="00373C01"/>
    <w:rsid w:val="00373C73"/>
    <w:rsid w:val="00373CEB"/>
    <w:rsid w:val="00373EA4"/>
    <w:rsid w:val="003745AF"/>
    <w:rsid w:val="003745B5"/>
    <w:rsid w:val="0037469B"/>
    <w:rsid w:val="003747E3"/>
    <w:rsid w:val="00374A94"/>
    <w:rsid w:val="00374AF5"/>
    <w:rsid w:val="00374C6B"/>
    <w:rsid w:val="00375556"/>
    <w:rsid w:val="0037557B"/>
    <w:rsid w:val="0037558C"/>
    <w:rsid w:val="003757BF"/>
    <w:rsid w:val="00375BD7"/>
    <w:rsid w:val="00375C16"/>
    <w:rsid w:val="00375EB8"/>
    <w:rsid w:val="003762F6"/>
    <w:rsid w:val="00376317"/>
    <w:rsid w:val="0037632D"/>
    <w:rsid w:val="003765B3"/>
    <w:rsid w:val="0037687C"/>
    <w:rsid w:val="00376935"/>
    <w:rsid w:val="003769C4"/>
    <w:rsid w:val="00376B11"/>
    <w:rsid w:val="00376B1D"/>
    <w:rsid w:val="00376C3D"/>
    <w:rsid w:val="00376D95"/>
    <w:rsid w:val="00376F62"/>
    <w:rsid w:val="00376F84"/>
    <w:rsid w:val="003770F4"/>
    <w:rsid w:val="003772A0"/>
    <w:rsid w:val="00377517"/>
    <w:rsid w:val="00377851"/>
    <w:rsid w:val="003779B3"/>
    <w:rsid w:val="00377A86"/>
    <w:rsid w:val="00377A91"/>
    <w:rsid w:val="00377ADB"/>
    <w:rsid w:val="00377AE4"/>
    <w:rsid w:val="00377BF0"/>
    <w:rsid w:val="00377DE0"/>
    <w:rsid w:val="0038017C"/>
    <w:rsid w:val="00380190"/>
    <w:rsid w:val="003802AB"/>
    <w:rsid w:val="003802D3"/>
    <w:rsid w:val="00380A57"/>
    <w:rsid w:val="00380A77"/>
    <w:rsid w:val="00380CBD"/>
    <w:rsid w:val="00380CEA"/>
    <w:rsid w:val="00380D0A"/>
    <w:rsid w:val="00380E8A"/>
    <w:rsid w:val="003811B9"/>
    <w:rsid w:val="00381292"/>
    <w:rsid w:val="0038168B"/>
    <w:rsid w:val="0038168C"/>
    <w:rsid w:val="00381819"/>
    <w:rsid w:val="0038181D"/>
    <w:rsid w:val="00381A1F"/>
    <w:rsid w:val="00381BDE"/>
    <w:rsid w:val="00381C09"/>
    <w:rsid w:val="00381D65"/>
    <w:rsid w:val="003821DE"/>
    <w:rsid w:val="00382213"/>
    <w:rsid w:val="003823BD"/>
    <w:rsid w:val="00382644"/>
    <w:rsid w:val="00382772"/>
    <w:rsid w:val="00382824"/>
    <w:rsid w:val="00382964"/>
    <w:rsid w:val="00382977"/>
    <w:rsid w:val="00382BCF"/>
    <w:rsid w:val="00382C3A"/>
    <w:rsid w:val="00382CD9"/>
    <w:rsid w:val="00382D27"/>
    <w:rsid w:val="00382E1B"/>
    <w:rsid w:val="00382EB4"/>
    <w:rsid w:val="0038302A"/>
    <w:rsid w:val="003831C4"/>
    <w:rsid w:val="0038350A"/>
    <w:rsid w:val="00383A0B"/>
    <w:rsid w:val="00383B50"/>
    <w:rsid w:val="00383C91"/>
    <w:rsid w:val="00384051"/>
    <w:rsid w:val="0038406B"/>
    <w:rsid w:val="0038446D"/>
    <w:rsid w:val="00384538"/>
    <w:rsid w:val="003846F9"/>
    <w:rsid w:val="00384744"/>
    <w:rsid w:val="00384784"/>
    <w:rsid w:val="003849D0"/>
    <w:rsid w:val="00384A4A"/>
    <w:rsid w:val="00384BA7"/>
    <w:rsid w:val="00385305"/>
    <w:rsid w:val="003854D4"/>
    <w:rsid w:val="00385680"/>
    <w:rsid w:val="00385906"/>
    <w:rsid w:val="00385A1E"/>
    <w:rsid w:val="00385B91"/>
    <w:rsid w:val="00385CB6"/>
    <w:rsid w:val="00385E4A"/>
    <w:rsid w:val="00385EDF"/>
    <w:rsid w:val="003863C7"/>
    <w:rsid w:val="00386401"/>
    <w:rsid w:val="003864A0"/>
    <w:rsid w:val="0038659C"/>
    <w:rsid w:val="0038660E"/>
    <w:rsid w:val="00386653"/>
    <w:rsid w:val="0038666E"/>
    <w:rsid w:val="003868DC"/>
    <w:rsid w:val="003869BD"/>
    <w:rsid w:val="00386A80"/>
    <w:rsid w:val="00386B45"/>
    <w:rsid w:val="00386BC5"/>
    <w:rsid w:val="00386C1C"/>
    <w:rsid w:val="00386CA8"/>
    <w:rsid w:val="00386E40"/>
    <w:rsid w:val="00386F83"/>
    <w:rsid w:val="00386FC3"/>
    <w:rsid w:val="00387256"/>
    <w:rsid w:val="00387432"/>
    <w:rsid w:val="00387477"/>
    <w:rsid w:val="00387507"/>
    <w:rsid w:val="00387531"/>
    <w:rsid w:val="0038757D"/>
    <w:rsid w:val="0038798C"/>
    <w:rsid w:val="00387A7C"/>
    <w:rsid w:val="00387F80"/>
    <w:rsid w:val="00390082"/>
    <w:rsid w:val="0039009C"/>
    <w:rsid w:val="003900A1"/>
    <w:rsid w:val="0039013E"/>
    <w:rsid w:val="003901F5"/>
    <w:rsid w:val="00390335"/>
    <w:rsid w:val="00390381"/>
    <w:rsid w:val="00390550"/>
    <w:rsid w:val="0039095A"/>
    <w:rsid w:val="00390983"/>
    <w:rsid w:val="003909DC"/>
    <w:rsid w:val="00390D7D"/>
    <w:rsid w:val="00390E49"/>
    <w:rsid w:val="003910EB"/>
    <w:rsid w:val="003911F5"/>
    <w:rsid w:val="0039122F"/>
    <w:rsid w:val="003914DB"/>
    <w:rsid w:val="0039179E"/>
    <w:rsid w:val="003917A1"/>
    <w:rsid w:val="0039181B"/>
    <w:rsid w:val="00391C41"/>
    <w:rsid w:val="00391DD3"/>
    <w:rsid w:val="00391E1C"/>
    <w:rsid w:val="00391EC7"/>
    <w:rsid w:val="00391F7D"/>
    <w:rsid w:val="00391F7E"/>
    <w:rsid w:val="00392130"/>
    <w:rsid w:val="00392274"/>
    <w:rsid w:val="003923FD"/>
    <w:rsid w:val="003925D3"/>
    <w:rsid w:val="00392712"/>
    <w:rsid w:val="00392760"/>
    <w:rsid w:val="00392770"/>
    <w:rsid w:val="00392AAF"/>
    <w:rsid w:val="00392D45"/>
    <w:rsid w:val="00393221"/>
    <w:rsid w:val="003932AD"/>
    <w:rsid w:val="00393387"/>
    <w:rsid w:val="003933AC"/>
    <w:rsid w:val="00393545"/>
    <w:rsid w:val="00393575"/>
    <w:rsid w:val="00393760"/>
    <w:rsid w:val="003938D3"/>
    <w:rsid w:val="0039390A"/>
    <w:rsid w:val="00393BDE"/>
    <w:rsid w:val="00393D59"/>
    <w:rsid w:val="003940AA"/>
    <w:rsid w:val="0039423D"/>
    <w:rsid w:val="00394634"/>
    <w:rsid w:val="003947C0"/>
    <w:rsid w:val="0039488C"/>
    <w:rsid w:val="00394E53"/>
    <w:rsid w:val="00395183"/>
    <w:rsid w:val="0039555C"/>
    <w:rsid w:val="003956CA"/>
    <w:rsid w:val="00395BF5"/>
    <w:rsid w:val="00395C3C"/>
    <w:rsid w:val="00395E42"/>
    <w:rsid w:val="003960B6"/>
    <w:rsid w:val="003960F4"/>
    <w:rsid w:val="00396352"/>
    <w:rsid w:val="0039635F"/>
    <w:rsid w:val="003963B3"/>
    <w:rsid w:val="0039674C"/>
    <w:rsid w:val="003968B0"/>
    <w:rsid w:val="003969A4"/>
    <w:rsid w:val="0039711D"/>
    <w:rsid w:val="00397198"/>
    <w:rsid w:val="003972F2"/>
    <w:rsid w:val="00397430"/>
    <w:rsid w:val="00397793"/>
    <w:rsid w:val="00397A1B"/>
    <w:rsid w:val="00397CD9"/>
    <w:rsid w:val="00397F5C"/>
    <w:rsid w:val="003A00A5"/>
    <w:rsid w:val="003A013E"/>
    <w:rsid w:val="003A01D2"/>
    <w:rsid w:val="003A01F2"/>
    <w:rsid w:val="003A02E7"/>
    <w:rsid w:val="003A03E0"/>
    <w:rsid w:val="003A0511"/>
    <w:rsid w:val="003A05BB"/>
    <w:rsid w:val="003A05F8"/>
    <w:rsid w:val="003A065B"/>
    <w:rsid w:val="003A0676"/>
    <w:rsid w:val="003A0CB4"/>
    <w:rsid w:val="003A0EAA"/>
    <w:rsid w:val="003A108A"/>
    <w:rsid w:val="003A10D9"/>
    <w:rsid w:val="003A14B4"/>
    <w:rsid w:val="003A15CD"/>
    <w:rsid w:val="003A17EA"/>
    <w:rsid w:val="003A180F"/>
    <w:rsid w:val="003A182A"/>
    <w:rsid w:val="003A1AAA"/>
    <w:rsid w:val="003A2024"/>
    <w:rsid w:val="003A20B9"/>
    <w:rsid w:val="003A2420"/>
    <w:rsid w:val="003A24CB"/>
    <w:rsid w:val="003A26C4"/>
    <w:rsid w:val="003A2C48"/>
    <w:rsid w:val="003A2D1E"/>
    <w:rsid w:val="003A30B4"/>
    <w:rsid w:val="003A30C4"/>
    <w:rsid w:val="003A32C6"/>
    <w:rsid w:val="003A353A"/>
    <w:rsid w:val="003A36B0"/>
    <w:rsid w:val="003A389D"/>
    <w:rsid w:val="003A38AC"/>
    <w:rsid w:val="003A393D"/>
    <w:rsid w:val="003A3B5E"/>
    <w:rsid w:val="003A3BAE"/>
    <w:rsid w:val="003A3C32"/>
    <w:rsid w:val="003A3F76"/>
    <w:rsid w:val="003A3FAF"/>
    <w:rsid w:val="003A3FEB"/>
    <w:rsid w:val="003A40FC"/>
    <w:rsid w:val="003A4406"/>
    <w:rsid w:val="003A494E"/>
    <w:rsid w:val="003A4AB5"/>
    <w:rsid w:val="003A4CDA"/>
    <w:rsid w:val="003A4EE7"/>
    <w:rsid w:val="003A4EF0"/>
    <w:rsid w:val="003A5053"/>
    <w:rsid w:val="003A50A1"/>
    <w:rsid w:val="003A511B"/>
    <w:rsid w:val="003A5215"/>
    <w:rsid w:val="003A526F"/>
    <w:rsid w:val="003A5500"/>
    <w:rsid w:val="003A5511"/>
    <w:rsid w:val="003A55E8"/>
    <w:rsid w:val="003A56F9"/>
    <w:rsid w:val="003A5760"/>
    <w:rsid w:val="003A594D"/>
    <w:rsid w:val="003A596A"/>
    <w:rsid w:val="003A59BF"/>
    <w:rsid w:val="003A5AF3"/>
    <w:rsid w:val="003A5D98"/>
    <w:rsid w:val="003A5E48"/>
    <w:rsid w:val="003A62F1"/>
    <w:rsid w:val="003A64F2"/>
    <w:rsid w:val="003A6501"/>
    <w:rsid w:val="003A6822"/>
    <w:rsid w:val="003A68A3"/>
    <w:rsid w:val="003A6ECB"/>
    <w:rsid w:val="003A6EE3"/>
    <w:rsid w:val="003A6FA0"/>
    <w:rsid w:val="003A71F1"/>
    <w:rsid w:val="003A73AB"/>
    <w:rsid w:val="003A741C"/>
    <w:rsid w:val="003A74BD"/>
    <w:rsid w:val="003A7684"/>
    <w:rsid w:val="003A76A8"/>
    <w:rsid w:val="003A773F"/>
    <w:rsid w:val="003A7798"/>
    <w:rsid w:val="003A7915"/>
    <w:rsid w:val="003A791C"/>
    <w:rsid w:val="003A7AC9"/>
    <w:rsid w:val="003A7C13"/>
    <w:rsid w:val="003A7C92"/>
    <w:rsid w:val="003A7CA4"/>
    <w:rsid w:val="003A7EC0"/>
    <w:rsid w:val="003B012A"/>
    <w:rsid w:val="003B0162"/>
    <w:rsid w:val="003B02EC"/>
    <w:rsid w:val="003B05D9"/>
    <w:rsid w:val="003B05F6"/>
    <w:rsid w:val="003B08A1"/>
    <w:rsid w:val="003B08BD"/>
    <w:rsid w:val="003B08D1"/>
    <w:rsid w:val="003B0BDD"/>
    <w:rsid w:val="003B0C02"/>
    <w:rsid w:val="003B0E2D"/>
    <w:rsid w:val="003B0EEE"/>
    <w:rsid w:val="003B0F82"/>
    <w:rsid w:val="003B10B2"/>
    <w:rsid w:val="003B1254"/>
    <w:rsid w:val="003B1495"/>
    <w:rsid w:val="003B17B6"/>
    <w:rsid w:val="003B1980"/>
    <w:rsid w:val="003B1C82"/>
    <w:rsid w:val="003B1E1F"/>
    <w:rsid w:val="003B1EBA"/>
    <w:rsid w:val="003B2059"/>
    <w:rsid w:val="003B20F4"/>
    <w:rsid w:val="003B2260"/>
    <w:rsid w:val="003B22CF"/>
    <w:rsid w:val="003B23B4"/>
    <w:rsid w:val="003B270B"/>
    <w:rsid w:val="003B281A"/>
    <w:rsid w:val="003B294B"/>
    <w:rsid w:val="003B2A37"/>
    <w:rsid w:val="003B2A85"/>
    <w:rsid w:val="003B2CE8"/>
    <w:rsid w:val="003B311A"/>
    <w:rsid w:val="003B31F0"/>
    <w:rsid w:val="003B31FC"/>
    <w:rsid w:val="003B3379"/>
    <w:rsid w:val="003B337A"/>
    <w:rsid w:val="003B33A9"/>
    <w:rsid w:val="003B33D1"/>
    <w:rsid w:val="003B341B"/>
    <w:rsid w:val="003B3822"/>
    <w:rsid w:val="003B3834"/>
    <w:rsid w:val="003B388A"/>
    <w:rsid w:val="003B38B2"/>
    <w:rsid w:val="003B39F3"/>
    <w:rsid w:val="003B3A0D"/>
    <w:rsid w:val="003B3A51"/>
    <w:rsid w:val="003B3C47"/>
    <w:rsid w:val="003B3F08"/>
    <w:rsid w:val="003B3F96"/>
    <w:rsid w:val="003B410C"/>
    <w:rsid w:val="003B42D1"/>
    <w:rsid w:val="003B44F8"/>
    <w:rsid w:val="003B44FA"/>
    <w:rsid w:val="003B45DD"/>
    <w:rsid w:val="003B46AC"/>
    <w:rsid w:val="003B46F1"/>
    <w:rsid w:val="003B47FC"/>
    <w:rsid w:val="003B4A1C"/>
    <w:rsid w:val="003B4A60"/>
    <w:rsid w:val="003B4C94"/>
    <w:rsid w:val="003B5060"/>
    <w:rsid w:val="003B5095"/>
    <w:rsid w:val="003B50D2"/>
    <w:rsid w:val="003B52BC"/>
    <w:rsid w:val="003B52CE"/>
    <w:rsid w:val="003B556D"/>
    <w:rsid w:val="003B5812"/>
    <w:rsid w:val="003B583A"/>
    <w:rsid w:val="003B58E1"/>
    <w:rsid w:val="003B5996"/>
    <w:rsid w:val="003B5A8B"/>
    <w:rsid w:val="003B5AE6"/>
    <w:rsid w:val="003B5B84"/>
    <w:rsid w:val="003B5D58"/>
    <w:rsid w:val="003B5DA8"/>
    <w:rsid w:val="003B67E6"/>
    <w:rsid w:val="003B6801"/>
    <w:rsid w:val="003B6830"/>
    <w:rsid w:val="003B68C6"/>
    <w:rsid w:val="003B6978"/>
    <w:rsid w:val="003B6B98"/>
    <w:rsid w:val="003B7027"/>
    <w:rsid w:val="003B70A7"/>
    <w:rsid w:val="003B71AF"/>
    <w:rsid w:val="003B71EF"/>
    <w:rsid w:val="003B7505"/>
    <w:rsid w:val="003B7511"/>
    <w:rsid w:val="003B7586"/>
    <w:rsid w:val="003B7652"/>
    <w:rsid w:val="003B772D"/>
    <w:rsid w:val="003B79A5"/>
    <w:rsid w:val="003B7A5D"/>
    <w:rsid w:val="003B7A86"/>
    <w:rsid w:val="003B7DFF"/>
    <w:rsid w:val="003B7EC4"/>
    <w:rsid w:val="003B7FBE"/>
    <w:rsid w:val="003B7FE0"/>
    <w:rsid w:val="003C02EF"/>
    <w:rsid w:val="003C0335"/>
    <w:rsid w:val="003C033B"/>
    <w:rsid w:val="003C0CCF"/>
    <w:rsid w:val="003C0F0F"/>
    <w:rsid w:val="003C0F42"/>
    <w:rsid w:val="003C127A"/>
    <w:rsid w:val="003C12AF"/>
    <w:rsid w:val="003C14B1"/>
    <w:rsid w:val="003C151A"/>
    <w:rsid w:val="003C1587"/>
    <w:rsid w:val="003C166B"/>
    <w:rsid w:val="003C18FE"/>
    <w:rsid w:val="003C192D"/>
    <w:rsid w:val="003C1990"/>
    <w:rsid w:val="003C1AA1"/>
    <w:rsid w:val="003C1D6E"/>
    <w:rsid w:val="003C1E96"/>
    <w:rsid w:val="003C204B"/>
    <w:rsid w:val="003C209D"/>
    <w:rsid w:val="003C2138"/>
    <w:rsid w:val="003C2202"/>
    <w:rsid w:val="003C2316"/>
    <w:rsid w:val="003C2856"/>
    <w:rsid w:val="003C2887"/>
    <w:rsid w:val="003C2B2A"/>
    <w:rsid w:val="003C2B6A"/>
    <w:rsid w:val="003C2D08"/>
    <w:rsid w:val="003C3101"/>
    <w:rsid w:val="003C3132"/>
    <w:rsid w:val="003C3320"/>
    <w:rsid w:val="003C345E"/>
    <w:rsid w:val="003C3585"/>
    <w:rsid w:val="003C3587"/>
    <w:rsid w:val="003C3602"/>
    <w:rsid w:val="003C3717"/>
    <w:rsid w:val="003C37F4"/>
    <w:rsid w:val="003C39D9"/>
    <w:rsid w:val="003C3A9F"/>
    <w:rsid w:val="003C3C8C"/>
    <w:rsid w:val="003C3C9B"/>
    <w:rsid w:val="003C3DFD"/>
    <w:rsid w:val="003C422D"/>
    <w:rsid w:val="003C441F"/>
    <w:rsid w:val="003C4451"/>
    <w:rsid w:val="003C4491"/>
    <w:rsid w:val="003C449C"/>
    <w:rsid w:val="003C48BF"/>
    <w:rsid w:val="003C4933"/>
    <w:rsid w:val="003C4956"/>
    <w:rsid w:val="003C4989"/>
    <w:rsid w:val="003C4BE4"/>
    <w:rsid w:val="003C4DE4"/>
    <w:rsid w:val="003C51BD"/>
    <w:rsid w:val="003C5204"/>
    <w:rsid w:val="003C52DF"/>
    <w:rsid w:val="003C52F1"/>
    <w:rsid w:val="003C53CE"/>
    <w:rsid w:val="003C53FB"/>
    <w:rsid w:val="003C55A7"/>
    <w:rsid w:val="003C569A"/>
    <w:rsid w:val="003C56E4"/>
    <w:rsid w:val="003C57C7"/>
    <w:rsid w:val="003C5C02"/>
    <w:rsid w:val="003C5C72"/>
    <w:rsid w:val="003C5C81"/>
    <w:rsid w:val="003C5D67"/>
    <w:rsid w:val="003C5E4E"/>
    <w:rsid w:val="003C5F8F"/>
    <w:rsid w:val="003C6032"/>
    <w:rsid w:val="003C60C3"/>
    <w:rsid w:val="003C630B"/>
    <w:rsid w:val="003C63C1"/>
    <w:rsid w:val="003C6689"/>
    <w:rsid w:val="003C6864"/>
    <w:rsid w:val="003C690C"/>
    <w:rsid w:val="003C6B03"/>
    <w:rsid w:val="003C6DE5"/>
    <w:rsid w:val="003C6E87"/>
    <w:rsid w:val="003C6F3F"/>
    <w:rsid w:val="003C71D3"/>
    <w:rsid w:val="003C739F"/>
    <w:rsid w:val="003C7910"/>
    <w:rsid w:val="003C7C67"/>
    <w:rsid w:val="003C7CA9"/>
    <w:rsid w:val="003C7D18"/>
    <w:rsid w:val="003D00F6"/>
    <w:rsid w:val="003D0104"/>
    <w:rsid w:val="003D0182"/>
    <w:rsid w:val="003D0766"/>
    <w:rsid w:val="003D1135"/>
    <w:rsid w:val="003D1161"/>
    <w:rsid w:val="003D12B8"/>
    <w:rsid w:val="003D12DE"/>
    <w:rsid w:val="003D140D"/>
    <w:rsid w:val="003D1A80"/>
    <w:rsid w:val="003D1B3F"/>
    <w:rsid w:val="003D1FAC"/>
    <w:rsid w:val="003D2029"/>
    <w:rsid w:val="003D20CF"/>
    <w:rsid w:val="003D218F"/>
    <w:rsid w:val="003D21DC"/>
    <w:rsid w:val="003D22F8"/>
    <w:rsid w:val="003D23A9"/>
    <w:rsid w:val="003D243F"/>
    <w:rsid w:val="003D2635"/>
    <w:rsid w:val="003D2644"/>
    <w:rsid w:val="003D26F2"/>
    <w:rsid w:val="003D2731"/>
    <w:rsid w:val="003D2A68"/>
    <w:rsid w:val="003D2B28"/>
    <w:rsid w:val="003D2D4C"/>
    <w:rsid w:val="003D2DA4"/>
    <w:rsid w:val="003D353E"/>
    <w:rsid w:val="003D363F"/>
    <w:rsid w:val="003D3763"/>
    <w:rsid w:val="003D383A"/>
    <w:rsid w:val="003D3844"/>
    <w:rsid w:val="003D38E4"/>
    <w:rsid w:val="003D39BF"/>
    <w:rsid w:val="003D3A1A"/>
    <w:rsid w:val="003D3CC0"/>
    <w:rsid w:val="003D3D75"/>
    <w:rsid w:val="003D3E05"/>
    <w:rsid w:val="003D3FE4"/>
    <w:rsid w:val="003D4279"/>
    <w:rsid w:val="003D44CB"/>
    <w:rsid w:val="003D4668"/>
    <w:rsid w:val="003D4A3B"/>
    <w:rsid w:val="003D4B6E"/>
    <w:rsid w:val="003D4D17"/>
    <w:rsid w:val="003D4EF3"/>
    <w:rsid w:val="003D4F09"/>
    <w:rsid w:val="003D503D"/>
    <w:rsid w:val="003D5065"/>
    <w:rsid w:val="003D5264"/>
    <w:rsid w:val="003D5418"/>
    <w:rsid w:val="003D5536"/>
    <w:rsid w:val="003D5707"/>
    <w:rsid w:val="003D581F"/>
    <w:rsid w:val="003D5868"/>
    <w:rsid w:val="003D589A"/>
    <w:rsid w:val="003D5A23"/>
    <w:rsid w:val="003D5A69"/>
    <w:rsid w:val="003D5D1C"/>
    <w:rsid w:val="003D5F07"/>
    <w:rsid w:val="003D5FFE"/>
    <w:rsid w:val="003D611D"/>
    <w:rsid w:val="003D62C8"/>
    <w:rsid w:val="003D6365"/>
    <w:rsid w:val="003D6426"/>
    <w:rsid w:val="003D6568"/>
    <w:rsid w:val="003D67D3"/>
    <w:rsid w:val="003D6940"/>
    <w:rsid w:val="003D6B8B"/>
    <w:rsid w:val="003D6BE4"/>
    <w:rsid w:val="003D6CC7"/>
    <w:rsid w:val="003D6D7F"/>
    <w:rsid w:val="003D6EB5"/>
    <w:rsid w:val="003D7251"/>
    <w:rsid w:val="003D7398"/>
    <w:rsid w:val="003D7412"/>
    <w:rsid w:val="003D749C"/>
    <w:rsid w:val="003D7597"/>
    <w:rsid w:val="003D75C0"/>
    <w:rsid w:val="003D7894"/>
    <w:rsid w:val="003D79E0"/>
    <w:rsid w:val="003D7AF4"/>
    <w:rsid w:val="003D7C83"/>
    <w:rsid w:val="003D7CED"/>
    <w:rsid w:val="003D7F4F"/>
    <w:rsid w:val="003E00E4"/>
    <w:rsid w:val="003E00F3"/>
    <w:rsid w:val="003E0153"/>
    <w:rsid w:val="003E044A"/>
    <w:rsid w:val="003E0565"/>
    <w:rsid w:val="003E0999"/>
    <w:rsid w:val="003E0AD8"/>
    <w:rsid w:val="003E0E26"/>
    <w:rsid w:val="003E103F"/>
    <w:rsid w:val="003E110B"/>
    <w:rsid w:val="003E110D"/>
    <w:rsid w:val="003E11D8"/>
    <w:rsid w:val="003E1302"/>
    <w:rsid w:val="003E138D"/>
    <w:rsid w:val="003E14FE"/>
    <w:rsid w:val="003E1820"/>
    <w:rsid w:val="003E1DC4"/>
    <w:rsid w:val="003E1EC6"/>
    <w:rsid w:val="003E20DF"/>
    <w:rsid w:val="003E251E"/>
    <w:rsid w:val="003E26AE"/>
    <w:rsid w:val="003E2842"/>
    <w:rsid w:val="003E2A28"/>
    <w:rsid w:val="003E2ADE"/>
    <w:rsid w:val="003E2D70"/>
    <w:rsid w:val="003E2D86"/>
    <w:rsid w:val="003E2DD3"/>
    <w:rsid w:val="003E2DE5"/>
    <w:rsid w:val="003E334A"/>
    <w:rsid w:val="003E336E"/>
    <w:rsid w:val="003E34D0"/>
    <w:rsid w:val="003E353E"/>
    <w:rsid w:val="003E371C"/>
    <w:rsid w:val="003E381F"/>
    <w:rsid w:val="003E3972"/>
    <w:rsid w:val="003E3A62"/>
    <w:rsid w:val="003E3DCC"/>
    <w:rsid w:val="003E3FA5"/>
    <w:rsid w:val="003E456D"/>
    <w:rsid w:val="003E48B6"/>
    <w:rsid w:val="003E48DF"/>
    <w:rsid w:val="003E49BA"/>
    <w:rsid w:val="003E49C1"/>
    <w:rsid w:val="003E49FB"/>
    <w:rsid w:val="003E4A8E"/>
    <w:rsid w:val="003E4ADC"/>
    <w:rsid w:val="003E4BF3"/>
    <w:rsid w:val="003E4CAF"/>
    <w:rsid w:val="003E4CD6"/>
    <w:rsid w:val="003E5030"/>
    <w:rsid w:val="003E51B5"/>
    <w:rsid w:val="003E525D"/>
    <w:rsid w:val="003E5431"/>
    <w:rsid w:val="003E55E3"/>
    <w:rsid w:val="003E56AF"/>
    <w:rsid w:val="003E58B6"/>
    <w:rsid w:val="003E58FD"/>
    <w:rsid w:val="003E606B"/>
    <w:rsid w:val="003E61C0"/>
    <w:rsid w:val="003E6262"/>
    <w:rsid w:val="003E6507"/>
    <w:rsid w:val="003E672A"/>
    <w:rsid w:val="003E684B"/>
    <w:rsid w:val="003E6A69"/>
    <w:rsid w:val="003E6BEA"/>
    <w:rsid w:val="003E6DE5"/>
    <w:rsid w:val="003E716B"/>
    <w:rsid w:val="003E73F3"/>
    <w:rsid w:val="003E76DB"/>
    <w:rsid w:val="003E7766"/>
    <w:rsid w:val="003E77A7"/>
    <w:rsid w:val="003E782A"/>
    <w:rsid w:val="003E7848"/>
    <w:rsid w:val="003E7B5D"/>
    <w:rsid w:val="003E7EB2"/>
    <w:rsid w:val="003F01CE"/>
    <w:rsid w:val="003F01F9"/>
    <w:rsid w:val="003F0231"/>
    <w:rsid w:val="003F0440"/>
    <w:rsid w:val="003F049B"/>
    <w:rsid w:val="003F04A7"/>
    <w:rsid w:val="003F0742"/>
    <w:rsid w:val="003F0ADC"/>
    <w:rsid w:val="003F0DFB"/>
    <w:rsid w:val="003F0EF8"/>
    <w:rsid w:val="003F0F90"/>
    <w:rsid w:val="003F1478"/>
    <w:rsid w:val="003F15DA"/>
    <w:rsid w:val="003F1815"/>
    <w:rsid w:val="003F1871"/>
    <w:rsid w:val="003F1970"/>
    <w:rsid w:val="003F19B6"/>
    <w:rsid w:val="003F2184"/>
    <w:rsid w:val="003F2224"/>
    <w:rsid w:val="003F251D"/>
    <w:rsid w:val="003F25DE"/>
    <w:rsid w:val="003F27B0"/>
    <w:rsid w:val="003F293A"/>
    <w:rsid w:val="003F2B31"/>
    <w:rsid w:val="003F2C29"/>
    <w:rsid w:val="003F2E2A"/>
    <w:rsid w:val="003F30B4"/>
    <w:rsid w:val="003F3359"/>
    <w:rsid w:val="003F33C1"/>
    <w:rsid w:val="003F33D7"/>
    <w:rsid w:val="003F3411"/>
    <w:rsid w:val="003F3B61"/>
    <w:rsid w:val="003F3C40"/>
    <w:rsid w:val="003F3D5F"/>
    <w:rsid w:val="003F3F95"/>
    <w:rsid w:val="003F3FFB"/>
    <w:rsid w:val="003F419E"/>
    <w:rsid w:val="003F432A"/>
    <w:rsid w:val="003F4389"/>
    <w:rsid w:val="003F4619"/>
    <w:rsid w:val="003F4910"/>
    <w:rsid w:val="003F4A74"/>
    <w:rsid w:val="003F4D60"/>
    <w:rsid w:val="003F4ECC"/>
    <w:rsid w:val="003F4F02"/>
    <w:rsid w:val="003F5070"/>
    <w:rsid w:val="003F51AE"/>
    <w:rsid w:val="003F51BF"/>
    <w:rsid w:val="003F52C5"/>
    <w:rsid w:val="003F5387"/>
    <w:rsid w:val="003F540D"/>
    <w:rsid w:val="003F56B4"/>
    <w:rsid w:val="003F579F"/>
    <w:rsid w:val="003F5C6E"/>
    <w:rsid w:val="003F5DC8"/>
    <w:rsid w:val="003F5E96"/>
    <w:rsid w:val="003F6072"/>
    <w:rsid w:val="003F6598"/>
    <w:rsid w:val="003F6865"/>
    <w:rsid w:val="003F6A8A"/>
    <w:rsid w:val="003F6BF7"/>
    <w:rsid w:val="003F6CB4"/>
    <w:rsid w:val="003F6FF0"/>
    <w:rsid w:val="003F7144"/>
    <w:rsid w:val="003F7332"/>
    <w:rsid w:val="003F738E"/>
    <w:rsid w:val="003F741B"/>
    <w:rsid w:val="003F742D"/>
    <w:rsid w:val="003F748C"/>
    <w:rsid w:val="003F74D5"/>
    <w:rsid w:val="003F75F4"/>
    <w:rsid w:val="003F7669"/>
    <w:rsid w:val="003F7900"/>
    <w:rsid w:val="003F7D35"/>
    <w:rsid w:val="003F7E78"/>
    <w:rsid w:val="003F7E89"/>
    <w:rsid w:val="003F7F08"/>
    <w:rsid w:val="003F7F91"/>
    <w:rsid w:val="003F7FC1"/>
    <w:rsid w:val="004001C1"/>
    <w:rsid w:val="00400227"/>
    <w:rsid w:val="004002D4"/>
    <w:rsid w:val="00400304"/>
    <w:rsid w:val="004003A2"/>
    <w:rsid w:val="00400AE8"/>
    <w:rsid w:val="00400DED"/>
    <w:rsid w:val="00400E87"/>
    <w:rsid w:val="00400F9E"/>
    <w:rsid w:val="004010FB"/>
    <w:rsid w:val="0040119C"/>
    <w:rsid w:val="004011DF"/>
    <w:rsid w:val="00401328"/>
    <w:rsid w:val="00401547"/>
    <w:rsid w:val="004017A3"/>
    <w:rsid w:val="00401B05"/>
    <w:rsid w:val="00401C35"/>
    <w:rsid w:val="00401D75"/>
    <w:rsid w:val="00401FD3"/>
    <w:rsid w:val="00401FDE"/>
    <w:rsid w:val="004020FB"/>
    <w:rsid w:val="004021C8"/>
    <w:rsid w:val="00402436"/>
    <w:rsid w:val="00402508"/>
    <w:rsid w:val="0040263D"/>
    <w:rsid w:val="004028DD"/>
    <w:rsid w:val="004029DA"/>
    <w:rsid w:val="00402C98"/>
    <w:rsid w:val="00402CBD"/>
    <w:rsid w:val="00403080"/>
    <w:rsid w:val="004030C6"/>
    <w:rsid w:val="004031AB"/>
    <w:rsid w:val="0040324F"/>
    <w:rsid w:val="0040333F"/>
    <w:rsid w:val="00403397"/>
    <w:rsid w:val="004035F1"/>
    <w:rsid w:val="00403910"/>
    <w:rsid w:val="0040393C"/>
    <w:rsid w:val="00403AFD"/>
    <w:rsid w:val="00403BD5"/>
    <w:rsid w:val="00403D48"/>
    <w:rsid w:val="00404156"/>
    <w:rsid w:val="0040421E"/>
    <w:rsid w:val="00404297"/>
    <w:rsid w:val="00404596"/>
    <w:rsid w:val="004046F4"/>
    <w:rsid w:val="0040477F"/>
    <w:rsid w:val="004048AC"/>
    <w:rsid w:val="00404A6C"/>
    <w:rsid w:val="00404A81"/>
    <w:rsid w:val="00404AF4"/>
    <w:rsid w:val="00404C86"/>
    <w:rsid w:val="00404CCB"/>
    <w:rsid w:val="00404DFB"/>
    <w:rsid w:val="0040513B"/>
    <w:rsid w:val="004051B8"/>
    <w:rsid w:val="00405231"/>
    <w:rsid w:val="004052BC"/>
    <w:rsid w:val="0040538E"/>
    <w:rsid w:val="004054B3"/>
    <w:rsid w:val="00405877"/>
    <w:rsid w:val="0040595C"/>
    <w:rsid w:val="00405988"/>
    <w:rsid w:val="00405B5C"/>
    <w:rsid w:val="00405C24"/>
    <w:rsid w:val="00405D53"/>
    <w:rsid w:val="00405E1D"/>
    <w:rsid w:val="00405E4C"/>
    <w:rsid w:val="00405ED4"/>
    <w:rsid w:val="00405EED"/>
    <w:rsid w:val="00405FE9"/>
    <w:rsid w:val="00406134"/>
    <w:rsid w:val="004062B0"/>
    <w:rsid w:val="004063F2"/>
    <w:rsid w:val="004065F9"/>
    <w:rsid w:val="0040669A"/>
    <w:rsid w:val="004066C2"/>
    <w:rsid w:val="004066C3"/>
    <w:rsid w:val="00406751"/>
    <w:rsid w:val="004069BB"/>
    <w:rsid w:val="00406AF1"/>
    <w:rsid w:val="00406BD8"/>
    <w:rsid w:val="00406C3D"/>
    <w:rsid w:val="00406CAD"/>
    <w:rsid w:val="00406CFD"/>
    <w:rsid w:val="004072E8"/>
    <w:rsid w:val="00407354"/>
    <w:rsid w:val="0040750D"/>
    <w:rsid w:val="004075B5"/>
    <w:rsid w:val="004075FD"/>
    <w:rsid w:val="0040775A"/>
    <w:rsid w:val="00407A06"/>
    <w:rsid w:val="00407A4D"/>
    <w:rsid w:val="00407A93"/>
    <w:rsid w:val="00407E1E"/>
    <w:rsid w:val="00407F74"/>
    <w:rsid w:val="00407F7B"/>
    <w:rsid w:val="0041064D"/>
    <w:rsid w:val="004107C7"/>
    <w:rsid w:val="00410A39"/>
    <w:rsid w:val="00410AB6"/>
    <w:rsid w:val="00410AFA"/>
    <w:rsid w:val="00410B7C"/>
    <w:rsid w:val="00410D2C"/>
    <w:rsid w:val="00410D42"/>
    <w:rsid w:val="00410D99"/>
    <w:rsid w:val="004110CA"/>
    <w:rsid w:val="00411240"/>
    <w:rsid w:val="00411330"/>
    <w:rsid w:val="00411B8E"/>
    <w:rsid w:val="00411C4E"/>
    <w:rsid w:val="00411D41"/>
    <w:rsid w:val="00411D5D"/>
    <w:rsid w:val="00411F37"/>
    <w:rsid w:val="00411FDF"/>
    <w:rsid w:val="00412156"/>
    <w:rsid w:val="004121D4"/>
    <w:rsid w:val="00412467"/>
    <w:rsid w:val="004126B4"/>
    <w:rsid w:val="00412A77"/>
    <w:rsid w:val="00412BFC"/>
    <w:rsid w:val="00412C20"/>
    <w:rsid w:val="00412EA0"/>
    <w:rsid w:val="00412FEA"/>
    <w:rsid w:val="0041303C"/>
    <w:rsid w:val="004131F0"/>
    <w:rsid w:val="00413251"/>
    <w:rsid w:val="004134C8"/>
    <w:rsid w:val="00413872"/>
    <w:rsid w:val="00413A38"/>
    <w:rsid w:val="00413A79"/>
    <w:rsid w:val="00413F82"/>
    <w:rsid w:val="00414059"/>
    <w:rsid w:val="004140E8"/>
    <w:rsid w:val="00414217"/>
    <w:rsid w:val="004142B8"/>
    <w:rsid w:val="0041455E"/>
    <w:rsid w:val="0041499E"/>
    <w:rsid w:val="004149B0"/>
    <w:rsid w:val="00414A20"/>
    <w:rsid w:val="00414ABA"/>
    <w:rsid w:val="00414AF5"/>
    <w:rsid w:val="00414DD4"/>
    <w:rsid w:val="00414E4E"/>
    <w:rsid w:val="004153D9"/>
    <w:rsid w:val="004154D3"/>
    <w:rsid w:val="004155DD"/>
    <w:rsid w:val="004156A3"/>
    <w:rsid w:val="00415AA8"/>
    <w:rsid w:val="00415AF1"/>
    <w:rsid w:val="00415B28"/>
    <w:rsid w:val="00415C77"/>
    <w:rsid w:val="00415DA6"/>
    <w:rsid w:val="00415DAF"/>
    <w:rsid w:val="00415F6C"/>
    <w:rsid w:val="00415FC8"/>
    <w:rsid w:val="00416271"/>
    <w:rsid w:val="0041631C"/>
    <w:rsid w:val="00416523"/>
    <w:rsid w:val="00416650"/>
    <w:rsid w:val="00416BA4"/>
    <w:rsid w:val="00416C11"/>
    <w:rsid w:val="00416F1D"/>
    <w:rsid w:val="00416F39"/>
    <w:rsid w:val="0041723E"/>
    <w:rsid w:val="004172AE"/>
    <w:rsid w:val="0041747E"/>
    <w:rsid w:val="00417519"/>
    <w:rsid w:val="00417648"/>
    <w:rsid w:val="004177C3"/>
    <w:rsid w:val="00417B02"/>
    <w:rsid w:val="00417B64"/>
    <w:rsid w:val="00417C67"/>
    <w:rsid w:val="00417C8B"/>
    <w:rsid w:val="00417D85"/>
    <w:rsid w:val="0042002F"/>
    <w:rsid w:val="00420072"/>
    <w:rsid w:val="0042029C"/>
    <w:rsid w:val="0042035C"/>
    <w:rsid w:val="004205D7"/>
    <w:rsid w:val="00420627"/>
    <w:rsid w:val="00420664"/>
    <w:rsid w:val="004206CF"/>
    <w:rsid w:val="00420DC8"/>
    <w:rsid w:val="00420FF3"/>
    <w:rsid w:val="004210F1"/>
    <w:rsid w:val="004211AB"/>
    <w:rsid w:val="00421200"/>
    <w:rsid w:val="004213D3"/>
    <w:rsid w:val="004213E0"/>
    <w:rsid w:val="004213EA"/>
    <w:rsid w:val="00421569"/>
    <w:rsid w:val="00421721"/>
    <w:rsid w:val="004217C5"/>
    <w:rsid w:val="0042182A"/>
    <w:rsid w:val="0042189B"/>
    <w:rsid w:val="0042189D"/>
    <w:rsid w:val="00421965"/>
    <w:rsid w:val="00421A36"/>
    <w:rsid w:val="00421BA3"/>
    <w:rsid w:val="00421BCD"/>
    <w:rsid w:val="00421C9D"/>
    <w:rsid w:val="00421D24"/>
    <w:rsid w:val="00421D66"/>
    <w:rsid w:val="00421D6E"/>
    <w:rsid w:val="00421D6F"/>
    <w:rsid w:val="00421EB2"/>
    <w:rsid w:val="00421FF2"/>
    <w:rsid w:val="00422069"/>
    <w:rsid w:val="004222DC"/>
    <w:rsid w:val="00422302"/>
    <w:rsid w:val="00422341"/>
    <w:rsid w:val="0042244C"/>
    <w:rsid w:val="004225CE"/>
    <w:rsid w:val="004228CA"/>
    <w:rsid w:val="0042296C"/>
    <w:rsid w:val="00422B46"/>
    <w:rsid w:val="00422C2B"/>
    <w:rsid w:val="00422DE4"/>
    <w:rsid w:val="00423059"/>
    <w:rsid w:val="00423146"/>
    <w:rsid w:val="00423690"/>
    <w:rsid w:val="00423707"/>
    <w:rsid w:val="004237A3"/>
    <w:rsid w:val="00423BA0"/>
    <w:rsid w:val="00423E7C"/>
    <w:rsid w:val="0042406F"/>
    <w:rsid w:val="004243AE"/>
    <w:rsid w:val="004245C3"/>
    <w:rsid w:val="004248C8"/>
    <w:rsid w:val="00424977"/>
    <w:rsid w:val="00424A35"/>
    <w:rsid w:val="00424A56"/>
    <w:rsid w:val="00424C67"/>
    <w:rsid w:val="00424C9D"/>
    <w:rsid w:val="00424EFA"/>
    <w:rsid w:val="00424F3E"/>
    <w:rsid w:val="00425040"/>
    <w:rsid w:val="0042514E"/>
    <w:rsid w:val="004252FF"/>
    <w:rsid w:val="004255F5"/>
    <w:rsid w:val="00425821"/>
    <w:rsid w:val="0042597E"/>
    <w:rsid w:val="00425B77"/>
    <w:rsid w:val="00425CEA"/>
    <w:rsid w:val="00425CEF"/>
    <w:rsid w:val="00425D87"/>
    <w:rsid w:val="00425DB4"/>
    <w:rsid w:val="00425EEB"/>
    <w:rsid w:val="00425F17"/>
    <w:rsid w:val="00425F1B"/>
    <w:rsid w:val="0042601C"/>
    <w:rsid w:val="00426227"/>
    <w:rsid w:val="0042647F"/>
    <w:rsid w:val="00426503"/>
    <w:rsid w:val="0042683E"/>
    <w:rsid w:val="004269DE"/>
    <w:rsid w:val="00426C32"/>
    <w:rsid w:val="00426DFF"/>
    <w:rsid w:val="00426E88"/>
    <w:rsid w:val="00426F5C"/>
    <w:rsid w:val="00426F67"/>
    <w:rsid w:val="00426FF7"/>
    <w:rsid w:val="004270FB"/>
    <w:rsid w:val="00427259"/>
    <w:rsid w:val="00427329"/>
    <w:rsid w:val="00427367"/>
    <w:rsid w:val="0042753F"/>
    <w:rsid w:val="00427784"/>
    <w:rsid w:val="00427A9B"/>
    <w:rsid w:val="00427AFB"/>
    <w:rsid w:val="00427AFD"/>
    <w:rsid w:val="00427CEA"/>
    <w:rsid w:val="00427D66"/>
    <w:rsid w:val="00427F1A"/>
    <w:rsid w:val="00427F3C"/>
    <w:rsid w:val="004300DE"/>
    <w:rsid w:val="00430123"/>
    <w:rsid w:val="00430129"/>
    <w:rsid w:val="0043018A"/>
    <w:rsid w:val="0043018B"/>
    <w:rsid w:val="004303E4"/>
    <w:rsid w:val="004309B5"/>
    <w:rsid w:val="00430A78"/>
    <w:rsid w:val="00430BA4"/>
    <w:rsid w:val="00430C1C"/>
    <w:rsid w:val="00430CF0"/>
    <w:rsid w:val="00430D49"/>
    <w:rsid w:val="00430D63"/>
    <w:rsid w:val="00430D8E"/>
    <w:rsid w:val="00430E08"/>
    <w:rsid w:val="00430FE1"/>
    <w:rsid w:val="00430FF5"/>
    <w:rsid w:val="00431226"/>
    <w:rsid w:val="00431371"/>
    <w:rsid w:val="004314E1"/>
    <w:rsid w:val="004314F1"/>
    <w:rsid w:val="00431529"/>
    <w:rsid w:val="0043154F"/>
    <w:rsid w:val="004318ED"/>
    <w:rsid w:val="00431957"/>
    <w:rsid w:val="00431998"/>
    <w:rsid w:val="00431A23"/>
    <w:rsid w:val="00431B06"/>
    <w:rsid w:val="00431D1F"/>
    <w:rsid w:val="00431F51"/>
    <w:rsid w:val="00431FED"/>
    <w:rsid w:val="00432002"/>
    <w:rsid w:val="00432406"/>
    <w:rsid w:val="004328C3"/>
    <w:rsid w:val="00432AF6"/>
    <w:rsid w:val="00432BD5"/>
    <w:rsid w:val="00432F72"/>
    <w:rsid w:val="00433256"/>
    <w:rsid w:val="004332D4"/>
    <w:rsid w:val="00433439"/>
    <w:rsid w:val="00433594"/>
    <w:rsid w:val="004337F6"/>
    <w:rsid w:val="00433891"/>
    <w:rsid w:val="004339D6"/>
    <w:rsid w:val="004339E9"/>
    <w:rsid w:val="00433AE3"/>
    <w:rsid w:val="00433C63"/>
    <w:rsid w:val="00433CFB"/>
    <w:rsid w:val="00433D03"/>
    <w:rsid w:val="00433F79"/>
    <w:rsid w:val="00434107"/>
    <w:rsid w:val="004341BF"/>
    <w:rsid w:val="00434289"/>
    <w:rsid w:val="004343CE"/>
    <w:rsid w:val="00434443"/>
    <w:rsid w:val="004344B4"/>
    <w:rsid w:val="00434684"/>
    <w:rsid w:val="00434864"/>
    <w:rsid w:val="004348F0"/>
    <w:rsid w:val="00434A90"/>
    <w:rsid w:val="00434D7C"/>
    <w:rsid w:val="00434E68"/>
    <w:rsid w:val="0043518F"/>
    <w:rsid w:val="00435347"/>
    <w:rsid w:val="004354AA"/>
    <w:rsid w:val="00435685"/>
    <w:rsid w:val="00435B13"/>
    <w:rsid w:val="00435C24"/>
    <w:rsid w:val="00435C2A"/>
    <w:rsid w:val="00435C8C"/>
    <w:rsid w:val="00436082"/>
    <w:rsid w:val="004363FB"/>
    <w:rsid w:val="00436410"/>
    <w:rsid w:val="00436661"/>
    <w:rsid w:val="00436735"/>
    <w:rsid w:val="0043677D"/>
    <w:rsid w:val="004367F1"/>
    <w:rsid w:val="0043692F"/>
    <w:rsid w:val="00436E4A"/>
    <w:rsid w:val="00437123"/>
    <w:rsid w:val="00437334"/>
    <w:rsid w:val="004376A5"/>
    <w:rsid w:val="00437C7F"/>
    <w:rsid w:val="00437D47"/>
    <w:rsid w:val="00437E17"/>
    <w:rsid w:val="00437E5A"/>
    <w:rsid w:val="0044005D"/>
    <w:rsid w:val="0044015D"/>
    <w:rsid w:val="004401CB"/>
    <w:rsid w:val="0044026D"/>
    <w:rsid w:val="00440422"/>
    <w:rsid w:val="004404A3"/>
    <w:rsid w:val="00440536"/>
    <w:rsid w:val="00440582"/>
    <w:rsid w:val="0044064A"/>
    <w:rsid w:val="0044068B"/>
    <w:rsid w:val="00440822"/>
    <w:rsid w:val="00440FFC"/>
    <w:rsid w:val="0044100A"/>
    <w:rsid w:val="0044117C"/>
    <w:rsid w:val="00441341"/>
    <w:rsid w:val="004414DF"/>
    <w:rsid w:val="00441558"/>
    <w:rsid w:val="00441876"/>
    <w:rsid w:val="00441E07"/>
    <w:rsid w:val="00442099"/>
    <w:rsid w:val="004426AF"/>
    <w:rsid w:val="0044277A"/>
    <w:rsid w:val="004427DE"/>
    <w:rsid w:val="00442955"/>
    <w:rsid w:val="004429BF"/>
    <w:rsid w:val="004429E8"/>
    <w:rsid w:val="00442A81"/>
    <w:rsid w:val="00442BEA"/>
    <w:rsid w:val="00442DDC"/>
    <w:rsid w:val="00442DF7"/>
    <w:rsid w:val="00442F25"/>
    <w:rsid w:val="004430FF"/>
    <w:rsid w:val="004432E8"/>
    <w:rsid w:val="00443373"/>
    <w:rsid w:val="00443422"/>
    <w:rsid w:val="00443434"/>
    <w:rsid w:val="00443877"/>
    <w:rsid w:val="00443973"/>
    <w:rsid w:val="00443A18"/>
    <w:rsid w:val="00443C45"/>
    <w:rsid w:val="004440E4"/>
    <w:rsid w:val="00444481"/>
    <w:rsid w:val="0044448B"/>
    <w:rsid w:val="00444503"/>
    <w:rsid w:val="004445A8"/>
    <w:rsid w:val="004445D0"/>
    <w:rsid w:val="00444646"/>
    <w:rsid w:val="00444724"/>
    <w:rsid w:val="004448D5"/>
    <w:rsid w:val="00444C1F"/>
    <w:rsid w:val="00444C25"/>
    <w:rsid w:val="00444D53"/>
    <w:rsid w:val="00445043"/>
    <w:rsid w:val="00445051"/>
    <w:rsid w:val="004450EE"/>
    <w:rsid w:val="00445127"/>
    <w:rsid w:val="00445335"/>
    <w:rsid w:val="0044548E"/>
    <w:rsid w:val="0044550E"/>
    <w:rsid w:val="0044558B"/>
    <w:rsid w:val="004455EE"/>
    <w:rsid w:val="0044586C"/>
    <w:rsid w:val="004458C2"/>
    <w:rsid w:val="00445BEE"/>
    <w:rsid w:val="00445C83"/>
    <w:rsid w:val="004467D2"/>
    <w:rsid w:val="00446C84"/>
    <w:rsid w:val="00446D8A"/>
    <w:rsid w:val="004472A5"/>
    <w:rsid w:val="0044747A"/>
    <w:rsid w:val="0044765E"/>
    <w:rsid w:val="00447877"/>
    <w:rsid w:val="00447A16"/>
    <w:rsid w:val="00447B1A"/>
    <w:rsid w:val="00447B95"/>
    <w:rsid w:val="00447BD5"/>
    <w:rsid w:val="00447EF9"/>
    <w:rsid w:val="00447F77"/>
    <w:rsid w:val="004500B7"/>
    <w:rsid w:val="0045016B"/>
    <w:rsid w:val="0045052C"/>
    <w:rsid w:val="0045058D"/>
    <w:rsid w:val="004509E3"/>
    <w:rsid w:val="00450A0E"/>
    <w:rsid w:val="00450AC7"/>
    <w:rsid w:val="00450C59"/>
    <w:rsid w:val="00450E79"/>
    <w:rsid w:val="00450ED2"/>
    <w:rsid w:val="00451221"/>
    <w:rsid w:val="004513C5"/>
    <w:rsid w:val="004514E1"/>
    <w:rsid w:val="00451661"/>
    <w:rsid w:val="00451741"/>
    <w:rsid w:val="00451A85"/>
    <w:rsid w:val="00451AB7"/>
    <w:rsid w:val="00451AD9"/>
    <w:rsid w:val="00451C38"/>
    <w:rsid w:val="00451CCA"/>
    <w:rsid w:val="00451F3B"/>
    <w:rsid w:val="00451F7E"/>
    <w:rsid w:val="00452249"/>
    <w:rsid w:val="00452363"/>
    <w:rsid w:val="00452531"/>
    <w:rsid w:val="004526DA"/>
    <w:rsid w:val="00452728"/>
    <w:rsid w:val="00452865"/>
    <w:rsid w:val="004529DE"/>
    <w:rsid w:val="00452B4C"/>
    <w:rsid w:val="00452BA1"/>
    <w:rsid w:val="00452BD2"/>
    <w:rsid w:val="00452C64"/>
    <w:rsid w:val="00452CA1"/>
    <w:rsid w:val="00452F12"/>
    <w:rsid w:val="00453048"/>
    <w:rsid w:val="004531CE"/>
    <w:rsid w:val="004532CF"/>
    <w:rsid w:val="004532EE"/>
    <w:rsid w:val="004533A0"/>
    <w:rsid w:val="00453512"/>
    <w:rsid w:val="00453708"/>
    <w:rsid w:val="00453741"/>
    <w:rsid w:val="004537E6"/>
    <w:rsid w:val="004539F3"/>
    <w:rsid w:val="00453B7E"/>
    <w:rsid w:val="00453E46"/>
    <w:rsid w:val="0045404B"/>
    <w:rsid w:val="0045410F"/>
    <w:rsid w:val="0045415D"/>
    <w:rsid w:val="00454205"/>
    <w:rsid w:val="0045476D"/>
    <w:rsid w:val="004547D5"/>
    <w:rsid w:val="00454815"/>
    <w:rsid w:val="004549B3"/>
    <w:rsid w:val="00454C53"/>
    <w:rsid w:val="00454CB1"/>
    <w:rsid w:val="00454F25"/>
    <w:rsid w:val="0045511F"/>
    <w:rsid w:val="00455212"/>
    <w:rsid w:val="004559D5"/>
    <w:rsid w:val="00455AEF"/>
    <w:rsid w:val="0045602F"/>
    <w:rsid w:val="004561C3"/>
    <w:rsid w:val="00456527"/>
    <w:rsid w:val="00456592"/>
    <w:rsid w:val="004565B5"/>
    <w:rsid w:val="00456600"/>
    <w:rsid w:val="0045663F"/>
    <w:rsid w:val="00456759"/>
    <w:rsid w:val="0045688A"/>
    <w:rsid w:val="00456AEE"/>
    <w:rsid w:val="00456C10"/>
    <w:rsid w:val="00456C37"/>
    <w:rsid w:val="00456CB3"/>
    <w:rsid w:val="00456DC7"/>
    <w:rsid w:val="00456F7A"/>
    <w:rsid w:val="00457055"/>
    <w:rsid w:val="00457129"/>
    <w:rsid w:val="00457243"/>
    <w:rsid w:val="0045724A"/>
    <w:rsid w:val="00457601"/>
    <w:rsid w:val="00457832"/>
    <w:rsid w:val="00457938"/>
    <w:rsid w:val="0045796E"/>
    <w:rsid w:val="00457BFF"/>
    <w:rsid w:val="00457EED"/>
    <w:rsid w:val="00457F2B"/>
    <w:rsid w:val="0046009A"/>
    <w:rsid w:val="004602AD"/>
    <w:rsid w:val="0046060D"/>
    <w:rsid w:val="00460B7B"/>
    <w:rsid w:val="00460BD6"/>
    <w:rsid w:val="00460CC9"/>
    <w:rsid w:val="00460F92"/>
    <w:rsid w:val="00461180"/>
    <w:rsid w:val="0046118E"/>
    <w:rsid w:val="00461266"/>
    <w:rsid w:val="00461322"/>
    <w:rsid w:val="00461383"/>
    <w:rsid w:val="00461748"/>
    <w:rsid w:val="0046178D"/>
    <w:rsid w:val="004617AC"/>
    <w:rsid w:val="0046195B"/>
    <w:rsid w:val="00461A9E"/>
    <w:rsid w:val="00461BBE"/>
    <w:rsid w:val="00461C0D"/>
    <w:rsid w:val="00461FD4"/>
    <w:rsid w:val="00462073"/>
    <w:rsid w:val="004626F5"/>
    <w:rsid w:val="004627BC"/>
    <w:rsid w:val="004627C9"/>
    <w:rsid w:val="00462EC5"/>
    <w:rsid w:val="00462F93"/>
    <w:rsid w:val="004630E8"/>
    <w:rsid w:val="004631BC"/>
    <w:rsid w:val="0046340D"/>
    <w:rsid w:val="00463650"/>
    <w:rsid w:val="00463819"/>
    <w:rsid w:val="0046385E"/>
    <w:rsid w:val="0046395F"/>
    <w:rsid w:val="004639A1"/>
    <w:rsid w:val="00463A61"/>
    <w:rsid w:val="00463D01"/>
    <w:rsid w:val="00463D22"/>
    <w:rsid w:val="00463D59"/>
    <w:rsid w:val="00463E2B"/>
    <w:rsid w:val="004640AC"/>
    <w:rsid w:val="00464292"/>
    <w:rsid w:val="0046441E"/>
    <w:rsid w:val="0046458C"/>
    <w:rsid w:val="004645C1"/>
    <w:rsid w:val="004645DE"/>
    <w:rsid w:val="004647E5"/>
    <w:rsid w:val="00464BB0"/>
    <w:rsid w:val="00464E19"/>
    <w:rsid w:val="00464F9D"/>
    <w:rsid w:val="00464FD2"/>
    <w:rsid w:val="004650B6"/>
    <w:rsid w:val="004650E1"/>
    <w:rsid w:val="00465149"/>
    <w:rsid w:val="00465219"/>
    <w:rsid w:val="00465224"/>
    <w:rsid w:val="00465226"/>
    <w:rsid w:val="0046526B"/>
    <w:rsid w:val="004652E1"/>
    <w:rsid w:val="00465563"/>
    <w:rsid w:val="0046560D"/>
    <w:rsid w:val="0046571B"/>
    <w:rsid w:val="00465D96"/>
    <w:rsid w:val="00465DFD"/>
    <w:rsid w:val="004660DB"/>
    <w:rsid w:val="00466133"/>
    <w:rsid w:val="0046622F"/>
    <w:rsid w:val="00466286"/>
    <w:rsid w:val="00466D04"/>
    <w:rsid w:val="00466DCC"/>
    <w:rsid w:val="00467235"/>
    <w:rsid w:val="004673B9"/>
    <w:rsid w:val="00467A45"/>
    <w:rsid w:val="00467DC0"/>
    <w:rsid w:val="00467FF6"/>
    <w:rsid w:val="004705A5"/>
    <w:rsid w:val="00470C74"/>
    <w:rsid w:val="00470C7F"/>
    <w:rsid w:val="00470CB1"/>
    <w:rsid w:val="00470D56"/>
    <w:rsid w:val="00470F84"/>
    <w:rsid w:val="00470FC4"/>
    <w:rsid w:val="00470FF3"/>
    <w:rsid w:val="00471079"/>
    <w:rsid w:val="004714A6"/>
    <w:rsid w:val="004717CA"/>
    <w:rsid w:val="004718CD"/>
    <w:rsid w:val="004719EF"/>
    <w:rsid w:val="00471EEC"/>
    <w:rsid w:val="0047213E"/>
    <w:rsid w:val="0047218B"/>
    <w:rsid w:val="0047260F"/>
    <w:rsid w:val="0047288E"/>
    <w:rsid w:val="00472BD1"/>
    <w:rsid w:val="00472D9F"/>
    <w:rsid w:val="00472DAA"/>
    <w:rsid w:val="0047319A"/>
    <w:rsid w:val="004731EF"/>
    <w:rsid w:val="00473614"/>
    <w:rsid w:val="0047361E"/>
    <w:rsid w:val="004738DB"/>
    <w:rsid w:val="00473C7F"/>
    <w:rsid w:val="00473F5C"/>
    <w:rsid w:val="004742C0"/>
    <w:rsid w:val="0047443D"/>
    <w:rsid w:val="004744A6"/>
    <w:rsid w:val="00474501"/>
    <w:rsid w:val="00474643"/>
    <w:rsid w:val="0047476C"/>
    <w:rsid w:val="00474781"/>
    <w:rsid w:val="00474834"/>
    <w:rsid w:val="00474B34"/>
    <w:rsid w:val="00474B3B"/>
    <w:rsid w:val="00474C9B"/>
    <w:rsid w:val="00474CAF"/>
    <w:rsid w:val="00474D86"/>
    <w:rsid w:val="00474DCE"/>
    <w:rsid w:val="00474E29"/>
    <w:rsid w:val="00474E70"/>
    <w:rsid w:val="00474E76"/>
    <w:rsid w:val="00474EBE"/>
    <w:rsid w:val="00475289"/>
    <w:rsid w:val="004752D4"/>
    <w:rsid w:val="00475404"/>
    <w:rsid w:val="0047551C"/>
    <w:rsid w:val="00475783"/>
    <w:rsid w:val="00475791"/>
    <w:rsid w:val="004757A6"/>
    <w:rsid w:val="00475901"/>
    <w:rsid w:val="00475BB3"/>
    <w:rsid w:val="00475C80"/>
    <w:rsid w:val="00475DDA"/>
    <w:rsid w:val="004760DE"/>
    <w:rsid w:val="00476347"/>
    <w:rsid w:val="004763B3"/>
    <w:rsid w:val="004765A4"/>
    <w:rsid w:val="00476832"/>
    <w:rsid w:val="00476ADB"/>
    <w:rsid w:val="00476C24"/>
    <w:rsid w:val="00476F9C"/>
    <w:rsid w:val="00476FC1"/>
    <w:rsid w:val="0047741F"/>
    <w:rsid w:val="00477728"/>
    <w:rsid w:val="004777B7"/>
    <w:rsid w:val="00477A9A"/>
    <w:rsid w:val="00477C23"/>
    <w:rsid w:val="00477C36"/>
    <w:rsid w:val="00477C74"/>
    <w:rsid w:val="00480081"/>
    <w:rsid w:val="00480126"/>
    <w:rsid w:val="004801D5"/>
    <w:rsid w:val="00480325"/>
    <w:rsid w:val="0048053A"/>
    <w:rsid w:val="004805EF"/>
    <w:rsid w:val="00480B3D"/>
    <w:rsid w:val="00480FB2"/>
    <w:rsid w:val="00480FD3"/>
    <w:rsid w:val="004814FE"/>
    <w:rsid w:val="00481525"/>
    <w:rsid w:val="004815C6"/>
    <w:rsid w:val="0048162C"/>
    <w:rsid w:val="004818A8"/>
    <w:rsid w:val="0048196D"/>
    <w:rsid w:val="00481B65"/>
    <w:rsid w:val="00481C93"/>
    <w:rsid w:val="00481CE6"/>
    <w:rsid w:val="00481DE5"/>
    <w:rsid w:val="00482102"/>
    <w:rsid w:val="0048239F"/>
    <w:rsid w:val="00482519"/>
    <w:rsid w:val="0048266F"/>
    <w:rsid w:val="00482728"/>
    <w:rsid w:val="0048275D"/>
    <w:rsid w:val="004827A1"/>
    <w:rsid w:val="00482C59"/>
    <w:rsid w:val="00482E7F"/>
    <w:rsid w:val="004833A2"/>
    <w:rsid w:val="004833F8"/>
    <w:rsid w:val="00483401"/>
    <w:rsid w:val="004834B1"/>
    <w:rsid w:val="00483654"/>
    <w:rsid w:val="004837A6"/>
    <w:rsid w:val="00483935"/>
    <w:rsid w:val="004839CF"/>
    <w:rsid w:val="00483AF1"/>
    <w:rsid w:val="00483BD9"/>
    <w:rsid w:val="00483C40"/>
    <w:rsid w:val="00483CA5"/>
    <w:rsid w:val="004840D0"/>
    <w:rsid w:val="00484214"/>
    <w:rsid w:val="00484351"/>
    <w:rsid w:val="004843D6"/>
    <w:rsid w:val="004844AE"/>
    <w:rsid w:val="00484575"/>
    <w:rsid w:val="00484711"/>
    <w:rsid w:val="004848CB"/>
    <w:rsid w:val="00484968"/>
    <w:rsid w:val="00484BA7"/>
    <w:rsid w:val="00484E9E"/>
    <w:rsid w:val="004850BC"/>
    <w:rsid w:val="00485129"/>
    <w:rsid w:val="004851E1"/>
    <w:rsid w:val="0048527A"/>
    <w:rsid w:val="004853C3"/>
    <w:rsid w:val="0048545F"/>
    <w:rsid w:val="0048562F"/>
    <w:rsid w:val="00485960"/>
    <w:rsid w:val="00485B28"/>
    <w:rsid w:val="00485C27"/>
    <w:rsid w:val="00485D99"/>
    <w:rsid w:val="00485DC5"/>
    <w:rsid w:val="00485ECE"/>
    <w:rsid w:val="00485F13"/>
    <w:rsid w:val="00485F34"/>
    <w:rsid w:val="004860A3"/>
    <w:rsid w:val="004861E2"/>
    <w:rsid w:val="00486204"/>
    <w:rsid w:val="004863D2"/>
    <w:rsid w:val="00486736"/>
    <w:rsid w:val="0048679B"/>
    <w:rsid w:val="004868DF"/>
    <w:rsid w:val="00486BFA"/>
    <w:rsid w:val="00486CB0"/>
    <w:rsid w:val="00486E34"/>
    <w:rsid w:val="00486FE3"/>
    <w:rsid w:val="004870BD"/>
    <w:rsid w:val="004875C2"/>
    <w:rsid w:val="00487774"/>
    <w:rsid w:val="00490071"/>
    <w:rsid w:val="004901A6"/>
    <w:rsid w:val="004904B6"/>
    <w:rsid w:val="004904ED"/>
    <w:rsid w:val="004908AF"/>
    <w:rsid w:val="00490C9D"/>
    <w:rsid w:val="00490CC6"/>
    <w:rsid w:val="00490E1F"/>
    <w:rsid w:val="00490F25"/>
    <w:rsid w:val="0049113A"/>
    <w:rsid w:val="004915A5"/>
    <w:rsid w:val="004916C5"/>
    <w:rsid w:val="004919A9"/>
    <w:rsid w:val="00491F2D"/>
    <w:rsid w:val="00492028"/>
    <w:rsid w:val="00492051"/>
    <w:rsid w:val="00492085"/>
    <w:rsid w:val="004920E0"/>
    <w:rsid w:val="00492101"/>
    <w:rsid w:val="00492186"/>
    <w:rsid w:val="004922B6"/>
    <w:rsid w:val="0049231E"/>
    <w:rsid w:val="004927FC"/>
    <w:rsid w:val="00492975"/>
    <w:rsid w:val="00492BA4"/>
    <w:rsid w:val="00492D7D"/>
    <w:rsid w:val="004932C6"/>
    <w:rsid w:val="004932F2"/>
    <w:rsid w:val="00493323"/>
    <w:rsid w:val="00493339"/>
    <w:rsid w:val="0049333A"/>
    <w:rsid w:val="004934F9"/>
    <w:rsid w:val="0049360E"/>
    <w:rsid w:val="004936BB"/>
    <w:rsid w:val="00493A0D"/>
    <w:rsid w:val="00493AF9"/>
    <w:rsid w:val="00493F7A"/>
    <w:rsid w:val="00494309"/>
    <w:rsid w:val="004944DA"/>
    <w:rsid w:val="0049453A"/>
    <w:rsid w:val="00494700"/>
    <w:rsid w:val="004949D7"/>
    <w:rsid w:val="00494A21"/>
    <w:rsid w:val="00494A76"/>
    <w:rsid w:val="00494BBA"/>
    <w:rsid w:val="00494C2D"/>
    <w:rsid w:val="00494CBA"/>
    <w:rsid w:val="00494D2A"/>
    <w:rsid w:val="00494DF0"/>
    <w:rsid w:val="00494EC9"/>
    <w:rsid w:val="004954C0"/>
    <w:rsid w:val="00495524"/>
    <w:rsid w:val="0049559A"/>
    <w:rsid w:val="004955F0"/>
    <w:rsid w:val="00495637"/>
    <w:rsid w:val="004957F5"/>
    <w:rsid w:val="00495902"/>
    <w:rsid w:val="00495B68"/>
    <w:rsid w:val="00495D7B"/>
    <w:rsid w:val="00495E99"/>
    <w:rsid w:val="00496024"/>
    <w:rsid w:val="00496248"/>
    <w:rsid w:val="00496297"/>
    <w:rsid w:val="00496298"/>
    <w:rsid w:val="004962D2"/>
    <w:rsid w:val="004963CC"/>
    <w:rsid w:val="004964FA"/>
    <w:rsid w:val="0049671D"/>
    <w:rsid w:val="00496938"/>
    <w:rsid w:val="00496981"/>
    <w:rsid w:val="00496A42"/>
    <w:rsid w:val="00496A77"/>
    <w:rsid w:val="00496ABF"/>
    <w:rsid w:val="00496EDA"/>
    <w:rsid w:val="00497190"/>
    <w:rsid w:val="00497235"/>
    <w:rsid w:val="004973D6"/>
    <w:rsid w:val="004976B7"/>
    <w:rsid w:val="0049770B"/>
    <w:rsid w:val="00497D0F"/>
    <w:rsid w:val="004A0278"/>
    <w:rsid w:val="004A0332"/>
    <w:rsid w:val="004A04BA"/>
    <w:rsid w:val="004A0742"/>
    <w:rsid w:val="004A0DCC"/>
    <w:rsid w:val="004A1383"/>
    <w:rsid w:val="004A16A5"/>
    <w:rsid w:val="004A16B5"/>
    <w:rsid w:val="004A1894"/>
    <w:rsid w:val="004A191D"/>
    <w:rsid w:val="004A1BD6"/>
    <w:rsid w:val="004A1D6F"/>
    <w:rsid w:val="004A1E0F"/>
    <w:rsid w:val="004A2523"/>
    <w:rsid w:val="004A2812"/>
    <w:rsid w:val="004A2844"/>
    <w:rsid w:val="004A293E"/>
    <w:rsid w:val="004A29AF"/>
    <w:rsid w:val="004A2A05"/>
    <w:rsid w:val="004A2CD3"/>
    <w:rsid w:val="004A2CDE"/>
    <w:rsid w:val="004A2D18"/>
    <w:rsid w:val="004A2D5A"/>
    <w:rsid w:val="004A2D8A"/>
    <w:rsid w:val="004A2EBC"/>
    <w:rsid w:val="004A2F0A"/>
    <w:rsid w:val="004A320C"/>
    <w:rsid w:val="004A321C"/>
    <w:rsid w:val="004A3433"/>
    <w:rsid w:val="004A3459"/>
    <w:rsid w:val="004A3543"/>
    <w:rsid w:val="004A37AC"/>
    <w:rsid w:val="004A3B59"/>
    <w:rsid w:val="004A3F20"/>
    <w:rsid w:val="004A3F90"/>
    <w:rsid w:val="004A40B6"/>
    <w:rsid w:val="004A41A9"/>
    <w:rsid w:val="004A4226"/>
    <w:rsid w:val="004A4316"/>
    <w:rsid w:val="004A434E"/>
    <w:rsid w:val="004A4391"/>
    <w:rsid w:val="004A44C5"/>
    <w:rsid w:val="004A46D9"/>
    <w:rsid w:val="004A48AB"/>
    <w:rsid w:val="004A49CE"/>
    <w:rsid w:val="004A4C81"/>
    <w:rsid w:val="004A4CFB"/>
    <w:rsid w:val="004A4F87"/>
    <w:rsid w:val="004A4FC8"/>
    <w:rsid w:val="004A50D3"/>
    <w:rsid w:val="004A526A"/>
    <w:rsid w:val="004A529C"/>
    <w:rsid w:val="004A5412"/>
    <w:rsid w:val="004A5530"/>
    <w:rsid w:val="004A58CF"/>
    <w:rsid w:val="004A59F4"/>
    <w:rsid w:val="004A5AB8"/>
    <w:rsid w:val="004A5B54"/>
    <w:rsid w:val="004A5E29"/>
    <w:rsid w:val="004A5EBD"/>
    <w:rsid w:val="004A5F3D"/>
    <w:rsid w:val="004A5F85"/>
    <w:rsid w:val="004A5FA7"/>
    <w:rsid w:val="004A6011"/>
    <w:rsid w:val="004A6035"/>
    <w:rsid w:val="004A6268"/>
    <w:rsid w:val="004A63C3"/>
    <w:rsid w:val="004A6533"/>
    <w:rsid w:val="004A65FE"/>
    <w:rsid w:val="004A684D"/>
    <w:rsid w:val="004A6B17"/>
    <w:rsid w:val="004A6B51"/>
    <w:rsid w:val="004A6FA7"/>
    <w:rsid w:val="004A7176"/>
    <w:rsid w:val="004A7262"/>
    <w:rsid w:val="004A7348"/>
    <w:rsid w:val="004A7356"/>
    <w:rsid w:val="004A739D"/>
    <w:rsid w:val="004A7670"/>
    <w:rsid w:val="004A76C5"/>
    <w:rsid w:val="004A774E"/>
    <w:rsid w:val="004A79D6"/>
    <w:rsid w:val="004A7A28"/>
    <w:rsid w:val="004A7A6E"/>
    <w:rsid w:val="004A7F13"/>
    <w:rsid w:val="004B00D9"/>
    <w:rsid w:val="004B011D"/>
    <w:rsid w:val="004B0125"/>
    <w:rsid w:val="004B0304"/>
    <w:rsid w:val="004B03D3"/>
    <w:rsid w:val="004B04CE"/>
    <w:rsid w:val="004B0868"/>
    <w:rsid w:val="004B089B"/>
    <w:rsid w:val="004B08A1"/>
    <w:rsid w:val="004B0A33"/>
    <w:rsid w:val="004B0B7D"/>
    <w:rsid w:val="004B0D83"/>
    <w:rsid w:val="004B0E4B"/>
    <w:rsid w:val="004B1172"/>
    <w:rsid w:val="004B11DE"/>
    <w:rsid w:val="004B125C"/>
    <w:rsid w:val="004B1268"/>
    <w:rsid w:val="004B15B2"/>
    <w:rsid w:val="004B1611"/>
    <w:rsid w:val="004B17D7"/>
    <w:rsid w:val="004B18E3"/>
    <w:rsid w:val="004B19E2"/>
    <w:rsid w:val="004B1B14"/>
    <w:rsid w:val="004B1D13"/>
    <w:rsid w:val="004B1D2B"/>
    <w:rsid w:val="004B1F25"/>
    <w:rsid w:val="004B2038"/>
    <w:rsid w:val="004B221D"/>
    <w:rsid w:val="004B2232"/>
    <w:rsid w:val="004B2360"/>
    <w:rsid w:val="004B27FD"/>
    <w:rsid w:val="004B28DF"/>
    <w:rsid w:val="004B2B78"/>
    <w:rsid w:val="004B2E85"/>
    <w:rsid w:val="004B2F2F"/>
    <w:rsid w:val="004B2FAE"/>
    <w:rsid w:val="004B2FE0"/>
    <w:rsid w:val="004B30CF"/>
    <w:rsid w:val="004B334F"/>
    <w:rsid w:val="004B347A"/>
    <w:rsid w:val="004B3B92"/>
    <w:rsid w:val="004B3BAC"/>
    <w:rsid w:val="004B3DEC"/>
    <w:rsid w:val="004B3E86"/>
    <w:rsid w:val="004B3EC3"/>
    <w:rsid w:val="004B4199"/>
    <w:rsid w:val="004B4324"/>
    <w:rsid w:val="004B4458"/>
    <w:rsid w:val="004B4524"/>
    <w:rsid w:val="004B45A0"/>
    <w:rsid w:val="004B46A2"/>
    <w:rsid w:val="004B48A3"/>
    <w:rsid w:val="004B4904"/>
    <w:rsid w:val="004B4B3D"/>
    <w:rsid w:val="004B4B5F"/>
    <w:rsid w:val="004B4BFE"/>
    <w:rsid w:val="004B4D01"/>
    <w:rsid w:val="004B5359"/>
    <w:rsid w:val="004B536F"/>
    <w:rsid w:val="004B53A5"/>
    <w:rsid w:val="004B57D6"/>
    <w:rsid w:val="004B58C4"/>
    <w:rsid w:val="004B595C"/>
    <w:rsid w:val="004B5A68"/>
    <w:rsid w:val="004B5D68"/>
    <w:rsid w:val="004B5DEC"/>
    <w:rsid w:val="004B5F02"/>
    <w:rsid w:val="004B6028"/>
    <w:rsid w:val="004B60EB"/>
    <w:rsid w:val="004B6104"/>
    <w:rsid w:val="004B6258"/>
    <w:rsid w:val="004B6693"/>
    <w:rsid w:val="004B6827"/>
    <w:rsid w:val="004B6999"/>
    <w:rsid w:val="004B69E2"/>
    <w:rsid w:val="004B6BD1"/>
    <w:rsid w:val="004B6C1B"/>
    <w:rsid w:val="004B6DBF"/>
    <w:rsid w:val="004B6EF9"/>
    <w:rsid w:val="004B6FFA"/>
    <w:rsid w:val="004B729A"/>
    <w:rsid w:val="004B72F3"/>
    <w:rsid w:val="004B7604"/>
    <w:rsid w:val="004B77DC"/>
    <w:rsid w:val="004B7E44"/>
    <w:rsid w:val="004B7FED"/>
    <w:rsid w:val="004C01AA"/>
    <w:rsid w:val="004C0497"/>
    <w:rsid w:val="004C074C"/>
    <w:rsid w:val="004C07D7"/>
    <w:rsid w:val="004C1158"/>
    <w:rsid w:val="004C1414"/>
    <w:rsid w:val="004C1520"/>
    <w:rsid w:val="004C163A"/>
    <w:rsid w:val="004C16EA"/>
    <w:rsid w:val="004C1717"/>
    <w:rsid w:val="004C1A46"/>
    <w:rsid w:val="004C1A53"/>
    <w:rsid w:val="004C1E08"/>
    <w:rsid w:val="004C2174"/>
    <w:rsid w:val="004C2250"/>
    <w:rsid w:val="004C23B1"/>
    <w:rsid w:val="004C23E2"/>
    <w:rsid w:val="004C2405"/>
    <w:rsid w:val="004C2616"/>
    <w:rsid w:val="004C2619"/>
    <w:rsid w:val="004C2AA0"/>
    <w:rsid w:val="004C2AC4"/>
    <w:rsid w:val="004C2C48"/>
    <w:rsid w:val="004C2E92"/>
    <w:rsid w:val="004C2FFF"/>
    <w:rsid w:val="004C30D7"/>
    <w:rsid w:val="004C315A"/>
    <w:rsid w:val="004C338A"/>
    <w:rsid w:val="004C33A7"/>
    <w:rsid w:val="004C3468"/>
    <w:rsid w:val="004C3485"/>
    <w:rsid w:val="004C39C3"/>
    <w:rsid w:val="004C3AE3"/>
    <w:rsid w:val="004C3B7F"/>
    <w:rsid w:val="004C3C32"/>
    <w:rsid w:val="004C3F0C"/>
    <w:rsid w:val="004C4118"/>
    <w:rsid w:val="004C424B"/>
    <w:rsid w:val="004C42B2"/>
    <w:rsid w:val="004C4830"/>
    <w:rsid w:val="004C4916"/>
    <w:rsid w:val="004C4E24"/>
    <w:rsid w:val="004C4F44"/>
    <w:rsid w:val="004C5095"/>
    <w:rsid w:val="004C51C1"/>
    <w:rsid w:val="004C5640"/>
    <w:rsid w:val="004C5874"/>
    <w:rsid w:val="004C5ACD"/>
    <w:rsid w:val="004C5B14"/>
    <w:rsid w:val="004C5E35"/>
    <w:rsid w:val="004C6075"/>
    <w:rsid w:val="004C60F2"/>
    <w:rsid w:val="004C6175"/>
    <w:rsid w:val="004C6384"/>
    <w:rsid w:val="004C63BF"/>
    <w:rsid w:val="004C641E"/>
    <w:rsid w:val="004C6AEE"/>
    <w:rsid w:val="004C6DE4"/>
    <w:rsid w:val="004C6ED5"/>
    <w:rsid w:val="004C6F8C"/>
    <w:rsid w:val="004C7307"/>
    <w:rsid w:val="004C7702"/>
    <w:rsid w:val="004C77A2"/>
    <w:rsid w:val="004C78D0"/>
    <w:rsid w:val="004C7AC9"/>
    <w:rsid w:val="004C7B43"/>
    <w:rsid w:val="004C7DDB"/>
    <w:rsid w:val="004D0301"/>
    <w:rsid w:val="004D0658"/>
    <w:rsid w:val="004D07DF"/>
    <w:rsid w:val="004D07E5"/>
    <w:rsid w:val="004D08B4"/>
    <w:rsid w:val="004D09EB"/>
    <w:rsid w:val="004D09F6"/>
    <w:rsid w:val="004D0D97"/>
    <w:rsid w:val="004D0F24"/>
    <w:rsid w:val="004D13A7"/>
    <w:rsid w:val="004D1416"/>
    <w:rsid w:val="004D152B"/>
    <w:rsid w:val="004D159E"/>
    <w:rsid w:val="004D1911"/>
    <w:rsid w:val="004D191E"/>
    <w:rsid w:val="004D1944"/>
    <w:rsid w:val="004D19FE"/>
    <w:rsid w:val="004D1A28"/>
    <w:rsid w:val="004D1CA1"/>
    <w:rsid w:val="004D1EB9"/>
    <w:rsid w:val="004D1F57"/>
    <w:rsid w:val="004D2003"/>
    <w:rsid w:val="004D21AE"/>
    <w:rsid w:val="004D2283"/>
    <w:rsid w:val="004D22F5"/>
    <w:rsid w:val="004D24AA"/>
    <w:rsid w:val="004D29C1"/>
    <w:rsid w:val="004D2C60"/>
    <w:rsid w:val="004D2D28"/>
    <w:rsid w:val="004D313D"/>
    <w:rsid w:val="004D3356"/>
    <w:rsid w:val="004D35A0"/>
    <w:rsid w:val="004D35F6"/>
    <w:rsid w:val="004D364F"/>
    <w:rsid w:val="004D37C8"/>
    <w:rsid w:val="004D3855"/>
    <w:rsid w:val="004D3859"/>
    <w:rsid w:val="004D38F0"/>
    <w:rsid w:val="004D3A74"/>
    <w:rsid w:val="004D3E38"/>
    <w:rsid w:val="004D3F70"/>
    <w:rsid w:val="004D411B"/>
    <w:rsid w:val="004D428D"/>
    <w:rsid w:val="004D4452"/>
    <w:rsid w:val="004D44FC"/>
    <w:rsid w:val="004D4749"/>
    <w:rsid w:val="004D49FC"/>
    <w:rsid w:val="004D4BAF"/>
    <w:rsid w:val="004D4F42"/>
    <w:rsid w:val="004D5426"/>
    <w:rsid w:val="004D563A"/>
    <w:rsid w:val="004D5DCC"/>
    <w:rsid w:val="004D5FC7"/>
    <w:rsid w:val="004D6065"/>
    <w:rsid w:val="004D608C"/>
    <w:rsid w:val="004D6261"/>
    <w:rsid w:val="004D6428"/>
    <w:rsid w:val="004D64E1"/>
    <w:rsid w:val="004D6753"/>
    <w:rsid w:val="004D67A4"/>
    <w:rsid w:val="004D6E06"/>
    <w:rsid w:val="004D6EE7"/>
    <w:rsid w:val="004D6F6F"/>
    <w:rsid w:val="004D7048"/>
    <w:rsid w:val="004D7228"/>
    <w:rsid w:val="004D743A"/>
    <w:rsid w:val="004D759E"/>
    <w:rsid w:val="004D7674"/>
    <w:rsid w:val="004D78BF"/>
    <w:rsid w:val="004D7962"/>
    <w:rsid w:val="004D7B25"/>
    <w:rsid w:val="004D7B55"/>
    <w:rsid w:val="004D7CE7"/>
    <w:rsid w:val="004D7EDA"/>
    <w:rsid w:val="004E011D"/>
    <w:rsid w:val="004E0138"/>
    <w:rsid w:val="004E0309"/>
    <w:rsid w:val="004E03C9"/>
    <w:rsid w:val="004E041E"/>
    <w:rsid w:val="004E0896"/>
    <w:rsid w:val="004E0B6F"/>
    <w:rsid w:val="004E0BB1"/>
    <w:rsid w:val="004E0C60"/>
    <w:rsid w:val="004E0D43"/>
    <w:rsid w:val="004E0F00"/>
    <w:rsid w:val="004E1064"/>
    <w:rsid w:val="004E10FB"/>
    <w:rsid w:val="004E1233"/>
    <w:rsid w:val="004E17E2"/>
    <w:rsid w:val="004E187E"/>
    <w:rsid w:val="004E194D"/>
    <w:rsid w:val="004E1BF0"/>
    <w:rsid w:val="004E1BF9"/>
    <w:rsid w:val="004E1CA1"/>
    <w:rsid w:val="004E1DD0"/>
    <w:rsid w:val="004E1DED"/>
    <w:rsid w:val="004E1E49"/>
    <w:rsid w:val="004E1E65"/>
    <w:rsid w:val="004E1F67"/>
    <w:rsid w:val="004E20E9"/>
    <w:rsid w:val="004E210B"/>
    <w:rsid w:val="004E2131"/>
    <w:rsid w:val="004E21DA"/>
    <w:rsid w:val="004E242A"/>
    <w:rsid w:val="004E275D"/>
    <w:rsid w:val="004E2852"/>
    <w:rsid w:val="004E288F"/>
    <w:rsid w:val="004E2AEB"/>
    <w:rsid w:val="004E2B39"/>
    <w:rsid w:val="004E2B7D"/>
    <w:rsid w:val="004E2E27"/>
    <w:rsid w:val="004E2E98"/>
    <w:rsid w:val="004E2F18"/>
    <w:rsid w:val="004E2F31"/>
    <w:rsid w:val="004E33AA"/>
    <w:rsid w:val="004E3804"/>
    <w:rsid w:val="004E3854"/>
    <w:rsid w:val="004E3CB8"/>
    <w:rsid w:val="004E45B2"/>
    <w:rsid w:val="004E466C"/>
    <w:rsid w:val="004E476B"/>
    <w:rsid w:val="004E47C4"/>
    <w:rsid w:val="004E4C1D"/>
    <w:rsid w:val="004E4C62"/>
    <w:rsid w:val="004E4DB6"/>
    <w:rsid w:val="004E4E4E"/>
    <w:rsid w:val="004E504E"/>
    <w:rsid w:val="004E5086"/>
    <w:rsid w:val="004E5299"/>
    <w:rsid w:val="004E54D0"/>
    <w:rsid w:val="004E5710"/>
    <w:rsid w:val="004E5AE0"/>
    <w:rsid w:val="004E5D0C"/>
    <w:rsid w:val="004E5EC5"/>
    <w:rsid w:val="004E6218"/>
    <w:rsid w:val="004E637E"/>
    <w:rsid w:val="004E645E"/>
    <w:rsid w:val="004E66E0"/>
    <w:rsid w:val="004E67B1"/>
    <w:rsid w:val="004E680C"/>
    <w:rsid w:val="004E6878"/>
    <w:rsid w:val="004E6A45"/>
    <w:rsid w:val="004E6C80"/>
    <w:rsid w:val="004E6E92"/>
    <w:rsid w:val="004E6F92"/>
    <w:rsid w:val="004E7253"/>
    <w:rsid w:val="004E7577"/>
    <w:rsid w:val="004E7681"/>
    <w:rsid w:val="004E77EA"/>
    <w:rsid w:val="004E780F"/>
    <w:rsid w:val="004E796A"/>
    <w:rsid w:val="004E7A80"/>
    <w:rsid w:val="004E7B57"/>
    <w:rsid w:val="004E7C4D"/>
    <w:rsid w:val="004E7D8C"/>
    <w:rsid w:val="004E7EF9"/>
    <w:rsid w:val="004F00A7"/>
    <w:rsid w:val="004F016B"/>
    <w:rsid w:val="004F0590"/>
    <w:rsid w:val="004F0963"/>
    <w:rsid w:val="004F09F9"/>
    <w:rsid w:val="004F0A87"/>
    <w:rsid w:val="004F0BE6"/>
    <w:rsid w:val="004F0C32"/>
    <w:rsid w:val="004F0F1D"/>
    <w:rsid w:val="004F1069"/>
    <w:rsid w:val="004F1140"/>
    <w:rsid w:val="004F115E"/>
    <w:rsid w:val="004F1378"/>
    <w:rsid w:val="004F138A"/>
    <w:rsid w:val="004F14C3"/>
    <w:rsid w:val="004F15D4"/>
    <w:rsid w:val="004F15E6"/>
    <w:rsid w:val="004F15FD"/>
    <w:rsid w:val="004F16CC"/>
    <w:rsid w:val="004F17D7"/>
    <w:rsid w:val="004F1B11"/>
    <w:rsid w:val="004F1B53"/>
    <w:rsid w:val="004F1C66"/>
    <w:rsid w:val="004F1C8B"/>
    <w:rsid w:val="004F1DA8"/>
    <w:rsid w:val="004F1FD3"/>
    <w:rsid w:val="004F2074"/>
    <w:rsid w:val="004F242D"/>
    <w:rsid w:val="004F24EF"/>
    <w:rsid w:val="004F2A30"/>
    <w:rsid w:val="004F2B51"/>
    <w:rsid w:val="004F2C28"/>
    <w:rsid w:val="004F2E8C"/>
    <w:rsid w:val="004F30AD"/>
    <w:rsid w:val="004F3135"/>
    <w:rsid w:val="004F3362"/>
    <w:rsid w:val="004F341F"/>
    <w:rsid w:val="004F3525"/>
    <w:rsid w:val="004F37EC"/>
    <w:rsid w:val="004F3AA7"/>
    <w:rsid w:val="004F3AFA"/>
    <w:rsid w:val="004F3C60"/>
    <w:rsid w:val="004F3CA8"/>
    <w:rsid w:val="004F4202"/>
    <w:rsid w:val="004F42A3"/>
    <w:rsid w:val="004F42D5"/>
    <w:rsid w:val="004F42E5"/>
    <w:rsid w:val="004F45AC"/>
    <w:rsid w:val="004F47B4"/>
    <w:rsid w:val="004F4A33"/>
    <w:rsid w:val="004F4A4B"/>
    <w:rsid w:val="004F4D82"/>
    <w:rsid w:val="004F4E8A"/>
    <w:rsid w:val="004F527F"/>
    <w:rsid w:val="004F5786"/>
    <w:rsid w:val="004F590C"/>
    <w:rsid w:val="004F5986"/>
    <w:rsid w:val="004F5B10"/>
    <w:rsid w:val="004F5B49"/>
    <w:rsid w:val="004F5C40"/>
    <w:rsid w:val="004F5D19"/>
    <w:rsid w:val="004F5E09"/>
    <w:rsid w:val="004F60DE"/>
    <w:rsid w:val="004F6101"/>
    <w:rsid w:val="004F6130"/>
    <w:rsid w:val="004F623C"/>
    <w:rsid w:val="004F63D4"/>
    <w:rsid w:val="004F6C1A"/>
    <w:rsid w:val="004F6F5A"/>
    <w:rsid w:val="004F7440"/>
    <w:rsid w:val="004F76D7"/>
    <w:rsid w:val="004F7A52"/>
    <w:rsid w:val="004F7BB4"/>
    <w:rsid w:val="004F7D7E"/>
    <w:rsid w:val="005001F3"/>
    <w:rsid w:val="0050029C"/>
    <w:rsid w:val="00500388"/>
    <w:rsid w:val="0050043B"/>
    <w:rsid w:val="005004C0"/>
    <w:rsid w:val="00500673"/>
    <w:rsid w:val="00500808"/>
    <w:rsid w:val="00500B1C"/>
    <w:rsid w:val="00500B40"/>
    <w:rsid w:val="00500BA8"/>
    <w:rsid w:val="00500CFF"/>
    <w:rsid w:val="00500DAD"/>
    <w:rsid w:val="00500E50"/>
    <w:rsid w:val="00500FA2"/>
    <w:rsid w:val="00500FA7"/>
    <w:rsid w:val="00501071"/>
    <w:rsid w:val="00501238"/>
    <w:rsid w:val="005012D8"/>
    <w:rsid w:val="00501511"/>
    <w:rsid w:val="00501998"/>
    <w:rsid w:val="00501DE2"/>
    <w:rsid w:val="00501E4A"/>
    <w:rsid w:val="00501EE4"/>
    <w:rsid w:val="00501EFF"/>
    <w:rsid w:val="00502072"/>
    <w:rsid w:val="005021FF"/>
    <w:rsid w:val="00502225"/>
    <w:rsid w:val="0050222A"/>
    <w:rsid w:val="0050230A"/>
    <w:rsid w:val="005024F5"/>
    <w:rsid w:val="00502637"/>
    <w:rsid w:val="00502A66"/>
    <w:rsid w:val="00502EA6"/>
    <w:rsid w:val="00503491"/>
    <w:rsid w:val="005035FE"/>
    <w:rsid w:val="005036E0"/>
    <w:rsid w:val="005036F5"/>
    <w:rsid w:val="0050373C"/>
    <w:rsid w:val="005037B2"/>
    <w:rsid w:val="00503A07"/>
    <w:rsid w:val="00503FBF"/>
    <w:rsid w:val="0050445E"/>
    <w:rsid w:val="005044DC"/>
    <w:rsid w:val="00504660"/>
    <w:rsid w:val="0050476C"/>
    <w:rsid w:val="005047B7"/>
    <w:rsid w:val="00504884"/>
    <w:rsid w:val="005048CC"/>
    <w:rsid w:val="00504ADE"/>
    <w:rsid w:val="00504CB4"/>
    <w:rsid w:val="00505475"/>
    <w:rsid w:val="00505688"/>
    <w:rsid w:val="005057CB"/>
    <w:rsid w:val="005059EB"/>
    <w:rsid w:val="00505B2D"/>
    <w:rsid w:val="00505BE2"/>
    <w:rsid w:val="00505F74"/>
    <w:rsid w:val="005060DE"/>
    <w:rsid w:val="00506208"/>
    <w:rsid w:val="005062C9"/>
    <w:rsid w:val="00506329"/>
    <w:rsid w:val="00506380"/>
    <w:rsid w:val="00506566"/>
    <w:rsid w:val="005067E3"/>
    <w:rsid w:val="0050685A"/>
    <w:rsid w:val="005068B2"/>
    <w:rsid w:val="00506902"/>
    <w:rsid w:val="005069C7"/>
    <w:rsid w:val="00506A18"/>
    <w:rsid w:val="00506D66"/>
    <w:rsid w:val="00506E51"/>
    <w:rsid w:val="00506E5B"/>
    <w:rsid w:val="00506ED5"/>
    <w:rsid w:val="00506F12"/>
    <w:rsid w:val="00507166"/>
    <w:rsid w:val="0050726F"/>
    <w:rsid w:val="00507365"/>
    <w:rsid w:val="005076C8"/>
    <w:rsid w:val="00507B57"/>
    <w:rsid w:val="00507C5B"/>
    <w:rsid w:val="00507D14"/>
    <w:rsid w:val="00507F00"/>
    <w:rsid w:val="00507F2C"/>
    <w:rsid w:val="005100A0"/>
    <w:rsid w:val="005103B0"/>
    <w:rsid w:val="005103FE"/>
    <w:rsid w:val="0051042A"/>
    <w:rsid w:val="005104C1"/>
    <w:rsid w:val="0051094B"/>
    <w:rsid w:val="005109F5"/>
    <w:rsid w:val="00510A00"/>
    <w:rsid w:val="00510B2B"/>
    <w:rsid w:val="00510B36"/>
    <w:rsid w:val="00510E1D"/>
    <w:rsid w:val="00510E32"/>
    <w:rsid w:val="00510FA0"/>
    <w:rsid w:val="00510FB3"/>
    <w:rsid w:val="00510FB7"/>
    <w:rsid w:val="005110CD"/>
    <w:rsid w:val="00511320"/>
    <w:rsid w:val="0051148D"/>
    <w:rsid w:val="00511623"/>
    <w:rsid w:val="00511715"/>
    <w:rsid w:val="00511759"/>
    <w:rsid w:val="00511A19"/>
    <w:rsid w:val="00511DDF"/>
    <w:rsid w:val="00511E40"/>
    <w:rsid w:val="00512318"/>
    <w:rsid w:val="005124AB"/>
    <w:rsid w:val="00512772"/>
    <w:rsid w:val="005129C9"/>
    <w:rsid w:val="00512B91"/>
    <w:rsid w:val="00512B9A"/>
    <w:rsid w:val="00512D6A"/>
    <w:rsid w:val="00512F6D"/>
    <w:rsid w:val="00512FAB"/>
    <w:rsid w:val="00512FD3"/>
    <w:rsid w:val="0051325D"/>
    <w:rsid w:val="005134E3"/>
    <w:rsid w:val="005135C5"/>
    <w:rsid w:val="0051362C"/>
    <w:rsid w:val="0051395E"/>
    <w:rsid w:val="00513DBD"/>
    <w:rsid w:val="00513DC4"/>
    <w:rsid w:val="00513F98"/>
    <w:rsid w:val="00514098"/>
    <w:rsid w:val="005143F3"/>
    <w:rsid w:val="00514486"/>
    <w:rsid w:val="0051482E"/>
    <w:rsid w:val="0051488B"/>
    <w:rsid w:val="005149E5"/>
    <w:rsid w:val="00514BC6"/>
    <w:rsid w:val="00514C73"/>
    <w:rsid w:val="00514EB7"/>
    <w:rsid w:val="00514FFC"/>
    <w:rsid w:val="0051517A"/>
    <w:rsid w:val="005154AB"/>
    <w:rsid w:val="00515538"/>
    <w:rsid w:val="005155B3"/>
    <w:rsid w:val="00515659"/>
    <w:rsid w:val="0051568B"/>
    <w:rsid w:val="00515812"/>
    <w:rsid w:val="005158FF"/>
    <w:rsid w:val="00515930"/>
    <w:rsid w:val="00515A36"/>
    <w:rsid w:val="00515A69"/>
    <w:rsid w:val="00515F56"/>
    <w:rsid w:val="005160FC"/>
    <w:rsid w:val="00516295"/>
    <w:rsid w:val="00516798"/>
    <w:rsid w:val="00516A2E"/>
    <w:rsid w:val="00516B10"/>
    <w:rsid w:val="00516BC9"/>
    <w:rsid w:val="00516C88"/>
    <w:rsid w:val="00516C9A"/>
    <w:rsid w:val="00516E8E"/>
    <w:rsid w:val="00516F47"/>
    <w:rsid w:val="0051715E"/>
    <w:rsid w:val="005172AD"/>
    <w:rsid w:val="005173C7"/>
    <w:rsid w:val="00517735"/>
    <w:rsid w:val="0051777E"/>
    <w:rsid w:val="0051788B"/>
    <w:rsid w:val="0051792D"/>
    <w:rsid w:val="00517B49"/>
    <w:rsid w:val="00517C27"/>
    <w:rsid w:val="00520042"/>
    <w:rsid w:val="00520295"/>
    <w:rsid w:val="00520512"/>
    <w:rsid w:val="00520601"/>
    <w:rsid w:val="00520655"/>
    <w:rsid w:val="00520882"/>
    <w:rsid w:val="00520AB6"/>
    <w:rsid w:val="00520C5F"/>
    <w:rsid w:val="00520CBB"/>
    <w:rsid w:val="00520D08"/>
    <w:rsid w:val="00520D94"/>
    <w:rsid w:val="00520F06"/>
    <w:rsid w:val="00520F23"/>
    <w:rsid w:val="00520F36"/>
    <w:rsid w:val="005210A1"/>
    <w:rsid w:val="0052134D"/>
    <w:rsid w:val="005214A5"/>
    <w:rsid w:val="00521BB9"/>
    <w:rsid w:val="00521C82"/>
    <w:rsid w:val="00521CC4"/>
    <w:rsid w:val="00521CD4"/>
    <w:rsid w:val="00521F5A"/>
    <w:rsid w:val="005221BB"/>
    <w:rsid w:val="005223D9"/>
    <w:rsid w:val="00522596"/>
    <w:rsid w:val="0052267A"/>
    <w:rsid w:val="0052292A"/>
    <w:rsid w:val="00522947"/>
    <w:rsid w:val="00522A56"/>
    <w:rsid w:val="00522BC5"/>
    <w:rsid w:val="00522F09"/>
    <w:rsid w:val="005233E7"/>
    <w:rsid w:val="0052346A"/>
    <w:rsid w:val="0052376A"/>
    <w:rsid w:val="0052391D"/>
    <w:rsid w:val="00523CDA"/>
    <w:rsid w:val="00524328"/>
    <w:rsid w:val="005245EB"/>
    <w:rsid w:val="005247CF"/>
    <w:rsid w:val="005248B7"/>
    <w:rsid w:val="00524953"/>
    <w:rsid w:val="00524C7A"/>
    <w:rsid w:val="00524D83"/>
    <w:rsid w:val="00524DB5"/>
    <w:rsid w:val="00524E55"/>
    <w:rsid w:val="00525110"/>
    <w:rsid w:val="0052532A"/>
    <w:rsid w:val="005253D2"/>
    <w:rsid w:val="005256E1"/>
    <w:rsid w:val="00525756"/>
    <w:rsid w:val="00525A5C"/>
    <w:rsid w:val="00525A65"/>
    <w:rsid w:val="00525B3B"/>
    <w:rsid w:val="00525CE8"/>
    <w:rsid w:val="0052603C"/>
    <w:rsid w:val="0052609D"/>
    <w:rsid w:val="00526521"/>
    <w:rsid w:val="00526863"/>
    <w:rsid w:val="0052687F"/>
    <w:rsid w:val="0052699F"/>
    <w:rsid w:val="00526B41"/>
    <w:rsid w:val="00526CEA"/>
    <w:rsid w:val="00526D05"/>
    <w:rsid w:val="00526D31"/>
    <w:rsid w:val="00526F1D"/>
    <w:rsid w:val="005270F9"/>
    <w:rsid w:val="00527555"/>
    <w:rsid w:val="005275B7"/>
    <w:rsid w:val="00527682"/>
    <w:rsid w:val="00527794"/>
    <w:rsid w:val="00527896"/>
    <w:rsid w:val="005278EC"/>
    <w:rsid w:val="00527C4C"/>
    <w:rsid w:val="00527CD7"/>
    <w:rsid w:val="00527D19"/>
    <w:rsid w:val="00527DDA"/>
    <w:rsid w:val="00527E5D"/>
    <w:rsid w:val="005301AF"/>
    <w:rsid w:val="00530223"/>
    <w:rsid w:val="00530381"/>
    <w:rsid w:val="00530411"/>
    <w:rsid w:val="00530575"/>
    <w:rsid w:val="00530632"/>
    <w:rsid w:val="00530852"/>
    <w:rsid w:val="00530A2F"/>
    <w:rsid w:val="00530AC2"/>
    <w:rsid w:val="00530E91"/>
    <w:rsid w:val="005310CC"/>
    <w:rsid w:val="005311F5"/>
    <w:rsid w:val="00531398"/>
    <w:rsid w:val="00531450"/>
    <w:rsid w:val="00531511"/>
    <w:rsid w:val="00531752"/>
    <w:rsid w:val="00531785"/>
    <w:rsid w:val="00531AE8"/>
    <w:rsid w:val="00531BC2"/>
    <w:rsid w:val="00531BFB"/>
    <w:rsid w:val="00531D3C"/>
    <w:rsid w:val="00531E1C"/>
    <w:rsid w:val="00531F21"/>
    <w:rsid w:val="005321FB"/>
    <w:rsid w:val="00532418"/>
    <w:rsid w:val="005327F3"/>
    <w:rsid w:val="005328A3"/>
    <w:rsid w:val="00532A68"/>
    <w:rsid w:val="00532B83"/>
    <w:rsid w:val="00532C7D"/>
    <w:rsid w:val="00532D2F"/>
    <w:rsid w:val="00532D73"/>
    <w:rsid w:val="00532E73"/>
    <w:rsid w:val="00532EE0"/>
    <w:rsid w:val="00533067"/>
    <w:rsid w:val="00533195"/>
    <w:rsid w:val="00533239"/>
    <w:rsid w:val="0053337B"/>
    <w:rsid w:val="005333DE"/>
    <w:rsid w:val="0053341D"/>
    <w:rsid w:val="00533653"/>
    <w:rsid w:val="0053392E"/>
    <w:rsid w:val="00533A58"/>
    <w:rsid w:val="00533B04"/>
    <w:rsid w:val="0053404D"/>
    <w:rsid w:val="0053447D"/>
    <w:rsid w:val="005344F0"/>
    <w:rsid w:val="00534506"/>
    <w:rsid w:val="0053478A"/>
    <w:rsid w:val="0053481F"/>
    <w:rsid w:val="005349AE"/>
    <w:rsid w:val="00534E53"/>
    <w:rsid w:val="00535221"/>
    <w:rsid w:val="005354DA"/>
    <w:rsid w:val="00535668"/>
    <w:rsid w:val="005356B7"/>
    <w:rsid w:val="00535763"/>
    <w:rsid w:val="005359A1"/>
    <w:rsid w:val="00535B03"/>
    <w:rsid w:val="00535B76"/>
    <w:rsid w:val="00535C88"/>
    <w:rsid w:val="00535D67"/>
    <w:rsid w:val="00535F90"/>
    <w:rsid w:val="00535FF2"/>
    <w:rsid w:val="005362A2"/>
    <w:rsid w:val="0053641C"/>
    <w:rsid w:val="00536AB8"/>
    <w:rsid w:val="00536AF8"/>
    <w:rsid w:val="00536B69"/>
    <w:rsid w:val="00536E00"/>
    <w:rsid w:val="00536E08"/>
    <w:rsid w:val="00536F85"/>
    <w:rsid w:val="00537172"/>
    <w:rsid w:val="005371E1"/>
    <w:rsid w:val="005374B2"/>
    <w:rsid w:val="005374EA"/>
    <w:rsid w:val="005375C9"/>
    <w:rsid w:val="00537619"/>
    <w:rsid w:val="005376B5"/>
    <w:rsid w:val="00537748"/>
    <w:rsid w:val="00537750"/>
    <w:rsid w:val="0053782A"/>
    <w:rsid w:val="00537BDF"/>
    <w:rsid w:val="00537FCD"/>
    <w:rsid w:val="005403B3"/>
    <w:rsid w:val="005408A1"/>
    <w:rsid w:val="00540936"/>
    <w:rsid w:val="00540956"/>
    <w:rsid w:val="005409CC"/>
    <w:rsid w:val="00540B92"/>
    <w:rsid w:val="00540C02"/>
    <w:rsid w:val="00541142"/>
    <w:rsid w:val="00541179"/>
    <w:rsid w:val="00541236"/>
    <w:rsid w:val="005413CC"/>
    <w:rsid w:val="0054148E"/>
    <w:rsid w:val="0054154D"/>
    <w:rsid w:val="00541702"/>
    <w:rsid w:val="0054179E"/>
    <w:rsid w:val="00541927"/>
    <w:rsid w:val="00541976"/>
    <w:rsid w:val="00541983"/>
    <w:rsid w:val="005419B7"/>
    <w:rsid w:val="00541B46"/>
    <w:rsid w:val="00541C4F"/>
    <w:rsid w:val="00541E8B"/>
    <w:rsid w:val="005421E8"/>
    <w:rsid w:val="005423D8"/>
    <w:rsid w:val="00542505"/>
    <w:rsid w:val="005425A7"/>
    <w:rsid w:val="00542991"/>
    <w:rsid w:val="005429C6"/>
    <w:rsid w:val="00542A31"/>
    <w:rsid w:val="00542A66"/>
    <w:rsid w:val="00542AA0"/>
    <w:rsid w:val="00542B67"/>
    <w:rsid w:val="00542CDD"/>
    <w:rsid w:val="00542D74"/>
    <w:rsid w:val="00542E48"/>
    <w:rsid w:val="005436EC"/>
    <w:rsid w:val="0054370D"/>
    <w:rsid w:val="005437B2"/>
    <w:rsid w:val="00543990"/>
    <w:rsid w:val="00543AD0"/>
    <w:rsid w:val="00543BA8"/>
    <w:rsid w:val="00543D2C"/>
    <w:rsid w:val="00543D4D"/>
    <w:rsid w:val="00543DCF"/>
    <w:rsid w:val="00543F15"/>
    <w:rsid w:val="005444FC"/>
    <w:rsid w:val="00544637"/>
    <w:rsid w:val="005447CC"/>
    <w:rsid w:val="005447F5"/>
    <w:rsid w:val="0054490D"/>
    <w:rsid w:val="00544B10"/>
    <w:rsid w:val="00544BBC"/>
    <w:rsid w:val="00544CCB"/>
    <w:rsid w:val="00544D72"/>
    <w:rsid w:val="00544EE6"/>
    <w:rsid w:val="0054507D"/>
    <w:rsid w:val="0054513D"/>
    <w:rsid w:val="005451AE"/>
    <w:rsid w:val="0054545A"/>
    <w:rsid w:val="00545482"/>
    <w:rsid w:val="00545497"/>
    <w:rsid w:val="00545506"/>
    <w:rsid w:val="005457A0"/>
    <w:rsid w:val="005458B0"/>
    <w:rsid w:val="00545E8D"/>
    <w:rsid w:val="00546238"/>
    <w:rsid w:val="00546302"/>
    <w:rsid w:val="00546311"/>
    <w:rsid w:val="0054645B"/>
    <w:rsid w:val="005464F2"/>
    <w:rsid w:val="00546528"/>
    <w:rsid w:val="00546562"/>
    <w:rsid w:val="0054665C"/>
    <w:rsid w:val="00546A2E"/>
    <w:rsid w:val="00546A7B"/>
    <w:rsid w:val="00546B09"/>
    <w:rsid w:val="00546B1D"/>
    <w:rsid w:val="00546C22"/>
    <w:rsid w:val="00546D6B"/>
    <w:rsid w:val="00546D90"/>
    <w:rsid w:val="00546DFE"/>
    <w:rsid w:val="00546E50"/>
    <w:rsid w:val="00546F7A"/>
    <w:rsid w:val="005470F1"/>
    <w:rsid w:val="0054712C"/>
    <w:rsid w:val="005472E6"/>
    <w:rsid w:val="005473C3"/>
    <w:rsid w:val="005473E1"/>
    <w:rsid w:val="0054786B"/>
    <w:rsid w:val="0054790C"/>
    <w:rsid w:val="00547BCE"/>
    <w:rsid w:val="00547FBC"/>
    <w:rsid w:val="0055032D"/>
    <w:rsid w:val="0055034F"/>
    <w:rsid w:val="0055041D"/>
    <w:rsid w:val="0055094E"/>
    <w:rsid w:val="00550C65"/>
    <w:rsid w:val="00550E4C"/>
    <w:rsid w:val="00550F1A"/>
    <w:rsid w:val="00551023"/>
    <w:rsid w:val="00551073"/>
    <w:rsid w:val="0055126F"/>
    <w:rsid w:val="005513F5"/>
    <w:rsid w:val="005517DB"/>
    <w:rsid w:val="0055183E"/>
    <w:rsid w:val="00551CF2"/>
    <w:rsid w:val="00551D22"/>
    <w:rsid w:val="00551D3F"/>
    <w:rsid w:val="00551EA6"/>
    <w:rsid w:val="00551EB5"/>
    <w:rsid w:val="00551EC1"/>
    <w:rsid w:val="0055204F"/>
    <w:rsid w:val="00552534"/>
    <w:rsid w:val="00552645"/>
    <w:rsid w:val="005526DE"/>
    <w:rsid w:val="00552739"/>
    <w:rsid w:val="0055275D"/>
    <w:rsid w:val="005529CA"/>
    <w:rsid w:val="00552A2D"/>
    <w:rsid w:val="00552B48"/>
    <w:rsid w:val="00552BEA"/>
    <w:rsid w:val="00552DD0"/>
    <w:rsid w:val="00552E72"/>
    <w:rsid w:val="00552F46"/>
    <w:rsid w:val="00552FF2"/>
    <w:rsid w:val="00553245"/>
    <w:rsid w:val="005532D2"/>
    <w:rsid w:val="005532F7"/>
    <w:rsid w:val="00553699"/>
    <w:rsid w:val="0055380A"/>
    <w:rsid w:val="005538C4"/>
    <w:rsid w:val="00553916"/>
    <w:rsid w:val="00553AC3"/>
    <w:rsid w:val="00553B32"/>
    <w:rsid w:val="00553DCD"/>
    <w:rsid w:val="00553E87"/>
    <w:rsid w:val="00553EAA"/>
    <w:rsid w:val="00553FF4"/>
    <w:rsid w:val="0055477C"/>
    <w:rsid w:val="00554998"/>
    <w:rsid w:val="00554B37"/>
    <w:rsid w:val="00554BA3"/>
    <w:rsid w:val="00554CE0"/>
    <w:rsid w:val="00554EAF"/>
    <w:rsid w:val="00554ED9"/>
    <w:rsid w:val="00554FE6"/>
    <w:rsid w:val="00555075"/>
    <w:rsid w:val="005550F1"/>
    <w:rsid w:val="0055514A"/>
    <w:rsid w:val="005551D2"/>
    <w:rsid w:val="005552EA"/>
    <w:rsid w:val="00555C29"/>
    <w:rsid w:val="00555E50"/>
    <w:rsid w:val="00555EE8"/>
    <w:rsid w:val="00556179"/>
    <w:rsid w:val="005562A2"/>
    <w:rsid w:val="00556420"/>
    <w:rsid w:val="00556DFC"/>
    <w:rsid w:val="00556E91"/>
    <w:rsid w:val="00556FE9"/>
    <w:rsid w:val="0055735F"/>
    <w:rsid w:val="005573A4"/>
    <w:rsid w:val="005574F8"/>
    <w:rsid w:val="00557647"/>
    <w:rsid w:val="0055777D"/>
    <w:rsid w:val="005578E0"/>
    <w:rsid w:val="005579D2"/>
    <w:rsid w:val="00557D5D"/>
    <w:rsid w:val="005601A5"/>
    <w:rsid w:val="005603B6"/>
    <w:rsid w:val="00560415"/>
    <w:rsid w:val="0056069A"/>
    <w:rsid w:val="00560A34"/>
    <w:rsid w:val="00560B1D"/>
    <w:rsid w:val="00560B26"/>
    <w:rsid w:val="00560B58"/>
    <w:rsid w:val="00560D2E"/>
    <w:rsid w:val="00560F64"/>
    <w:rsid w:val="00560F97"/>
    <w:rsid w:val="00560FB0"/>
    <w:rsid w:val="005611E0"/>
    <w:rsid w:val="005613AD"/>
    <w:rsid w:val="005616B4"/>
    <w:rsid w:val="0056188D"/>
    <w:rsid w:val="00561AF6"/>
    <w:rsid w:val="00561CC6"/>
    <w:rsid w:val="0056208D"/>
    <w:rsid w:val="005623A4"/>
    <w:rsid w:val="005624B3"/>
    <w:rsid w:val="0056262C"/>
    <w:rsid w:val="005626FB"/>
    <w:rsid w:val="00562705"/>
    <w:rsid w:val="00562B6D"/>
    <w:rsid w:val="00562DEE"/>
    <w:rsid w:val="00562F7E"/>
    <w:rsid w:val="005630DF"/>
    <w:rsid w:val="00563171"/>
    <w:rsid w:val="005633DD"/>
    <w:rsid w:val="005633EE"/>
    <w:rsid w:val="0056360D"/>
    <w:rsid w:val="0056374E"/>
    <w:rsid w:val="00563984"/>
    <w:rsid w:val="00563C6F"/>
    <w:rsid w:val="00563E17"/>
    <w:rsid w:val="00563FA9"/>
    <w:rsid w:val="00564104"/>
    <w:rsid w:val="00564213"/>
    <w:rsid w:val="005645A7"/>
    <w:rsid w:val="00564811"/>
    <w:rsid w:val="005649B4"/>
    <w:rsid w:val="00564F21"/>
    <w:rsid w:val="00565276"/>
    <w:rsid w:val="00565427"/>
    <w:rsid w:val="005654AF"/>
    <w:rsid w:val="00565605"/>
    <w:rsid w:val="00565ABE"/>
    <w:rsid w:val="00565B36"/>
    <w:rsid w:val="00565B95"/>
    <w:rsid w:val="005661CB"/>
    <w:rsid w:val="00566246"/>
    <w:rsid w:val="0056654A"/>
    <w:rsid w:val="00566591"/>
    <w:rsid w:val="00566A20"/>
    <w:rsid w:val="00566C00"/>
    <w:rsid w:val="00566C5A"/>
    <w:rsid w:val="00566DA1"/>
    <w:rsid w:val="00566E62"/>
    <w:rsid w:val="00566F5E"/>
    <w:rsid w:val="00566F63"/>
    <w:rsid w:val="005671F6"/>
    <w:rsid w:val="00567217"/>
    <w:rsid w:val="00567499"/>
    <w:rsid w:val="00567552"/>
    <w:rsid w:val="0056768F"/>
    <w:rsid w:val="00567704"/>
    <w:rsid w:val="00567881"/>
    <w:rsid w:val="00567A58"/>
    <w:rsid w:val="00567AD6"/>
    <w:rsid w:val="00567E63"/>
    <w:rsid w:val="00567F21"/>
    <w:rsid w:val="00567F8B"/>
    <w:rsid w:val="0057008C"/>
    <w:rsid w:val="005701C5"/>
    <w:rsid w:val="005701F5"/>
    <w:rsid w:val="005701FF"/>
    <w:rsid w:val="005702B2"/>
    <w:rsid w:val="00570654"/>
    <w:rsid w:val="0057094D"/>
    <w:rsid w:val="00570A4C"/>
    <w:rsid w:val="00570AAF"/>
    <w:rsid w:val="00570C70"/>
    <w:rsid w:val="00570CA2"/>
    <w:rsid w:val="00570DA5"/>
    <w:rsid w:val="00570F02"/>
    <w:rsid w:val="005713F0"/>
    <w:rsid w:val="0057143C"/>
    <w:rsid w:val="0057178E"/>
    <w:rsid w:val="0057185B"/>
    <w:rsid w:val="00571950"/>
    <w:rsid w:val="00571951"/>
    <w:rsid w:val="00571E0E"/>
    <w:rsid w:val="00571EAF"/>
    <w:rsid w:val="00572139"/>
    <w:rsid w:val="005721E7"/>
    <w:rsid w:val="005723FE"/>
    <w:rsid w:val="0057251F"/>
    <w:rsid w:val="0057253F"/>
    <w:rsid w:val="005727A7"/>
    <w:rsid w:val="00572819"/>
    <w:rsid w:val="0057284A"/>
    <w:rsid w:val="00572886"/>
    <w:rsid w:val="00572ADD"/>
    <w:rsid w:val="00572B03"/>
    <w:rsid w:val="00572D0F"/>
    <w:rsid w:val="00572D71"/>
    <w:rsid w:val="0057308D"/>
    <w:rsid w:val="005734CA"/>
    <w:rsid w:val="0057354A"/>
    <w:rsid w:val="00573556"/>
    <w:rsid w:val="00573626"/>
    <w:rsid w:val="005736C4"/>
    <w:rsid w:val="005738EE"/>
    <w:rsid w:val="00573984"/>
    <w:rsid w:val="00573B13"/>
    <w:rsid w:val="00573D2F"/>
    <w:rsid w:val="00573FD4"/>
    <w:rsid w:val="0057407D"/>
    <w:rsid w:val="00574309"/>
    <w:rsid w:val="0057438C"/>
    <w:rsid w:val="00574777"/>
    <w:rsid w:val="005747BF"/>
    <w:rsid w:val="00574841"/>
    <w:rsid w:val="005749A2"/>
    <w:rsid w:val="00574B0A"/>
    <w:rsid w:val="00574BF5"/>
    <w:rsid w:val="00574DEC"/>
    <w:rsid w:val="00574EBD"/>
    <w:rsid w:val="00574FF0"/>
    <w:rsid w:val="005752E0"/>
    <w:rsid w:val="00575361"/>
    <w:rsid w:val="005756F1"/>
    <w:rsid w:val="00575CCB"/>
    <w:rsid w:val="00575DC0"/>
    <w:rsid w:val="0057602D"/>
    <w:rsid w:val="00576323"/>
    <w:rsid w:val="00576453"/>
    <w:rsid w:val="005764C4"/>
    <w:rsid w:val="0057658E"/>
    <w:rsid w:val="00576A04"/>
    <w:rsid w:val="00576AE0"/>
    <w:rsid w:val="00576FB9"/>
    <w:rsid w:val="0057712E"/>
    <w:rsid w:val="00577224"/>
    <w:rsid w:val="00577390"/>
    <w:rsid w:val="0057754F"/>
    <w:rsid w:val="00577679"/>
    <w:rsid w:val="00577757"/>
    <w:rsid w:val="005778AC"/>
    <w:rsid w:val="00577948"/>
    <w:rsid w:val="0057799A"/>
    <w:rsid w:val="005801B0"/>
    <w:rsid w:val="0058034E"/>
    <w:rsid w:val="005804D3"/>
    <w:rsid w:val="00580531"/>
    <w:rsid w:val="00580748"/>
    <w:rsid w:val="00580D94"/>
    <w:rsid w:val="00580F77"/>
    <w:rsid w:val="005810AE"/>
    <w:rsid w:val="0058110A"/>
    <w:rsid w:val="00581201"/>
    <w:rsid w:val="0058137C"/>
    <w:rsid w:val="00581519"/>
    <w:rsid w:val="0058151B"/>
    <w:rsid w:val="00581678"/>
    <w:rsid w:val="0058177B"/>
    <w:rsid w:val="00581788"/>
    <w:rsid w:val="00581B7C"/>
    <w:rsid w:val="00581F5E"/>
    <w:rsid w:val="005820E0"/>
    <w:rsid w:val="00582A04"/>
    <w:rsid w:val="00582B78"/>
    <w:rsid w:val="00582BD1"/>
    <w:rsid w:val="00582C9A"/>
    <w:rsid w:val="00582D45"/>
    <w:rsid w:val="00582D7B"/>
    <w:rsid w:val="00582E16"/>
    <w:rsid w:val="0058332E"/>
    <w:rsid w:val="0058348D"/>
    <w:rsid w:val="00583A84"/>
    <w:rsid w:val="00583AF3"/>
    <w:rsid w:val="00583B22"/>
    <w:rsid w:val="00583C46"/>
    <w:rsid w:val="00583CB7"/>
    <w:rsid w:val="00583E36"/>
    <w:rsid w:val="00583FC4"/>
    <w:rsid w:val="005840D2"/>
    <w:rsid w:val="005843DE"/>
    <w:rsid w:val="00584471"/>
    <w:rsid w:val="00584542"/>
    <w:rsid w:val="00584564"/>
    <w:rsid w:val="0058457E"/>
    <w:rsid w:val="005845DE"/>
    <w:rsid w:val="0058468A"/>
    <w:rsid w:val="00584895"/>
    <w:rsid w:val="00584A6F"/>
    <w:rsid w:val="00584DBC"/>
    <w:rsid w:val="00584F02"/>
    <w:rsid w:val="00584F11"/>
    <w:rsid w:val="005851F6"/>
    <w:rsid w:val="005852F6"/>
    <w:rsid w:val="005855C8"/>
    <w:rsid w:val="005856EB"/>
    <w:rsid w:val="005857F1"/>
    <w:rsid w:val="00585AE8"/>
    <w:rsid w:val="00585E9C"/>
    <w:rsid w:val="00585F97"/>
    <w:rsid w:val="005862B6"/>
    <w:rsid w:val="00586473"/>
    <w:rsid w:val="005865F5"/>
    <w:rsid w:val="00586659"/>
    <w:rsid w:val="00586BC4"/>
    <w:rsid w:val="00586CE1"/>
    <w:rsid w:val="00586DB8"/>
    <w:rsid w:val="00586E05"/>
    <w:rsid w:val="00586F5C"/>
    <w:rsid w:val="0058702D"/>
    <w:rsid w:val="00587AD2"/>
    <w:rsid w:val="00590197"/>
    <w:rsid w:val="0059020E"/>
    <w:rsid w:val="00590736"/>
    <w:rsid w:val="005907B5"/>
    <w:rsid w:val="00590CEB"/>
    <w:rsid w:val="0059137E"/>
    <w:rsid w:val="00591536"/>
    <w:rsid w:val="005916CA"/>
    <w:rsid w:val="0059170E"/>
    <w:rsid w:val="005917B8"/>
    <w:rsid w:val="00591888"/>
    <w:rsid w:val="00591C54"/>
    <w:rsid w:val="005921C4"/>
    <w:rsid w:val="005924C5"/>
    <w:rsid w:val="00592620"/>
    <w:rsid w:val="0059262C"/>
    <w:rsid w:val="0059266D"/>
    <w:rsid w:val="0059279D"/>
    <w:rsid w:val="0059297E"/>
    <w:rsid w:val="00592B5D"/>
    <w:rsid w:val="00592BD7"/>
    <w:rsid w:val="00592C20"/>
    <w:rsid w:val="00592D6B"/>
    <w:rsid w:val="00592DE1"/>
    <w:rsid w:val="00592E26"/>
    <w:rsid w:val="00592E6C"/>
    <w:rsid w:val="005930F0"/>
    <w:rsid w:val="005933C1"/>
    <w:rsid w:val="00593412"/>
    <w:rsid w:val="0059344A"/>
    <w:rsid w:val="00593627"/>
    <w:rsid w:val="005937A4"/>
    <w:rsid w:val="00593898"/>
    <w:rsid w:val="00593BF7"/>
    <w:rsid w:val="00593CA6"/>
    <w:rsid w:val="00593EAE"/>
    <w:rsid w:val="00593FC7"/>
    <w:rsid w:val="00594125"/>
    <w:rsid w:val="005942DC"/>
    <w:rsid w:val="005943BF"/>
    <w:rsid w:val="005948C0"/>
    <w:rsid w:val="00594B04"/>
    <w:rsid w:val="00594B08"/>
    <w:rsid w:val="00594BAD"/>
    <w:rsid w:val="00594CE6"/>
    <w:rsid w:val="00594EB0"/>
    <w:rsid w:val="00594F6F"/>
    <w:rsid w:val="0059503A"/>
    <w:rsid w:val="005951B0"/>
    <w:rsid w:val="00595250"/>
    <w:rsid w:val="00595604"/>
    <w:rsid w:val="005957B1"/>
    <w:rsid w:val="005957C4"/>
    <w:rsid w:val="00595A76"/>
    <w:rsid w:val="00595AE7"/>
    <w:rsid w:val="00595B84"/>
    <w:rsid w:val="00595CC6"/>
    <w:rsid w:val="00595D8E"/>
    <w:rsid w:val="00595F05"/>
    <w:rsid w:val="00596039"/>
    <w:rsid w:val="005960E2"/>
    <w:rsid w:val="005961B3"/>
    <w:rsid w:val="005963C6"/>
    <w:rsid w:val="0059667D"/>
    <w:rsid w:val="005967D1"/>
    <w:rsid w:val="005967D7"/>
    <w:rsid w:val="0059682F"/>
    <w:rsid w:val="005968AB"/>
    <w:rsid w:val="005969FB"/>
    <w:rsid w:val="00596A33"/>
    <w:rsid w:val="00596AE3"/>
    <w:rsid w:val="00596BF8"/>
    <w:rsid w:val="00596C36"/>
    <w:rsid w:val="00596CFD"/>
    <w:rsid w:val="00596EF8"/>
    <w:rsid w:val="00597066"/>
    <w:rsid w:val="0059714B"/>
    <w:rsid w:val="005971CA"/>
    <w:rsid w:val="00597449"/>
    <w:rsid w:val="0059746B"/>
    <w:rsid w:val="0059771B"/>
    <w:rsid w:val="00597BA2"/>
    <w:rsid w:val="00597BB8"/>
    <w:rsid w:val="00597DE3"/>
    <w:rsid w:val="005A0025"/>
    <w:rsid w:val="005A04B2"/>
    <w:rsid w:val="005A0535"/>
    <w:rsid w:val="005A0539"/>
    <w:rsid w:val="005A076A"/>
    <w:rsid w:val="005A07E4"/>
    <w:rsid w:val="005A0908"/>
    <w:rsid w:val="005A09DC"/>
    <w:rsid w:val="005A0CE4"/>
    <w:rsid w:val="005A0D3B"/>
    <w:rsid w:val="005A0E3F"/>
    <w:rsid w:val="005A0E8D"/>
    <w:rsid w:val="005A0F11"/>
    <w:rsid w:val="005A105A"/>
    <w:rsid w:val="005A10CB"/>
    <w:rsid w:val="005A10D4"/>
    <w:rsid w:val="005A1174"/>
    <w:rsid w:val="005A120D"/>
    <w:rsid w:val="005A1487"/>
    <w:rsid w:val="005A16CC"/>
    <w:rsid w:val="005A17C3"/>
    <w:rsid w:val="005A1802"/>
    <w:rsid w:val="005A1A3D"/>
    <w:rsid w:val="005A1AE9"/>
    <w:rsid w:val="005A1C92"/>
    <w:rsid w:val="005A202B"/>
    <w:rsid w:val="005A240B"/>
    <w:rsid w:val="005A264A"/>
    <w:rsid w:val="005A277B"/>
    <w:rsid w:val="005A28A7"/>
    <w:rsid w:val="005A2AB5"/>
    <w:rsid w:val="005A2B35"/>
    <w:rsid w:val="005A2BB9"/>
    <w:rsid w:val="005A2BDF"/>
    <w:rsid w:val="005A2C00"/>
    <w:rsid w:val="005A3137"/>
    <w:rsid w:val="005A3506"/>
    <w:rsid w:val="005A382A"/>
    <w:rsid w:val="005A38F9"/>
    <w:rsid w:val="005A3A24"/>
    <w:rsid w:val="005A3A33"/>
    <w:rsid w:val="005A3AD9"/>
    <w:rsid w:val="005A3D21"/>
    <w:rsid w:val="005A3F95"/>
    <w:rsid w:val="005A43D2"/>
    <w:rsid w:val="005A43F2"/>
    <w:rsid w:val="005A4621"/>
    <w:rsid w:val="005A48B4"/>
    <w:rsid w:val="005A49D1"/>
    <w:rsid w:val="005A4A8E"/>
    <w:rsid w:val="005A4ABF"/>
    <w:rsid w:val="005A4AC5"/>
    <w:rsid w:val="005A4B13"/>
    <w:rsid w:val="005A4D2D"/>
    <w:rsid w:val="005A4FDE"/>
    <w:rsid w:val="005A502F"/>
    <w:rsid w:val="005A538C"/>
    <w:rsid w:val="005A54AD"/>
    <w:rsid w:val="005A55FB"/>
    <w:rsid w:val="005A5794"/>
    <w:rsid w:val="005A6523"/>
    <w:rsid w:val="005A671C"/>
    <w:rsid w:val="005A6854"/>
    <w:rsid w:val="005A6859"/>
    <w:rsid w:val="005A695A"/>
    <w:rsid w:val="005A6D6E"/>
    <w:rsid w:val="005A6F1F"/>
    <w:rsid w:val="005A7059"/>
    <w:rsid w:val="005A7122"/>
    <w:rsid w:val="005A731D"/>
    <w:rsid w:val="005A76E0"/>
    <w:rsid w:val="005A774F"/>
    <w:rsid w:val="005A7793"/>
    <w:rsid w:val="005A7807"/>
    <w:rsid w:val="005A7864"/>
    <w:rsid w:val="005A7916"/>
    <w:rsid w:val="005B002A"/>
    <w:rsid w:val="005B00B8"/>
    <w:rsid w:val="005B01C8"/>
    <w:rsid w:val="005B042D"/>
    <w:rsid w:val="005B0456"/>
    <w:rsid w:val="005B05A3"/>
    <w:rsid w:val="005B06E3"/>
    <w:rsid w:val="005B0ABA"/>
    <w:rsid w:val="005B0C5A"/>
    <w:rsid w:val="005B0E14"/>
    <w:rsid w:val="005B11A0"/>
    <w:rsid w:val="005B12BD"/>
    <w:rsid w:val="005B15AD"/>
    <w:rsid w:val="005B162A"/>
    <w:rsid w:val="005B1648"/>
    <w:rsid w:val="005B1B25"/>
    <w:rsid w:val="005B20E0"/>
    <w:rsid w:val="005B2334"/>
    <w:rsid w:val="005B2356"/>
    <w:rsid w:val="005B2533"/>
    <w:rsid w:val="005B259E"/>
    <w:rsid w:val="005B25F5"/>
    <w:rsid w:val="005B265B"/>
    <w:rsid w:val="005B2D07"/>
    <w:rsid w:val="005B2EE5"/>
    <w:rsid w:val="005B2F8A"/>
    <w:rsid w:val="005B2FF2"/>
    <w:rsid w:val="005B3279"/>
    <w:rsid w:val="005B347B"/>
    <w:rsid w:val="005B3497"/>
    <w:rsid w:val="005B3657"/>
    <w:rsid w:val="005B3798"/>
    <w:rsid w:val="005B38AB"/>
    <w:rsid w:val="005B3C98"/>
    <w:rsid w:val="005B3F7B"/>
    <w:rsid w:val="005B40A1"/>
    <w:rsid w:val="005B4103"/>
    <w:rsid w:val="005B412B"/>
    <w:rsid w:val="005B4302"/>
    <w:rsid w:val="005B43BE"/>
    <w:rsid w:val="005B4475"/>
    <w:rsid w:val="005B451C"/>
    <w:rsid w:val="005B4530"/>
    <w:rsid w:val="005B480C"/>
    <w:rsid w:val="005B4944"/>
    <w:rsid w:val="005B4B58"/>
    <w:rsid w:val="005B4DC9"/>
    <w:rsid w:val="005B4FCD"/>
    <w:rsid w:val="005B52B4"/>
    <w:rsid w:val="005B5324"/>
    <w:rsid w:val="005B5658"/>
    <w:rsid w:val="005B5A40"/>
    <w:rsid w:val="005B5D06"/>
    <w:rsid w:val="005B5D2B"/>
    <w:rsid w:val="005B5DB5"/>
    <w:rsid w:val="005B5FA0"/>
    <w:rsid w:val="005B6017"/>
    <w:rsid w:val="005B607C"/>
    <w:rsid w:val="005B62EC"/>
    <w:rsid w:val="005B636F"/>
    <w:rsid w:val="005B6660"/>
    <w:rsid w:val="005B6685"/>
    <w:rsid w:val="005B68B4"/>
    <w:rsid w:val="005B6B53"/>
    <w:rsid w:val="005B6D2C"/>
    <w:rsid w:val="005B6D3C"/>
    <w:rsid w:val="005B6DA1"/>
    <w:rsid w:val="005B70E7"/>
    <w:rsid w:val="005B71BE"/>
    <w:rsid w:val="005B7320"/>
    <w:rsid w:val="005B733F"/>
    <w:rsid w:val="005B734C"/>
    <w:rsid w:val="005B76B6"/>
    <w:rsid w:val="005B79DB"/>
    <w:rsid w:val="005B7C9C"/>
    <w:rsid w:val="005B7DDF"/>
    <w:rsid w:val="005B7E84"/>
    <w:rsid w:val="005C066A"/>
    <w:rsid w:val="005C070C"/>
    <w:rsid w:val="005C0866"/>
    <w:rsid w:val="005C0897"/>
    <w:rsid w:val="005C0B95"/>
    <w:rsid w:val="005C0F83"/>
    <w:rsid w:val="005C10A0"/>
    <w:rsid w:val="005C12F5"/>
    <w:rsid w:val="005C1525"/>
    <w:rsid w:val="005C1529"/>
    <w:rsid w:val="005C158E"/>
    <w:rsid w:val="005C1C42"/>
    <w:rsid w:val="005C1F21"/>
    <w:rsid w:val="005C1F2F"/>
    <w:rsid w:val="005C20DB"/>
    <w:rsid w:val="005C23CA"/>
    <w:rsid w:val="005C24F4"/>
    <w:rsid w:val="005C2681"/>
    <w:rsid w:val="005C26AD"/>
    <w:rsid w:val="005C28AC"/>
    <w:rsid w:val="005C2C43"/>
    <w:rsid w:val="005C3206"/>
    <w:rsid w:val="005C330D"/>
    <w:rsid w:val="005C35E3"/>
    <w:rsid w:val="005C36C3"/>
    <w:rsid w:val="005C3998"/>
    <w:rsid w:val="005C3AC7"/>
    <w:rsid w:val="005C407C"/>
    <w:rsid w:val="005C40D2"/>
    <w:rsid w:val="005C429F"/>
    <w:rsid w:val="005C441C"/>
    <w:rsid w:val="005C4534"/>
    <w:rsid w:val="005C45C3"/>
    <w:rsid w:val="005C46A5"/>
    <w:rsid w:val="005C46DE"/>
    <w:rsid w:val="005C4737"/>
    <w:rsid w:val="005C485D"/>
    <w:rsid w:val="005C49F4"/>
    <w:rsid w:val="005C4C7F"/>
    <w:rsid w:val="005C545E"/>
    <w:rsid w:val="005C55EB"/>
    <w:rsid w:val="005C575D"/>
    <w:rsid w:val="005C5769"/>
    <w:rsid w:val="005C5770"/>
    <w:rsid w:val="005C58EB"/>
    <w:rsid w:val="005C5CA1"/>
    <w:rsid w:val="005C5CC9"/>
    <w:rsid w:val="005C5EE8"/>
    <w:rsid w:val="005C64A7"/>
    <w:rsid w:val="005C650B"/>
    <w:rsid w:val="005C66B4"/>
    <w:rsid w:val="005C6858"/>
    <w:rsid w:val="005C6938"/>
    <w:rsid w:val="005C6A6F"/>
    <w:rsid w:val="005C6A97"/>
    <w:rsid w:val="005C6B0D"/>
    <w:rsid w:val="005C6BB0"/>
    <w:rsid w:val="005C6BFF"/>
    <w:rsid w:val="005C6C9A"/>
    <w:rsid w:val="005C71E7"/>
    <w:rsid w:val="005C71FD"/>
    <w:rsid w:val="005C727F"/>
    <w:rsid w:val="005C73D7"/>
    <w:rsid w:val="005C758C"/>
    <w:rsid w:val="005C759E"/>
    <w:rsid w:val="005C7DF7"/>
    <w:rsid w:val="005C7EAF"/>
    <w:rsid w:val="005C7EF2"/>
    <w:rsid w:val="005D061C"/>
    <w:rsid w:val="005D0946"/>
    <w:rsid w:val="005D0A09"/>
    <w:rsid w:val="005D0B96"/>
    <w:rsid w:val="005D0D0E"/>
    <w:rsid w:val="005D0EE8"/>
    <w:rsid w:val="005D0F52"/>
    <w:rsid w:val="005D11DF"/>
    <w:rsid w:val="005D13B5"/>
    <w:rsid w:val="005D154F"/>
    <w:rsid w:val="005D1649"/>
    <w:rsid w:val="005D1902"/>
    <w:rsid w:val="005D1A4E"/>
    <w:rsid w:val="005D1B41"/>
    <w:rsid w:val="005D1CF1"/>
    <w:rsid w:val="005D26D3"/>
    <w:rsid w:val="005D2A14"/>
    <w:rsid w:val="005D2AF0"/>
    <w:rsid w:val="005D2B1F"/>
    <w:rsid w:val="005D2EA0"/>
    <w:rsid w:val="005D313F"/>
    <w:rsid w:val="005D3161"/>
    <w:rsid w:val="005D324B"/>
    <w:rsid w:val="005D398E"/>
    <w:rsid w:val="005D39AA"/>
    <w:rsid w:val="005D3AA8"/>
    <w:rsid w:val="005D3CA2"/>
    <w:rsid w:val="005D3D92"/>
    <w:rsid w:val="005D3E35"/>
    <w:rsid w:val="005D3F81"/>
    <w:rsid w:val="005D40A1"/>
    <w:rsid w:val="005D4110"/>
    <w:rsid w:val="005D419A"/>
    <w:rsid w:val="005D41FC"/>
    <w:rsid w:val="005D44AC"/>
    <w:rsid w:val="005D4999"/>
    <w:rsid w:val="005D4B6C"/>
    <w:rsid w:val="005D4CA6"/>
    <w:rsid w:val="005D4E43"/>
    <w:rsid w:val="005D4E4C"/>
    <w:rsid w:val="005D4F26"/>
    <w:rsid w:val="005D51D9"/>
    <w:rsid w:val="005D550E"/>
    <w:rsid w:val="005D5512"/>
    <w:rsid w:val="005D5978"/>
    <w:rsid w:val="005D5A13"/>
    <w:rsid w:val="005D5B91"/>
    <w:rsid w:val="005D5C96"/>
    <w:rsid w:val="005D5DB5"/>
    <w:rsid w:val="005D5E52"/>
    <w:rsid w:val="005D60AD"/>
    <w:rsid w:val="005D60DE"/>
    <w:rsid w:val="005D626C"/>
    <w:rsid w:val="005D6285"/>
    <w:rsid w:val="005D6376"/>
    <w:rsid w:val="005D643F"/>
    <w:rsid w:val="005D64CF"/>
    <w:rsid w:val="005D6648"/>
    <w:rsid w:val="005D668A"/>
    <w:rsid w:val="005D6746"/>
    <w:rsid w:val="005D67B8"/>
    <w:rsid w:val="005D68A8"/>
    <w:rsid w:val="005D6BC4"/>
    <w:rsid w:val="005D6CE6"/>
    <w:rsid w:val="005D7412"/>
    <w:rsid w:val="005D7563"/>
    <w:rsid w:val="005D77DA"/>
    <w:rsid w:val="005D78D2"/>
    <w:rsid w:val="005D7A88"/>
    <w:rsid w:val="005D7C33"/>
    <w:rsid w:val="005D7E7A"/>
    <w:rsid w:val="005D7EFC"/>
    <w:rsid w:val="005E0071"/>
    <w:rsid w:val="005E052B"/>
    <w:rsid w:val="005E0544"/>
    <w:rsid w:val="005E0663"/>
    <w:rsid w:val="005E0695"/>
    <w:rsid w:val="005E06AF"/>
    <w:rsid w:val="005E06C9"/>
    <w:rsid w:val="005E070E"/>
    <w:rsid w:val="005E088B"/>
    <w:rsid w:val="005E0D10"/>
    <w:rsid w:val="005E0F54"/>
    <w:rsid w:val="005E119C"/>
    <w:rsid w:val="005E136A"/>
    <w:rsid w:val="005E1409"/>
    <w:rsid w:val="005E14B9"/>
    <w:rsid w:val="005E174E"/>
    <w:rsid w:val="005E1865"/>
    <w:rsid w:val="005E1996"/>
    <w:rsid w:val="005E1A3A"/>
    <w:rsid w:val="005E1BA6"/>
    <w:rsid w:val="005E1C27"/>
    <w:rsid w:val="005E1D04"/>
    <w:rsid w:val="005E2128"/>
    <w:rsid w:val="005E220D"/>
    <w:rsid w:val="005E2276"/>
    <w:rsid w:val="005E2679"/>
    <w:rsid w:val="005E26B5"/>
    <w:rsid w:val="005E272D"/>
    <w:rsid w:val="005E2928"/>
    <w:rsid w:val="005E2B6C"/>
    <w:rsid w:val="005E2BDD"/>
    <w:rsid w:val="005E2BFB"/>
    <w:rsid w:val="005E2D66"/>
    <w:rsid w:val="005E2DA5"/>
    <w:rsid w:val="005E2FEF"/>
    <w:rsid w:val="005E32BD"/>
    <w:rsid w:val="005E3371"/>
    <w:rsid w:val="005E3501"/>
    <w:rsid w:val="005E351F"/>
    <w:rsid w:val="005E3A0F"/>
    <w:rsid w:val="005E3B8B"/>
    <w:rsid w:val="005E3DB7"/>
    <w:rsid w:val="005E408B"/>
    <w:rsid w:val="005E458C"/>
    <w:rsid w:val="005E47D0"/>
    <w:rsid w:val="005E47D9"/>
    <w:rsid w:val="005E48E1"/>
    <w:rsid w:val="005E48E9"/>
    <w:rsid w:val="005E49B2"/>
    <w:rsid w:val="005E4BD2"/>
    <w:rsid w:val="005E4C72"/>
    <w:rsid w:val="005E4D0C"/>
    <w:rsid w:val="005E4D5E"/>
    <w:rsid w:val="005E4F13"/>
    <w:rsid w:val="005E5001"/>
    <w:rsid w:val="005E501B"/>
    <w:rsid w:val="005E5085"/>
    <w:rsid w:val="005E520C"/>
    <w:rsid w:val="005E5226"/>
    <w:rsid w:val="005E529F"/>
    <w:rsid w:val="005E5530"/>
    <w:rsid w:val="005E556B"/>
    <w:rsid w:val="005E5667"/>
    <w:rsid w:val="005E57BC"/>
    <w:rsid w:val="005E58C5"/>
    <w:rsid w:val="005E58DB"/>
    <w:rsid w:val="005E59A4"/>
    <w:rsid w:val="005E59DE"/>
    <w:rsid w:val="005E5DB7"/>
    <w:rsid w:val="005E5E0B"/>
    <w:rsid w:val="005E5E16"/>
    <w:rsid w:val="005E5F15"/>
    <w:rsid w:val="005E5F56"/>
    <w:rsid w:val="005E60D0"/>
    <w:rsid w:val="005E6528"/>
    <w:rsid w:val="005E664A"/>
    <w:rsid w:val="005E66D3"/>
    <w:rsid w:val="005E6860"/>
    <w:rsid w:val="005E6A60"/>
    <w:rsid w:val="005E6B07"/>
    <w:rsid w:val="005E6D5F"/>
    <w:rsid w:val="005E70D9"/>
    <w:rsid w:val="005E745C"/>
    <w:rsid w:val="005E779B"/>
    <w:rsid w:val="005E7A26"/>
    <w:rsid w:val="005E7E62"/>
    <w:rsid w:val="005F015E"/>
    <w:rsid w:val="005F0452"/>
    <w:rsid w:val="005F04BB"/>
    <w:rsid w:val="005F0840"/>
    <w:rsid w:val="005F0841"/>
    <w:rsid w:val="005F0877"/>
    <w:rsid w:val="005F0A04"/>
    <w:rsid w:val="005F0A33"/>
    <w:rsid w:val="005F0A76"/>
    <w:rsid w:val="005F0B2D"/>
    <w:rsid w:val="005F0BB8"/>
    <w:rsid w:val="005F0C55"/>
    <w:rsid w:val="005F0D12"/>
    <w:rsid w:val="005F0D75"/>
    <w:rsid w:val="005F0E70"/>
    <w:rsid w:val="005F0E80"/>
    <w:rsid w:val="005F11FC"/>
    <w:rsid w:val="005F13A2"/>
    <w:rsid w:val="005F13D6"/>
    <w:rsid w:val="005F1437"/>
    <w:rsid w:val="005F14D1"/>
    <w:rsid w:val="005F15A2"/>
    <w:rsid w:val="005F1620"/>
    <w:rsid w:val="005F1784"/>
    <w:rsid w:val="005F1D10"/>
    <w:rsid w:val="005F1E5D"/>
    <w:rsid w:val="005F23E8"/>
    <w:rsid w:val="005F2539"/>
    <w:rsid w:val="005F2CBA"/>
    <w:rsid w:val="005F2E8D"/>
    <w:rsid w:val="005F2ED2"/>
    <w:rsid w:val="005F3470"/>
    <w:rsid w:val="005F349A"/>
    <w:rsid w:val="005F34CA"/>
    <w:rsid w:val="005F3AFD"/>
    <w:rsid w:val="005F3BE6"/>
    <w:rsid w:val="005F3CB4"/>
    <w:rsid w:val="005F3D7B"/>
    <w:rsid w:val="005F3D8E"/>
    <w:rsid w:val="005F3E5C"/>
    <w:rsid w:val="005F3F80"/>
    <w:rsid w:val="005F449A"/>
    <w:rsid w:val="005F461A"/>
    <w:rsid w:val="005F4BC1"/>
    <w:rsid w:val="005F4BC9"/>
    <w:rsid w:val="005F4F6A"/>
    <w:rsid w:val="005F5159"/>
    <w:rsid w:val="005F5169"/>
    <w:rsid w:val="005F51EE"/>
    <w:rsid w:val="005F525A"/>
    <w:rsid w:val="005F5443"/>
    <w:rsid w:val="005F54F5"/>
    <w:rsid w:val="005F5597"/>
    <w:rsid w:val="005F57A0"/>
    <w:rsid w:val="005F5C71"/>
    <w:rsid w:val="005F5E84"/>
    <w:rsid w:val="005F5EE8"/>
    <w:rsid w:val="005F607A"/>
    <w:rsid w:val="005F61B1"/>
    <w:rsid w:val="005F65C4"/>
    <w:rsid w:val="005F6852"/>
    <w:rsid w:val="005F68FD"/>
    <w:rsid w:val="005F6B26"/>
    <w:rsid w:val="005F6CA4"/>
    <w:rsid w:val="005F6D10"/>
    <w:rsid w:val="005F7252"/>
    <w:rsid w:val="005F72F0"/>
    <w:rsid w:val="005F74C0"/>
    <w:rsid w:val="005F753D"/>
    <w:rsid w:val="005F7590"/>
    <w:rsid w:val="005F77AE"/>
    <w:rsid w:val="005F78D6"/>
    <w:rsid w:val="005F7BEA"/>
    <w:rsid w:val="005F7CD7"/>
    <w:rsid w:val="006001C0"/>
    <w:rsid w:val="006004FC"/>
    <w:rsid w:val="00600556"/>
    <w:rsid w:val="006006A6"/>
    <w:rsid w:val="0060075C"/>
    <w:rsid w:val="006008BD"/>
    <w:rsid w:val="00600AD8"/>
    <w:rsid w:val="00600B90"/>
    <w:rsid w:val="00600E32"/>
    <w:rsid w:val="00600E7A"/>
    <w:rsid w:val="00600FBC"/>
    <w:rsid w:val="00601603"/>
    <w:rsid w:val="00601661"/>
    <w:rsid w:val="00601792"/>
    <w:rsid w:val="006018EF"/>
    <w:rsid w:val="00601B19"/>
    <w:rsid w:val="00601B59"/>
    <w:rsid w:val="00601B9C"/>
    <w:rsid w:val="00601CD3"/>
    <w:rsid w:val="006021DB"/>
    <w:rsid w:val="006024CF"/>
    <w:rsid w:val="0060265B"/>
    <w:rsid w:val="006027EF"/>
    <w:rsid w:val="00602A7A"/>
    <w:rsid w:val="00602B8C"/>
    <w:rsid w:val="00602C49"/>
    <w:rsid w:val="00602CCD"/>
    <w:rsid w:val="00602D1F"/>
    <w:rsid w:val="00602E3E"/>
    <w:rsid w:val="00602F02"/>
    <w:rsid w:val="00602F9F"/>
    <w:rsid w:val="0060320D"/>
    <w:rsid w:val="0060369D"/>
    <w:rsid w:val="006036D6"/>
    <w:rsid w:val="006037DB"/>
    <w:rsid w:val="00603887"/>
    <w:rsid w:val="0060392D"/>
    <w:rsid w:val="00603995"/>
    <w:rsid w:val="00603BA4"/>
    <w:rsid w:val="00603BFC"/>
    <w:rsid w:val="00603CF7"/>
    <w:rsid w:val="00603D68"/>
    <w:rsid w:val="00603D98"/>
    <w:rsid w:val="00603E23"/>
    <w:rsid w:val="00603E4A"/>
    <w:rsid w:val="00603FD3"/>
    <w:rsid w:val="0060409F"/>
    <w:rsid w:val="00604207"/>
    <w:rsid w:val="00604313"/>
    <w:rsid w:val="00604682"/>
    <w:rsid w:val="006046BC"/>
    <w:rsid w:val="006047EA"/>
    <w:rsid w:val="006049B8"/>
    <w:rsid w:val="00604B2B"/>
    <w:rsid w:val="00604B42"/>
    <w:rsid w:val="00604C21"/>
    <w:rsid w:val="00605199"/>
    <w:rsid w:val="0060528C"/>
    <w:rsid w:val="00605583"/>
    <w:rsid w:val="0060578B"/>
    <w:rsid w:val="006057B4"/>
    <w:rsid w:val="0060583C"/>
    <w:rsid w:val="006058CD"/>
    <w:rsid w:val="00605904"/>
    <w:rsid w:val="0060594F"/>
    <w:rsid w:val="00605959"/>
    <w:rsid w:val="00605A5C"/>
    <w:rsid w:val="00605BCA"/>
    <w:rsid w:val="00605E7E"/>
    <w:rsid w:val="00605F77"/>
    <w:rsid w:val="00605F92"/>
    <w:rsid w:val="006060E7"/>
    <w:rsid w:val="00606174"/>
    <w:rsid w:val="00606191"/>
    <w:rsid w:val="00606206"/>
    <w:rsid w:val="00606AB3"/>
    <w:rsid w:val="00606B3D"/>
    <w:rsid w:val="00606B50"/>
    <w:rsid w:val="00606C1D"/>
    <w:rsid w:val="00606D75"/>
    <w:rsid w:val="0060700A"/>
    <w:rsid w:val="006071B3"/>
    <w:rsid w:val="0060745A"/>
    <w:rsid w:val="006074A1"/>
    <w:rsid w:val="00607664"/>
    <w:rsid w:val="006076A6"/>
    <w:rsid w:val="00607769"/>
    <w:rsid w:val="00607B40"/>
    <w:rsid w:val="00607E2D"/>
    <w:rsid w:val="00607F4E"/>
    <w:rsid w:val="0061038B"/>
    <w:rsid w:val="00610436"/>
    <w:rsid w:val="006106A6"/>
    <w:rsid w:val="00610755"/>
    <w:rsid w:val="006109F4"/>
    <w:rsid w:val="00610B4E"/>
    <w:rsid w:val="00610E6C"/>
    <w:rsid w:val="00610F84"/>
    <w:rsid w:val="0061155C"/>
    <w:rsid w:val="00611609"/>
    <w:rsid w:val="006116B1"/>
    <w:rsid w:val="006116F7"/>
    <w:rsid w:val="00611717"/>
    <w:rsid w:val="00611BAA"/>
    <w:rsid w:val="00611FE2"/>
    <w:rsid w:val="00612090"/>
    <w:rsid w:val="006120ED"/>
    <w:rsid w:val="00612244"/>
    <w:rsid w:val="006122B6"/>
    <w:rsid w:val="006126B6"/>
    <w:rsid w:val="0061294B"/>
    <w:rsid w:val="00612AFE"/>
    <w:rsid w:val="00612BAD"/>
    <w:rsid w:val="00612F04"/>
    <w:rsid w:val="00612F81"/>
    <w:rsid w:val="00612FB3"/>
    <w:rsid w:val="0061303A"/>
    <w:rsid w:val="00613119"/>
    <w:rsid w:val="0061341A"/>
    <w:rsid w:val="00613468"/>
    <w:rsid w:val="00613847"/>
    <w:rsid w:val="00613954"/>
    <w:rsid w:val="0061398C"/>
    <w:rsid w:val="00613B6B"/>
    <w:rsid w:val="00613B7B"/>
    <w:rsid w:val="00613BB5"/>
    <w:rsid w:val="00613D0D"/>
    <w:rsid w:val="00613DA5"/>
    <w:rsid w:val="00613E70"/>
    <w:rsid w:val="00613F5D"/>
    <w:rsid w:val="00613F9A"/>
    <w:rsid w:val="00614212"/>
    <w:rsid w:val="006146FA"/>
    <w:rsid w:val="0061475C"/>
    <w:rsid w:val="0061484F"/>
    <w:rsid w:val="0061489E"/>
    <w:rsid w:val="00614B40"/>
    <w:rsid w:val="00614B48"/>
    <w:rsid w:val="00614D03"/>
    <w:rsid w:val="00614E79"/>
    <w:rsid w:val="00614F47"/>
    <w:rsid w:val="00615200"/>
    <w:rsid w:val="006152A1"/>
    <w:rsid w:val="006153FF"/>
    <w:rsid w:val="0061542B"/>
    <w:rsid w:val="006154B0"/>
    <w:rsid w:val="006156FC"/>
    <w:rsid w:val="00615954"/>
    <w:rsid w:val="006159B2"/>
    <w:rsid w:val="00615CAB"/>
    <w:rsid w:val="00615CFE"/>
    <w:rsid w:val="00615E35"/>
    <w:rsid w:val="00615E6A"/>
    <w:rsid w:val="006161E6"/>
    <w:rsid w:val="00616244"/>
    <w:rsid w:val="0061650B"/>
    <w:rsid w:val="0061670F"/>
    <w:rsid w:val="00616C79"/>
    <w:rsid w:val="00616C8A"/>
    <w:rsid w:val="00616D69"/>
    <w:rsid w:val="00616D9B"/>
    <w:rsid w:val="00616F15"/>
    <w:rsid w:val="00616F59"/>
    <w:rsid w:val="00616FE1"/>
    <w:rsid w:val="006171FC"/>
    <w:rsid w:val="0061725C"/>
    <w:rsid w:val="00617300"/>
    <w:rsid w:val="00617418"/>
    <w:rsid w:val="006174A7"/>
    <w:rsid w:val="0061776B"/>
    <w:rsid w:val="00617850"/>
    <w:rsid w:val="00617A51"/>
    <w:rsid w:val="00617A62"/>
    <w:rsid w:val="00617DDF"/>
    <w:rsid w:val="00617F48"/>
    <w:rsid w:val="0062005A"/>
    <w:rsid w:val="00620065"/>
    <w:rsid w:val="0062078F"/>
    <w:rsid w:val="00620C17"/>
    <w:rsid w:val="00620D52"/>
    <w:rsid w:val="00620D65"/>
    <w:rsid w:val="00620D81"/>
    <w:rsid w:val="00620F06"/>
    <w:rsid w:val="00620F07"/>
    <w:rsid w:val="0062107C"/>
    <w:rsid w:val="006212A1"/>
    <w:rsid w:val="00621961"/>
    <w:rsid w:val="00621B80"/>
    <w:rsid w:val="00621B97"/>
    <w:rsid w:val="00621FDF"/>
    <w:rsid w:val="006221DC"/>
    <w:rsid w:val="006221EC"/>
    <w:rsid w:val="0062220B"/>
    <w:rsid w:val="0062232B"/>
    <w:rsid w:val="0062234E"/>
    <w:rsid w:val="006225CB"/>
    <w:rsid w:val="006226EC"/>
    <w:rsid w:val="00622751"/>
    <w:rsid w:val="0062284C"/>
    <w:rsid w:val="00622902"/>
    <w:rsid w:val="00622A0F"/>
    <w:rsid w:val="00622BCB"/>
    <w:rsid w:val="00622CAF"/>
    <w:rsid w:val="00622CDD"/>
    <w:rsid w:val="00622FE0"/>
    <w:rsid w:val="0062300D"/>
    <w:rsid w:val="006233B4"/>
    <w:rsid w:val="006233DC"/>
    <w:rsid w:val="006234F8"/>
    <w:rsid w:val="00623A8C"/>
    <w:rsid w:val="00623DD5"/>
    <w:rsid w:val="00623F54"/>
    <w:rsid w:val="0062403C"/>
    <w:rsid w:val="0062405E"/>
    <w:rsid w:val="00624212"/>
    <w:rsid w:val="00624320"/>
    <w:rsid w:val="006244E2"/>
    <w:rsid w:val="006245BB"/>
    <w:rsid w:val="0062460E"/>
    <w:rsid w:val="006246B7"/>
    <w:rsid w:val="0062484C"/>
    <w:rsid w:val="00624B07"/>
    <w:rsid w:val="00624C5E"/>
    <w:rsid w:val="00624D4F"/>
    <w:rsid w:val="00624D9A"/>
    <w:rsid w:val="00625125"/>
    <w:rsid w:val="006252B9"/>
    <w:rsid w:val="006257B8"/>
    <w:rsid w:val="006258C5"/>
    <w:rsid w:val="0062593A"/>
    <w:rsid w:val="00625958"/>
    <w:rsid w:val="00625AC3"/>
    <w:rsid w:val="00625ED1"/>
    <w:rsid w:val="006260E3"/>
    <w:rsid w:val="00626290"/>
    <w:rsid w:val="0062651D"/>
    <w:rsid w:val="00626858"/>
    <w:rsid w:val="00626DCC"/>
    <w:rsid w:val="00626F35"/>
    <w:rsid w:val="00626FD8"/>
    <w:rsid w:val="006270F1"/>
    <w:rsid w:val="006271BF"/>
    <w:rsid w:val="0062722D"/>
    <w:rsid w:val="006273BD"/>
    <w:rsid w:val="006276B2"/>
    <w:rsid w:val="00627869"/>
    <w:rsid w:val="00627913"/>
    <w:rsid w:val="00627996"/>
    <w:rsid w:val="00627C9A"/>
    <w:rsid w:val="00627DBC"/>
    <w:rsid w:val="00627E03"/>
    <w:rsid w:val="00627E16"/>
    <w:rsid w:val="00627E42"/>
    <w:rsid w:val="00627F51"/>
    <w:rsid w:val="0063006B"/>
    <w:rsid w:val="006300F5"/>
    <w:rsid w:val="00630346"/>
    <w:rsid w:val="00630584"/>
    <w:rsid w:val="00630658"/>
    <w:rsid w:val="00630B8A"/>
    <w:rsid w:val="00630E13"/>
    <w:rsid w:val="006311C9"/>
    <w:rsid w:val="00631401"/>
    <w:rsid w:val="00631431"/>
    <w:rsid w:val="006315E1"/>
    <w:rsid w:val="00631DBF"/>
    <w:rsid w:val="00631ED4"/>
    <w:rsid w:val="00631FBD"/>
    <w:rsid w:val="006322AB"/>
    <w:rsid w:val="00632336"/>
    <w:rsid w:val="00632E21"/>
    <w:rsid w:val="00632FE9"/>
    <w:rsid w:val="006330DC"/>
    <w:rsid w:val="00633667"/>
    <w:rsid w:val="006337D6"/>
    <w:rsid w:val="006338BC"/>
    <w:rsid w:val="00633BD1"/>
    <w:rsid w:val="00633C24"/>
    <w:rsid w:val="00633CEF"/>
    <w:rsid w:val="00634115"/>
    <w:rsid w:val="0063434B"/>
    <w:rsid w:val="006344F4"/>
    <w:rsid w:val="0063463F"/>
    <w:rsid w:val="00634663"/>
    <w:rsid w:val="00634B65"/>
    <w:rsid w:val="00634C0B"/>
    <w:rsid w:val="00634C64"/>
    <w:rsid w:val="00634C6E"/>
    <w:rsid w:val="00635278"/>
    <w:rsid w:val="00635519"/>
    <w:rsid w:val="0063588F"/>
    <w:rsid w:val="00635955"/>
    <w:rsid w:val="00635AEA"/>
    <w:rsid w:val="00635E23"/>
    <w:rsid w:val="00635E2D"/>
    <w:rsid w:val="00635EFE"/>
    <w:rsid w:val="00636138"/>
    <w:rsid w:val="0063624F"/>
    <w:rsid w:val="00636299"/>
    <w:rsid w:val="006362DE"/>
    <w:rsid w:val="00636322"/>
    <w:rsid w:val="00636631"/>
    <w:rsid w:val="006366BC"/>
    <w:rsid w:val="00636726"/>
    <w:rsid w:val="006368C8"/>
    <w:rsid w:val="006369BD"/>
    <w:rsid w:val="00636CAF"/>
    <w:rsid w:val="00636EBF"/>
    <w:rsid w:val="006374D2"/>
    <w:rsid w:val="0063753E"/>
    <w:rsid w:val="006376D1"/>
    <w:rsid w:val="00637899"/>
    <w:rsid w:val="00637B26"/>
    <w:rsid w:val="00637B37"/>
    <w:rsid w:val="00637CF3"/>
    <w:rsid w:val="00637D9F"/>
    <w:rsid w:val="0064029E"/>
    <w:rsid w:val="006404D6"/>
    <w:rsid w:val="00640506"/>
    <w:rsid w:val="006405D4"/>
    <w:rsid w:val="006405D5"/>
    <w:rsid w:val="00640BD9"/>
    <w:rsid w:val="00640C2F"/>
    <w:rsid w:val="00640DEA"/>
    <w:rsid w:val="00641057"/>
    <w:rsid w:val="00641229"/>
    <w:rsid w:val="0064126A"/>
    <w:rsid w:val="00641432"/>
    <w:rsid w:val="0064151E"/>
    <w:rsid w:val="0064173E"/>
    <w:rsid w:val="006418A6"/>
    <w:rsid w:val="006419D7"/>
    <w:rsid w:val="00641B36"/>
    <w:rsid w:val="00641B41"/>
    <w:rsid w:val="00641C50"/>
    <w:rsid w:val="00641EF5"/>
    <w:rsid w:val="00641FE5"/>
    <w:rsid w:val="00642567"/>
    <w:rsid w:val="0064256D"/>
    <w:rsid w:val="0064296F"/>
    <w:rsid w:val="00642B74"/>
    <w:rsid w:val="00642B7C"/>
    <w:rsid w:val="00642E05"/>
    <w:rsid w:val="00642EDE"/>
    <w:rsid w:val="006430E1"/>
    <w:rsid w:val="00643140"/>
    <w:rsid w:val="0064324F"/>
    <w:rsid w:val="00643316"/>
    <w:rsid w:val="00643D10"/>
    <w:rsid w:val="00643D18"/>
    <w:rsid w:val="00643F0B"/>
    <w:rsid w:val="00643FC4"/>
    <w:rsid w:val="00644269"/>
    <w:rsid w:val="0064449C"/>
    <w:rsid w:val="006445BF"/>
    <w:rsid w:val="006445CF"/>
    <w:rsid w:val="006445E4"/>
    <w:rsid w:val="00644640"/>
    <w:rsid w:val="006446E8"/>
    <w:rsid w:val="00644821"/>
    <w:rsid w:val="0064483F"/>
    <w:rsid w:val="00644841"/>
    <w:rsid w:val="00644F2F"/>
    <w:rsid w:val="00645041"/>
    <w:rsid w:val="006450C6"/>
    <w:rsid w:val="0064541D"/>
    <w:rsid w:val="0064542C"/>
    <w:rsid w:val="0064547E"/>
    <w:rsid w:val="00645492"/>
    <w:rsid w:val="006455D1"/>
    <w:rsid w:val="00645742"/>
    <w:rsid w:val="0064589A"/>
    <w:rsid w:val="00645994"/>
    <w:rsid w:val="00645A22"/>
    <w:rsid w:val="00645AAC"/>
    <w:rsid w:val="00645EC9"/>
    <w:rsid w:val="006462C1"/>
    <w:rsid w:val="006463BD"/>
    <w:rsid w:val="00646401"/>
    <w:rsid w:val="006464CD"/>
    <w:rsid w:val="006464E3"/>
    <w:rsid w:val="0064668B"/>
    <w:rsid w:val="006468BB"/>
    <w:rsid w:val="00646935"/>
    <w:rsid w:val="00646B3C"/>
    <w:rsid w:val="00646C98"/>
    <w:rsid w:val="00647004"/>
    <w:rsid w:val="0064729A"/>
    <w:rsid w:val="00647B09"/>
    <w:rsid w:val="00647DC6"/>
    <w:rsid w:val="00647DE7"/>
    <w:rsid w:val="0065005D"/>
    <w:rsid w:val="006500A0"/>
    <w:rsid w:val="006500B5"/>
    <w:rsid w:val="006500D6"/>
    <w:rsid w:val="00650203"/>
    <w:rsid w:val="00650376"/>
    <w:rsid w:val="00650441"/>
    <w:rsid w:val="006506D0"/>
    <w:rsid w:val="006506D8"/>
    <w:rsid w:val="006507BA"/>
    <w:rsid w:val="00650841"/>
    <w:rsid w:val="006508FA"/>
    <w:rsid w:val="00650AAA"/>
    <w:rsid w:val="00650D85"/>
    <w:rsid w:val="00650E9A"/>
    <w:rsid w:val="00650FF6"/>
    <w:rsid w:val="00651191"/>
    <w:rsid w:val="006512AE"/>
    <w:rsid w:val="006514EC"/>
    <w:rsid w:val="006515C5"/>
    <w:rsid w:val="0065160A"/>
    <w:rsid w:val="0065166F"/>
    <w:rsid w:val="0065174E"/>
    <w:rsid w:val="006517F1"/>
    <w:rsid w:val="00651A3A"/>
    <w:rsid w:val="00651B7E"/>
    <w:rsid w:val="00651D61"/>
    <w:rsid w:val="00651DC8"/>
    <w:rsid w:val="0065201D"/>
    <w:rsid w:val="006521FD"/>
    <w:rsid w:val="00652283"/>
    <w:rsid w:val="006528C9"/>
    <w:rsid w:val="00652EE9"/>
    <w:rsid w:val="006531A7"/>
    <w:rsid w:val="006532A5"/>
    <w:rsid w:val="0065345F"/>
    <w:rsid w:val="006534D2"/>
    <w:rsid w:val="0065366C"/>
    <w:rsid w:val="006536DB"/>
    <w:rsid w:val="00653704"/>
    <w:rsid w:val="00653926"/>
    <w:rsid w:val="006539AF"/>
    <w:rsid w:val="006539D8"/>
    <w:rsid w:val="00653A0D"/>
    <w:rsid w:val="00653ACD"/>
    <w:rsid w:val="00653B53"/>
    <w:rsid w:val="00653EDB"/>
    <w:rsid w:val="00654021"/>
    <w:rsid w:val="006546CF"/>
    <w:rsid w:val="0065479C"/>
    <w:rsid w:val="006547B3"/>
    <w:rsid w:val="0065482C"/>
    <w:rsid w:val="00654A42"/>
    <w:rsid w:val="00654DBC"/>
    <w:rsid w:val="00654EAF"/>
    <w:rsid w:val="00654EE3"/>
    <w:rsid w:val="00654F2E"/>
    <w:rsid w:val="00655238"/>
    <w:rsid w:val="006552E6"/>
    <w:rsid w:val="006552EA"/>
    <w:rsid w:val="006552F6"/>
    <w:rsid w:val="006553B0"/>
    <w:rsid w:val="006553DB"/>
    <w:rsid w:val="006554DA"/>
    <w:rsid w:val="00655562"/>
    <w:rsid w:val="00655B5F"/>
    <w:rsid w:val="00655C2F"/>
    <w:rsid w:val="00655D94"/>
    <w:rsid w:val="00655DC9"/>
    <w:rsid w:val="00655E24"/>
    <w:rsid w:val="00655FEF"/>
    <w:rsid w:val="00656130"/>
    <w:rsid w:val="00656173"/>
    <w:rsid w:val="006562EA"/>
    <w:rsid w:val="006563C7"/>
    <w:rsid w:val="006564C5"/>
    <w:rsid w:val="006567AD"/>
    <w:rsid w:val="00656940"/>
    <w:rsid w:val="00656990"/>
    <w:rsid w:val="00656D3E"/>
    <w:rsid w:val="00656E8A"/>
    <w:rsid w:val="00656F62"/>
    <w:rsid w:val="006570A0"/>
    <w:rsid w:val="00657176"/>
    <w:rsid w:val="00657798"/>
    <w:rsid w:val="00657AE5"/>
    <w:rsid w:val="00657F41"/>
    <w:rsid w:val="0066003D"/>
    <w:rsid w:val="00660139"/>
    <w:rsid w:val="00660180"/>
    <w:rsid w:val="00660246"/>
    <w:rsid w:val="00660288"/>
    <w:rsid w:val="00660305"/>
    <w:rsid w:val="0066046F"/>
    <w:rsid w:val="00660472"/>
    <w:rsid w:val="006605CD"/>
    <w:rsid w:val="00660A7F"/>
    <w:rsid w:val="00660AFA"/>
    <w:rsid w:val="00660B8E"/>
    <w:rsid w:val="00660BDC"/>
    <w:rsid w:val="00660E85"/>
    <w:rsid w:val="00660EC2"/>
    <w:rsid w:val="006610D9"/>
    <w:rsid w:val="0066135D"/>
    <w:rsid w:val="006614CC"/>
    <w:rsid w:val="006617DE"/>
    <w:rsid w:val="006618A0"/>
    <w:rsid w:val="006618B4"/>
    <w:rsid w:val="006618E0"/>
    <w:rsid w:val="00661A47"/>
    <w:rsid w:val="00661B54"/>
    <w:rsid w:val="00661E36"/>
    <w:rsid w:val="0066204E"/>
    <w:rsid w:val="006620B2"/>
    <w:rsid w:val="00662140"/>
    <w:rsid w:val="006626D0"/>
    <w:rsid w:val="0066280E"/>
    <w:rsid w:val="00662841"/>
    <w:rsid w:val="006629BB"/>
    <w:rsid w:val="00662A33"/>
    <w:rsid w:val="00662F2D"/>
    <w:rsid w:val="00663056"/>
    <w:rsid w:val="00663100"/>
    <w:rsid w:val="00663192"/>
    <w:rsid w:val="00663400"/>
    <w:rsid w:val="006634C5"/>
    <w:rsid w:val="0066357D"/>
    <w:rsid w:val="0066357E"/>
    <w:rsid w:val="0066358F"/>
    <w:rsid w:val="006635EB"/>
    <w:rsid w:val="0066370D"/>
    <w:rsid w:val="00663AAB"/>
    <w:rsid w:val="00663B21"/>
    <w:rsid w:val="00663C24"/>
    <w:rsid w:val="00663DDE"/>
    <w:rsid w:val="006642A9"/>
    <w:rsid w:val="0066444F"/>
    <w:rsid w:val="006644CE"/>
    <w:rsid w:val="006644FC"/>
    <w:rsid w:val="006648CD"/>
    <w:rsid w:val="00664A5D"/>
    <w:rsid w:val="00664A88"/>
    <w:rsid w:val="00664BA0"/>
    <w:rsid w:val="00664BEC"/>
    <w:rsid w:val="00664C90"/>
    <w:rsid w:val="00664E55"/>
    <w:rsid w:val="006650F0"/>
    <w:rsid w:val="006651BD"/>
    <w:rsid w:val="0066531E"/>
    <w:rsid w:val="00665429"/>
    <w:rsid w:val="00665597"/>
    <w:rsid w:val="00665A78"/>
    <w:rsid w:val="00665AA8"/>
    <w:rsid w:val="00665BC9"/>
    <w:rsid w:val="00665E7E"/>
    <w:rsid w:val="006661EF"/>
    <w:rsid w:val="006663D3"/>
    <w:rsid w:val="006663DB"/>
    <w:rsid w:val="006666CE"/>
    <w:rsid w:val="006668B8"/>
    <w:rsid w:val="006668FF"/>
    <w:rsid w:val="00666DDD"/>
    <w:rsid w:val="00667234"/>
    <w:rsid w:val="006672D5"/>
    <w:rsid w:val="00667354"/>
    <w:rsid w:val="006673E8"/>
    <w:rsid w:val="0066767A"/>
    <w:rsid w:val="00667800"/>
    <w:rsid w:val="00667AE5"/>
    <w:rsid w:val="00667EB3"/>
    <w:rsid w:val="006701A5"/>
    <w:rsid w:val="0067035E"/>
    <w:rsid w:val="0067036B"/>
    <w:rsid w:val="006703FC"/>
    <w:rsid w:val="0067069C"/>
    <w:rsid w:val="006709AC"/>
    <w:rsid w:val="006709F0"/>
    <w:rsid w:val="00670A17"/>
    <w:rsid w:val="00670ADF"/>
    <w:rsid w:val="00670CF2"/>
    <w:rsid w:val="00670D46"/>
    <w:rsid w:val="006714A9"/>
    <w:rsid w:val="006715A8"/>
    <w:rsid w:val="00671919"/>
    <w:rsid w:val="0067192E"/>
    <w:rsid w:val="00671BCE"/>
    <w:rsid w:val="00671C90"/>
    <w:rsid w:val="00671CE4"/>
    <w:rsid w:val="00671D08"/>
    <w:rsid w:val="00671D31"/>
    <w:rsid w:val="00671D68"/>
    <w:rsid w:val="00671D6F"/>
    <w:rsid w:val="00671DEE"/>
    <w:rsid w:val="00671EC0"/>
    <w:rsid w:val="00671FD0"/>
    <w:rsid w:val="006720A6"/>
    <w:rsid w:val="0067218D"/>
    <w:rsid w:val="006722C7"/>
    <w:rsid w:val="006722EA"/>
    <w:rsid w:val="00672300"/>
    <w:rsid w:val="006723C5"/>
    <w:rsid w:val="006723ED"/>
    <w:rsid w:val="0067240A"/>
    <w:rsid w:val="006727CB"/>
    <w:rsid w:val="0067283E"/>
    <w:rsid w:val="006729B1"/>
    <w:rsid w:val="00672CDD"/>
    <w:rsid w:val="00673419"/>
    <w:rsid w:val="0067345C"/>
    <w:rsid w:val="006736DD"/>
    <w:rsid w:val="00673A08"/>
    <w:rsid w:val="00673B1B"/>
    <w:rsid w:val="00673E5D"/>
    <w:rsid w:val="00673F34"/>
    <w:rsid w:val="00673FB3"/>
    <w:rsid w:val="00674395"/>
    <w:rsid w:val="006746AF"/>
    <w:rsid w:val="006748D9"/>
    <w:rsid w:val="00674C0C"/>
    <w:rsid w:val="00674CD5"/>
    <w:rsid w:val="00674CFB"/>
    <w:rsid w:val="00674DD8"/>
    <w:rsid w:val="00674F69"/>
    <w:rsid w:val="00675057"/>
    <w:rsid w:val="00675332"/>
    <w:rsid w:val="006756BC"/>
    <w:rsid w:val="0067587F"/>
    <w:rsid w:val="00675973"/>
    <w:rsid w:val="00675993"/>
    <w:rsid w:val="00675AA5"/>
    <w:rsid w:val="00675AB6"/>
    <w:rsid w:val="00675F35"/>
    <w:rsid w:val="00675F94"/>
    <w:rsid w:val="00676194"/>
    <w:rsid w:val="006761C4"/>
    <w:rsid w:val="006763E8"/>
    <w:rsid w:val="00676460"/>
    <w:rsid w:val="006764D3"/>
    <w:rsid w:val="00676647"/>
    <w:rsid w:val="00676951"/>
    <w:rsid w:val="00676A24"/>
    <w:rsid w:val="00676A69"/>
    <w:rsid w:val="00676A9C"/>
    <w:rsid w:val="00676AAF"/>
    <w:rsid w:val="00676F48"/>
    <w:rsid w:val="0067700A"/>
    <w:rsid w:val="00677124"/>
    <w:rsid w:val="00677137"/>
    <w:rsid w:val="006771A5"/>
    <w:rsid w:val="006771EE"/>
    <w:rsid w:val="0067770B"/>
    <w:rsid w:val="0067775C"/>
    <w:rsid w:val="006777F2"/>
    <w:rsid w:val="00677AD1"/>
    <w:rsid w:val="00677D85"/>
    <w:rsid w:val="00677F09"/>
    <w:rsid w:val="00677F76"/>
    <w:rsid w:val="00680053"/>
    <w:rsid w:val="006800BC"/>
    <w:rsid w:val="0068017B"/>
    <w:rsid w:val="00680352"/>
    <w:rsid w:val="0068053D"/>
    <w:rsid w:val="00680800"/>
    <w:rsid w:val="006808A4"/>
    <w:rsid w:val="006809A0"/>
    <w:rsid w:val="00680CEC"/>
    <w:rsid w:val="00680DBC"/>
    <w:rsid w:val="00680FC9"/>
    <w:rsid w:val="0068107A"/>
    <w:rsid w:val="0068138B"/>
    <w:rsid w:val="00681624"/>
    <w:rsid w:val="00681775"/>
    <w:rsid w:val="00681C1C"/>
    <w:rsid w:val="00681DFD"/>
    <w:rsid w:val="00681E73"/>
    <w:rsid w:val="00682222"/>
    <w:rsid w:val="00682251"/>
    <w:rsid w:val="00682459"/>
    <w:rsid w:val="00682712"/>
    <w:rsid w:val="006827EF"/>
    <w:rsid w:val="00682AA9"/>
    <w:rsid w:val="00682B0C"/>
    <w:rsid w:val="006830F4"/>
    <w:rsid w:val="006835B2"/>
    <w:rsid w:val="00683A1A"/>
    <w:rsid w:val="00683A55"/>
    <w:rsid w:val="00683A85"/>
    <w:rsid w:val="00683ACD"/>
    <w:rsid w:val="00683D7D"/>
    <w:rsid w:val="00683D7E"/>
    <w:rsid w:val="006841E4"/>
    <w:rsid w:val="00684212"/>
    <w:rsid w:val="0068436D"/>
    <w:rsid w:val="0068455E"/>
    <w:rsid w:val="0068459D"/>
    <w:rsid w:val="00684687"/>
    <w:rsid w:val="0068470C"/>
    <w:rsid w:val="0068484C"/>
    <w:rsid w:val="00684939"/>
    <w:rsid w:val="00684A6B"/>
    <w:rsid w:val="00684D4B"/>
    <w:rsid w:val="00684D69"/>
    <w:rsid w:val="00684E6F"/>
    <w:rsid w:val="00684FEF"/>
    <w:rsid w:val="00685420"/>
    <w:rsid w:val="00685489"/>
    <w:rsid w:val="006854E2"/>
    <w:rsid w:val="00685502"/>
    <w:rsid w:val="0068558A"/>
    <w:rsid w:val="006856AE"/>
    <w:rsid w:val="00685821"/>
    <w:rsid w:val="006858C5"/>
    <w:rsid w:val="00685947"/>
    <w:rsid w:val="00685B3D"/>
    <w:rsid w:val="00685C55"/>
    <w:rsid w:val="00685CFD"/>
    <w:rsid w:val="00686056"/>
    <w:rsid w:val="0068612B"/>
    <w:rsid w:val="006863CC"/>
    <w:rsid w:val="0068647C"/>
    <w:rsid w:val="006867B1"/>
    <w:rsid w:val="00686839"/>
    <w:rsid w:val="006868F3"/>
    <w:rsid w:val="00686D7B"/>
    <w:rsid w:val="00686DD2"/>
    <w:rsid w:val="00687039"/>
    <w:rsid w:val="00687120"/>
    <w:rsid w:val="006874DB"/>
    <w:rsid w:val="00687550"/>
    <w:rsid w:val="0068769E"/>
    <w:rsid w:val="00687795"/>
    <w:rsid w:val="00687842"/>
    <w:rsid w:val="00687E50"/>
    <w:rsid w:val="00687F3F"/>
    <w:rsid w:val="00687FEE"/>
    <w:rsid w:val="00690064"/>
    <w:rsid w:val="00690142"/>
    <w:rsid w:val="00690292"/>
    <w:rsid w:val="00690425"/>
    <w:rsid w:val="00690982"/>
    <w:rsid w:val="00690CDD"/>
    <w:rsid w:val="00690E16"/>
    <w:rsid w:val="00690F5A"/>
    <w:rsid w:val="0069110A"/>
    <w:rsid w:val="0069111B"/>
    <w:rsid w:val="00691318"/>
    <w:rsid w:val="006915AB"/>
    <w:rsid w:val="006917EE"/>
    <w:rsid w:val="00691847"/>
    <w:rsid w:val="006918BE"/>
    <w:rsid w:val="00691956"/>
    <w:rsid w:val="00691AB8"/>
    <w:rsid w:val="00691C31"/>
    <w:rsid w:val="00691C32"/>
    <w:rsid w:val="00691CA8"/>
    <w:rsid w:val="00691D28"/>
    <w:rsid w:val="00691DC4"/>
    <w:rsid w:val="00691DD6"/>
    <w:rsid w:val="00691E28"/>
    <w:rsid w:val="00691E41"/>
    <w:rsid w:val="00691E61"/>
    <w:rsid w:val="00691EC6"/>
    <w:rsid w:val="00691EDB"/>
    <w:rsid w:val="00691F41"/>
    <w:rsid w:val="00691F60"/>
    <w:rsid w:val="00691FA2"/>
    <w:rsid w:val="006921AD"/>
    <w:rsid w:val="0069247D"/>
    <w:rsid w:val="006924EF"/>
    <w:rsid w:val="006925F6"/>
    <w:rsid w:val="00692627"/>
    <w:rsid w:val="0069265F"/>
    <w:rsid w:val="00692738"/>
    <w:rsid w:val="00692CAC"/>
    <w:rsid w:val="0069315C"/>
    <w:rsid w:val="00693588"/>
    <w:rsid w:val="0069368A"/>
    <w:rsid w:val="00693930"/>
    <w:rsid w:val="0069398D"/>
    <w:rsid w:val="00693A8E"/>
    <w:rsid w:val="00693BB3"/>
    <w:rsid w:val="00693C16"/>
    <w:rsid w:val="00693DEC"/>
    <w:rsid w:val="00694239"/>
    <w:rsid w:val="0069445F"/>
    <w:rsid w:val="006944EE"/>
    <w:rsid w:val="0069463D"/>
    <w:rsid w:val="006946D6"/>
    <w:rsid w:val="006947E8"/>
    <w:rsid w:val="00694A02"/>
    <w:rsid w:val="00694B01"/>
    <w:rsid w:val="00694FD4"/>
    <w:rsid w:val="00695247"/>
    <w:rsid w:val="00695421"/>
    <w:rsid w:val="0069544C"/>
    <w:rsid w:val="00695628"/>
    <w:rsid w:val="006957F5"/>
    <w:rsid w:val="00695925"/>
    <w:rsid w:val="00695B44"/>
    <w:rsid w:val="00695F6B"/>
    <w:rsid w:val="0069619B"/>
    <w:rsid w:val="00696306"/>
    <w:rsid w:val="0069638C"/>
    <w:rsid w:val="006963FB"/>
    <w:rsid w:val="00696487"/>
    <w:rsid w:val="006966E5"/>
    <w:rsid w:val="0069689A"/>
    <w:rsid w:val="006973E1"/>
    <w:rsid w:val="00697440"/>
    <w:rsid w:val="0069757E"/>
    <w:rsid w:val="00697696"/>
    <w:rsid w:val="00697A32"/>
    <w:rsid w:val="00697A4A"/>
    <w:rsid w:val="00697C1F"/>
    <w:rsid w:val="00697E2D"/>
    <w:rsid w:val="006A0169"/>
    <w:rsid w:val="006A049E"/>
    <w:rsid w:val="006A0C71"/>
    <w:rsid w:val="006A0FBE"/>
    <w:rsid w:val="006A11F9"/>
    <w:rsid w:val="006A12C1"/>
    <w:rsid w:val="006A13F2"/>
    <w:rsid w:val="006A1466"/>
    <w:rsid w:val="006A15C6"/>
    <w:rsid w:val="006A1834"/>
    <w:rsid w:val="006A18F2"/>
    <w:rsid w:val="006A1B63"/>
    <w:rsid w:val="006A1D76"/>
    <w:rsid w:val="006A1D83"/>
    <w:rsid w:val="006A1E55"/>
    <w:rsid w:val="006A1F3F"/>
    <w:rsid w:val="006A1FE2"/>
    <w:rsid w:val="006A2651"/>
    <w:rsid w:val="006A28B9"/>
    <w:rsid w:val="006A2994"/>
    <w:rsid w:val="006A29E3"/>
    <w:rsid w:val="006A2DBF"/>
    <w:rsid w:val="006A3020"/>
    <w:rsid w:val="006A35F6"/>
    <w:rsid w:val="006A3977"/>
    <w:rsid w:val="006A3A7F"/>
    <w:rsid w:val="006A3C47"/>
    <w:rsid w:val="006A3FB4"/>
    <w:rsid w:val="006A41D3"/>
    <w:rsid w:val="006A4228"/>
    <w:rsid w:val="006A4436"/>
    <w:rsid w:val="006A446B"/>
    <w:rsid w:val="006A4523"/>
    <w:rsid w:val="006A45F7"/>
    <w:rsid w:val="006A4677"/>
    <w:rsid w:val="006A46DF"/>
    <w:rsid w:val="006A473D"/>
    <w:rsid w:val="006A497C"/>
    <w:rsid w:val="006A4B91"/>
    <w:rsid w:val="006A4ECD"/>
    <w:rsid w:val="006A52D8"/>
    <w:rsid w:val="006A5319"/>
    <w:rsid w:val="006A569D"/>
    <w:rsid w:val="006A56A3"/>
    <w:rsid w:val="006A56E7"/>
    <w:rsid w:val="006A571E"/>
    <w:rsid w:val="006A57C2"/>
    <w:rsid w:val="006A5CB8"/>
    <w:rsid w:val="006A5DF9"/>
    <w:rsid w:val="006A5F03"/>
    <w:rsid w:val="006A5F81"/>
    <w:rsid w:val="006A6083"/>
    <w:rsid w:val="006A616E"/>
    <w:rsid w:val="006A6395"/>
    <w:rsid w:val="006A647F"/>
    <w:rsid w:val="006A64F8"/>
    <w:rsid w:val="006A659F"/>
    <w:rsid w:val="006A66A4"/>
    <w:rsid w:val="006A681F"/>
    <w:rsid w:val="006A69B8"/>
    <w:rsid w:val="006A6AE7"/>
    <w:rsid w:val="006A6CD7"/>
    <w:rsid w:val="006A6FFA"/>
    <w:rsid w:val="006A75F9"/>
    <w:rsid w:val="006A7658"/>
    <w:rsid w:val="006A7AA1"/>
    <w:rsid w:val="006A7C65"/>
    <w:rsid w:val="006A7DA6"/>
    <w:rsid w:val="006A7DB5"/>
    <w:rsid w:val="006B000A"/>
    <w:rsid w:val="006B0217"/>
    <w:rsid w:val="006B033A"/>
    <w:rsid w:val="006B04D8"/>
    <w:rsid w:val="006B04FA"/>
    <w:rsid w:val="006B0513"/>
    <w:rsid w:val="006B0891"/>
    <w:rsid w:val="006B0ADE"/>
    <w:rsid w:val="006B0B07"/>
    <w:rsid w:val="006B0E4B"/>
    <w:rsid w:val="006B0EB7"/>
    <w:rsid w:val="006B1244"/>
    <w:rsid w:val="006B1274"/>
    <w:rsid w:val="006B1313"/>
    <w:rsid w:val="006B168F"/>
    <w:rsid w:val="006B16BE"/>
    <w:rsid w:val="006B16E0"/>
    <w:rsid w:val="006B1708"/>
    <w:rsid w:val="006B1952"/>
    <w:rsid w:val="006B198C"/>
    <w:rsid w:val="006B1CBC"/>
    <w:rsid w:val="006B1CCB"/>
    <w:rsid w:val="006B1CFB"/>
    <w:rsid w:val="006B1D81"/>
    <w:rsid w:val="006B1E36"/>
    <w:rsid w:val="006B1F30"/>
    <w:rsid w:val="006B21BE"/>
    <w:rsid w:val="006B22CB"/>
    <w:rsid w:val="006B24BB"/>
    <w:rsid w:val="006B2508"/>
    <w:rsid w:val="006B295F"/>
    <w:rsid w:val="006B306D"/>
    <w:rsid w:val="006B30D1"/>
    <w:rsid w:val="006B3162"/>
    <w:rsid w:val="006B348B"/>
    <w:rsid w:val="006B3524"/>
    <w:rsid w:val="006B3568"/>
    <w:rsid w:val="006B3B1F"/>
    <w:rsid w:val="006B41D6"/>
    <w:rsid w:val="006B41EF"/>
    <w:rsid w:val="006B43DC"/>
    <w:rsid w:val="006B45D4"/>
    <w:rsid w:val="006B4649"/>
    <w:rsid w:val="006B4730"/>
    <w:rsid w:val="006B4816"/>
    <w:rsid w:val="006B49B1"/>
    <w:rsid w:val="006B4A05"/>
    <w:rsid w:val="006B4C60"/>
    <w:rsid w:val="006B4F9A"/>
    <w:rsid w:val="006B4FEB"/>
    <w:rsid w:val="006B5000"/>
    <w:rsid w:val="006B5032"/>
    <w:rsid w:val="006B505E"/>
    <w:rsid w:val="006B50FE"/>
    <w:rsid w:val="006B51EE"/>
    <w:rsid w:val="006B535B"/>
    <w:rsid w:val="006B53E1"/>
    <w:rsid w:val="006B548F"/>
    <w:rsid w:val="006B5491"/>
    <w:rsid w:val="006B54A9"/>
    <w:rsid w:val="006B54B6"/>
    <w:rsid w:val="006B54EB"/>
    <w:rsid w:val="006B5620"/>
    <w:rsid w:val="006B56AF"/>
    <w:rsid w:val="006B56EF"/>
    <w:rsid w:val="006B5728"/>
    <w:rsid w:val="006B574B"/>
    <w:rsid w:val="006B5794"/>
    <w:rsid w:val="006B5874"/>
    <w:rsid w:val="006B5ADC"/>
    <w:rsid w:val="006B5DA3"/>
    <w:rsid w:val="006B5E7B"/>
    <w:rsid w:val="006B5FE3"/>
    <w:rsid w:val="006B628B"/>
    <w:rsid w:val="006B6362"/>
    <w:rsid w:val="006B6466"/>
    <w:rsid w:val="006B65EA"/>
    <w:rsid w:val="006B6664"/>
    <w:rsid w:val="006B68B0"/>
    <w:rsid w:val="006B6AD6"/>
    <w:rsid w:val="006B6DAB"/>
    <w:rsid w:val="006B6E27"/>
    <w:rsid w:val="006B7045"/>
    <w:rsid w:val="006B74A7"/>
    <w:rsid w:val="006B7566"/>
    <w:rsid w:val="006B7A05"/>
    <w:rsid w:val="006C02E4"/>
    <w:rsid w:val="006C05A2"/>
    <w:rsid w:val="006C05BC"/>
    <w:rsid w:val="006C0636"/>
    <w:rsid w:val="006C07A6"/>
    <w:rsid w:val="006C0964"/>
    <w:rsid w:val="006C0996"/>
    <w:rsid w:val="006C099D"/>
    <w:rsid w:val="006C09EE"/>
    <w:rsid w:val="006C09FA"/>
    <w:rsid w:val="006C0B84"/>
    <w:rsid w:val="006C0BE8"/>
    <w:rsid w:val="006C0E7D"/>
    <w:rsid w:val="006C0F25"/>
    <w:rsid w:val="006C0FC0"/>
    <w:rsid w:val="006C0FFE"/>
    <w:rsid w:val="006C13D3"/>
    <w:rsid w:val="006C1479"/>
    <w:rsid w:val="006C156E"/>
    <w:rsid w:val="006C1672"/>
    <w:rsid w:val="006C189D"/>
    <w:rsid w:val="006C191F"/>
    <w:rsid w:val="006C1AA8"/>
    <w:rsid w:val="006C1B86"/>
    <w:rsid w:val="006C1B91"/>
    <w:rsid w:val="006C1F04"/>
    <w:rsid w:val="006C1FCD"/>
    <w:rsid w:val="006C1FFC"/>
    <w:rsid w:val="006C1FFD"/>
    <w:rsid w:val="006C204B"/>
    <w:rsid w:val="006C21AE"/>
    <w:rsid w:val="006C21C3"/>
    <w:rsid w:val="006C22AB"/>
    <w:rsid w:val="006C28AD"/>
    <w:rsid w:val="006C2B3F"/>
    <w:rsid w:val="006C2EDC"/>
    <w:rsid w:val="006C2EE4"/>
    <w:rsid w:val="006C3035"/>
    <w:rsid w:val="006C314C"/>
    <w:rsid w:val="006C31FC"/>
    <w:rsid w:val="006C3217"/>
    <w:rsid w:val="006C33D4"/>
    <w:rsid w:val="006C361C"/>
    <w:rsid w:val="006C373B"/>
    <w:rsid w:val="006C3B6D"/>
    <w:rsid w:val="006C3E1D"/>
    <w:rsid w:val="006C3E24"/>
    <w:rsid w:val="006C4040"/>
    <w:rsid w:val="006C4176"/>
    <w:rsid w:val="006C41F3"/>
    <w:rsid w:val="006C4256"/>
    <w:rsid w:val="006C444B"/>
    <w:rsid w:val="006C466E"/>
    <w:rsid w:val="006C4B3D"/>
    <w:rsid w:val="006C4BD1"/>
    <w:rsid w:val="006C4CBA"/>
    <w:rsid w:val="006C4D6A"/>
    <w:rsid w:val="006C4D9D"/>
    <w:rsid w:val="006C5614"/>
    <w:rsid w:val="006C57C6"/>
    <w:rsid w:val="006C5827"/>
    <w:rsid w:val="006C5841"/>
    <w:rsid w:val="006C592E"/>
    <w:rsid w:val="006C59D5"/>
    <w:rsid w:val="006C5A44"/>
    <w:rsid w:val="006C5AD3"/>
    <w:rsid w:val="006C60BF"/>
    <w:rsid w:val="006C617F"/>
    <w:rsid w:val="006C61F7"/>
    <w:rsid w:val="006C625D"/>
    <w:rsid w:val="006C6606"/>
    <w:rsid w:val="006C66BE"/>
    <w:rsid w:val="006C67C4"/>
    <w:rsid w:val="006C6945"/>
    <w:rsid w:val="006C6C42"/>
    <w:rsid w:val="006C6CEC"/>
    <w:rsid w:val="006C6E26"/>
    <w:rsid w:val="006C6F5A"/>
    <w:rsid w:val="006C710A"/>
    <w:rsid w:val="006C73A9"/>
    <w:rsid w:val="006C744A"/>
    <w:rsid w:val="006C762F"/>
    <w:rsid w:val="006C7816"/>
    <w:rsid w:val="006C790F"/>
    <w:rsid w:val="006C7EAD"/>
    <w:rsid w:val="006C7F14"/>
    <w:rsid w:val="006D02FA"/>
    <w:rsid w:val="006D06E1"/>
    <w:rsid w:val="006D07A7"/>
    <w:rsid w:val="006D0D30"/>
    <w:rsid w:val="006D0FAF"/>
    <w:rsid w:val="006D106F"/>
    <w:rsid w:val="006D114B"/>
    <w:rsid w:val="006D121D"/>
    <w:rsid w:val="006D1220"/>
    <w:rsid w:val="006D14F6"/>
    <w:rsid w:val="006D1594"/>
    <w:rsid w:val="006D1BC8"/>
    <w:rsid w:val="006D1D56"/>
    <w:rsid w:val="006D1D9D"/>
    <w:rsid w:val="006D1F5F"/>
    <w:rsid w:val="006D2116"/>
    <w:rsid w:val="006D2335"/>
    <w:rsid w:val="006D2375"/>
    <w:rsid w:val="006D2594"/>
    <w:rsid w:val="006D2666"/>
    <w:rsid w:val="006D2A56"/>
    <w:rsid w:val="006D2C53"/>
    <w:rsid w:val="006D2DA8"/>
    <w:rsid w:val="006D2DC6"/>
    <w:rsid w:val="006D2E8B"/>
    <w:rsid w:val="006D2EFF"/>
    <w:rsid w:val="006D2F64"/>
    <w:rsid w:val="006D2FC0"/>
    <w:rsid w:val="006D3090"/>
    <w:rsid w:val="006D31F0"/>
    <w:rsid w:val="006D34B4"/>
    <w:rsid w:val="006D3720"/>
    <w:rsid w:val="006D3804"/>
    <w:rsid w:val="006D38C8"/>
    <w:rsid w:val="006D3960"/>
    <w:rsid w:val="006D39D0"/>
    <w:rsid w:val="006D3C63"/>
    <w:rsid w:val="006D3E0C"/>
    <w:rsid w:val="006D4005"/>
    <w:rsid w:val="006D40F9"/>
    <w:rsid w:val="006D413B"/>
    <w:rsid w:val="006D41B7"/>
    <w:rsid w:val="006D431A"/>
    <w:rsid w:val="006D432C"/>
    <w:rsid w:val="006D43DF"/>
    <w:rsid w:val="006D4742"/>
    <w:rsid w:val="006D4796"/>
    <w:rsid w:val="006D4C0D"/>
    <w:rsid w:val="006D4DF3"/>
    <w:rsid w:val="006D4EF3"/>
    <w:rsid w:val="006D508E"/>
    <w:rsid w:val="006D509E"/>
    <w:rsid w:val="006D50FF"/>
    <w:rsid w:val="006D523A"/>
    <w:rsid w:val="006D550E"/>
    <w:rsid w:val="006D5597"/>
    <w:rsid w:val="006D59F0"/>
    <w:rsid w:val="006D5BE8"/>
    <w:rsid w:val="006D604A"/>
    <w:rsid w:val="006D6234"/>
    <w:rsid w:val="006D635A"/>
    <w:rsid w:val="006D63A2"/>
    <w:rsid w:val="006D6431"/>
    <w:rsid w:val="006D64C4"/>
    <w:rsid w:val="006D65A7"/>
    <w:rsid w:val="006D6966"/>
    <w:rsid w:val="006D6A17"/>
    <w:rsid w:val="006D6A19"/>
    <w:rsid w:val="006D6A3F"/>
    <w:rsid w:val="006D6C5F"/>
    <w:rsid w:val="006D6F77"/>
    <w:rsid w:val="006D702D"/>
    <w:rsid w:val="006D702E"/>
    <w:rsid w:val="006D7294"/>
    <w:rsid w:val="006D729D"/>
    <w:rsid w:val="006D7675"/>
    <w:rsid w:val="006D7700"/>
    <w:rsid w:val="006D78D9"/>
    <w:rsid w:val="006D7932"/>
    <w:rsid w:val="006D7987"/>
    <w:rsid w:val="006D7A55"/>
    <w:rsid w:val="006D7BA6"/>
    <w:rsid w:val="006D7C6A"/>
    <w:rsid w:val="006D7C8C"/>
    <w:rsid w:val="006D7FC1"/>
    <w:rsid w:val="006E003D"/>
    <w:rsid w:val="006E00C9"/>
    <w:rsid w:val="006E01BF"/>
    <w:rsid w:val="006E0209"/>
    <w:rsid w:val="006E05C5"/>
    <w:rsid w:val="006E066F"/>
    <w:rsid w:val="006E06C1"/>
    <w:rsid w:val="006E07BC"/>
    <w:rsid w:val="006E0BFA"/>
    <w:rsid w:val="006E0D5A"/>
    <w:rsid w:val="006E0E91"/>
    <w:rsid w:val="006E0F68"/>
    <w:rsid w:val="006E0FFE"/>
    <w:rsid w:val="006E1130"/>
    <w:rsid w:val="006E14D8"/>
    <w:rsid w:val="006E1526"/>
    <w:rsid w:val="006E178E"/>
    <w:rsid w:val="006E1872"/>
    <w:rsid w:val="006E19A9"/>
    <w:rsid w:val="006E1A19"/>
    <w:rsid w:val="006E1B89"/>
    <w:rsid w:val="006E1BBC"/>
    <w:rsid w:val="006E1CCA"/>
    <w:rsid w:val="006E1D7A"/>
    <w:rsid w:val="006E1E07"/>
    <w:rsid w:val="006E226A"/>
    <w:rsid w:val="006E2342"/>
    <w:rsid w:val="006E23FB"/>
    <w:rsid w:val="006E2457"/>
    <w:rsid w:val="006E277D"/>
    <w:rsid w:val="006E29B2"/>
    <w:rsid w:val="006E2B57"/>
    <w:rsid w:val="006E2CF5"/>
    <w:rsid w:val="006E2D7E"/>
    <w:rsid w:val="006E2DDF"/>
    <w:rsid w:val="006E2FD2"/>
    <w:rsid w:val="006E30C4"/>
    <w:rsid w:val="006E3300"/>
    <w:rsid w:val="006E36DA"/>
    <w:rsid w:val="006E36F2"/>
    <w:rsid w:val="006E3B16"/>
    <w:rsid w:val="006E3D41"/>
    <w:rsid w:val="006E3D42"/>
    <w:rsid w:val="006E3E13"/>
    <w:rsid w:val="006E40B8"/>
    <w:rsid w:val="006E4136"/>
    <w:rsid w:val="006E413E"/>
    <w:rsid w:val="006E420F"/>
    <w:rsid w:val="006E4309"/>
    <w:rsid w:val="006E431E"/>
    <w:rsid w:val="006E4323"/>
    <w:rsid w:val="006E4463"/>
    <w:rsid w:val="006E46A6"/>
    <w:rsid w:val="006E46F4"/>
    <w:rsid w:val="006E4788"/>
    <w:rsid w:val="006E4804"/>
    <w:rsid w:val="006E4D31"/>
    <w:rsid w:val="006E4DE0"/>
    <w:rsid w:val="006E4EE1"/>
    <w:rsid w:val="006E51DF"/>
    <w:rsid w:val="006E5217"/>
    <w:rsid w:val="006E5284"/>
    <w:rsid w:val="006E5771"/>
    <w:rsid w:val="006E5835"/>
    <w:rsid w:val="006E583E"/>
    <w:rsid w:val="006E59BD"/>
    <w:rsid w:val="006E59FB"/>
    <w:rsid w:val="006E5AC0"/>
    <w:rsid w:val="006E5D4D"/>
    <w:rsid w:val="006E5DAA"/>
    <w:rsid w:val="006E5ED9"/>
    <w:rsid w:val="006E60E5"/>
    <w:rsid w:val="006E6166"/>
    <w:rsid w:val="006E61DB"/>
    <w:rsid w:val="006E6229"/>
    <w:rsid w:val="006E64A7"/>
    <w:rsid w:val="006E66AC"/>
    <w:rsid w:val="006E670F"/>
    <w:rsid w:val="006E6B78"/>
    <w:rsid w:val="006E6DA1"/>
    <w:rsid w:val="006E6E02"/>
    <w:rsid w:val="006E6F81"/>
    <w:rsid w:val="006E703E"/>
    <w:rsid w:val="006E747B"/>
    <w:rsid w:val="006E7615"/>
    <w:rsid w:val="006E7887"/>
    <w:rsid w:val="006E78D0"/>
    <w:rsid w:val="006E794C"/>
    <w:rsid w:val="006E7BF5"/>
    <w:rsid w:val="006E7D8F"/>
    <w:rsid w:val="006E7F59"/>
    <w:rsid w:val="006F004A"/>
    <w:rsid w:val="006F02A5"/>
    <w:rsid w:val="006F05BF"/>
    <w:rsid w:val="006F0830"/>
    <w:rsid w:val="006F091B"/>
    <w:rsid w:val="006F09EB"/>
    <w:rsid w:val="006F0B6E"/>
    <w:rsid w:val="006F0C33"/>
    <w:rsid w:val="006F0DA4"/>
    <w:rsid w:val="006F0E2E"/>
    <w:rsid w:val="006F0E7D"/>
    <w:rsid w:val="006F0EAB"/>
    <w:rsid w:val="006F0ECB"/>
    <w:rsid w:val="006F133C"/>
    <w:rsid w:val="006F14EE"/>
    <w:rsid w:val="006F16C5"/>
    <w:rsid w:val="006F18B3"/>
    <w:rsid w:val="006F191D"/>
    <w:rsid w:val="006F1AD2"/>
    <w:rsid w:val="006F1D1B"/>
    <w:rsid w:val="006F1DD6"/>
    <w:rsid w:val="006F2490"/>
    <w:rsid w:val="006F2561"/>
    <w:rsid w:val="006F265B"/>
    <w:rsid w:val="006F2798"/>
    <w:rsid w:val="006F2858"/>
    <w:rsid w:val="006F2950"/>
    <w:rsid w:val="006F2D13"/>
    <w:rsid w:val="006F318B"/>
    <w:rsid w:val="006F326D"/>
    <w:rsid w:val="006F3301"/>
    <w:rsid w:val="006F33D6"/>
    <w:rsid w:val="006F379A"/>
    <w:rsid w:val="006F3B00"/>
    <w:rsid w:val="006F3BBF"/>
    <w:rsid w:val="006F4243"/>
    <w:rsid w:val="006F435E"/>
    <w:rsid w:val="006F45EB"/>
    <w:rsid w:val="006F46AA"/>
    <w:rsid w:val="006F4816"/>
    <w:rsid w:val="006F4904"/>
    <w:rsid w:val="006F49A2"/>
    <w:rsid w:val="006F4A95"/>
    <w:rsid w:val="006F4CDF"/>
    <w:rsid w:val="006F4D30"/>
    <w:rsid w:val="006F4EAE"/>
    <w:rsid w:val="006F4EDF"/>
    <w:rsid w:val="006F52F2"/>
    <w:rsid w:val="006F5355"/>
    <w:rsid w:val="006F5429"/>
    <w:rsid w:val="006F5473"/>
    <w:rsid w:val="006F54D8"/>
    <w:rsid w:val="006F59CC"/>
    <w:rsid w:val="006F5AA3"/>
    <w:rsid w:val="006F5D12"/>
    <w:rsid w:val="006F5EEA"/>
    <w:rsid w:val="006F602A"/>
    <w:rsid w:val="006F632F"/>
    <w:rsid w:val="006F636E"/>
    <w:rsid w:val="006F64DF"/>
    <w:rsid w:val="006F6924"/>
    <w:rsid w:val="006F6A1E"/>
    <w:rsid w:val="006F714C"/>
    <w:rsid w:val="006F714F"/>
    <w:rsid w:val="006F71BF"/>
    <w:rsid w:val="006F729A"/>
    <w:rsid w:val="006F7312"/>
    <w:rsid w:val="006F7373"/>
    <w:rsid w:val="006F73F7"/>
    <w:rsid w:val="006F7407"/>
    <w:rsid w:val="006F74AB"/>
    <w:rsid w:val="006F74EA"/>
    <w:rsid w:val="006F75FB"/>
    <w:rsid w:val="006F79B9"/>
    <w:rsid w:val="006F7A13"/>
    <w:rsid w:val="006F7A56"/>
    <w:rsid w:val="006F7BF2"/>
    <w:rsid w:val="006F7C2E"/>
    <w:rsid w:val="006F7D47"/>
    <w:rsid w:val="006F7D80"/>
    <w:rsid w:val="00700038"/>
    <w:rsid w:val="00700061"/>
    <w:rsid w:val="00700109"/>
    <w:rsid w:val="007001C9"/>
    <w:rsid w:val="0070025A"/>
    <w:rsid w:val="00700262"/>
    <w:rsid w:val="00700273"/>
    <w:rsid w:val="007002B9"/>
    <w:rsid w:val="0070049F"/>
    <w:rsid w:val="007006C0"/>
    <w:rsid w:val="00700864"/>
    <w:rsid w:val="00700896"/>
    <w:rsid w:val="00700905"/>
    <w:rsid w:val="00700910"/>
    <w:rsid w:val="00700C98"/>
    <w:rsid w:val="00700DCE"/>
    <w:rsid w:val="00700E27"/>
    <w:rsid w:val="00700F06"/>
    <w:rsid w:val="0070123B"/>
    <w:rsid w:val="007014CB"/>
    <w:rsid w:val="00701789"/>
    <w:rsid w:val="00701835"/>
    <w:rsid w:val="00701BBF"/>
    <w:rsid w:val="00701F87"/>
    <w:rsid w:val="00702071"/>
    <w:rsid w:val="007020E0"/>
    <w:rsid w:val="00702258"/>
    <w:rsid w:val="007024F8"/>
    <w:rsid w:val="00702567"/>
    <w:rsid w:val="0070260B"/>
    <w:rsid w:val="007028D6"/>
    <w:rsid w:val="007028F5"/>
    <w:rsid w:val="00702AFA"/>
    <w:rsid w:val="00702B89"/>
    <w:rsid w:val="00702CE7"/>
    <w:rsid w:val="00702D1B"/>
    <w:rsid w:val="00702E8A"/>
    <w:rsid w:val="00703072"/>
    <w:rsid w:val="007035D2"/>
    <w:rsid w:val="007035D6"/>
    <w:rsid w:val="00703852"/>
    <w:rsid w:val="00703949"/>
    <w:rsid w:val="00703E5C"/>
    <w:rsid w:val="007040A0"/>
    <w:rsid w:val="00704119"/>
    <w:rsid w:val="0070426B"/>
    <w:rsid w:val="007042FF"/>
    <w:rsid w:val="007043F3"/>
    <w:rsid w:val="00704486"/>
    <w:rsid w:val="0070453C"/>
    <w:rsid w:val="00704790"/>
    <w:rsid w:val="007048D5"/>
    <w:rsid w:val="007048F7"/>
    <w:rsid w:val="00704A04"/>
    <w:rsid w:val="00704BEE"/>
    <w:rsid w:val="00704EFA"/>
    <w:rsid w:val="00704F19"/>
    <w:rsid w:val="00704F82"/>
    <w:rsid w:val="007053A2"/>
    <w:rsid w:val="00705603"/>
    <w:rsid w:val="00705690"/>
    <w:rsid w:val="0070571F"/>
    <w:rsid w:val="00705766"/>
    <w:rsid w:val="00705CA1"/>
    <w:rsid w:val="00706128"/>
    <w:rsid w:val="0070621B"/>
    <w:rsid w:val="0070634E"/>
    <w:rsid w:val="00706504"/>
    <w:rsid w:val="00706524"/>
    <w:rsid w:val="0070661A"/>
    <w:rsid w:val="00706C5A"/>
    <w:rsid w:val="00706E24"/>
    <w:rsid w:val="00706EAA"/>
    <w:rsid w:val="0070713F"/>
    <w:rsid w:val="00707647"/>
    <w:rsid w:val="00707652"/>
    <w:rsid w:val="0070777B"/>
    <w:rsid w:val="007077AF"/>
    <w:rsid w:val="007078B5"/>
    <w:rsid w:val="00707A25"/>
    <w:rsid w:val="00707AD5"/>
    <w:rsid w:val="00707C53"/>
    <w:rsid w:val="0071002F"/>
    <w:rsid w:val="0071074B"/>
    <w:rsid w:val="00710813"/>
    <w:rsid w:val="0071095B"/>
    <w:rsid w:val="00710C05"/>
    <w:rsid w:val="00710EA5"/>
    <w:rsid w:val="00711325"/>
    <w:rsid w:val="00711740"/>
    <w:rsid w:val="00711755"/>
    <w:rsid w:val="007117FA"/>
    <w:rsid w:val="007119A3"/>
    <w:rsid w:val="00711C10"/>
    <w:rsid w:val="00711C11"/>
    <w:rsid w:val="00711FC9"/>
    <w:rsid w:val="007120C7"/>
    <w:rsid w:val="00712171"/>
    <w:rsid w:val="007123E9"/>
    <w:rsid w:val="0071242A"/>
    <w:rsid w:val="0071247D"/>
    <w:rsid w:val="007126E6"/>
    <w:rsid w:val="00712781"/>
    <w:rsid w:val="00712928"/>
    <w:rsid w:val="00712A22"/>
    <w:rsid w:val="00712AD7"/>
    <w:rsid w:val="00712D2D"/>
    <w:rsid w:val="00712FE6"/>
    <w:rsid w:val="0071302E"/>
    <w:rsid w:val="0071309B"/>
    <w:rsid w:val="007130B3"/>
    <w:rsid w:val="007131B2"/>
    <w:rsid w:val="00713378"/>
    <w:rsid w:val="00713920"/>
    <w:rsid w:val="0071394A"/>
    <w:rsid w:val="00713A09"/>
    <w:rsid w:val="00713B89"/>
    <w:rsid w:val="00713D25"/>
    <w:rsid w:val="00713E50"/>
    <w:rsid w:val="00713EB1"/>
    <w:rsid w:val="007146A5"/>
    <w:rsid w:val="007146E1"/>
    <w:rsid w:val="00714778"/>
    <w:rsid w:val="00714840"/>
    <w:rsid w:val="00714A54"/>
    <w:rsid w:val="00714B24"/>
    <w:rsid w:val="00714FB7"/>
    <w:rsid w:val="00715083"/>
    <w:rsid w:val="00715195"/>
    <w:rsid w:val="007152AD"/>
    <w:rsid w:val="007155EA"/>
    <w:rsid w:val="00715941"/>
    <w:rsid w:val="00715AE0"/>
    <w:rsid w:val="00715AF0"/>
    <w:rsid w:val="00715E4D"/>
    <w:rsid w:val="00715EA1"/>
    <w:rsid w:val="00715F23"/>
    <w:rsid w:val="00715F59"/>
    <w:rsid w:val="00715F82"/>
    <w:rsid w:val="00715FEE"/>
    <w:rsid w:val="0071627C"/>
    <w:rsid w:val="00716426"/>
    <w:rsid w:val="007165D4"/>
    <w:rsid w:val="007166B4"/>
    <w:rsid w:val="00716965"/>
    <w:rsid w:val="00716A7F"/>
    <w:rsid w:val="00716E6C"/>
    <w:rsid w:val="00716F36"/>
    <w:rsid w:val="00716FE9"/>
    <w:rsid w:val="007171F7"/>
    <w:rsid w:val="00717213"/>
    <w:rsid w:val="007172D9"/>
    <w:rsid w:val="007172F2"/>
    <w:rsid w:val="007174B7"/>
    <w:rsid w:val="00717A9D"/>
    <w:rsid w:val="00717D46"/>
    <w:rsid w:val="00717FE3"/>
    <w:rsid w:val="007200C3"/>
    <w:rsid w:val="007201B1"/>
    <w:rsid w:val="00720265"/>
    <w:rsid w:val="007203E5"/>
    <w:rsid w:val="007206AB"/>
    <w:rsid w:val="00720724"/>
    <w:rsid w:val="0072078D"/>
    <w:rsid w:val="007207D4"/>
    <w:rsid w:val="00720888"/>
    <w:rsid w:val="007208D7"/>
    <w:rsid w:val="00720926"/>
    <w:rsid w:val="0072092F"/>
    <w:rsid w:val="00720A72"/>
    <w:rsid w:val="00720A7A"/>
    <w:rsid w:val="00720BFD"/>
    <w:rsid w:val="00720E7F"/>
    <w:rsid w:val="00720F24"/>
    <w:rsid w:val="00720F60"/>
    <w:rsid w:val="00720FF6"/>
    <w:rsid w:val="00721091"/>
    <w:rsid w:val="0072119A"/>
    <w:rsid w:val="00721311"/>
    <w:rsid w:val="0072138D"/>
    <w:rsid w:val="007215DC"/>
    <w:rsid w:val="007216FB"/>
    <w:rsid w:val="007218D4"/>
    <w:rsid w:val="00721A1A"/>
    <w:rsid w:val="00721A32"/>
    <w:rsid w:val="00721C18"/>
    <w:rsid w:val="00721D03"/>
    <w:rsid w:val="00721FE2"/>
    <w:rsid w:val="0072240B"/>
    <w:rsid w:val="0072252F"/>
    <w:rsid w:val="0072260D"/>
    <w:rsid w:val="007226CD"/>
    <w:rsid w:val="0072277A"/>
    <w:rsid w:val="00722A5D"/>
    <w:rsid w:val="00722E30"/>
    <w:rsid w:val="007230D2"/>
    <w:rsid w:val="007233E9"/>
    <w:rsid w:val="007237FA"/>
    <w:rsid w:val="00723A70"/>
    <w:rsid w:val="00723D7C"/>
    <w:rsid w:val="00723DD7"/>
    <w:rsid w:val="00723E1E"/>
    <w:rsid w:val="007241AE"/>
    <w:rsid w:val="0072420C"/>
    <w:rsid w:val="00724607"/>
    <w:rsid w:val="007246A9"/>
    <w:rsid w:val="007246F8"/>
    <w:rsid w:val="007247F3"/>
    <w:rsid w:val="00724CCA"/>
    <w:rsid w:val="00724CF6"/>
    <w:rsid w:val="00724D74"/>
    <w:rsid w:val="00724DAB"/>
    <w:rsid w:val="00724EC5"/>
    <w:rsid w:val="00724F58"/>
    <w:rsid w:val="00724F97"/>
    <w:rsid w:val="0072501B"/>
    <w:rsid w:val="0072508C"/>
    <w:rsid w:val="007251EF"/>
    <w:rsid w:val="007254F3"/>
    <w:rsid w:val="007258B5"/>
    <w:rsid w:val="00725A22"/>
    <w:rsid w:val="00725ADD"/>
    <w:rsid w:val="00725D9E"/>
    <w:rsid w:val="00725F75"/>
    <w:rsid w:val="00726081"/>
    <w:rsid w:val="007264C5"/>
    <w:rsid w:val="00726621"/>
    <w:rsid w:val="0072665F"/>
    <w:rsid w:val="00726887"/>
    <w:rsid w:val="0072699F"/>
    <w:rsid w:val="00726A25"/>
    <w:rsid w:val="00726A38"/>
    <w:rsid w:val="00726E0C"/>
    <w:rsid w:val="00726ED3"/>
    <w:rsid w:val="0072718A"/>
    <w:rsid w:val="0072746D"/>
    <w:rsid w:val="0072748B"/>
    <w:rsid w:val="00727528"/>
    <w:rsid w:val="007276B1"/>
    <w:rsid w:val="00727850"/>
    <w:rsid w:val="007279EA"/>
    <w:rsid w:val="00727A15"/>
    <w:rsid w:val="00727A5A"/>
    <w:rsid w:val="00727D4B"/>
    <w:rsid w:val="00730216"/>
    <w:rsid w:val="0073050D"/>
    <w:rsid w:val="007306E8"/>
    <w:rsid w:val="007308CE"/>
    <w:rsid w:val="00730A45"/>
    <w:rsid w:val="00730AA0"/>
    <w:rsid w:val="00730B9B"/>
    <w:rsid w:val="00730DF0"/>
    <w:rsid w:val="00730F75"/>
    <w:rsid w:val="007312AA"/>
    <w:rsid w:val="007312E3"/>
    <w:rsid w:val="007312F2"/>
    <w:rsid w:val="00731504"/>
    <w:rsid w:val="007315B5"/>
    <w:rsid w:val="00731618"/>
    <w:rsid w:val="007316D7"/>
    <w:rsid w:val="0073176B"/>
    <w:rsid w:val="0073194D"/>
    <w:rsid w:val="00731CB5"/>
    <w:rsid w:val="00731CED"/>
    <w:rsid w:val="00732092"/>
    <w:rsid w:val="007320AF"/>
    <w:rsid w:val="007321BE"/>
    <w:rsid w:val="0073224F"/>
    <w:rsid w:val="007323B6"/>
    <w:rsid w:val="007325AD"/>
    <w:rsid w:val="007327DD"/>
    <w:rsid w:val="00732B61"/>
    <w:rsid w:val="00732EB6"/>
    <w:rsid w:val="00732FA7"/>
    <w:rsid w:val="00733084"/>
    <w:rsid w:val="00733100"/>
    <w:rsid w:val="00733384"/>
    <w:rsid w:val="00733441"/>
    <w:rsid w:val="00733471"/>
    <w:rsid w:val="0073351C"/>
    <w:rsid w:val="00733F31"/>
    <w:rsid w:val="00734072"/>
    <w:rsid w:val="00734206"/>
    <w:rsid w:val="0073445E"/>
    <w:rsid w:val="00734496"/>
    <w:rsid w:val="007344E9"/>
    <w:rsid w:val="007345CE"/>
    <w:rsid w:val="00734A2C"/>
    <w:rsid w:val="00734B08"/>
    <w:rsid w:val="00734C1B"/>
    <w:rsid w:val="00734DD6"/>
    <w:rsid w:val="00734EA6"/>
    <w:rsid w:val="00735074"/>
    <w:rsid w:val="00735159"/>
    <w:rsid w:val="007352D6"/>
    <w:rsid w:val="00735349"/>
    <w:rsid w:val="00735378"/>
    <w:rsid w:val="007354B8"/>
    <w:rsid w:val="00735582"/>
    <w:rsid w:val="0073561C"/>
    <w:rsid w:val="00735A27"/>
    <w:rsid w:val="00735BFC"/>
    <w:rsid w:val="00735E5A"/>
    <w:rsid w:val="00735EAB"/>
    <w:rsid w:val="00736026"/>
    <w:rsid w:val="00736046"/>
    <w:rsid w:val="00736677"/>
    <w:rsid w:val="007367FF"/>
    <w:rsid w:val="00736840"/>
    <w:rsid w:val="007368EC"/>
    <w:rsid w:val="00736AEA"/>
    <w:rsid w:val="00736B57"/>
    <w:rsid w:val="0073704B"/>
    <w:rsid w:val="007372BF"/>
    <w:rsid w:val="0073736C"/>
    <w:rsid w:val="00737784"/>
    <w:rsid w:val="00737E62"/>
    <w:rsid w:val="0074001C"/>
    <w:rsid w:val="007402DA"/>
    <w:rsid w:val="00740487"/>
    <w:rsid w:val="007405C3"/>
    <w:rsid w:val="00740B1C"/>
    <w:rsid w:val="00740CB5"/>
    <w:rsid w:val="00740D63"/>
    <w:rsid w:val="00741028"/>
    <w:rsid w:val="0074114D"/>
    <w:rsid w:val="00741288"/>
    <w:rsid w:val="007412BE"/>
    <w:rsid w:val="00741448"/>
    <w:rsid w:val="007416E1"/>
    <w:rsid w:val="00741917"/>
    <w:rsid w:val="007419FF"/>
    <w:rsid w:val="00741CAF"/>
    <w:rsid w:val="00741E2C"/>
    <w:rsid w:val="00741E42"/>
    <w:rsid w:val="00741F4E"/>
    <w:rsid w:val="00741FBE"/>
    <w:rsid w:val="00742266"/>
    <w:rsid w:val="0074232C"/>
    <w:rsid w:val="007423F0"/>
    <w:rsid w:val="00742479"/>
    <w:rsid w:val="0074254F"/>
    <w:rsid w:val="007425F5"/>
    <w:rsid w:val="00742C51"/>
    <w:rsid w:val="00742DAB"/>
    <w:rsid w:val="00742E4F"/>
    <w:rsid w:val="00742E69"/>
    <w:rsid w:val="00743146"/>
    <w:rsid w:val="007432C0"/>
    <w:rsid w:val="007439BD"/>
    <w:rsid w:val="00743B1E"/>
    <w:rsid w:val="00743B25"/>
    <w:rsid w:val="00744218"/>
    <w:rsid w:val="007442F0"/>
    <w:rsid w:val="00744346"/>
    <w:rsid w:val="0074458E"/>
    <w:rsid w:val="00744600"/>
    <w:rsid w:val="00744634"/>
    <w:rsid w:val="0074493D"/>
    <w:rsid w:val="00744A84"/>
    <w:rsid w:val="00744BDE"/>
    <w:rsid w:val="00745092"/>
    <w:rsid w:val="0074512C"/>
    <w:rsid w:val="007452FF"/>
    <w:rsid w:val="007455B8"/>
    <w:rsid w:val="007457B9"/>
    <w:rsid w:val="00745A89"/>
    <w:rsid w:val="00745D7F"/>
    <w:rsid w:val="00745E88"/>
    <w:rsid w:val="0074608E"/>
    <w:rsid w:val="007460A4"/>
    <w:rsid w:val="00746122"/>
    <w:rsid w:val="0074616B"/>
    <w:rsid w:val="007461C9"/>
    <w:rsid w:val="0074628E"/>
    <w:rsid w:val="0074634C"/>
    <w:rsid w:val="00746495"/>
    <w:rsid w:val="007464AD"/>
    <w:rsid w:val="00746ABE"/>
    <w:rsid w:val="00746B06"/>
    <w:rsid w:val="00746B13"/>
    <w:rsid w:val="007470AD"/>
    <w:rsid w:val="007471E2"/>
    <w:rsid w:val="00747388"/>
    <w:rsid w:val="00747475"/>
    <w:rsid w:val="007474BA"/>
    <w:rsid w:val="00747625"/>
    <w:rsid w:val="0074772E"/>
    <w:rsid w:val="007477EE"/>
    <w:rsid w:val="00747A10"/>
    <w:rsid w:val="00747B88"/>
    <w:rsid w:val="00747DBC"/>
    <w:rsid w:val="00747F84"/>
    <w:rsid w:val="00747FC6"/>
    <w:rsid w:val="00750035"/>
    <w:rsid w:val="00750074"/>
    <w:rsid w:val="0075011D"/>
    <w:rsid w:val="00750265"/>
    <w:rsid w:val="007502A8"/>
    <w:rsid w:val="007502E7"/>
    <w:rsid w:val="00750380"/>
    <w:rsid w:val="00750431"/>
    <w:rsid w:val="007504DE"/>
    <w:rsid w:val="00750529"/>
    <w:rsid w:val="00750857"/>
    <w:rsid w:val="00750C53"/>
    <w:rsid w:val="00750D3B"/>
    <w:rsid w:val="00750FDF"/>
    <w:rsid w:val="00751084"/>
    <w:rsid w:val="007511A8"/>
    <w:rsid w:val="007516F0"/>
    <w:rsid w:val="007518DF"/>
    <w:rsid w:val="00751AB3"/>
    <w:rsid w:val="00751CE2"/>
    <w:rsid w:val="00751EEA"/>
    <w:rsid w:val="00751F00"/>
    <w:rsid w:val="007522A6"/>
    <w:rsid w:val="00752A68"/>
    <w:rsid w:val="00752DDD"/>
    <w:rsid w:val="00752DE9"/>
    <w:rsid w:val="00752E15"/>
    <w:rsid w:val="00752EAF"/>
    <w:rsid w:val="0075317F"/>
    <w:rsid w:val="0075328C"/>
    <w:rsid w:val="007534C5"/>
    <w:rsid w:val="007534D0"/>
    <w:rsid w:val="007535B7"/>
    <w:rsid w:val="0075373B"/>
    <w:rsid w:val="00753781"/>
    <w:rsid w:val="00753A94"/>
    <w:rsid w:val="00753A99"/>
    <w:rsid w:val="00753FDD"/>
    <w:rsid w:val="0075404A"/>
    <w:rsid w:val="00754474"/>
    <w:rsid w:val="007546D2"/>
    <w:rsid w:val="00754816"/>
    <w:rsid w:val="0075484D"/>
    <w:rsid w:val="0075492F"/>
    <w:rsid w:val="0075495B"/>
    <w:rsid w:val="00754A50"/>
    <w:rsid w:val="00754C2E"/>
    <w:rsid w:val="00754F15"/>
    <w:rsid w:val="00754FBE"/>
    <w:rsid w:val="007550AB"/>
    <w:rsid w:val="0075530D"/>
    <w:rsid w:val="00755342"/>
    <w:rsid w:val="00755420"/>
    <w:rsid w:val="00755608"/>
    <w:rsid w:val="0075577A"/>
    <w:rsid w:val="00755815"/>
    <w:rsid w:val="00755A40"/>
    <w:rsid w:val="00755CE0"/>
    <w:rsid w:val="00755D56"/>
    <w:rsid w:val="00755E9D"/>
    <w:rsid w:val="00756053"/>
    <w:rsid w:val="00756334"/>
    <w:rsid w:val="0075676D"/>
    <w:rsid w:val="00756917"/>
    <w:rsid w:val="00756A73"/>
    <w:rsid w:val="00756C3C"/>
    <w:rsid w:val="00756D50"/>
    <w:rsid w:val="00756DB3"/>
    <w:rsid w:val="00756DCA"/>
    <w:rsid w:val="0075706E"/>
    <w:rsid w:val="0075707C"/>
    <w:rsid w:val="0075740E"/>
    <w:rsid w:val="0075742D"/>
    <w:rsid w:val="007579C0"/>
    <w:rsid w:val="00757A74"/>
    <w:rsid w:val="00757AD2"/>
    <w:rsid w:val="00757B5D"/>
    <w:rsid w:val="00757E7E"/>
    <w:rsid w:val="0076029C"/>
    <w:rsid w:val="00760648"/>
    <w:rsid w:val="007607A1"/>
    <w:rsid w:val="007608EE"/>
    <w:rsid w:val="00760B8B"/>
    <w:rsid w:val="00760F14"/>
    <w:rsid w:val="00760FAB"/>
    <w:rsid w:val="00761753"/>
    <w:rsid w:val="007619B6"/>
    <w:rsid w:val="007619B7"/>
    <w:rsid w:val="00761BF3"/>
    <w:rsid w:val="0076209F"/>
    <w:rsid w:val="00762242"/>
    <w:rsid w:val="00762552"/>
    <w:rsid w:val="007625B1"/>
    <w:rsid w:val="007627DB"/>
    <w:rsid w:val="007628FD"/>
    <w:rsid w:val="00762998"/>
    <w:rsid w:val="007629C6"/>
    <w:rsid w:val="007629F7"/>
    <w:rsid w:val="00762B68"/>
    <w:rsid w:val="00762C5F"/>
    <w:rsid w:val="0076300A"/>
    <w:rsid w:val="0076319E"/>
    <w:rsid w:val="007634D3"/>
    <w:rsid w:val="0076376A"/>
    <w:rsid w:val="0076386C"/>
    <w:rsid w:val="00763895"/>
    <w:rsid w:val="00763936"/>
    <w:rsid w:val="00763954"/>
    <w:rsid w:val="00763BAC"/>
    <w:rsid w:val="00763C99"/>
    <w:rsid w:val="00763CC1"/>
    <w:rsid w:val="00763D5B"/>
    <w:rsid w:val="00763E82"/>
    <w:rsid w:val="00763ECA"/>
    <w:rsid w:val="00763F2F"/>
    <w:rsid w:val="00763FBB"/>
    <w:rsid w:val="00764074"/>
    <w:rsid w:val="00764087"/>
    <w:rsid w:val="0076423A"/>
    <w:rsid w:val="00764562"/>
    <w:rsid w:val="007645D1"/>
    <w:rsid w:val="0076493D"/>
    <w:rsid w:val="00764AC7"/>
    <w:rsid w:val="00764BB8"/>
    <w:rsid w:val="00764CE6"/>
    <w:rsid w:val="00764DAC"/>
    <w:rsid w:val="00764FBC"/>
    <w:rsid w:val="00765143"/>
    <w:rsid w:val="007653DA"/>
    <w:rsid w:val="007653FF"/>
    <w:rsid w:val="00765408"/>
    <w:rsid w:val="007655CC"/>
    <w:rsid w:val="00765726"/>
    <w:rsid w:val="00765780"/>
    <w:rsid w:val="00765821"/>
    <w:rsid w:val="0076597D"/>
    <w:rsid w:val="007659A0"/>
    <w:rsid w:val="00765B5C"/>
    <w:rsid w:val="00765BCE"/>
    <w:rsid w:val="00765C6A"/>
    <w:rsid w:val="00765D0A"/>
    <w:rsid w:val="00765E0A"/>
    <w:rsid w:val="00765E0B"/>
    <w:rsid w:val="0076614E"/>
    <w:rsid w:val="00766228"/>
    <w:rsid w:val="0076631E"/>
    <w:rsid w:val="007664D2"/>
    <w:rsid w:val="007664EB"/>
    <w:rsid w:val="00766962"/>
    <w:rsid w:val="00766D39"/>
    <w:rsid w:val="00766DDC"/>
    <w:rsid w:val="00766FFE"/>
    <w:rsid w:val="00767511"/>
    <w:rsid w:val="00767669"/>
    <w:rsid w:val="007679E7"/>
    <w:rsid w:val="00767A07"/>
    <w:rsid w:val="00767AE6"/>
    <w:rsid w:val="00767B62"/>
    <w:rsid w:val="00767B98"/>
    <w:rsid w:val="00767DE0"/>
    <w:rsid w:val="0077009A"/>
    <w:rsid w:val="0077009C"/>
    <w:rsid w:val="00770380"/>
    <w:rsid w:val="00770426"/>
    <w:rsid w:val="00770451"/>
    <w:rsid w:val="007704BE"/>
    <w:rsid w:val="007704DB"/>
    <w:rsid w:val="0077063C"/>
    <w:rsid w:val="00770897"/>
    <w:rsid w:val="00770B1C"/>
    <w:rsid w:val="00770C57"/>
    <w:rsid w:val="00770D31"/>
    <w:rsid w:val="00770DDD"/>
    <w:rsid w:val="00770F1B"/>
    <w:rsid w:val="0077102D"/>
    <w:rsid w:val="0077145F"/>
    <w:rsid w:val="007715EB"/>
    <w:rsid w:val="00771631"/>
    <w:rsid w:val="007719CE"/>
    <w:rsid w:val="00771B42"/>
    <w:rsid w:val="00771E79"/>
    <w:rsid w:val="00771F7D"/>
    <w:rsid w:val="007722F1"/>
    <w:rsid w:val="007724CE"/>
    <w:rsid w:val="00772581"/>
    <w:rsid w:val="007727DD"/>
    <w:rsid w:val="00772A2F"/>
    <w:rsid w:val="00772A7C"/>
    <w:rsid w:val="00772B20"/>
    <w:rsid w:val="00772C21"/>
    <w:rsid w:val="00772CAB"/>
    <w:rsid w:val="00772CB0"/>
    <w:rsid w:val="00772CCC"/>
    <w:rsid w:val="00772FB4"/>
    <w:rsid w:val="0077318C"/>
    <w:rsid w:val="007732E1"/>
    <w:rsid w:val="007733E7"/>
    <w:rsid w:val="007735A7"/>
    <w:rsid w:val="00773695"/>
    <w:rsid w:val="00773725"/>
    <w:rsid w:val="00773B18"/>
    <w:rsid w:val="007744E3"/>
    <w:rsid w:val="00774911"/>
    <w:rsid w:val="0077496E"/>
    <w:rsid w:val="00774ABD"/>
    <w:rsid w:val="00774B45"/>
    <w:rsid w:val="00774CFB"/>
    <w:rsid w:val="00774F73"/>
    <w:rsid w:val="00775463"/>
    <w:rsid w:val="00775716"/>
    <w:rsid w:val="00775737"/>
    <w:rsid w:val="007757F2"/>
    <w:rsid w:val="0077594B"/>
    <w:rsid w:val="00775A00"/>
    <w:rsid w:val="00775A1C"/>
    <w:rsid w:val="00775B88"/>
    <w:rsid w:val="00775C65"/>
    <w:rsid w:val="00775DA9"/>
    <w:rsid w:val="00775F15"/>
    <w:rsid w:val="0077635D"/>
    <w:rsid w:val="00776500"/>
    <w:rsid w:val="00776646"/>
    <w:rsid w:val="00776869"/>
    <w:rsid w:val="00776966"/>
    <w:rsid w:val="00776BC9"/>
    <w:rsid w:val="00776C22"/>
    <w:rsid w:val="00776ECF"/>
    <w:rsid w:val="00777114"/>
    <w:rsid w:val="0077754A"/>
    <w:rsid w:val="0077757B"/>
    <w:rsid w:val="00777710"/>
    <w:rsid w:val="00777AD0"/>
    <w:rsid w:val="00777C5D"/>
    <w:rsid w:val="00777D2D"/>
    <w:rsid w:val="00777E58"/>
    <w:rsid w:val="007800F3"/>
    <w:rsid w:val="007801E4"/>
    <w:rsid w:val="00780906"/>
    <w:rsid w:val="00780ACD"/>
    <w:rsid w:val="00780B33"/>
    <w:rsid w:val="00781174"/>
    <w:rsid w:val="007811FD"/>
    <w:rsid w:val="00781229"/>
    <w:rsid w:val="00781299"/>
    <w:rsid w:val="00781392"/>
    <w:rsid w:val="00781793"/>
    <w:rsid w:val="007817AF"/>
    <w:rsid w:val="0078182E"/>
    <w:rsid w:val="00781B2A"/>
    <w:rsid w:val="00781BF2"/>
    <w:rsid w:val="00781CFD"/>
    <w:rsid w:val="00781E6E"/>
    <w:rsid w:val="00782062"/>
    <w:rsid w:val="007820ED"/>
    <w:rsid w:val="0078228A"/>
    <w:rsid w:val="00782551"/>
    <w:rsid w:val="00782574"/>
    <w:rsid w:val="007825E4"/>
    <w:rsid w:val="007826C4"/>
    <w:rsid w:val="00782952"/>
    <w:rsid w:val="00782B57"/>
    <w:rsid w:val="00782BF7"/>
    <w:rsid w:val="00782C29"/>
    <w:rsid w:val="00782C33"/>
    <w:rsid w:val="00782EAF"/>
    <w:rsid w:val="007833D2"/>
    <w:rsid w:val="007835BB"/>
    <w:rsid w:val="007837CC"/>
    <w:rsid w:val="00783831"/>
    <w:rsid w:val="00783938"/>
    <w:rsid w:val="00783951"/>
    <w:rsid w:val="0078414A"/>
    <w:rsid w:val="00784563"/>
    <w:rsid w:val="00784578"/>
    <w:rsid w:val="00784581"/>
    <w:rsid w:val="007845CA"/>
    <w:rsid w:val="00784800"/>
    <w:rsid w:val="00784B9A"/>
    <w:rsid w:val="00784E0E"/>
    <w:rsid w:val="00784EC4"/>
    <w:rsid w:val="00784F13"/>
    <w:rsid w:val="00784FB0"/>
    <w:rsid w:val="0078539B"/>
    <w:rsid w:val="00785491"/>
    <w:rsid w:val="007855B7"/>
    <w:rsid w:val="00785640"/>
    <w:rsid w:val="0078597B"/>
    <w:rsid w:val="00785AE0"/>
    <w:rsid w:val="00785EFF"/>
    <w:rsid w:val="0078637F"/>
    <w:rsid w:val="0078642E"/>
    <w:rsid w:val="0078645A"/>
    <w:rsid w:val="00786743"/>
    <w:rsid w:val="00786758"/>
    <w:rsid w:val="00786BB1"/>
    <w:rsid w:val="00786F3B"/>
    <w:rsid w:val="00787674"/>
    <w:rsid w:val="007879E9"/>
    <w:rsid w:val="00787B24"/>
    <w:rsid w:val="00787C34"/>
    <w:rsid w:val="00787DFB"/>
    <w:rsid w:val="00787F89"/>
    <w:rsid w:val="007900C0"/>
    <w:rsid w:val="00790187"/>
    <w:rsid w:val="007902CD"/>
    <w:rsid w:val="00790497"/>
    <w:rsid w:val="007905F8"/>
    <w:rsid w:val="007906AC"/>
    <w:rsid w:val="007909A6"/>
    <w:rsid w:val="00790C8B"/>
    <w:rsid w:val="00790C9F"/>
    <w:rsid w:val="00790F59"/>
    <w:rsid w:val="00790FD3"/>
    <w:rsid w:val="00791215"/>
    <w:rsid w:val="00791678"/>
    <w:rsid w:val="007917A5"/>
    <w:rsid w:val="00791A3F"/>
    <w:rsid w:val="00791AE8"/>
    <w:rsid w:val="00791F57"/>
    <w:rsid w:val="007920B0"/>
    <w:rsid w:val="0079219A"/>
    <w:rsid w:val="00792623"/>
    <w:rsid w:val="00792A0A"/>
    <w:rsid w:val="00792A39"/>
    <w:rsid w:val="00792A67"/>
    <w:rsid w:val="00792D04"/>
    <w:rsid w:val="00792EB0"/>
    <w:rsid w:val="00792EDB"/>
    <w:rsid w:val="0079305A"/>
    <w:rsid w:val="0079321D"/>
    <w:rsid w:val="0079341B"/>
    <w:rsid w:val="007935F6"/>
    <w:rsid w:val="007937AC"/>
    <w:rsid w:val="0079394E"/>
    <w:rsid w:val="00793996"/>
    <w:rsid w:val="00793F1F"/>
    <w:rsid w:val="00793FBB"/>
    <w:rsid w:val="0079422B"/>
    <w:rsid w:val="0079425C"/>
    <w:rsid w:val="007942B8"/>
    <w:rsid w:val="0079433A"/>
    <w:rsid w:val="0079434A"/>
    <w:rsid w:val="007943A1"/>
    <w:rsid w:val="00794489"/>
    <w:rsid w:val="007946C2"/>
    <w:rsid w:val="007948A8"/>
    <w:rsid w:val="007949A4"/>
    <w:rsid w:val="00794A47"/>
    <w:rsid w:val="00794F05"/>
    <w:rsid w:val="007950E3"/>
    <w:rsid w:val="00795134"/>
    <w:rsid w:val="0079516A"/>
    <w:rsid w:val="007951BE"/>
    <w:rsid w:val="0079540D"/>
    <w:rsid w:val="00795ABB"/>
    <w:rsid w:val="00795DF2"/>
    <w:rsid w:val="00795E4A"/>
    <w:rsid w:val="0079616A"/>
    <w:rsid w:val="00796266"/>
    <w:rsid w:val="007962CA"/>
    <w:rsid w:val="00796371"/>
    <w:rsid w:val="00796376"/>
    <w:rsid w:val="00796391"/>
    <w:rsid w:val="007963AC"/>
    <w:rsid w:val="007967E2"/>
    <w:rsid w:val="00796871"/>
    <w:rsid w:val="007970CF"/>
    <w:rsid w:val="00797241"/>
    <w:rsid w:val="00797341"/>
    <w:rsid w:val="00797366"/>
    <w:rsid w:val="0079736B"/>
    <w:rsid w:val="0079787F"/>
    <w:rsid w:val="007979AB"/>
    <w:rsid w:val="007979BE"/>
    <w:rsid w:val="007979D2"/>
    <w:rsid w:val="00797C5D"/>
    <w:rsid w:val="00797CC2"/>
    <w:rsid w:val="00797D62"/>
    <w:rsid w:val="00797E24"/>
    <w:rsid w:val="00797E55"/>
    <w:rsid w:val="007A002A"/>
    <w:rsid w:val="007A0085"/>
    <w:rsid w:val="007A0158"/>
    <w:rsid w:val="007A0474"/>
    <w:rsid w:val="007A05B7"/>
    <w:rsid w:val="007A06B0"/>
    <w:rsid w:val="007A078F"/>
    <w:rsid w:val="007A08F2"/>
    <w:rsid w:val="007A0ACF"/>
    <w:rsid w:val="007A0B52"/>
    <w:rsid w:val="007A0D79"/>
    <w:rsid w:val="007A0DD2"/>
    <w:rsid w:val="007A0F82"/>
    <w:rsid w:val="007A117D"/>
    <w:rsid w:val="007A1421"/>
    <w:rsid w:val="007A15C2"/>
    <w:rsid w:val="007A1916"/>
    <w:rsid w:val="007A1936"/>
    <w:rsid w:val="007A1AE9"/>
    <w:rsid w:val="007A1B6C"/>
    <w:rsid w:val="007A1BFD"/>
    <w:rsid w:val="007A1D8B"/>
    <w:rsid w:val="007A2037"/>
    <w:rsid w:val="007A2069"/>
    <w:rsid w:val="007A209D"/>
    <w:rsid w:val="007A2220"/>
    <w:rsid w:val="007A2271"/>
    <w:rsid w:val="007A22B3"/>
    <w:rsid w:val="007A24C3"/>
    <w:rsid w:val="007A2508"/>
    <w:rsid w:val="007A26CE"/>
    <w:rsid w:val="007A281A"/>
    <w:rsid w:val="007A2967"/>
    <w:rsid w:val="007A2A3E"/>
    <w:rsid w:val="007A2BC8"/>
    <w:rsid w:val="007A2CAB"/>
    <w:rsid w:val="007A2CC1"/>
    <w:rsid w:val="007A2CD0"/>
    <w:rsid w:val="007A2D2F"/>
    <w:rsid w:val="007A2E7E"/>
    <w:rsid w:val="007A2F75"/>
    <w:rsid w:val="007A2FBD"/>
    <w:rsid w:val="007A312C"/>
    <w:rsid w:val="007A3204"/>
    <w:rsid w:val="007A33C2"/>
    <w:rsid w:val="007A3501"/>
    <w:rsid w:val="007A3524"/>
    <w:rsid w:val="007A3946"/>
    <w:rsid w:val="007A3D7F"/>
    <w:rsid w:val="007A3DD7"/>
    <w:rsid w:val="007A3E05"/>
    <w:rsid w:val="007A3F39"/>
    <w:rsid w:val="007A3F59"/>
    <w:rsid w:val="007A4120"/>
    <w:rsid w:val="007A41A0"/>
    <w:rsid w:val="007A42C7"/>
    <w:rsid w:val="007A4319"/>
    <w:rsid w:val="007A4387"/>
    <w:rsid w:val="007A4A2F"/>
    <w:rsid w:val="007A4AB0"/>
    <w:rsid w:val="007A4D20"/>
    <w:rsid w:val="007A4D71"/>
    <w:rsid w:val="007A4DCF"/>
    <w:rsid w:val="007A4DF7"/>
    <w:rsid w:val="007A4DF8"/>
    <w:rsid w:val="007A4EF1"/>
    <w:rsid w:val="007A4F9B"/>
    <w:rsid w:val="007A5412"/>
    <w:rsid w:val="007A563C"/>
    <w:rsid w:val="007A56E5"/>
    <w:rsid w:val="007A5895"/>
    <w:rsid w:val="007A591F"/>
    <w:rsid w:val="007A5959"/>
    <w:rsid w:val="007A5AEB"/>
    <w:rsid w:val="007A5B6E"/>
    <w:rsid w:val="007A5BDD"/>
    <w:rsid w:val="007A5E68"/>
    <w:rsid w:val="007A5F9D"/>
    <w:rsid w:val="007A64A0"/>
    <w:rsid w:val="007A6526"/>
    <w:rsid w:val="007A664C"/>
    <w:rsid w:val="007A6999"/>
    <w:rsid w:val="007A6B49"/>
    <w:rsid w:val="007A70C5"/>
    <w:rsid w:val="007A715A"/>
    <w:rsid w:val="007A71CB"/>
    <w:rsid w:val="007A7207"/>
    <w:rsid w:val="007A7771"/>
    <w:rsid w:val="007A77E2"/>
    <w:rsid w:val="007A784E"/>
    <w:rsid w:val="007A78A1"/>
    <w:rsid w:val="007A7A74"/>
    <w:rsid w:val="007A7CDC"/>
    <w:rsid w:val="007A7E08"/>
    <w:rsid w:val="007B037E"/>
    <w:rsid w:val="007B04A4"/>
    <w:rsid w:val="007B052E"/>
    <w:rsid w:val="007B0699"/>
    <w:rsid w:val="007B07D7"/>
    <w:rsid w:val="007B0853"/>
    <w:rsid w:val="007B0EB8"/>
    <w:rsid w:val="007B1235"/>
    <w:rsid w:val="007B1386"/>
    <w:rsid w:val="007B16E0"/>
    <w:rsid w:val="007B173E"/>
    <w:rsid w:val="007B17E1"/>
    <w:rsid w:val="007B1988"/>
    <w:rsid w:val="007B19A6"/>
    <w:rsid w:val="007B19BB"/>
    <w:rsid w:val="007B1A1D"/>
    <w:rsid w:val="007B1B22"/>
    <w:rsid w:val="007B1B75"/>
    <w:rsid w:val="007B1C74"/>
    <w:rsid w:val="007B21D3"/>
    <w:rsid w:val="007B2296"/>
    <w:rsid w:val="007B237F"/>
    <w:rsid w:val="007B26DD"/>
    <w:rsid w:val="007B27D2"/>
    <w:rsid w:val="007B28C9"/>
    <w:rsid w:val="007B29C4"/>
    <w:rsid w:val="007B2A89"/>
    <w:rsid w:val="007B2FB1"/>
    <w:rsid w:val="007B3161"/>
    <w:rsid w:val="007B3277"/>
    <w:rsid w:val="007B329B"/>
    <w:rsid w:val="007B32B4"/>
    <w:rsid w:val="007B335A"/>
    <w:rsid w:val="007B3482"/>
    <w:rsid w:val="007B36C2"/>
    <w:rsid w:val="007B385C"/>
    <w:rsid w:val="007B3884"/>
    <w:rsid w:val="007B397F"/>
    <w:rsid w:val="007B3DC0"/>
    <w:rsid w:val="007B403B"/>
    <w:rsid w:val="007B40EA"/>
    <w:rsid w:val="007B4261"/>
    <w:rsid w:val="007B4567"/>
    <w:rsid w:val="007B45CA"/>
    <w:rsid w:val="007B4746"/>
    <w:rsid w:val="007B4E6E"/>
    <w:rsid w:val="007B505E"/>
    <w:rsid w:val="007B505F"/>
    <w:rsid w:val="007B54A3"/>
    <w:rsid w:val="007B58D2"/>
    <w:rsid w:val="007B58F3"/>
    <w:rsid w:val="007B5956"/>
    <w:rsid w:val="007B59F2"/>
    <w:rsid w:val="007B5A1C"/>
    <w:rsid w:val="007B5B91"/>
    <w:rsid w:val="007B5DDE"/>
    <w:rsid w:val="007B5DE8"/>
    <w:rsid w:val="007B6095"/>
    <w:rsid w:val="007B6186"/>
    <w:rsid w:val="007B61CF"/>
    <w:rsid w:val="007B6295"/>
    <w:rsid w:val="007B6385"/>
    <w:rsid w:val="007B65B7"/>
    <w:rsid w:val="007B661F"/>
    <w:rsid w:val="007B6658"/>
    <w:rsid w:val="007B66F6"/>
    <w:rsid w:val="007B6AD9"/>
    <w:rsid w:val="007B6B2F"/>
    <w:rsid w:val="007B6B95"/>
    <w:rsid w:val="007B6C93"/>
    <w:rsid w:val="007B6EC9"/>
    <w:rsid w:val="007B7214"/>
    <w:rsid w:val="007B732B"/>
    <w:rsid w:val="007B74FE"/>
    <w:rsid w:val="007B752D"/>
    <w:rsid w:val="007B762F"/>
    <w:rsid w:val="007B7749"/>
    <w:rsid w:val="007B7CEF"/>
    <w:rsid w:val="007C0064"/>
    <w:rsid w:val="007C008A"/>
    <w:rsid w:val="007C012E"/>
    <w:rsid w:val="007C01EF"/>
    <w:rsid w:val="007C025B"/>
    <w:rsid w:val="007C0317"/>
    <w:rsid w:val="007C03CD"/>
    <w:rsid w:val="007C046E"/>
    <w:rsid w:val="007C0AE1"/>
    <w:rsid w:val="007C0C18"/>
    <w:rsid w:val="007C0C20"/>
    <w:rsid w:val="007C0CBF"/>
    <w:rsid w:val="007C0E4E"/>
    <w:rsid w:val="007C0E94"/>
    <w:rsid w:val="007C0FED"/>
    <w:rsid w:val="007C116F"/>
    <w:rsid w:val="007C1264"/>
    <w:rsid w:val="007C15D8"/>
    <w:rsid w:val="007C176E"/>
    <w:rsid w:val="007C1A33"/>
    <w:rsid w:val="007C1AE7"/>
    <w:rsid w:val="007C1CF6"/>
    <w:rsid w:val="007C1D2D"/>
    <w:rsid w:val="007C1DD2"/>
    <w:rsid w:val="007C1F19"/>
    <w:rsid w:val="007C1FE8"/>
    <w:rsid w:val="007C203E"/>
    <w:rsid w:val="007C2116"/>
    <w:rsid w:val="007C242C"/>
    <w:rsid w:val="007C256C"/>
    <w:rsid w:val="007C25E3"/>
    <w:rsid w:val="007C26DA"/>
    <w:rsid w:val="007C29E8"/>
    <w:rsid w:val="007C2A1B"/>
    <w:rsid w:val="007C2A3B"/>
    <w:rsid w:val="007C2B4D"/>
    <w:rsid w:val="007C2B64"/>
    <w:rsid w:val="007C2C89"/>
    <w:rsid w:val="007C2F22"/>
    <w:rsid w:val="007C32E7"/>
    <w:rsid w:val="007C3340"/>
    <w:rsid w:val="007C348F"/>
    <w:rsid w:val="007C34A8"/>
    <w:rsid w:val="007C3653"/>
    <w:rsid w:val="007C36BB"/>
    <w:rsid w:val="007C36F7"/>
    <w:rsid w:val="007C385C"/>
    <w:rsid w:val="007C38D5"/>
    <w:rsid w:val="007C3A92"/>
    <w:rsid w:val="007C3CAA"/>
    <w:rsid w:val="007C3CBA"/>
    <w:rsid w:val="007C41AC"/>
    <w:rsid w:val="007C4316"/>
    <w:rsid w:val="007C43F8"/>
    <w:rsid w:val="007C48CB"/>
    <w:rsid w:val="007C49F4"/>
    <w:rsid w:val="007C4BA4"/>
    <w:rsid w:val="007C4E6A"/>
    <w:rsid w:val="007C4ED0"/>
    <w:rsid w:val="007C5305"/>
    <w:rsid w:val="007C5366"/>
    <w:rsid w:val="007C5595"/>
    <w:rsid w:val="007C5922"/>
    <w:rsid w:val="007C5B68"/>
    <w:rsid w:val="007C5C6E"/>
    <w:rsid w:val="007C605D"/>
    <w:rsid w:val="007C6150"/>
    <w:rsid w:val="007C6200"/>
    <w:rsid w:val="007C6240"/>
    <w:rsid w:val="007C631D"/>
    <w:rsid w:val="007C6564"/>
    <w:rsid w:val="007C666C"/>
    <w:rsid w:val="007C6AC2"/>
    <w:rsid w:val="007C6ECB"/>
    <w:rsid w:val="007C718B"/>
    <w:rsid w:val="007C7340"/>
    <w:rsid w:val="007C73C8"/>
    <w:rsid w:val="007C753F"/>
    <w:rsid w:val="007C76CE"/>
    <w:rsid w:val="007C7944"/>
    <w:rsid w:val="007C7B37"/>
    <w:rsid w:val="007C7B96"/>
    <w:rsid w:val="007C7C55"/>
    <w:rsid w:val="007C7C56"/>
    <w:rsid w:val="007C7C5C"/>
    <w:rsid w:val="007C7CC0"/>
    <w:rsid w:val="007C7D82"/>
    <w:rsid w:val="007C7EB3"/>
    <w:rsid w:val="007D0122"/>
    <w:rsid w:val="007D02B3"/>
    <w:rsid w:val="007D03C3"/>
    <w:rsid w:val="007D03CE"/>
    <w:rsid w:val="007D03F3"/>
    <w:rsid w:val="007D068D"/>
    <w:rsid w:val="007D06AF"/>
    <w:rsid w:val="007D0928"/>
    <w:rsid w:val="007D0944"/>
    <w:rsid w:val="007D0A7C"/>
    <w:rsid w:val="007D0BF1"/>
    <w:rsid w:val="007D0E0C"/>
    <w:rsid w:val="007D121A"/>
    <w:rsid w:val="007D1443"/>
    <w:rsid w:val="007D1594"/>
    <w:rsid w:val="007D15F5"/>
    <w:rsid w:val="007D1639"/>
    <w:rsid w:val="007D1758"/>
    <w:rsid w:val="007D19A1"/>
    <w:rsid w:val="007D19C6"/>
    <w:rsid w:val="007D1BE8"/>
    <w:rsid w:val="007D1C27"/>
    <w:rsid w:val="007D1CF0"/>
    <w:rsid w:val="007D1E53"/>
    <w:rsid w:val="007D1EB2"/>
    <w:rsid w:val="007D1F13"/>
    <w:rsid w:val="007D1F3E"/>
    <w:rsid w:val="007D22BC"/>
    <w:rsid w:val="007D23FE"/>
    <w:rsid w:val="007D2555"/>
    <w:rsid w:val="007D2EF3"/>
    <w:rsid w:val="007D3007"/>
    <w:rsid w:val="007D3056"/>
    <w:rsid w:val="007D30BB"/>
    <w:rsid w:val="007D3197"/>
    <w:rsid w:val="007D31F8"/>
    <w:rsid w:val="007D3417"/>
    <w:rsid w:val="007D39EE"/>
    <w:rsid w:val="007D3CBC"/>
    <w:rsid w:val="007D42E2"/>
    <w:rsid w:val="007D45CA"/>
    <w:rsid w:val="007D4720"/>
    <w:rsid w:val="007D4AEF"/>
    <w:rsid w:val="007D4CA8"/>
    <w:rsid w:val="007D4EAB"/>
    <w:rsid w:val="007D50C9"/>
    <w:rsid w:val="007D5140"/>
    <w:rsid w:val="007D5507"/>
    <w:rsid w:val="007D586A"/>
    <w:rsid w:val="007D597C"/>
    <w:rsid w:val="007D59F7"/>
    <w:rsid w:val="007D5E36"/>
    <w:rsid w:val="007D5F4D"/>
    <w:rsid w:val="007D64B5"/>
    <w:rsid w:val="007D65D8"/>
    <w:rsid w:val="007D682B"/>
    <w:rsid w:val="007D684D"/>
    <w:rsid w:val="007D6873"/>
    <w:rsid w:val="007D6BE2"/>
    <w:rsid w:val="007D6F09"/>
    <w:rsid w:val="007D7058"/>
    <w:rsid w:val="007D70AF"/>
    <w:rsid w:val="007D7124"/>
    <w:rsid w:val="007D71A1"/>
    <w:rsid w:val="007D71BC"/>
    <w:rsid w:val="007D737E"/>
    <w:rsid w:val="007D7569"/>
    <w:rsid w:val="007D75C4"/>
    <w:rsid w:val="007D781A"/>
    <w:rsid w:val="007D793C"/>
    <w:rsid w:val="007D7D8F"/>
    <w:rsid w:val="007D7EA6"/>
    <w:rsid w:val="007E00CF"/>
    <w:rsid w:val="007E03C0"/>
    <w:rsid w:val="007E04E4"/>
    <w:rsid w:val="007E0636"/>
    <w:rsid w:val="007E0AE8"/>
    <w:rsid w:val="007E0B42"/>
    <w:rsid w:val="007E0B85"/>
    <w:rsid w:val="007E0D5F"/>
    <w:rsid w:val="007E0E53"/>
    <w:rsid w:val="007E0F55"/>
    <w:rsid w:val="007E1128"/>
    <w:rsid w:val="007E115E"/>
    <w:rsid w:val="007E11F0"/>
    <w:rsid w:val="007E1232"/>
    <w:rsid w:val="007E14C7"/>
    <w:rsid w:val="007E16A3"/>
    <w:rsid w:val="007E1820"/>
    <w:rsid w:val="007E1E34"/>
    <w:rsid w:val="007E1E42"/>
    <w:rsid w:val="007E1F36"/>
    <w:rsid w:val="007E1FF2"/>
    <w:rsid w:val="007E2034"/>
    <w:rsid w:val="007E215C"/>
    <w:rsid w:val="007E21B4"/>
    <w:rsid w:val="007E22B9"/>
    <w:rsid w:val="007E2836"/>
    <w:rsid w:val="007E290E"/>
    <w:rsid w:val="007E29F0"/>
    <w:rsid w:val="007E2A15"/>
    <w:rsid w:val="007E2E25"/>
    <w:rsid w:val="007E2F62"/>
    <w:rsid w:val="007E2FE2"/>
    <w:rsid w:val="007E3296"/>
    <w:rsid w:val="007E360F"/>
    <w:rsid w:val="007E362E"/>
    <w:rsid w:val="007E3A96"/>
    <w:rsid w:val="007E3AEB"/>
    <w:rsid w:val="007E3BB8"/>
    <w:rsid w:val="007E4187"/>
    <w:rsid w:val="007E4201"/>
    <w:rsid w:val="007E4A10"/>
    <w:rsid w:val="007E4B68"/>
    <w:rsid w:val="007E4C8C"/>
    <w:rsid w:val="007E4EC8"/>
    <w:rsid w:val="007E524F"/>
    <w:rsid w:val="007E55A4"/>
    <w:rsid w:val="007E562B"/>
    <w:rsid w:val="007E568A"/>
    <w:rsid w:val="007E56B1"/>
    <w:rsid w:val="007E58BA"/>
    <w:rsid w:val="007E5B14"/>
    <w:rsid w:val="007E5B5B"/>
    <w:rsid w:val="007E5DAB"/>
    <w:rsid w:val="007E5DE5"/>
    <w:rsid w:val="007E5F7C"/>
    <w:rsid w:val="007E601E"/>
    <w:rsid w:val="007E602D"/>
    <w:rsid w:val="007E60E6"/>
    <w:rsid w:val="007E6202"/>
    <w:rsid w:val="007E624D"/>
    <w:rsid w:val="007E62D5"/>
    <w:rsid w:val="007E66D3"/>
    <w:rsid w:val="007E685E"/>
    <w:rsid w:val="007E68CB"/>
    <w:rsid w:val="007E68D2"/>
    <w:rsid w:val="007E6B17"/>
    <w:rsid w:val="007E6EA1"/>
    <w:rsid w:val="007E74A1"/>
    <w:rsid w:val="007E784A"/>
    <w:rsid w:val="007E7A29"/>
    <w:rsid w:val="007E7A3D"/>
    <w:rsid w:val="007E7A79"/>
    <w:rsid w:val="007E7D93"/>
    <w:rsid w:val="007E7E7F"/>
    <w:rsid w:val="007E7EE5"/>
    <w:rsid w:val="007F02DF"/>
    <w:rsid w:val="007F035F"/>
    <w:rsid w:val="007F05AA"/>
    <w:rsid w:val="007F0BC0"/>
    <w:rsid w:val="007F0C90"/>
    <w:rsid w:val="007F0D03"/>
    <w:rsid w:val="007F1005"/>
    <w:rsid w:val="007F14DD"/>
    <w:rsid w:val="007F152B"/>
    <w:rsid w:val="007F1863"/>
    <w:rsid w:val="007F1869"/>
    <w:rsid w:val="007F1CE7"/>
    <w:rsid w:val="007F1F43"/>
    <w:rsid w:val="007F1FE0"/>
    <w:rsid w:val="007F232F"/>
    <w:rsid w:val="007F24BC"/>
    <w:rsid w:val="007F292D"/>
    <w:rsid w:val="007F2A8D"/>
    <w:rsid w:val="007F2E9C"/>
    <w:rsid w:val="007F306D"/>
    <w:rsid w:val="007F31EF"/>
    <w:rsid w:val="007F3665"/>
    <w:rsid w:val="007F367D"/>
    <w:rsid w:val="007F39DB"/>
    <w:rsid w:val="007F3C46"/>
    <w:rsid w:val="007F3CB1"/>
    <w:rsid w:val="007F3FA1"/>
    <w:rsid w:val="007F3FC6"/>
    <w:rsid w:val="007F413F"/>
    <w:rsid w:val="007F4243"/>
    <w:rsid w:val="007F447C"/>
    <w:rsid w:val="007F4581"/>
    <w:rsid w:val="007F461B"/>
    <w:rsid w:val="007F4828"/>
    <w:rsid w:val="007F501F"/>
    <w:rsid w:val="007F5285"/>
    <w:rsid w:val="007F53E1"/>
    <w:rsid w:val="007F5458"/>
    <w:rsid w:val="007F5552"/>
    <w:rsid w:val="007F5642"/>
    <w:rsid w:val="007F5724"/>
    <w:rsid w:val="007F5D20"/>
    <w:rsid w:val="007F607F"/>
    <w:rsid w:val="007F6112"/>
    <w:rsid w:val="007F631C"/>
    <w:rsid w:val="007F6469"/>
    <w:rsid w:val="007F6CB3"/>
    <w:rsid w:val="007F6DB7"/>
    <w:rsid w:val="007F702C"/>
    <w:rsid w:val="007F7161"/>
    <w:rsid w:val="007F72AE"/>
    <w:rsid w:val="007F72B3"/>
    <w:rsid w:val="007F73D7"/>
    <w:rsid w:val="007F7498"/>
    <w:rsid w:val="007F74D3"/>
    <w:rsid w:val="007F7674"/>
    <w:rsid w:val="008000C6"/>
    <w:rsid w:val="00800226"/>
    <w:rsid w:val="0080026F"/>
    <w:rsid w:val="0080028B"/>
    <w:rsid w:val="00800295"/>
    <w:rsid w:val="008005C8"/>
    <w:rsid w:val="008005CB"/>
    <w:rsid w:val="00800631"/>
    <w:rsid w:val="0080068B"/>
    <w:rsid w:val="008006BC"/>
    <w:rsid w:val="008006BE"/>
    <w:rsid w:val="00800F60"/>
    <w:rsid w:val="00801297"/>
    <w:rsid w:val="0080152E"/>
    <w:rsid w:val="008017FB"/>
    <w:rsid w:val="00801B2E"/>
    <w:rsid w:val="00801C92"/>
    <w:rsid w:val="0080204D"/>
    <w:rsid w:val="0080212D"/>
    <w:rsid w:val="008022B3"/>
    <w:rsid w:val="008024E6"/>
    <w:rsid w:val="00802670"/>
    <w:rsid w:val="00802736"/>
    <w:rsid w:val="00802786"/>
    <w:rsid w:val="00802BCE"/>
    <w:rsid w:val="00802BFF"/>
    <w:rsid w:val="00802C3E"/>
    <w:rsid w:val="00802F20"/>
    <w:rsid w:val="00802FBD"/>
    <w:rsid w:val="00802FF9"/>
    <w:rsid w:val="00803044"/>
    <w:rsid w:val="008032BC"/>
    <w:rsid w:val="008033F4"/>
    <w:rsid w:val="008034EA"/>
    <w:rsid w:val="00803630"/>
    <w:rsid w:val="008036B3"/>
    <w:rsid w:val="0080370B"/>
    <w:rsid w:val="008037FE"/>
    <w:rsid w:val="0080397A"/>
    <w:rsid w:val="00803BC6"/>
    <w:rsid w:val="00803CE5"/>
    <w:rsid w:val="00803D48"/>
    <w:rsid w:val="00803D87"/>
    <w:rsid w:val="00803E1A"/>
    <w:rsid w:val="0080414E"/>
    <w:rsid w:val="00804173"/>
    <w:rsid w:val="00804236"/>
    <w:rsid w:val="00804249"/>
    <w:rsid w:val="008042AC"/>
    <w:rsid w:val="008045D3"/>
    <w:rsid w:val="008047D1"/>
    <w:rsid w:val="00804845"/>
    <w:rsid w:val="00804C2F"/>
    <w:rsid w:val="00804C88"/>
    <w:rsid w:val="00804D8D"/>
    <w:rsid w:val="0080539C"/>
    <w:rsid w:val="0080544B"/>
    <w:rsid w:val="008055D2"/>
    <w:rsid w:val="008055F2"/>
    <w:rsid w:val="00805622"/>
    <w:rsid w:val="00805691"/>
    <w:rsid w:val="0080574A"/>
    <w:rsid w:val="00805807"/>
    <w:rsid w:val="00805868"/>
    <w:rsid w:val="00805A05"/>
    <w:rsid w:val="00805DD2"/>
    <w:rsid w:val="00805F04"/>
    <w:rsid w:val="0080627F"/>
    <w:rsid w:val="00806293"/>
    <w:rsid w:val="0080635F"/>
    <w:rsid w:val="008064DA"/>
    <w:rsid w:val="00806661"/>
    <w:rsid w:val="00806676"/>
    <w:rsid w:val="0080667C"/>
    <w:rsid w:val="00806685"/>
    <w:rsid w:val="0080671A"/>
    <w:rsid w:val="008068B1"/>
    <w:rsid w:val="00806958"/>
    <w:rsid w:val="00806DDC"/>
    <w:rsid w:val="00806E78"/>
    <w:rsid w:val="00806FEC"/>
    <w:rsid w:val="00807054"/>
    <w:rsid w:val="00807103"/>
    <w:rsid w:val="0080710D"/>
    <w:rsid w:val="00807265"/>
    <w:rsid w:val="0080728A"/>
    <w:rsid w:val="008072F6"/>
    <w:rsid w:val="0080740A"/>
    <w:rsid w:val="00807582"/>
    <w:rsid w:val="008079C6"/>
    <w:rsid w:val="00807B07"/>
    <w:rsid w:val="00807E17"/>
    <w:rsid w:val="00807E98"/>
    <w:rsid w:val="00807EB7"/>
    <w:rsid w:val="00807F62"/>
    <w:rsid w:val="00810744"/>
    <w:rsid w:val="00810812"/>
    <w:rsid w:val="00810833"/>
    <w:rsid w:val="008108A3"/>
    <w:rsid w:val="00810A00"/>
    <w:rsid w:val="00810B5B"/>
    <w:rsid w:val="00810C5F"/>
    <w:rsid w:val="00810D33"/>
    <w:rsid w:val="00810D7D"/>
    <w:rsid w:val="00811196"/>
    <w:rsid w:val="008113C9"/>
    <w:rsid w:val="008114C0"/>
    <w:rsid w:val="008115D1"/>
    <w:rsid w:val="008115FF"/>
    <w:rsid w:val="00811AE5"/>
    <w:rsid w:val="00811D8A"/>
    <w:rsid w:val="00811FE9"/>
    <w:rsid w:val="008120EB"/>
    <w:rsid w:val="008120FB"/>
    <w:rsid w:val="008121B4"/>
    <w:rsid w:val="0081223A"/>
    <w:rsid w:val="0081244B"/>
    <w:rsid w:val="0081276B"/>
    <w:rsid w:val="008127C0"/>
    <w:rsid w:val="00812A2F"/>
    <w:rsid w:val="00812B49"/>
    <w:rsid w:val="00812C80"/>
    <w:rsid w:val="00812C95"/>
    <w:rsid w:val="00812C9E"/>
    <w:rsid w:val="0081314B"/>
    <w:rsid w:val="00813156"/>
    <w:rsid w:val="00813262"/>
    <w:rsid w:val="008132B3"/>
    <w:rsid w:val="00813442"/>
    <w:rsid w:val="008134BB"/>
    <w:rsid w:val="008134C5"/>
    <w:rsid w:val="008136CE"/>
    <w:rsid w:val="00813717"/>
    <w:rsid w:val="008137A0"/>
    <w:rsid w:val="00813897"/>
    <w:rsid w:val="008139EB"/>
    <w:rsid w:val="00813DBC"/>
    <w:rsid w:val="00813E82"/>
    <w:rsid w:val="00813F7A"/>
    <w:rsid w:val="008141A0"/>
    <w:rsid w:val="00814519"/>
    <w:rsid w:val="0081456E"/>
    <w:rsid w:val="008147D5"/>
    <w:rsid w:val="008147DA"/>
    <w:rsid w:val="00814864"/>
    <w:rsid w:val="0081492D"/>
    <w:rsid w:val="0081497F"/>
    <w:rsid w:val="00814B77"/>
    <w:rsid w:val="00814BD0"/>
    <w:rsid w:val="00815221"/>
    <w:rsid w:val="00815587"/>
    <w:rsid w:val="008155CE"/>
    <w:rsid w:val="00815618"/>
    <w:rsid w:val="008159A2"/>
    <w:rsid w:val="00815D14"/>
    <w:rsid w:val="00815E01"/>
    <w:rsid w:val="00815F95"/>
    <w:rsid w:val="00815FC2"/>
    <w:rsid w:val="0081609F"/>
    <w:rsid w:val="00816192"/>
    <w:rsid w:val="008161F2"/>
    <w:rsid w:val="0081620B"/>
    <w:rsid w:val="0081623A"/>
    <w:rsid w:val="0081667A"/>
    <w:rsid w:val="008168F7"/>
    <w:rsid w:val="00816ABE"/>
    <w:rsid w:val="00816AFA"/>
    <w:rsid w:val="00816ED0"/>
    <w:rsid w:val="00816F94"/>
    <w:rsid w:val="00817038"/>
    <w:rsid w:val="0081730F"/>
    <w:rsid w:val="008175BE"/>
    <w:rsid w:val="008176EE"/>
    <w:rsid w:val="008176F8"/>
    <w:rsid w:val="00817787"/>
    <w:rsid w:val="00817A60"/>
    <w:rsid w:val="00817AFF"/>
    <w:rsid w:val="00817B75"/>
    <w:rsid w:val="00817EDB"/>
    <w:rsid w:val="008200CC"/>
    <w:rsid w:val="00820330"/>
    <w:rsid w:val="008206E3"/>
    <w:rsid w:val="00820B36"/>
    <w:rsid w:val="00820E75"/>
    <w:rsid w:val="00820F1D"/>
    <w:rsid w:val="0082102F"/>
    <w:rsid w:val="008212F0"/>
    <w:rsid w:val="008213C7"/>
    <w:rsid w:val="00821981"/>
    <w:rsid w:val="008219D7"/>
    <w:rsid w:val="00821AB8"/>
    <w:rsid w:val="00821EBE"/>
    <w:rsid w:val="00821F18"/>
    <w:rsid w:val="00822329"/>
    <w:rsid w:val="008224CA"/>
    <w:rsid w:val="008224DA"/>
    <w:rsid w:val="00822593"/>
    <w:rsid w:val="00822706"/>
    <w:rsid w:val="00822732"/>
    <w:rsid w:val="0082276D"/>
    <w:rsid w:val="00822891"/>
    <w:rsid w:val="00822995"/>
    <w:rsid w:val="00822B14"/>
    <w:rsid w:val="00822C04"/>
    <w:rsid w:val="00822E1B"/>
    <w:rsid w:val="00822F79"/>
    <w:rsid w:val="00822FC7"/>
    <w:rsid w:val="0082323D"/>
    <w:rsid w:val="008233F7"/>
    <w:rsid w:val="0082373A"/>
    <w:rsid w:val="008237CF"/>
    <w:rsid w:val="0082395A"/>
    <w:rsid w:val="00823D56"/>
    <w:rsid w:val="00823E10"/>
    <w:rsid w:val="00823EE8"/>
    <w:rsid w:val="0082410F"/>
    <w:rsid w:val="008242D5"/>
    <w:rsid w:val="008244A7"/>
    <w:rsid w:val="00824502"/>
    <w:rsid w:val="00824816"/>
    <w:rsid w:val="008249D6"/>
    <w:rsid w:val="008249E5"/>
    <w:rsid w:val="00824C8F"/>
    <w:rsid w:val="00824D9D"/>
    <w:rsid w:val="00824F2E"/>
    <w:rsid w:val="008250DE"/>
    <w:rsid w:val="008252CA"/>
    <w:rsid w:val="008252F4"/>
    <w:rsid w:val="0082554E"/>
    <w:rsid w:val="00825633"/>
    <w:rsid w:val="0082592D"/>
    <w:rsid w:val="00825A6D"/>
    <w:rsid w:val="00825B10"/>
    <w:rsid w:val="00825CB7"/>
    <w:rsid w:val="00825E9B"/>
    <w:rsid w:val="00825F4E"/>
    <w:rsid w:val="008260A4"/>
    <w:rsid w:val="008264FE"/>
    <w:rsid w:val="00826713"/>
    <w:rsid w:val="008268D9"/>
    <w:rsid w:val="00826A78"/>
    <w:rsid w:val="00826BBC"/>
    <w:rsid w:val="00826BD6"/>
    <w:rsid w:val="00826CD6"/>
    <w:rsid w:val="00826FB5"/>
    <w:rsid w:val="00827251"/>
    <w:rsid w:val="008273BD"/>
    <w:rsid w:val="008274E6"/>
    <w:rsid w:val="008275C7"/>
    <w:rsid w:val="008276B0"/>
    <w:rsid w:val="00827ABC"/>
    <w:rsid w:val="00827C2D"/>
    <w:rsid w:val="00827CCF"/>
    <w:rsid w:val="00827FBE"/>
    <w:rsid w:val="0083009C"/>
    <w:rsid w:val="00830185"/>
    <w:rsid w:val="008302AC"/>
    <w:rsid w:val="00830513"/>
    <w:rsid w:val="008309F9"/>
    <w:rsid w:val="00830B60"/>
    <w:rsid w:val="00830BB0"/>
    <w:rsid w:val="00830BE5"/>
    <w:rsid w:val="00830C49"/>
    <w:rsid w:val="00830EF4"/>
    <w:rsid w:val="008311BC"/>
    <w:rsid w:val="008311EC"/>
    <w:rsid w:val="008311FC"/>
    <w:rsid w:val="008312C7"/>
    <w:rsid w:val="00831586"/>
    <w:rsid w:val="00831630"/>
    <w:rsid w:val="00831A4B"/>
    <w:rsid w:val="00831ABD"/>
    <w:rsid w:val="00831C3B"/>
    <w:rsid w:val="00831C8D"/>
    <w:rsid w:val="00831CF1"/>
    <w:rsid w:val="00832099"/>
    <w:rsid w:val="008320E8"/>
    <w:rsid w:val="0083218B"/>
    <w:rsid w:val="0083227B"/>
    <w:rsid w:val="00832362"/>
    <w:rsid w:val="0083245D"/>
    <w:rsid w:val="00832739"/>
    <w:rsid w:val="00832908"/>
    <w:rsid w:val="00832AAF"/>
    <w:rsid w:val="00832B80"/>
    <w:rsid w:val="00832D23"/>
    <w:rsid w:val="00832F93"/>
    <w:rsid w:val="00833009"/>
    <w:rsid w:val="00833039"/>
    <w:rsid w:val="00833246"/>
    <w:rsid w:val="00833379"/>
    <w:rsid w:val="00833553"/>
    <w:rsid w:val="008335C1"/>
    <w:rsid w:val="008335E9"/>
    <w:rsid w:val="0083360B"/>
    <w:rsid w:val="0083394B"/>
    <w:rsid w:val="0083395E"/>
    <w:rsid w:val="0083398B"/>
    <w:rsid w:val="008339C2"/>
    <w:rsid w:val="008339CD"/>
    <w:rsid w:val="00833D49"/>
    <w:rsid w:val="00833F59"/>
    <w:rsid w:val="00834113"/>
    <w:rsid w:val="00834157"/>
    <w:rsid w:val="00834563"/>
    <w:rsid w:val="00834627"/>
    <w:rsid w:val="008346A2"/>
    <w:rsid w:val="00834714"/>
    <w:rsid w:val="008349F6"/>
    <w:rsid w:val="00834AB4"/>
    <w:rsid w:val="00834C51"/>
    <w:rsid w:val="00834D6A"/>
    <w:rsid w:val="00834D86"/>
    <w:rsid w:val="00834D96"/>
    <w:rsid w:val="00834F3C"/>
    <w:rsid w:val="00834F40"/>
    <w:rsid w:val="00834F6A"/>
    <w:rsid w:val="0083534F"/>
    <w:rsid w:val="0083565B"/>
    <w:rsid w:val="00835A69"/>
    <w:rsid w:val="00835BEE"/>
    <w:rsid w:val="00835C33"/>
    <w:rsid w:val="00835C35"/>
    <w:rsid w:val="00835CC1"/>
    <w:rsid w:val="00835E5C"/>
    <w:rsid w:val="00835F78"/>
    <w:rsid w:val="00835FA9"/>
    <w:rsid w:val="00836052"/>
    <w:rsid w:val="008362C3"/>
    <w:rsid w:val="00836660"/>
    <w:rsid w:val="008366B9"/>
    <w:rsid w:val="00836CFC"/>
    <w:rsid w:val="00837082"/>
    <w:rsid w:val="00837410"/>
    <w:rsid w:val="00837560"/>
    <w:rsid w:val="00837582"/>
    <w:rsid w:val="0083767A"/>
    <w:rsid w:val="0083770B"/>
    <w:rsid w:val="00837807"/>
    <w:rsid w:val="00837936"/>
    <w:rsid w:val="00837A26"/>
    <w:rsid w:val="00837D90"/>
    <w:rsid w:val="008402FD"/>
    <w:rsid w:val="00840329"/>
    <w:rsid w:val="00840EEC"/>
    <w:rsid w:val="00840F03"/>
    <w:rsid w:val="0084110B"/>
    <w:rsid w:val="00841915"/>
    <w:rsid w:val="00841AA4"/>
    <w:rsid w:val="00841C7C"/>
    <w:rsid w:val="00841EDA"/>
    <w:rsid w:val="008421A3"/>
    <w:rsid w:val="0084225B"/>
    <w:rsid w:val="008425AD"/>
    <w:rsid w:val="00842604"/>
    <w:rsid w:val="0084265F"/>
    <w:rsid w:val="00842797"/>
    <w:rsid w:val="008427B8"/>
    <w:rsid w:val="0084294F"/>
    <w:rsid w:val="00842B6D"/>
    <w:rsid w:val="00842C37"/>
    <w:rsid w:val="00842F06"/>
    <w:rsid w:val="008430A0"/>
    <w:rsid w:val="0084329C"/>
    <w:rsid w:val="00843424"/>
    <w:rsid w:val="00843687"/>
    <w:rsid w:val="0084389C"/>
    <w:rsid w:val="00843907"/>
    <w:rsid w:val="00843B7F"/>
    <w:rsid w:val="00843DA9"/>
    <w:rsid w:val="00843E29"/>
    <w:rsid w:val="00843F38"/>
    <w:rsid w:val="008440B3"/>
    <w:rsid w:val="00844185"/>
    <w:rsid w:val="00844191"/>
    <w:rsid w:val="00844743"/>
    <w:rsid w:val="008448F8"/>
    <w:rsid w:val="0084491B"/>
    <w:rsid w:val="0084493B"/>
    <w:rsid w:val="00844B2C"/>
    <w:rsid w:val="00844C3B"/>
    <w:rsid w:val="00844D26"/>
    <w:rsid w:val="008450F0"/>
    <w:rsid w:val="0084513F"/>
    <w:rsid w:val="00845216"/>
    <w:rsid w:val="0084524B"/>
    <w:rsid w:val="008452E3"/>
    <w:rsid w:val="0084530F"/>
    <w:rsid w:val="0084550C"/>
    <w:rsid w:val="00845579"/>
    <w:rsid w:val="008455A8"/>
    <w:rsid w:val="00845607"/>
    <w:rsid w:val="00845696"/>
    <w:rsid w:val="0084571F"/>
    <w:rsid w:val="008457AE"/>
    <w:rsid w:val="008459FD"/>
    <w:rsid w:val="00845A45"/>
    <w:rsid w:val="00845BAD"/>
    <w:rsid w:val="00845C34"/>
    <w:rsid w:val="00845C5B"/>
    <w:rsid w:val="00845C6A"/>
    <w:rsid w:val="00845D81"/>
    <w:rsid w:val="00845E51"/>
    <w:rsid w:val="00845EB2"/>
    <w:rsid w:val="008460A9"/>
    <w:rsid w:val="00846265"/>
    <w:rsid w:val="0084626D"/>
    <w:rsid w:val="0084630C"/>
    <w:rsid w:val="008464FB"/>
    <w:rsid w:val="00846578"/>
    <w:rsid w:val="008468CE"/>
    <w:rsid w:val="008468E3"/>
    <w:rsid w:val="00846926"/>
    <w:rsid w:val="00846A1F"/>
    <w:rsid w:val="00846BF7"/>
    <w:rsid w:val="00846D3E"/>
    <w:rsid w:val="008476DD"/>
    <w:rsid w:val="00847A52"/>
    <w:rsid w:val="00847B0B"/>
    <w:rsid w:val="00847BF0"/>
    <w:rsid w:val="00847F91"/>
    <w:rsid w:val="00847FCC"/>
    <w:rsid w:val="0085008A"/>
    <w:rsid w:val="00850281"/>
    <w:rsid w:val="008503FF"/>
    <w:rsid w:val="008504DD"/>
    <w:rsid w:val="00850545"/>
    <w:rsid w:val="00850680"/>
    <w:rsid w:val="008506D2"/>
    <w:rsid w:val="0085098A"/>
    <w:rsid w:val="0085098E"/>
    <w:rsid w:val="00850D18"/>
    <w:rsid w:val="00850F38"/>
    <w:rsid w:val="00850F43"/>
    <w:rsid w:val="0085112F"/>
    <w:rsid w:val="00851255"/>
    <w:rsid w:val="0085128F"/>
    <w:rsid w:val="0085130B"/>
    <w:rsid w:val="00851397"/>
    <w:rsid w:val="008516AA"/>
    <w:rsid w:val="008517BF"/>
    <w:rsid w:val="00851988"/>
    <w:rsid w:val="008519FD"/>
    <w:rsid w:val="00851B3F"/>
    <w:rsid w:val="00851BB1"/>
    <w:rsid w:val="00851BEB"/>
    <w:rsid w:val="00851E99"/>
    <w:rsid w:val="0085209E"/>
    <w:rsid w:val="008525FC"/>
    <w:rsid w:val="00852A28"/>
    <w:rsid w:val="00852A53"/>
    <w:rsid w:val="00852B1F"/>
    <w:rsid w:val="00852E5F"/>
    <w:rsid w:val="00853046"/>
    <w:rsid w:val="008530A6"/>
    <w:rsid w:val="00853122"/>
    <w:rsid w:val="008531D4"/>
    <w:rsid w:val="00853280"/>
    <w:rsid w:val="00853350"/>
    <w:rsid w:val="00853373"/>
    <w:rsid w:val="008536FD"/>
    <w:rsid w:val="00853831"/>
    <w:rsid w:val="00853856"/>
    <w:rsid w:val="00853914"/>
    <w:rsid w:val="00853A47"/>
    <w:rsid w:val="00853C7C"/>
    <w:rsid w:val="00853CCE"/>
    <w:rsid w:val="008542A5"/>
    <w:rsid w:val="008544F7"/>
    <w:rsid w:val="00854511"/>
    <w:rsid w:val="008548EE"/>
    <w:rsid w:val="00854B24"/>
    <w:rsid w:val="00854CC8"/>
    <w:rsid w:val="00854CE3"/>
    <w:rsid w:val="00854E21"/>
    <w:rsid w:val="008551AC"/>
    <w:rsid w:val="0085521B"/>
    <w:rsid w:val="00855272"/>
    <w:rsid w:val="008553F3"/>
    <w:rsid w:val="008557A2"/>
    <w:rsid w:val="00855A30"/>
    <w:rsid w:val="00855A55"/>
    <w:rsid w:val="00855A9A"/>
    <w:rsid w:val="00855B45"/>
    <w:rsid w:val="00855BAC"/>
    <w:rsid w:val="00855C4D"/>
    <w:rsid w:val="00855CD7"/>
    <w:rsid w:val="00855E06"/>
    <w:rsid w:val="00855EFC"/>
    <w:rsid w:val="00856209"/>
    <w:rsid w:val="0085628C"/>
    <w:rsid w:val="008562E0"/>
    <w:rsid w:val="008564FB"/>
    <w:rsid w:val="00856501"/>
    <w:rsid w:val="008566C7"/>
    <w:rsid w:val="00856835"/>
    <w:rsid w:val="00856979"/>
    <w:rsid w:val="00856A0E"/>
    <w:rsid w:val="00856C24"/>
    <w:rsid w:val="00856EF8"/>
    <w:rsid w:val="00856F28"/>
    <w:rsid w:val="008570CF"/>
    <w:rsid w:val="00857246"/>
    <w:rsid w:val="008572BE"/>
    <w:rsid w:val="0085770B"/>
    <w:rsid w:val="0085781F"/>
    <w:rsid w:val="00857A88"/>
    <w:rsid w:val="00857C9F"/>
    <w:rsid w:val="00857D53"/>
    <w:rsid w:val="00857FA5"/>
    <w:rsid w:val="00857FE8"/>
    <w:rsid w:val="008600CD"/>
    <w:rsid w:val="00860158"/>
    <w:rsid w:val="0086020B"/>
    <w:rsid w:val="008604CE"/>
    <w:rsid w:val="0086095D"/>
    <w:rsid w:val="0086127E"/>
    <w:rsid w:val="00861368"/>
    <w:rsid w:val="008616A3"/>
    <w:rsid w:val="00861938"/>
    <w:rsid w:val="00861ACC"/>
    <w:rsid w:val="00861EAD"/>
    <w:rsid w:val="00861F3B"/>
    <w:rsid w:val="008620FD"/>
    <w:rsid w:val="00862190"/>
    <w:rsid w:val="008621E8"/>
    <w:rsid w:val="00862251"/>
    <w:rsid w:val="00862291"/>
    <w:rsid w:val="0086245A"/>
    <w:rsid w:val="00862637"/>
    <w:rsid w:val="00862947"/>
    <w:rsid w:val="00862A7E"/>
    <w:rsid w:val="00862B12"/>
    <w:rsid w:val="00862BF0"/>
    <w:rsid w:val="00862C4A"/>
    <w:rsid w:val="00862C87"/>
    <w:rsid w:val="00862D36"/>
    <w:rsid w:val="00862E2D"/>
    <w:rsid w:val="00862EC8"/>
    <w:rsid w:val="00862F02"/>
    <w:rsid w:val="00862F12"/>
    <w:rsid w:val="008631CE"/>
    <w:rsid w:val="00863286"/>
    <w:rsid w:val="008633E2"/>
    <w:rsid w:val="00863897"/>
    <w:rsid w:val="008638D4"/>
    <w:rsid w:val="00863A7F"/>
    <w:rsid w:val="00863ACC"/>
    <w:rsid w:val="00863C49"/>
    <w:rsid w:val="00863C71"/>
    <w:rsid w:val="00863DC6"/>
    <w:rsid w:val="00863E7D"/>
    <w:rsid w:val="00863EAB"/>
    <w:rsid w:val="00863EDB"/>
    <w:rsid w:val="00863FC4"/>
    <w:rsid w:val="008642B3"/>
    <w:rsid w:val="00864325"/>
    <w:rsid w:val="0086443E"/>
    <w:rsid w:val="008644CF"/>
    <w:rsid w:val="008645D7"/>
    <w:rsid w:val="00864661"/>
    <w:rsid w:val="00864687"/>
    <w:rsid w:val="0086470E"/>
    <w:rsid w:val="0086475B"/>
    <w:rsid w:val="008648B3"/>
    <w:rsid w:val="00864B27"/>
    <w:rsid w:val="00864B3E"/>
    <w:rsid w:val="00864CF1"/>
    <w:rsid w:val="00864D4B"/>
    <w:rsid w:val="00864DE4"/>
    <w:rsid w:val="00864EA0"/>
    <w:rsid w:val="008650A0"/>
    <w:rsid w:val="0086519A"/>
    <w:rsid w:val="0086536B"/>
    <w:rsid w:val="008656FF"/>
    <w:rsid w:val="008657A8"/>
    <w:rsid w:val="00865E0D"/>
    <w:rsid w:val="00865F1C"/>
    <w:rsid w:val="00865FA8"/>
    <w:rsid w:val="00865FD5"/>
    <w:rsid w:val="00866041"/>
    <w:rsid w:val="008663DA"/>
    <w:rsid w:val="008666C5"/>
    <w:rsid w:val="00866753"/>
    <w:rsid w:val="00866806"/>
    <w:rsid w:val="00866821"/>
    <w:rsid w:val="00866839"/>
    <w:rsid w:val="0086689B"/>
    <w:rsid w:val="00866947"/>
    <w:rsid w:val="00866A0E"/>
    <w:rsid w:val="00866A98"/>
    <w:rsid w:val="00866E36"/>
    <w:rsid w:val="00866E67"/>
    <w:rsid w:val="00866EDB"/>
    <w:rsid w:val="0086708E"/>
    <w:rsid w:val="008670E3"/>
    <w:rsid w:val="008673FB"/>
    <w:rsid w:val="00867435"/>
    <w:rsid w:val="008679F1"/>
    <w:rsid w:val="00867BEC"/>
    <w:rsid w:val="008700C2"/>
    <w:rsid w:val="00870E37"/>
    <w:rsid w:val="00870ED4"/>
    <w:rsid w:val="0087130C"/>
    <w:rsid w:val="00871407"/>
    <w:rsid w:val="0087161B"/>
    <w:rsid w:val="00871772"/>
    <w:rsid w:val="00871B00"/>
    <w:rsid w:val="00871B3B"/>
    <w:rsid w:val="00871C43"/>
    <w:rsid w:val="00871C93"/>
    <w:rsid w:val="00872074"/>
    <w:rsid w:val="0087221E"/>
    <w:rsid w:val="0087229D"/>
    <w:rsid w:val="00872436"/>
    <w:rsid w:val="00872769"/>
    <w:rsid w:val="008728CA"/>
    <w:rsid w:val="00872AC9"/>
    <w:rsid w:val="00872AF4"/>
    <w:rsid w:val="00872C31"/>
    <w:rsid w:val="00872DDF"/>
    <w:rsid w:val="00872ED6"/>
    <w:rsid w:val="00872FD2"/>
    <w:rsid w:val="008731E6"/>
    <w:rsid w:val="008733C9"/>
    <w:rsid w:val="00873472"/>
    <w:rsid w:val="0087352E"/>
    <w:rsid w:val="008736D0"/>
    <w:rsid w:val="0087372C"/>
    <w:rsid w:val="0087377B"/>
    <w:rsid w:val="008737CD"/>
    <w:rsid w:val="00873850"/>
    <w:rsid w:val="0087389E"/>
    <w:rsid w:val="00873AF3"/>
    <w:rsid w:val="00873B71"/>
    <w:rsid w:val="00873D35"/>
    <w:rsid w:val="00873DFA"/>
    <w:rsid w:val="00873E14"/>
    <w:rsid w:val="00874261"/>
    <w:rsid w:val="00874430"/>
    <w:rsid w:val="0087444E"/>
    <w:rsid w:val="008744A3"/>
    <w:rsid w:val="00874564"/>
    <w:rsid w:val="008745E5"/>
    <w:rsid w:val="0087465A"/>
    <w:rsid w:val="00874B88"/>
    <w:rsid w:val="00874E6D"/>
    <w:rsid w:val="00874FB3"/>
    <w:rsid w:val="00875189"/>
    <w:rsid w:val="00875523"/>
    <w:rsid w:val="00875525"/>
    <w:rsid w:val="00875654"/>
    <w:rsid w:val="008756EF"/>
    <w:rsid w:val="0087575D"/>
    <w:rsid w:val="00875800"/>
    <w:rsid w:val="008758AD"/>
    <w:rsid w:val="00875924"/>
    <w:rsid w:val="008759C2"/>
    <w:rsid w:val="00875B60"/>
    <w:rsid w:val="00875C72"/>
    <w:rsid w:val="0087625E"/>
    <w:rsid w:val="00876869"/>
    <w:rsid w:val="00876A4B"/>
    <w:rsid w:val="00876A53"/>
    <w:rsid w:val="00876DC4"/>
    <w:rsid w:val="00876E25"/>
    <w:rsid w:val="00876F70"/>
    <w:rsid w:val="00877084"/>
    <w:rsid w:val="0087720D"/>
    <w:rsid w:val="0087724E"/>
    <w:rsid w:val="008772AB"/>
    <w:rsid w:val="0087737D"/>
    <w:rsid w:val="0087758A"/>
    <w:rsid w:val="00877767"/>
    <w:rsid w:val="008777BE"/>
    <w:rsid w:val="00877815"/>
    <w:rsid w:val="00877926"/>
    <w:rsid w:val="008779D6"/>
    <w:rsid w:val="00877ACB"/>
    <w:rsid w:val="00877E62"/>
    <w:rsid w:val="008800A0"/>
    <w:rsid w:val="00880284"/>
    <w:rsid w:val="0088034E"/>
    <w:rsid w:val="00880578"/>
    <w:rsid w:val="00880595"/>
    <w:rsid w:val="0088078F"/>
    <w:rsid w:val="0088082D"/>
    <w:rsid w:val="00880A3A"/>
    <w:rsid w:val="00880BFC"/>
    <w:rsid w:val="0088136C"/>
    <w:rsid w:val="00881AA1"/>
    <w:rsid w:val="00881AD6"/>
    <w:rsid w:val="00881B65"/>
    <w:rsid w:val="00881C0A"/>
    <w:rsid w:val="00881E7E"/>
    <w:rsid w:val="00881FDE"/>
    <w:rsid w:val="00882188"/>
    <w:rsid w:val="0088223A"/>
    <w:rsid w:val="008822EE"/>
    <w:rsid w:val="008824C1"/>
    <w:rsid w:val="008824FF"/>
    <w:rsid w:val="0088254B"/>
    <w:rsid w:val="0088269E"/>
    <w:rsid w:val="0088286E"/>
    <w:rsid w:val="00882C78"/>
    <w:rsid w:val="00882D5F"/>
    <w:rsid w:val="00882EF6"/>
    <w:rsid w:val="00883178"/>
    <w:rsid w:val="008831DB"/>
    <w:rsid w:val="008832BE"/>
    <w:rsid w:val="0088342D"/>
    <w:rsid w:val="0088352B"/>
    <w:rsid w:val="008835B5"/>
    <w:rsid w:val="008837E9"/>
    <w:rsid w:val="00883AA8"/>
    <w:rsid w:val="00883C26"/>
    <w:rsid w:val="00883CB7"/>
    <w:rsid w:val="00883D0D"/>
    <w:rsid w:val="00883DE9"/>
    <w:rsid w:val="00883EAE"/>
    <w:rsid w:val="00883F05"/>
    <w:rsid w:val="00883FCC"/>
    <w:rsid w:val="00884451"/>
    <w:rsid w:val="008847D1"/>
    <w:rsid w:val="0088480A"/>
    <w:rsid w:val="008848C2"/>
    <w:rsid w:val="008848D8"/>
    <w:rsid w:val="00884AD1"/>
    <w:rsid w:val="00884D74"/>
    <w:rsid w:val="00885129"/>
    <w:rsid w:val="0088540F"/>
    <w:rsid w:val="008854D8"/>
    <w:rsid w:val="00885510"/>
    <w:rsid w:val="00885514"/>
    <w:rsid w:val="00885AB4"/>
    <w:rsid w:val="00885D49"/>
    <w:rsid w:val="00885E4B"/>
    <w:rsid w:val="00885E86"/>
    <w:rsid w:val="00885F31"/>
    <w:rsid w:val="00885FEE"/>
    <w:rsid w:val="0088617B"/>
    <w:rsid w:val="008861E8"/>
    <w:rsid w:val="00886231"/>
    <w:rsid w:val="0088660B"/>
    <w:rsid w:val="0088664B"/>
    <w:rsid w:val="008866B3"/>
    <w:rsid w:val="00886734"/>
    <w:rsid w:val="008867F5"/>
    <w:rsid w:val="00886A5E"/>
    <w:rsid w:val="00886B47"/>
    <w:rsid w:val="00886B48"/>
    <w:rsid w:val="00886C15"/>
    <w:rsid w:val="00886C73"/>
    <w:rsid w:val="00886C98"/>
    <w:rsid w:val="00886F75"/>
    <w:rsid w:val="00886FE5"/>
    <w:rsid w:val="008871C5"/>
    <w:rsid w:val="008871D8"/>
    <w:rsid w:val="00887309"/>
    <w:rsid w:val="0088730C"/>
    <w:rsid w:val="00887617"/>
    <w:rsid w:val="00887857"/>
    <w:rsid w:val="0088792B"/>
    <w:rsid w:val="00887C0C"/>
    <w:rsid w:val="008902A4"/>
    <w:rsid w:val="00890390"/>
    <w:rsid w:val="008904B0"/>
    <w:rsid w:val="008904BF"/>
    <w:rsid w:val="008905A2"/>
    <w:rsid w:val="008908AB"/>
    <w:rsid w:val="008908B8"/>
    <w:rsid w:val="008908BB"/>
    <w:rsid w:val="008908CE"/>
    <w:rsid w:val="00890A30"/>
    <w:rsid w:val="00890A79"/>
    <w:rsid w:val="00890AAC"/>
    <w:rsid w:val="00890DF8"/>
    <w:rsid w:val="00890E3F"/>
    <w:rsid w:val="00890EA7"/>
    <w:rsid w:val="00890F6C"/>
    <w:rsid w:val="00891099"/>
    <w:rsid w:val="008910E0"/>
    <w:rsid w:val="00891361"/>
    <w:rsid w:val="0089142B"/>
    <w:rsid w:val="0089147B"/>
    <w:rsid w:val="008915F5"/>
    <w:rsid w:val="0089164B"/>
    <w:rsid w:val="00891707"/>
    <w:rsid w:val="008918DB"/>
    <w:rsid w:val="0089211D"/>
    <w:rsid w:val="008924BA"/>
    <w:rsid w:val="00892534"/>
    <w:rsid w:val="00892733"/>
    <w:rsid w:val="008929EA"/>
    <w:rsid w:val="00892CD4"/>
    <w:rsid w:val="00893087"/>
    <w:rsid w:val="008931C6"/>
    <w:rsid w:val="008931DD"/>
    <w:rsid w:val="0089375F"/>
    <w:rsid w:val="0089394A"/>
    <w:rsid w:val="008939FC"/>
    <w:rsid w:val="00893A4F"/>
    <w:rsid w:val="00893B38"/>
    <w:rsid w:val="00893BE0"/>
    <w:rsid w:val="00893BE4"/>
    <w:rsid w:val="00893C5D"/>
    <w:rsid w:val="00893C75"/>
    <w:rsid w:val="00893C80"/>
    <w:rsid w:val="00893E23"/>
    <w:rsid w:val="00893FBD"/>
    <w:rsid w:val="00893FD1"/>
    <w:rsid w:val="0089407B"/>
    <w:rsid w:val="00894330"/>
    <w:rsid w:val="008943AD"/>
    <w:rsid w:val="00894826"/>
    <w:rsid w:val="00894960"/>
    <w:rsid w:val="00894CCA"/>
    <w:rsid w:val="00894F9A"/>
    <w:rsid w:val="008950C8"/>
    <w:rsid w:val="0089516F"/>
    <w:rsid w:val="008951B3"/>
    <w:rsid w:val="00895437"/>
    <w:rsid w:val="00895448"/>
    <w:rsid w:val="00895458"/>
    <w:rsid w:val="0089558E"/>
    <w:rsid w:val="0089562D"/>
    <w:rsid w:val="00895759"/>
    <w:rsid w:val="00895914"/>
    <w:rsid w:val="008959FB"/>
    <w:rsid w:val="00895D2A"/>
    <w:rsid w:val="00895E83"/>
    <w:rsid w:val="00895EFA"/>
    <w:rsid w:val="0089609B"/>
    <w:rsid w:val="0089616D"/>
    <w:rsid w:val="008962FA"/>
    <w:rsid w:val="008965D7"/>
    <w:rsid w:val="0089677F"/>
    <w:rsid w:val="008968EC"/>
    <w:rsid w:val="00896BD0"/>
    <w:rsid w:val="00896C05"/>
    <w:rsid w:val="00896CB0"/>
    <w:rsid w:val="00896D6E"/>
    <w:rsid w:val="00896D99"/>
    <w:rsid w:val="00896EB6"/>
    <w:rsid w:val="00896EF4"/>
    <w:rsid w:val="00897155"/>
    <w:rsid w:val="0089718C"/>
    <w:rsid w:val="008972EA"/>
    <w:rsid w:val="00897388"/>
    <w:rsid w:val="008974D3"/>
    <w:rsid w:val="008975D5"/>
    <w:rsid w:val="0089764B"/>
    <w:rsid w:val="00897775"/>
    <w:rsid w:val="00897EE8"/>
    <w:rsid w:val="00897F35"/>
    <w:rsid w:val="008A0024"/>
    <w:rsid w:val="008A0127"/>
    <w:rsid w:val="008A0560"/>
    <w:rsid w:val="008A0984"/>
    <w:rsid w:val="008A0B80"/>
    <w:rsid w:val="008A0D02"/>
    <w:rsid w:val="008A0D4A"/>
    <w:rsid w:val="008A0E33"/>
    <w:rsid w:val="008A0EC6"/>
    <w:rsid w:val="008A0F14"/>
    <w:rsid w:val="008A1115"/>
    <w:rsid w:val="008A1490"/>
    <w:rsid w:val="008A14F2"/>
    <w:rsid w:val="008A1A88"/>
    <w:rsid w:val="008A1A8D"/>
    <w:rsid w:val="008A1BB2"/>
    <w:rsid w:val="008A1DBA"/>
    <w:rsid w:val="008A1DC4"/>
    <w:rsid w:val="008A21A6"/>
    <w:rsid w:val="008A21C6"/>
    <w:rsid w:val="008A21EA"/>
    <w:rsid w:val="008A2316"/>
    <w:rsid w:val="008A24EF"/>
    <w:rsid w:val="008A28FE"/>
    <w:rsid w:val="008A292E"/>
    <w:rsid w:val="008A2A70"/>
    <w:rsid w:val="008A2BCA"/>
    <w:rsid w:val="008A2D21"/>
    <w:rsid w:val="008A3142"/>
    <w:rsid w:val="008A3149"/>
    <w:rsid w:val="008A364B"/>
    <w:rsid w:val="008A3876"/>
    <w:rsid w:val="008A3A85"/>
    <w:rsid w:val="008A3BBD"/>
    <w:rsid w:val="008A3CAC"/>
    <w:rsid w:val="008A3CBD"/>
    <w:rsid w:val="008A3D01"/>
    <w:rsid w:val="008A3FBF"/>
    <w:rsid w:val="008A40D9"/>
    <w:rsid w:val="008A425D"/>
    <w:rsid w:val="008A42D2"/>
    <w:rsid w:val="008A4650"/>
    <w:rsid w:val="008A4A92"/>
    <w:rsid w:val="008A4AAB"/>
    <w:rsid w:val="008A4E39"/>
    <w:rsid w:val="008A4E8A"/>
    <w:rsid w:val="008A50A2"/>
    <w:rsid w:val="008A50E8"/>
    <w:rsid w:val="008A51AB"/>
    <w:rsid w:val="008A526B"/>
    <w:rsid w:val="008A5298"/>
    <w:rsid w:val="008A5466"/>
    <w:rsid w:val="008A5665"/>
    <w:rsid w:val="008A568E"/>
    <w:rsid w:val="008A56F6"/>
    <w:rsid w:val="008A5B79"/>
    <w:rsid w:val="008A5D53"/>
    <w:rsid w:val="008A5DAB"/>
    <w:rsid w:val="008A5E0D"/>
    <w:rsid w:val="008A615C"/>
    <w:rsid w:val="008A6188"/>
    <w:rsid w:val="008A61C1"/>
    <w:rsid w:val="008A61C8"/>
    <w:rsid w:val="008A6342"/>
    <w:rsid w:val="008A64C1"/>
    <w:rsid w:val="008A679D"/>
    <w:rsid w:val="008A6932"/>
    <w:rsid w:val="008A6C0D"/>
    <w:rsid w:val="008A6DE7"/>
    <w:rsid w:val="008A6F3B"/>
    <w:rsid w:val="008A71D1"/>
    <w:rsid w:val="008A7568"/>
    <w:rsid w:val="008A7A22"/>
    <w:rsid w:val="008A7D60"/>
    <w:rsid w:val="008A7F5B"/>
    <w:rsid w:val="008B0178"/>
    <w:rsid w:val="008B02C2"/>
    <w:rsid w:val="008B03BC"/>
    <w:rsid w:val="008B0810"/>
    <w:rsid w:val="008B081F"/>
    <w:rsid w:val="008B0A8F"/>
    <w:rsid w:val="008B0BB5"/>
    <w:rsid w:val="008B0D90"/>
    <w:rsid w:val="008B0E71"/>
    <w:rsid w:val="008B136D"/>
    <w:rsid w:val="008B1776"/>
    <w:rsid w:val="008B17C6"/>
    <w:rsid w:val="008B17D9"/>
    <w:rsid w:val="008B19C2"/>
    <w:rsid w:val="008B1FF1"/>
    <w:rsid w:val="008B2026"/>
    <w:rsid w:val="008B2536"/>
    <w:rsid w:val="008B25CE"/>
    <w:rsid w:val="008B2681"/>
    <w:rsid w:val="008B26B2"/>
    <w:rsid w:val="008B26BB"/>
    <w:rsid w:val="008B26EB"/>
    <w:rsid w:val="008B26FD"/>
    <w:rsid w:val="008B2735"/>
    <w:rsid w:val="008B2760"/>
    <w:rsid w:val="008B2833"/>
    <w:rsid w:val="008B2892"/>
    <w:rsid w:val="008B2B85"/>
    <w:rsid w:val="008B2DB7"/>
    <w:rsid w:val="008B2E86"/>
    <w:rsid w:val="008B3BA9"/>
    <w:rsid w:val="008B3BF4"/>
    <w:rsid w:val="008B3C94"/>
    <w:rsid w:val="008B3D05"/>
    <w:rsid w:val="008B3D2C"/>
    <w:rsid w:val="008B3DA5"/>
    <w:rsid w:val="008B3DFB"/>
    <w:rsid w:val="008B3E1E"/>
    <w:rsid w:val="008B3EF2"/>
    <w:rsid w:val="008B41C1"/>
    <w:rsid w:val="008B41CE"/>
    <w:rsid w:val="008B4479"/>
    <w:rsid w:val="008B45C2"/>
    <w:rsid w:val="008B45EE"/>
    <w:rsid w:val="008B4771"/>
    <w:rsid w:val="008B4809"/>
    <w:rsid w:val="008B4AF2"/>
    <w:rsid w:val="008B4D12"/>
    <w:rsid w:val="008B4F25"/>
    <w:rsid w:val="008B50FA"/>
    <w:rsid w:val="008B56DA"/>
    <w:rsid w:val="008B576C"/>
    <w:rsid w:val="008B5846"/>
    <w:rsid w:val="008B5867"/>
    <w:rsid w:val="008B5BF5"/>
    <w:rsid w:val="008B5F12"/>
    <w:rsid w:val="008B5F6D"/>
    <w:rsid w:val="008B5FCD"/>
    <w:rsid w:val="008B6180"/>
    <w:rsid w:val="008B6269"/>
    <w:rsid w:val="008B6332"/>
    <w:rsid w:val="008B649A"/>
    <w:rsid w:val="008B6701"/>
    <w:rsid w:val="008B6966"/>
    <w:rsid w:val="008B69B2"/>
    <w:rsid w:val="008B6B99"/>
    <w:rsid w:val="008B6C0D"/>
    <w:rsid w:val="008B6D7B"/>
    <w:rsid w:val="008B7168"/>
    <w:rsid w:val="008B72BD"/>
    <w:rsid w:val="008B72D5"/>
    <w:rsid w:val="008B7340"/>
    <w:rsid w:val="008B74C5"/>
    <w:rsid w:val="008B75EF"/>
    <w:rsid w:val="008B7AD4"/>
    <w:rsid w:val="008B7C63"/>
    <w:rsid w:val="008B7CD7"/>
    <w:rsid w:val="008B7D7D"/>
    <w:rsid w:val="008B7D82"/>
    <w:rsid w:val="008B7FCE"/>
    <w:rsid w:val="008C005B"/>
    <w:rsid w:val="008C01F0"/>
    <w:rsid w:val="008C01F2"/>
    <w:rsid w:val="008C01F3"/>
    <w:rsid w:val="008C0207"/>
    <w:rsid w:val="008C04AE"/>
    <w:rsid w:val="008C07DB"/>
    <w:rsid w:val="008C0812"/>
    <w:rsid w:val="008C08DC"/>
    <w:rsid w:val="008C0A59"/>
    <w:rsid w:val="008C0B0B"/>
    <w:rsid w:val="008C0D73"/>
    <w:rsid w:val="008C0EAA"/>
    <w:rsid w:val="008C14E0"/>
    <w:rsid w:val="008C16DC"/>
    <w:rsid w:val="008C1789"/>
    <w:rsid w:val="008C185B"/>
    <w:rsid w:val="008C1B61"/>
    <w:rsid w:val="008C1D07"/>
    <w:rsid w:val="008C1D31"/>
    <w:rsid w:val="008C1DC9"/>
    <w:rsid w:val="008C1E3B"/>
    <w:rsid w:val="008C20CD"/>
    <w:rsid w:val="008C213F"/>
    <w:rsid w:val="008C2332"/>
    <w:rsid w:val="008C25CB"/>
    <w:rsid w:val="008C27E6"/>
    <w:rsid w:val="008C27EE"/>
    <w:rsid w:val="008C284A"/>
    <w:rsid w:val="008C28C0"/>
    <w:rsid w:val="008C28E6"/>
    <w:rsid w:val="008C2A6E"/>
    <w:rsid w:val="008C2B4F"/>
    <w:rsid w:val="008C2C52"/>
    <w:rsid w:val="008C2C57"/>
    <w:rsid w:val="008C2CD2"/>
    <w:rsid w:val="008C2E16"/>
    <w:rsid w:val="008C2E1D"/>
    <w:rsid w:val="008C2F65"/>
    <w:rsid w:val="008C2FCA"/>
    <w:rsid w:val="008C3255"/>
    <w:rsid w:val="008C326A"/>
    <w:rsid w:val="008C3457"/>
    <w:rsid w:val="008C35C7"/>
    <w:rsid w:val="008C36D4"/>
    <w:rsid w:val="008C3844"/>
    <w:rsid w:val="008C38AE"/>
    <w:rsid w:val="008C3929"/>
    <w:rsid w:val="008C39A0"/>
    <w:rsid w:val="008C3BF2"/>
    <w:rsid w:val="008C3E33"/>
    <w:rsid w:val="008C3E92"/>
    <w:rsid w:val="008C406C"/>
    <w:rsid w:val="008C40C4"/>
    <w:rsid w:val="008C41CA"/>
    <w:rsid w:val="008C4753"/>
    <w:rsid w:val="008C49E4"/>
    <w:rsid w:val="008C49F3"/>
    <w:rsid w:val="008C4C19"/>
    <w:rsid w:val="008C4E66"/>
    <w:rsid w:val="008C4F3E"/>
    <w:rsid w:val="008C4FD8"/>
    <w:rsid w:val="008C521E"/>
    <w:rsid w:val="008C523B"/>
    <w:rsid w:val="008C53C3"/>
    <w:rsid w:val="008C57F4"/>
    <w:rsid w:val="008C5832"/>
    <w:rsid w:val="008C59AE"/>
    <w:rsid w:val="008C5A91"/>
    <w:rsid w:val="008C5BB3"/>
    <w:rsid w:val="008C5DD5"/>
    <w:rsid w:val="008C5F7D"/>
    <w:rsid w:val="008C6112"/>
    <w:rsid w:val="008C636C"/>
    <w:rsid w:val="008C64E3"/>
    <w:rsid w:val="008C6555"/>
    <w:rsid w:val="008C680B"/>
    <w:rsid w:val="008C6BA2"/>
    <w:rsid w:val="008C6D1C"/>
    <w:rsid w:val="008C6D56"/>
    <w:rsid w:val="008C7652"/>
    <w:rsid w:val="008C77A7"/>
    <w:rsid w:val="008C77F4"/>
    <w:rsid w:val="008C7898"/>
    <w:rsid w:val="008C78BD"/>
    <w:rsid w:val="008C79A7"/>
    <w:rsid w:val="008C7A2A"/>
    <w:rsid w:val="008C7A9F"/>
    <w:rsid w:val="008C7AE1"/>
    <w:rsid w:val="008C7BF3"/>
    <w:rsid w:val="008C7CE7"/>
    <w:rsid w:val="008C7D12"/>
    <w:rsid w:val="008C7EE5"/>
    <w:rsid w:val="008D0041"/>
    <w:rsid w:val="008D00A8"/>
    <w:rsid w:val="008D00BB"/>
    <w:rsid w:val="008D0230"/>
    <w:rsid w:val="008D0325"/>
    <w:rsid w:val="008D0341"/>
    <w:rsid w:val="008D05AD"/>
    <w:rsid w:val="008D0987"/>
    <w:rsid w:val="008D0D5A"/>
    <w:rsid w:val="008D1045"/>
    <w:rsid w:val="008D10BB"/>
    <w:rsid w:val="008D1108"/>
    <w:rsid w:val="008D110D"/>
    <w:rsid w:val="008D137B"/>
    <w:rsid w:val="008D13E4"/>
    <w:rsid w:val="008D15E0"/>
    <w:rsid w:val="008D19C4"/>
    <w:rsid w:val="008D19D6"/>
    <w:rsid w:val="008D1BAC"/>
    <w:rsid w:val="008D1D97"/>
    <w:rsid w:val="008D1DA5"/>
    <w:rsid w:val="008D1F29"/>
    <w:rsid w:val="008D1FA6"/>
    <w:rsid w:val="008D21D4"/>
    <w:rsid w:val="008D225A"/>
    <w:rsid w:val="008D2518"/>
    <w:rsid w:val="008D2A19"/>
    <w:rsid w:val="008D2B81"/>
    <w:rsid w:val="008D2BE9"/>
    <w:rsid w:val="008D2C0B"/>
    <w:rsid w:val="008D2D08"/>
    <w:rsid w:val="008D2FE8"/>
    <w:rsid w:val="008D30D4"/>
    <w:rsid w:val="008D34AF"/>
    <w:rsid w:val="008D3606"/>
    <w:rsid w:val="008D363A"/>
    <w:rsid w:val="008D366C"/>
    <w:rsid w:val="008D375B"/>
    <w:rsid w:val="008D377C"/>
    <w:rsid w:val="008D37AD"/>
    <w:rsid w:val="008D3829"/>
    <w:rsid w:val="008D38F8"/>
    <w:rsid w:val="008D3B8A"/>
    <w:rsid w:val="008D3BCF"/>
    <w:rsid w:val="008D3D27"/>
    <w:rsid w:val="008D407C"/>
    <w:rsid w:val="008D407F"/>
    <w:rsid w:val="008D408C"/>
    <w:rsid w:val="008D426A"/>
    <w:rsid w:val="008D42A4"/>
    <w:rsid w:val="008D464B"/>
    <w:rsid w:val="008D4CE5"/>
    <w:rsid w:val="008D4EB0"/>
    <w:rsid w:val="008D51C7"/>
    <w:rsid w:val="008D51DE"/>
    <w:rsid w:val="008D56E6"/>
    <w:rsid w:val="008D5B09"/>
    <w:rsid w:val="008D5D0A"/>
    <w:rsid w:val="008D5DC0"/>
    <w:rsid w:val="008D605D"/>
    <w:rsid w:val="008D6468"/>
    <w:rsid w:val="008D69C2"/>
    <w:rsid w:val="008D6A33"/>
    <w:rsid w:val="008D6B6A"/>
    <w:rsid w:val="008D6B91"/>
    <w:rsid w:val="008D6E23"/>
    <w:rsid w:val="008D6FB4"/>
    <w:rsid w:val="008D73B9"/>
    <w:rsid w:val="008D7751"/>
    <w:rsid w:val="008D7859"/>
    <w:rsid w:val="008D78B3"/>
    <w:rsid w:val="008D7914"/>
    <w:rsid w:val="008D79EC"/>
    <w:rsid w:val="008D7B5B"/>
    <w:rsid w:val="008D7CB9"/>
    <w:rsid w:val="008E0193"/>
    <w:rsid w:val="008E029A"/>
    <w:rsid w:val="008E0559"/>
    <w:rsid w:val="008E05E1"/>
    <w:rsid w:val="008E082F"/>
    <w:rsid w:val="008E0A2F"/>
    <w:rsid w:val="008E0CF8"/>
    <w:rsid w:val="008E0DA9"/>
    <w:rsid w:val="008E0EE0"/>
    <w:rsid w:val="008E10F2"/>
    <w:rsid w:val="008E10F8"/>
    <w:rsid w:val="008E11FA"/>
    <w:rsid w:val="008E127E"/>
    <w:rsid w:val="008E13F9"/>
    <w:rsid w:val="008E155C"/>
    <w:rsid w:val="008E1576"/>
    <w:rsid w:val="008E161E"/>
    <w:rsid w:val="008E1831"/>
    <w:rsid w:val="008E1845"/>
    <w:rsid w:val="008E1852"/>
    <w:rsid w:val="008E18B3"/>
    <w:rsid w:val="008E1D5E"/>
    <w:rsid w:val="008E1D91"/>
    <w:rsid w:val="008E1EC0"/>
    <w:rsid w:val="008E2068"/>
    <w:rsid w:val="008E2079"/>
    <w:rsid w:val="008E21C5"/>
    <w:rsid w:val="008E245C"/>
    <w:rsid w:val="008E285B"/>
    <w:rsid w:val="008E290C"/>
    <w:rsid w:val="008E2CD0"/>
    <w:rsid w:val="008E2F09"/>
    <w:rsid w:val="008E31F1"/>
    <w:rsid w:val="008E3224"/>
    <w:rsid w:val="008E323D"/>
    <w:rsid w:val="008E33D0"/>
    <w:rsid w:val="008E34D6"/>
    <w:rsid w:val="008E3B5F"/>
    <w:rsid w:val="008E3D61"/>
    <w:rsid w:val="008E3DA7"/>
    <w:rsid w:val="008E3DEF"/>
    <w:rsid w:val="008E4217"/>
    <w:rsid w:val="008E42DB"/>
    <w:rsid w:val="008E4467"/>
    <w:rsid w:val="008E457F"/>
    <w:rsid w:val="008E45AD"/>
    <w:rsid w:val="008E4A87"/>
    <w:rsid w:val="008E4AEE"/>
    <w:rsid w:val="008E4D4F"/>
    <w:rsid w:val="008E4F0F"/>
    <w:rsid w:val="008E4FF3"/>
    <w:rsid w:val="008E5341"/>
    <w:rsid w:val="008E540C"/>
    <w:rsid w:val="008E54F4"/>
    <w:rsid w:val="008E5895"/>
    <w:rsid w:val="008E59CD"/>
    <w:rsid w:val="008E5A4C"/>
    <w:rsid w:val="008E5D70"/>
    <w:rsid w:val="008E5F29"/>
    <w:rsid w:val="008E6011"/>
    <w:rsid w:val="008E6053"/>
    <w:rsid w:val="008E6193"/>
    <w:rsid w:val="008E632E"/>
    <w:rsid w:val="008E6440"/>
    <w:rsid w:val="008E64D5"/>
    <w:rsid w:val="008E67D3"/>
    <w:rsid w:val="008E6850"/>
    <w:rsid w:val="008E68F3"/>
    <w:rsid w:val="008E69A4"/>
    <w:rsid w:val="008E6A57"/>
    <w:rsid w:val="008E6B0A"/>
    <w:rsid w:val="008E6C92"/>
    <w:rsid w:val="008E6DBA"/>
    <w:rsid w:val="008E6E67"/>
    <w:rsid w:val="008E701F"/>
    <w:rsid w:val="008E7090"/>
    <w:rsid w:val="008E7102"/>
    <w:rsid w:val="008E75E8"/>
    <w:rsid w:val="008E76DB"/>
    <w:rsid w:val="008E784F"/>
    <w:rsid w:val="008E79B2"/>
    <w:rsid w:val="008E7B8E"/>
    <w:rsid w:val="008E7BE5"/>
    <w:rsid w:val="008E7C38"/>
    <w:rsid w:val="008E7DEE"/>
    <w:rsid w:val="008E7ECB"/>
    <w:rsid w:val="008E7ED3"/>
    <w:rsid w:val="008F0068"/>
    <w:rsid w:val="008F01E1"/>
    <w:rsid w:val="008F029C"/>
    <w:rsid w:val="008F02C4"/>
    <w:rsid w:val="008F0318"/>
    <w:rsid w:val="008F0379"/>
    <w:rsid w:val="008F04B5"/>
    <w:rsid w:val="008F05C9"/>
    <w:rsid w:val="008F0670"/>
    <w:rsid w:val="008F06C5"/>
    <w:rsid w:val="008F097C"/>
    <w:rsid w:val="008F0C07"/>
    <w:rsid w:val="008F0D66"/>
    <w:rsid w:val="008F0EC9"/>
    <w:rsid w:val="008F0F01"/>
    <w:rsid w:val="008F0F74"/>
    <w:rsid w:val="008F119C"/>
    <w:rsid w:val="008F12EE"/>
    <w:rsid w:val="008F135F"/>
    <w:rsid w:val="008F1375"/>
    <w:rsid w:val="008F13BF"/>
    <w:rsid w:val="008F17D7"/>
    <w:rsid w:val="008F18EA"/>
    <w:rsid w:val="008F1947"/>
    <w:rsid w:val="008F1E62"/>
    <w:rsid w:val="008F2183"/>
    <w:rsid w:val="008F2263"/>
    <w:rsid w:val="008F24E7"/>
    <w:rsid w:val="008F2682"/>
    <w:rsid w:val="008F2725"/>
    <w:rsid w:val="008F2777"/>
    <w:rsid w:val="008F2BD2"/>
    <w:rsid w:val="008F2F8B"/>
    <w:rsid w:val="008F3086"/>
    <w:rsid w:val="008F31BA"/>
    <w:rsid w:val="008F3204"/>
    <w:rsid w:val="008F3226"/>
    <w:rsid w:val="008F32D3"/>
    <w:rsid w:val="008F3361"/>
    <w:rsid w:val="008F3362"/>
    <w:rsid w:val="008F339A"/>
    <w:rsid w:val="008F3558"/>
    <w:rsid w:val="008F35B5"/>
    <w:rsid w:val="008F3630"/>
    <w:rsid w:val="008F36C0"/>
    <w:rsid w:val="008F37CD"/>
    <w:rsid w:val="008F39D8"/>
    <w:rsid w:val="008F3C9C"/>
    <w:rsid w:val="008F3DD6"/>
    <w:rsid w:val="008F3E39"/>
    <w:rsid w:val="008F4083"/>
    <w:rsid w:val="008F4437"/>
    <w:rsid w:val="008F448A"/>
    <w:rsid w:val="008F44A5"/>
    <w:rsid w:val="008F45BF"/>
    <w:rsid w:val="008F4753"/>
    <w:rsid w:val="008F48DA"/>
    <w:rsid w:val="008F48F6"/>
    <w:rsid w:val="008F495D"/>
    <w:rsid w:val="008F4B6A"/>
    <w:rsid w:val="008F4BA7"/>
    <w:rsid w:val="008F4C96"/>
    <w:rsid w:val="008F5166"/>
    <w:rsid w:val="008F54F9"/>
    <w:rsid w:val="008F56DC"/>
    <w:rsid w:val="008F5716"/>
    <w:rsid w:val="008F577B"/>
    <w:rsid w:val="008F5C56"/>
    <w:rsid w:val="008F5D12"/>
    <w:rsid w:val="008F5D26"/>
    <w:rsid w:val="008F6150"/>
    <w:rsid w:val="008F621F"/>
    <w:rsid w:val="008F622A"/>
    <w:rsid w:val="008F6425"/>
    <w:rsid w:val="008F64D5"/>
    <w:rsid w:val="008F65CD"/>
    <w:rsid w:val="008F66B2"/>
    <w:rsid w:val="008F679D"/>
    <w:rsid w:val="008F6CC9"/>
    <w:rsid w:val="008F6D30"/>
    <w:rsid w:val="008F7132"/>
    <w:rsid w:val="008F717C"/>
    <w:rsid w:val="008F719F"/>
    <w:rsid w:val="008F71AA"/>
    <w:rsid w:val="008F72AD"/>
    <w:rsid w:val="008F73C6"/>
    <w:rsid w:val="008F74C2"/>
    <w:rsid w:val="008F7529"/>
    <w:rsid w:val="008F75B7"/>
    <w:rsid w:val="008F75DC"/>
    <w:rsid w:val="008F75F6"/>
    <w:rsid w:val="008F7700"/>
    <w:rsid w:val="008F7742"/>
    <w:rsid w:val="008F7917"/>
    <w:rsid w:val="008F79EF"/>
    <w:rsid w:val="008F7AE7"/>
    <w:rsid w:val="008F7BDD"/>
    <w:rsid w:val="008F7D36"/>
    <w:rsid w:val="00900050"/>
    <w:rsid w:val="009003BD"/>
    <w:rsid w:val="009005E9"/>
    <w:rsid w:val="009006C9"/>
    <w:rsid w:val="00900779"/>
    <w:rsid w:val="009008A0"/>
    <w:rsid w:val="0090092D"/>
    <w:rsid w:val="0090094D"/>
    <w:rsid w:val="009009A4"/>
    <w:rsid w:val="00900BFB"/>
    <w:rsid w:val="00900D4D"/>
    <w:rsid w:val="00900EE0"/>
    <w:rsid w:val="009013BE"/>
    <w:rsid w:val="0090154D"/>
    <w:rsid w:val="0090159B"/>
    <w:rsid w:val="00901651"/>
    <w:rsid w:val="00901AAD"/>
    <w:rsid w:val="00901C7B"/>
    <w:rsid w:val="00901C8C"/>
    <w:rsid w:val="00901FC8"/>
    <w:rsid w:val="00901FD2"/>
    <w:rsid w:val="00902195"/>
    <w:rsid w:val="009026AB"/>
    <w:rsid w:val="00902718"/>
    <w:rsid w:val="0090272C"/>
    <w:rsid w:val="00902A86"/>
    <w:rsid w:val="00902B6E"/>
    <w:rsid w:val="00902C37"/>
    <w:rsid w:val="00902EE0"/>
    <w:rsid w:val="00902FAF"/>
    <w:rsid w:val="00903154"/>
    <w:rsid w:val="009036E0"/>
    <w:rsid w:val="00903825"/>
    <w:rsid w:val="00903A72"/>
    <w:rsid w:val="00903BE3"/>
    <w:rsid w:val="00903CBB"/>
    <w:rsid w:val="00903F49"/>
    <w:rsid w:val="00904097"/>
    <w:rsid w:val="0090415B"/>
    <w:rsid w:val="0090449B"/>
    <w:rsid w:val="00904554"/>
    <w:rsid w:val="00904670"/>
    <w:rsid w:val="009047F6"/>
    <w:rsid w:val="0090489D"/>
    <w:rsid w:val="009048C7"/>
    <w:rsid w:val="00904CB3"/>
    <w:rsid w:val="00904DF6"/>
    <w:rsid w:val="00904E35"/>
    <w:rsid w:val="00904F2C"/>
    <w:rsid w:val="00905374"/>
    <w:rsid w:val="0090539D"/>
    <w:rsid w:val="009053F7"/>
    <w:rsid w:val="00905422"/>
    <w:rsid w:val="0090553A"/>
    <w:rsid w:val="0090585E"/>
    <w:rsid w:val="00905A3A"/>
    <w:rsid w:val="009062EE"/>
    <w:rsid w:val="009063F1"/>
    <w:rsid w:val="009064B4"/>
    <w:rsid w:val="00906611"/>
    <w:rsid w:val="00906820"/>
    <w:rsid w:val="009068BB"/>
    <w:rsid w:val="00906BEC"/>
    <w:rsid w:val="00906CEF"/>
    <w:rsid w:val="00906E59"/>
    <w:rsid w:val="00907041"/>
    <w:rsid w:val="009070EC"/>
    <w:rsid w:val="00907437"/>
    <w:rsid w:val="009074C0"/>
    <w:rsid w:val="009078AC"/>
    <w:rsid w:val="00907B15"/>
    <w:rsid w:val="00907BC3"/>
    <w:rsid w:val="00907C22"/>
    <w:rsid w:val="00907D30"/>
    <w:rsid w:val="00910054"/>
    <w:rsid w:val="009102FA"/>
    <w:rsid w:val="0091032B"/>
    <w:rsid w:val="00910514"/>
    <w:rsid w:val="00910553"/>
    <w:rsid w:val="00910646"/>
    <w:rsid w:val="0091081F"/>
    <w:rsid w:val="009109C4"/>
    <w:rsid w:val="00910A74"/>
    <w:rsid w:val="00910AF7"/>
    <w:rsid w:val="00910F89"/>
    <w:rsid w:val="00911058"/>
    <w:rsid w:val="0091161B"/>
    <w:rsid w:val="00911929"/>
    <w:rsid w:val="00911A40"/>
    <w:rsid w:val="00911C47"/>
    <w:rsid w:val="00911CD9"/>
    <w:rsid w:val="00911CF8"/>
    <w:rsid w:val="00911D00"/>
    <w:rsid w:val="00911D09"/>
    <w:rsid w:val="00911EBC"/>
    <w:rsid w:val="00911F0E"/>
    <w:rsid w:val="009124DB"/>
    <w:rsid w:val="00912752"/>
    <w:rsid w:val="009128D3"/>
    <w:rsid w:val="00912AD3"/>
    <w:rsid w:val="00912AE6"/>
    <w:rsid w:val="00912CA4"/>
    <w:rsid w:val="00912DF7"/>
    <w:rsid w:val="009131F8"/>
    <w:rsid w:val="00913366"/>
    <w:rsid w:val="00913415"/>
    <w:rsid w:val="00913531"/>
    <w:rsid w:val="00913564"/>
    <w:rsid w:val="0091356E"/>
    <w:rsid w:val="00913587"/>
    <w:rsid w:val="0091366A"/>
    <w:rsid w:val="00913B8F"/>
    <w:rsid w:val="00913BBA"/>
    <w:rsid w:val="00913C12"/>
    <w:rsid w:val="00913ED5"/>
    <w:rsid w:val="00914133"/>
    <w:rsid w:val="0091415C"/>
    <w:rsid w:val="0091456F"/>
    <w:rsid w:val="00914604"/>
    <w:rsid w:val="0091463C"/>
    <w:rsid w:val="00914740"/>
    <w:rsid w:val="00914762"/>
    <w:rsid w:val="00914816"/>
    <w:rsid w:val="00914838"/>
    <w:rsid w:val="0091492F"/>
    <w:rsid w:val="00914CA0"/>
    <w:rsid w:val="00914D0A"/>
    <w:rsid w:val="00914DB8"/>
    <w:rsid w:val="00914EAF"/>
    <w:rsid w:val="00915000"/>
    <w:rsid w:val="00915046"/>
    <w:rsid w:val="0091531E"/>
    <w:rsid w:val="0091537A"/>
    <w:rsid w:val="00915879"/>
    <w:rsid w:val="00915B3D"/>
    <w:rsid w:val="00915BB0"/>
    <w:rsid w:val="00915BB9"/>
    <w:rsid w:val="00915D1E"/>
    <w:rsid w:val="00915DBA"/>
    <w:rsid w:val="00915E91"/>
    <w:rsid w:val="00915F86"/>
    <w:rsid w:val="0091604A"/>
    <w:rsid w:val="009160C3"/>
    <w:rsid w:val="00916340"/>
    <w:rsid w:val="00916410"/>
    <w:rsid w:val="0091660C"/>
    <w:rsid w:val="00916687"/>
    <w:rsid w:val="00916695"/>
    <w:rsid w:val="00916CC5"/>
    <w:rsid w:val="00916D3E"/>
    <w:rsid w:val="00916F0E"/>
    <w:rsid w:val="009170F4"/>
    <w:rsid w:val="009171D8"/>
    <w:rsid w:val="009173C6"/>
    <w:rsid w:val="00917450"/>
    <w:rsid w:val="009174ED"/>
    <w:rsid w:val="00917534"/>
    <w:rsid w:val="009176E7"/>
    <w:rsid w:val="00917A90"/>
    <w:rsid w:val="00917B25"/>
    <w:rsid w:val="00917BFC"/>
    <w:rsid w:val="00917CF3"/>
    <w:rsid w:val="00917D3E"/>
    <w:rsid w:val="00917DAD"/>
    <w:rsid w:val="00917E16"/>
    <w:rsid w:val="00917F43"/>
    <w:rsid w:val="00920031"/>
    <w:rsid w:val="0092016C"/>
    <w:rsid w:val="00920705"/>
    <w:rsid w:val="00920724"/>
    <w:rsid w:val="0092082E"/>
    <w:rsid w:val="00920839"/>
    <w:rsid w:val="00920E06"/>
    <w:rsid w:val="00920E58"/>
    <w:rsid w:val="00920FF5"/>
    <w:rsid w:val="00921133"/>
    <w:rsid w:val="0092113F"/>
    <w:rsid w:val="009211AB"/>
    <w:rsid w:val="00921301"/>
    <w:rsid w:val="00921308"/>
    <w:rsid w:val="009213D1"/>
    <w:rsid w:val="0092163C"/>
    <w:rsid w:val="0092164F"/>
    <w:rsid w:val="0092168D"/>
    <w:rsid w:val="00921872"/>
    <w:rsid w:val="00921937"/>
    <w:rsid w:val="00921A19"/>
    <w:rsid w:val="00921AE4"/>
    <w:rsid w:val="00921B63"/>
    <w:rsid w:val="00921BDA"/>
    <w:rsid w:val="00921D42"/>
    <w:rsid w:val="00921E64"/>
    <w:rsid w:val="00921F34"/>
    <w:rsid w:val="00921F63"/>
    <w:rsid w:val="00921F8B"/>
    <w:rsid w:val="00922422"/>
    <w:rsid w:val="00922790"/>
    <w:rsid w:val="00922A91"/>
    <w:rsid w:val="00922B74"/>
    <w:rsid w:val="00922BA0"/>
    <w:rsid w:val="00922CF1"/>
    <w:rsid w:val="009231B0"/>
    <w:rsid w:val="009232DC"/>
    <w:rsid w:val="0092375C"/>
    <w:rsid w:val="009237E6"/>
    <w:rsid w:val="009238DC"/>
    <w:rsid w:val="00923A5E"/>
    <w:rsid w:val="0092401E"/>
    <w:rsid w:val="00924034"/>
    <w:rsid w:val="0092454F"/>
    <w:rsid w:val="009248AD"/>
    <w:rsid w:val="009248B4"/>
    <w:rsid w:val="0092495E"/>
    <w:rsid w:val="00924A9C"/>
    <w:rsid w:val="00924AF9"/>
    <w:rsid w:val="00924D7A"/>
    <w:rsid w:val="009250CC"/>
    <w:rsid w:val="00925239"/>
    <w:rsid w:val="0092549E"/>
    <w:rsid w:val="00925505"/>
    <w:rsid w:val="009255E3"/>
    <w:rsid w:val="009256F4"/>
    <w:rsid w:val="00925960"/>
    <w:rsid w:val="00925B43"/>
    <w:rsid w:val="00925C76"/>
    <w:rsid w:val="00925CD7"/>
    <w:rsid w:val="0092603E"/>
    <w:rsid w:val="0092604D"/>
    <w:rsid w:val="0092611E"/>
    <w:rsid w:val="009269A9"/>
    <w:rsid w:val="00926E08"/>
    <w:rsid w:val="00926E0E"/>
    <w:rsid w:val="00926E91"/>
    <w:rsid w:val="009270C5"/>
    <w:rsid w:val="00927151"/>
    <w:rsid w:val="0092727E"/>
    <w:rsid w:val="009273C8"/>
    <w:rsid w:val="0092746D"/>
    <w:rsid w:val="009276AB"/>
    <w:rsid w:val="00927800"/>
    <w:rsid w:val="00927B0B"/>
    <w:rsid w:val="00927C24"/>
    <w:rsid w:val="00927DEB"/>
    <w:rsid w:val="009300EB"/>
    <w:rsid w:val="00930258"/>
    <w:rsid w:val="009303BE"/>
    <w:rsid w:val="00930599"/>
    <w:rsid w:val="00930643"/>
    <w:rsid w:val="009306A6"/>
    <w:rsid w:val="00930741"/>
    <w:rsid w:val="009307AA"/>
    <w:rsid w:val="00930983"/>
    <w:rsid w:val="009309CA"/>
    <w:rsid w:val="009309FC"/>
    <w:rsid w:val="00930A38"/>
    <w:rsid w:val="00930A39"/>
    <w:rsid w:val="00930AD1"/>
    <w:rsid w:val="00930C27"/>
    <w:rsid w:val="00930CFE"/>
    <w:rsid w:val="00931176"/>
    <w:rsid w:val="009311D5"/>
    <w:rsid w:val="0093125A"/>
    <w:rsid w:val="00931324"/>
    <w:rsid w:val="0093172A"/>
    <w:rsid w:val="00931AF4"/>
    <w:rsid w:val="00931FD4"/>
    <w:rsid w:val="00931FE0"/>
    <w:rsid w:val="00932259"/>
    <w:rsid w:val="00932972"/>
    <w:rsid w:val="00932A16"/>
    <w:rsid w:val="00932A6A"/>
    <w:rsid w:val="00932AC4"/>
    <w:rsid w:val="00932DA1"/>
    <w:rsid w:val="00932ED0"/>
    <w:rsid w:val="00932FB2"/>
    <w:rsid w:val="009330B3"/>
    <w:rsid w:val="00933140"/>
    <w:rsid w:val="0093324A"/>
    <w:rsid w:val="0093328D"/>
    <w:rsid w:val="00933290"/>
    <w:rsid w:val="009332C7"/>
    <w:rsid w:val="00933578"/>
    <w:rsid w:val="0093361F"/>
    <w:rsid w:val="009337FD"/>
    <w:rsid w:val="00933CE2"/>
    <w:rsid w:val="00933EA9"/>
    <w:rsid w:val="00934107"/>
    <w:rsid w:val="00934108"/>
    <w:rsid w:val="009341E3"/>
    <w:rsid w:val="0093445E"/>
    <w:rsid w:val="0093448D"/>
    <w:rsid w:val="00934875"/>
    <w:rsid w:val="009348C6"/>
    <w:rsid w:val="00934ADC"/>
    <w:rsid w:val="00934BA3"/>
    <w:rsid w:val="00935090"/>
    <w:rsid w:val="009350F0"/>
    <w:rsid w:val="0093521A"/>
    <w:rsid w:val="00935440"/>
    <w:rsid w:val="00935581"/>
    <w:rsid w:val="009356B9"/>
    <w:rsid w:val="009359E6"/>
    <w:rsid w:val="00935E19"/>
    <w:rsid w:val="00935F36"/>
    <w:rsid w:val="00936049"/>
    <w:rsid w:val="00936282"/>
    <w:rsid w:val="0093634A"/>
    <w:rsid w:val="0093639B"/>
    <w:rsid w:val="009366D8"/>
    <w:rsid w:val="00936953"/>
    <w:rsid w:val="009369E3"/>
    <w:rsid w:val="00936AB5"/>
    <w:rsid w:val="00936CB9"/>
    <w:rsid w:val="009372DC"/>
    <w:rsid w:val="0093740D"/>
    <w:rsid w:val="00937519"/>
    <w:rsid w:val="00937828"/>
    <w:rsid w:val="00937BB8"/>
    <w:rsid w:val="00937C68"/>
    <w:rsid w:val="00937D05"/>
    <w:rsid w:val="00937D88"/>
    <w:rsid w:val="00937DA6"/>
    <w:rsid w:val="00937E50"/>
    <w:rsid w:val="00937EE8"/>
    <w:rsid w:val="0094031D"/>
    <w:rsid w:val="009403F7"/>
    <w:rsid w:val="0094087D"/>
    <w:rsid w:val="009408D7"/>
    <w:rsid w:val="0094094C"/>
    <w:rsid w:val="00940A93"/>
    <w:rsid w:val="00940AFC"/>
    <w:rsid w:val="00940ED8"/>
    <w:rsid w:val="00940F12"/>
    <w:rsid w:val="009413CF"/>
    <w:rsid w:val="009413F9"/>
    <w:rsid w:val="0094180D"/>
    <w:rsid w:val="0094183F"/>
    <w:rsid w:val="009419A4"/>
    <w:rsid w:val="00941B74"/>
    <w:rsid w:val="00941E8E"/>
    <w:rsid w:val="0094212A"/>
    <w:rsid w:val="0094219C"/>
    <w:rsid w:val="009422F3"/>
    <w:rsid w:val="009423E4"/>
    <w:rsid w:val="0094279F"/>
    <w:rsid w:val="00942816"/>
    <w:rsid w:val="0094292C"/>
    <w:rsid w:val="00942A78"/>
    <w:rsid w:val="00942DFB"/>
    <w:rsid w:val="00942E4B"/>
    <w:rsid w:val="00942E97"/>
    <w:rsid w:val="0094305D"/>
    <w:rsid w:val="0094311D"/>
    <w:rsid w:val="0094342E"/>
    <w:rsid w:val="00943531"/>
    <w:rsid w:val="00943812"/>
    <w:rsid w:val="00943EB0"/>
    <w:rsid w:val="00943F4F"/>
    <w:rsid w:val="009442C9"/>
    <w:rsid w:val="00944457"/>
    <w:rsid w:val="009444AF"/>
    <w:rsid w:val="0094450C"/>
    <w:rsid w:val="009448B3"/>
    <w:rsid w:val="009448FC"/>
    <w:rsid w:val="00944A98"/>
    <w:rsid w:val="00944ACA"/>
    <w:rsid w:val="00944B0C"/>
    <w:rsid w:val="00944B2C"/>
    <w:rsid w:val="00944BF4"/>
    <w:rsid w:val="00944E12"/>
    <w:rsid w:val="009450C1"/>
    <w:rsid w:val="009451C4"/>
    <w:rsid w:val="0094525C"/>
    <w:rsid w:val="0094533A"/>
    <w:rsid w:val="00945388"/>
    <w:rsid w:val="00945495"/>
    <w:rsid w:val="009454C7"/>
    <w:rsid w:val="009455FB"/>
    <w:rsid w:val="00945C7E"/>
    <w:rsid w:val="00945D09"/>
    <w:rsid w:val="00945D12"/>
    <w:rsid w:val="00945D89"/>
    <w:rsid w:val="00945E30"/>
    <w:rsid w:val="00946300"/>
    <w:rsid w:val="009464EB"/>
    <w:rsid w:val="00946B0B"/>
    <w:rsid w:val="00946BF6"/>
    <w:rsid w:val="00946D63"/>
    <w:rsid w:val="00946DC0"/>
    <w:rsid w:val="00946DC1"/>
    <w:rsid w:val="00946DC3"/>
    <w:rsid w:val="00947268"/>
    <w:rsid w:val="009474A1"/>
    <w:rsid w:val="009474D8"/>
    <w:rsid w:val="009475EC"/>
    <w:rsid w:val="00947705"/>
    <w:rsid w:val="009478DD"/>
    <w:rsid w:val="00947A24"/>
    <w:rsid w:val="00950217"/>
    <w:rsid w:val="009502A9"/>
    <w:rsid w:val="00950494"/>
    <w:rsid w:val="009506F2"/>
    <w:rsid w:val="0095087B"/>
    <w:rsid w:val="009508D9"/>
    <w:rsid w:val="009509DB"/>
    <w:rsid w:val="00950A17"/>
    <w:rsid w:val="00950AAF"/>
    <w:rsid w:val="00950CA4"/>
    <w:rsid w:val="00950CE4"/>
    <w:rsid w:val="00951091"/>
    <w:rsid w:val="00951133"/>
    <w:rsid w:val="00951290"/>
    <w:rsid w:val="00951390"/>
    <w:rsid w:val="009513DE"/>
    <w:rsid w:val="0095155C"/>
    <w:rsid w:val="00951644"/>
    <w:rsid w:val="00951818"/>
    <w:rsid w:val="00951939"/>
    <w:rsid w:val="00951B1A"/>
    <w:rsid w:val="00951D7D"/>
    <w:rsid w:val="00951E90"/>
    <w:rsid w:val="0095284D"/>
    <w:rsid w:val="009529F8"/>
    <w:rsid w:val="00952E74"/>
    <w:rsid w:val="00952EB3"/>
    <w:rsid w:val="00953288"/>
    <w:rsid w:val="009534DE"/>
    <w:rsid w:val="00953674"/>
    <w:rsid w:val="00953768"/>
    <w:rsid w:val="009537C6"/>
    <w:rsid w:val="0095388B"/>
    <w:rsid w:val="00953A76"/>
    <w:rsid w:val="00953BBE"/>
    <w:rsid w:val="00953CA5"/>
    <w:rsid w:val="009541C6"/>
    <w:rsid w:val="009541F3"/>
    <w:rsid w:val="00954367"/>
    <w:rsid w:val="0095461F"/>
    <w:rsid w:val="0095484F"/>
    <w:rsid w:val="00954D72"/>
    <w:rsid w:val="00954F4F"/>
    <w:rsid w:val="0095515B"/>
    <w:rsid w:val="0095515D"/>
    <w:rsid w:val="009554FC"/>
    <w:rsid w:val="00955596"/>
    <w:rsid w:val="009555E8"/>
    <w:rsid w:val="00955709"/>
    <w:rsid w:val="00955A39"/>
    <w:rsid w:val="00955D0B"/>
    <w:rsid w:val="0095603E"/>
    <w:rsid w:val="00956194"/>
    <w:rsid w:val="009561F3"/>
    <w:rsid w:val="0095644E"/>
    <w:rsid w:val="0095646B"/>
    <w:rsid w:val="0095651B"/>
    <w:rsid w:val="009568B1"/>
    <w:rsid w:val="00956A81"/>
    <w:rsid w:val="00956EA6"/>
    <w:rsid w:val="00956EED"/>
    <w:rsid w:val="00956F2E"/>
    <w:rsid w:val="00957268"/>
    <w:rsid w:val="009572C0"/>
    <w:rsid w:val="009573E7"/>
    <w:rsid w:val="009574FE"/>
    <w:rsid w:val="0095751A"/>
    <w:rsid w:val="00957768"/>
    <w:rsid w:val="00957887"/>
    <w:rsid w:val="00957B78"/>
    <w:rsid w:val="00957BA0"/>
    <w:rsid w:val="00957D34"/>
    <w:rsid w:val="00957DBE"/>
    <w:rsid w:val="00957E26"/>
    <w:rsid w:val="00957F55"/>
    <w:rsid w:val="00960081"/>
    <w:rsid w:val="00960330"/>
    <w:rsid w:val="0096047D"/>
    <w:rsid w:val="00960659"/>
    <w:rsid w:val="00960866"/>
    <w:rsid w:val="009609EE"/>
    <w:rsid w:val="00960B63"/>
    <w:rsid w:val="00960CAA"/>
    <w:rsid w:val="00960E48"/>
    <w:rsid w:val="00961147"/>
    <w:rsid w:val="0096122D"/>
    <w:rsid w:val="00961581"/>
    <w:rsid w:val="00961584"/>
    <w:rsid w:val="009617DA"/>
    <w:rsid w:val="009617DE"/>
    <w:rsid w:val="0096189F"/>
    <w:rsid w:val="00961B1D"/>
    <w:rsid w:val="00961E12"/>
    <w:rsid w:val="00961EC1"/>
    <w:rsid w:val="00961EC4"/>
    <w:rsid w:val="00961F6A"/>
    <w:rsid w:val="00961FC0"/>
    <w:rsid w:val="0096218D"/>
    <w:rsid w:val="009622B2"/>
    <w:rsid w:val="00962314"/>
    <w:rsid w:val="009625F8"/>
    <w:rsid w:val="0096287D"/>
    <w:rsid w:val="00962973"/>
    <w:rsid w:val="00962D05"/>
    <w:rsid w:val="00962F2F"/>
    <w:rsid w:val="00963163"/>
    <w:rsid w:val="00963374"/>
    <w:rsid w:val="0096337E"/>
    <w:rsid w:val="009633A1"/>
    <w:rsid w:val="0096340C"/>
    <w:rsid w:val="00963543"/>
    <w:rsid w:val="00963784"/>
    <w:rsid w:val="009639FF"/>
    <w:rsid w:val="00963B20"/>
    <w:rsid w:val="009640A8"/>
    <w:rsid w:val="009640C2"/>
    <w:rsid w:val="0096424A"/>
    <w:rsid w:val="0096429F"/>
    <w:rsid w:val="009642FE"/>
    <w:rsid w:val="009643F1"/>
    <w:rsid w:val="0096440D"/>
    <w:rsid w:val="00964566"/>
    <w:rsid w:val="009647EF"/>
    <w:rsid w:val="00964948"/>
    <w:rsid w:val="00964964"/>
    <w:rsid w:val="00964C7C"/>
    <w:rsid w:val="00964CB8"/>
    <w:rsid w:val="00964EE3"/>
    <w:rsid w:val="00964EF3"/>
    <w:rsid w:val="00964F64"/>
    <w:rsid w:val="0096504A"/>
    <w:rsid w:val="009650C7"/>
    <w:rsid w:val="00965298"/>
    <w:rsid w:val="00965592"/>
    <w:rsid w:val="009655C1"/>
    <w:rsid w:val="00965676"/>
    <w:rsid w:val="009659AF"/>
    <w:rsid w:val="009659E3"/>
    <w:rsid w:val="00965CBF"/>
    <w:rsid w:val="00965D84"/>
    <w:rsid w:val="00965F0C"/>
    <w:rsid w:val="00965FBD"/>
    <w:rsid w:val="009661F9"/>
    <w:rsid w:val="0096634C"/>
    <w:rsid w:val="009663B8"/>
    <w:rsid w:val="00966962"/>
    <w:rsid w:val="00966B39"/>
    <w:rsid w:val="00966C5F"/>
    <w:rsid w:val="00967126"/>
    <w:rsid w:val="0096714F"/>
    <w:rsid w:val="00967200"/>
    <w:rsid w:val="00967336"/>
    <w:rsid w:val="00967559"/>
    <w:rsid w:val="00967710"/>
    <w:rsid w:val="009677E0"/>
    <w:rsid w:val="00967825"/>
    <w:rsid w:val="009678A6"/>
    <w:rsid w:val="009678DE"/>
    <w:rsid w:val="00967971"/>
    <w:rsid w:val="00967A89"/>
    <w:rsid w:val="00967CE5"/>
    <w:rsid w:val="00967CF9"/>
    <w:rsid w:val="00967D72"/>
    <w:rsid w:val="00967DFA"/>
    <w:rsid w:val="00967E20"/>
    <w:rsid w:val="0097007D"/>
    <w:rsid w:val="0097027B"/>
    <w:rsid w:val="009703D2"/>
    <w:rsid w:val="0097051B"/>
    <w:rsid w:val="0097059C"/>
    <w:rsid w:val="009706F7"/>
    <w:rsid w:val="0097091D"/>
    <w:rsid w:val="00970AFE"/>
    <w:rsid w:val="00970B37"/>
    <w:rsid w:val="00970BA7"/>
    <w:rsid w:val="00970CE2"/>
    <w:rsid w:val="00970DAD"/>
    <w:rsid w:val="00970E3C"/>
    <w:rsid w:val="00970E7A"/>
    <w:rsid w:val="0097116D"/>
    <w:rsid w:val="00971285"/>
    <w:rsid w:val="009717A6"/>
    <w:rsid w:val="009717C5"/>
    <w:rsid w:val="00971851"/>
    <w:rsid w:val="00971C36"/>
    <w:rsid w:val="00971CFF"/>
    <w:rsid w:val="00971DDB"/>
    <w:rsid w:val="0097248F"/>
    <w:rsid w:val="00972582"/>
    <w:rsid w:val="009725DF"/>
    <w:rsid w:val="00972672"/>
    <w:rsid w:val="0097275D"/>
    <w:rsid w:val="0097287A"/>
    <w:rsid w:val="009729F7"/>
    <w:rsid w:val="00972A15"/>
    <w:rsid w:val="00972AB6"/>
    <w:rsid w:val="0097312F"/>
    <w:rsid w:val="00973186"/>
    <w:rsid w:val="00973584"/>
    <w:rsid w:val="00973676"/>
    <w:rsid w:val="009737D4"/>
    <w:rsid w:val="00973A3D"/>
    <w:rsid w:val="00973AC5"/>
    <w:rsid w:val="00973E30"/>
    <w:rsid w:val="00973EA5"/>
    <w:rsid w:val="0097413B"/>
    <w:rsid w:val="00974263"/>
    <w:rsid w:val="00974415"/>
    <w:rsid w:val="009744B4"/>
    <w:rsid w:val="009744C6"/>
    <w:rsid w:val="00974632"/>
    <w:rsid w:val="00974CF6"/>
    <w:rsid w:val="00974E51"/>
    <w:rsid w:val="009750B0"/>
    <w:rsid w:val="009750B5"/>
    <w:rsid w:val="00975294"/>
    <w:rsid w:val="0097535A"/>
    <w:rsid w:val="0097539A"/>
    <w:rsid w:val="0097561D"/>
    <w:rsid w:val="00975659"/>
    <w:rsid w:val="00975740"/>
    <w:rsid w:val="0097592C"/>
    <w:rsid w:val="00975BCE"/>
    <w:rsid w:val="00975C11"/>
    <w:rsid w:val="00975E6E"/>
    <w:rsid w:val="00975EFB"/>
    <w:rsid w:val="00976123"/>
    <w:rsid w:val="00976509"/>
    <w:rsid w:val="0097678A"/>
    <w:rsid w:val="00976989"/>
    <w:rsid w:val="00976A1B"/>
    <w:rsid w:val="00976B92"/>
    <w:rsid w:val="00976FBA"/>
    <w:rsid w:val="0097713D"/>
    <w:rsid w:val="009774B2"/>
    <w:rsid w:val="00977554"/>
    <w:rsid w:val="00977B0B"/>
    <w:rsid w:val="00977BC3"/>
    <w:rsid w:val="00977BEA"/>
    <w:rsid w:val="00977CDE"/>
    <w:rsid w:val="00977DC0"/>
    <w:rsid w:val="00977ED4"/>
    <w:rsid w:val="00977F99"/>
    <w:rsid w:val="009800AE"/>
    <w:rsid w:val="00980196"/>
    <w:rsid w:val="0098027C"/>
    <w:rsid w:val="009804B8"/>
    <w:rsid w:val="00980601"/>
    <w:rsid w:val="009806A5"/>
    <w:rsid w:val="00980901"/>
    <w:rsid w:val="00980ACB"/>
    <w:rsid w:val="00980DCE"/>
    <w:rsid w:val="00980E8A"/>
    <w:rsid w:val="00980F4F"/>
    <w:rsid w:val="00981114"/>
    <w:rsid w:val="009811BE"/>
    <w:rsid w:val="0098129D"/>
    <w:rsid w:val="00981497"/>
    <w:rsid w:val="009816BE"/>
    <w:rsid w:val="00981745"/>
    <w:rsid w:val="00981809"/>
    <w:rsid w:val="00981A1D"/>
    <w:rsid w:val="00981B45"/>
    <w:rsid w:val="00981D41"/>
    <w:rsid w:val="00981F43"/>
    <w:rsid w:val="00982102"/>
    <w:rsid w:val="00982116"/>
    <w:rsid w:val="00982764"/>
    <w:rsid w:val="009829BA"/>
    <w:rsid w:val="00982AB4"/>
    <w:rsid w:val="00982E06"/>
    <w:rsid w:val="00983575"/>
    <w:rsid w:val="00983713"/>
    <w:rsid w:val="00983727"/>
    <w:rsid w:val="00983731"/>
    <w:rsid w:val="00983739"/>
    <w:rsid w:val="00983929"/>
    <w:rsid w:val="00983A25"/>
    <w:rsid w:val="00983AA8"/>
    <w:rsid w:val="00983ACB"/>
    <w:rsid w:val="00983BD3"/>
    <w:rsid w:val="00983BFE"/>
    <w:rsid w:val="00983D23"/>
    <w:rsid w:val="00983EB6"/>
    <w:rsid w:val="00984490"/>
    <w:rsid w:val="00984508"/>
    <w:rsid w:val="0098458A"/>
    <w:rsid w:val="009846F9"/>
    <w:rsid w:val="00984922"/>
    <w:rsid w:val="009849C8"/>
    <w:rsid w:val="00984AA7"/>
    <w:rsid w:val="00984ACE"/>
    <w:rsid w:val="00984C84"/>
    <w:rsid w:val="00984DFC"/>
    <w:rsid w:val="00985219"/>
    <w:rsid w:val="0098543F"/>
    <w:rsid w:val="0098544F"/>
    <w:rsid w:val="0098576C"/>
    <w:rsid w:val="009857FE"/>
    <w:rsid w:val="00985D61"/>
    <w:rsid w:val="009860FE"/>
    <w:rsid w:val="00986219"/>
    <w:rsid w:val="00986450"/>
    <w:rsid w:val="00986573"/>
    <w:rsid w:val="00986785"/>
    <w:rsid w:val="009868C9"/>
    <w:rsid w:val="00986904"/>
    <w:rsid w:val="009869C5"/>
    <w:rsid w:val="00986A17"/>
    <w:rsid w:val="00986CA6"/>
    <w:rsid w:val="00986CAC"/>
    <w:rsid w:val="00986D95"/>
    <w:rsid w:val="00986E1C"/>
    <w:rsid w:val="00986ECD"/>
    <w:rsid w:val="00986F82"/>
    <w:rsid w:val="00987195"/>
    <w:rsid w:val="009871E0"/>
    <w:rsid w:val="00987221"/>
    <w:rsid w:val="009879D0"/>
    <w:rsid w:val="00987B62"/>
    <w:rsid w:val="00987CEA"/>
    <w:rsid w:val="00987DA2"/>
    <w:rsid w:val="00987DD6"/>
    <w:rsid w:val="00987FF4"/>
    <w:rsid w:val="00990381"/>
    <w:rsid w:val="009903F1"/>
    <w:rsid w:val="0099041B"/>
    <w:rsid w:val="0099041D"/>
    <w:rsid w:val="00990510"/>
    <w:rsid w:val="00990821"/>
    <w:rsid w:val="0099086B"/>
    <w:rsid w:val="00990872"/>
    <w:rsid w:val="009908B0"/>
    <w:rsid w:val="00990925"/>
    <w:rsid w:val="0099093E"/>
    <w:rsid w:val="00990B0F"/>
    <w:rsid w:val="00990E17"/>
    <w:rsid w:val="00990ED0"/>
    <w:rsid w:val="00991007"/>
    <w:rsid w:val="0099123D"/>
    <w:rsid w:val="00991439"/>
    <w:rsid w:val="00991538"/>
    <w:rsid w:val="0099165C"/>
    <w:rsid w:val="009916E9"/>
    <w:rsid w:val="009918D9"/>
    <w:rsid w:val="00991AC1"/>
    <w:rsid w:val="00991B45"/>
    <w:rsid w:val="00991BDF"/>
    <w:rsid w:val="00991CB0"/>
    <w:rsid w:val="009927B5"/>
    <w:rsid w:val="009927E7"/>
    <w:rsid w:val="009927FD"/>
    <w:rsid w:val="0099286B"/>
    <w:rsid w:val="009928EC"/>
    <w:rsid w:val="00992AC6"/>
    <w:rsid w:val="00992AE9"/>
    <w:rsid w:val="00992AF1"/>
    <w:rsid w:val="00992AF3"/>
    <w:rsid w:val="00992ED0"/>
    <w:rsid w:val="009932A5"/>
    <w:rsid w:val="009932A9"/>
    <w:rsid w:val="0099336E"/>
    <w:rsid w:val="009936D8"/>
    <w:rsid w:val="009936E9"/>
    <w:rsid w:val="009936FC"/>
    <w:rsid w:val="0099372E"/>
    <w:rsid w:val="009938E0"/>
    <w:rsid w:val="00993939"/>
    <w:rsid w:val="00993955"/>
    <w:rsid w:val="00993A2B"/>
    <w:rsid w:val="00993A55"/>
    <w:rsid w:val="00993BDE"/>
    <w:rsid w:val="00993DC2"/>
    <w:rsid w:val="00993EAE"/>
    <w:rsid w:val="009941D7"/>
    <w:rsid w:val="00994400"/>
    <w:rsid w:val="0099484C"/>
    <w:rsid w:val="00994949"/>
    <w:rsid w:val="00994AA4"/>
    <w:rsid w:val="00994B3E"/>
    <w:rsid w:val="00994C8A"/>
    <w:rsid w:val="00994C96"/>
    <w:rsid w:val="00994DC4"/>
    <w:rsid w:val="00995104"/>
    <w:rsid w:val="0099590B"/>
    <w:rsid w:val="00995947"/>
    <w:rsid w:val="009959ED"/>
    <w:rsid w:val="00995A1C"/>
    <w:rsid w:val="00995A7C"/>
    <w:rsid w:val="00995AD1"/>
    <w:rsid w:val="00995B64"/>
    <w:rsid w:val="00995D09"/>
    <w:rsid w:val="00996107"/>
    <w:rsid w:val="00996388"/>
    <w:rsid w:val="009967B5"/>
    <w:rsid w:val="00996AF3"/>
    <w:rsid w:val="00996CEB"/>
    <w:rsid w:val="00996D41"/>
    <w:rsid w:val="00996D76"/>
    <w:rsid w:val="00996EDC"/>
    <w:rsid w:val="00997020"/>
    <w:rsid w:val="0099708B"/>
    <w:rsid w:val="0099710F"/>
    <w:rsid w:val="0099717A"/>
    <w:rsid w:val="009972AC"/>
    <w:rsid w:val="0099751B"/>
    <w:rsid w:val="0099752E"/>
    <w:rsid w:val="0099767D"/>
    <w:rsid w:val="00997683"/>
    <w:rsid w:val="0099771F"/>
    <w:rsid w:val="00997A24"/>
    <w:rsid w:val="00997ABD"/>
    <w:rsid w:val="00997B40"/>
    <w:rsid w:val="00997D33"/>
    <w:rsid w:val="009A0050"/>
    <w:rsid w:val="009A02DB"/>
    <w:rsid w:val="009A033A"/>
    <w:rsid w:val="009A0464"/>
    <w:rsid w:val="009A0489"/>
    <w:rsid w:val="009A04B6"/>
    <w:rsid w:val="009A0622"/>
    <w:rsid w:val="009A09AC"/>
    <w:rsid w:val="009A0B40"/>
    <w:rsid w:val="009A0B85"/>
    <w:rsid w:val="009A0BDD"/>
    <w:rsid w:val="009A0EA4"/>
    <w:rsid w:val="009A0F08"/>
    <w:rsid w:val="009A0F24"/>
    <w:rsid w:val="009A10D1"/>
    <w:rsid w:val="009A1296"/>
    <w:rsid w:val="009A1629"/>
    <w:rsid w:val="009A1729"/>
    <w:rsid w:val="009A19EF"/>
    <w:rsid w:val="009A1C9D"/>
    <w:rsid w:val="009A1E22"/>
    <w:rsid w:val="009A1E58"/>
    <w:rsid w:val="009A1EA6"/>
    <w:rsid w:val="009A1FCB"/>
    <w:rsid w:val="009A243E"/>
    <w:rsid w:val="009A2445"/>
    <w:rsid w:val="009A255E"/>
    <w:rsid w:val="009A2791"/>
    <w:rsid w:val="009A29BE"/>
    <w:rsid w:val="009A2D54"/>
    <w:rsid w:val="009A2D6E"/>
    <w:rsid w:val="009A2E4F"/>
    <w:rsid w:val="009A2F64"/>
    <w:rsid w:val="009A332B"/>
    <w:rsid w:val="009A34A1"/>
    <w:rsid w:val="009A35A2"/>
    <w:rsid w:val="009A38FD"/>
    <w:rsid w:val="009A39EA"/>
    <w:rsid w:val="009A3B23"/>
    <w:rsid w:val="009A3E6F"/>
    <w:rsid w:val="009A3FF1"/>
    <w:rsid w:val="009A4084"/>
    <w:rsid w:val="009A42C6"/>
    <w:rsid w:val="009A43B1"/>
    <w:rsid w:val="009A443C"/>
    <w:rsid w:val="009A4442"/>
    <w:rsid w:val="009A44A5"/>
    <w:rsid w:val="009A48CD"/>
    <w:rsid w:val="009A497D"/>
    <w:rsid w:val="009A4C62"/>
    <w:rsid w:val="009A4D9A"/>
    <w:rsid w:val="009A4E95"/>
    <w:rsid w:val="009A50FF"/>
    <w:rsid w:val="009A5150"/>
    <w:rsid w:val="009A5273"/>
    <w:rsid w:val="009A535B"/>
    <w:rsid w:val="009A5500"/>
    <w:rsid w:val="009A58EA"/>
    <w:rsid w:val="009A59D0"/>
    <w:rsid w:val="009A5D96"/>
    <w:rsid w:val="009A5E4F"/>
    <w:rsid w:val="009A5F81"/>
    <w:rsid w:val="009A5FF7"/>
    <w:rsid w:val="009A601A"/>
    <w:rsid w:val="009A61AE"/>
    <w:rsid w:val="009A61F3"/>
    <w:rsid w:val="009A64CE"/>
    <w:rsid w:val="009A6569"/>
    <w:rsid w:val="009A66B9"/>
    <w:rsid w:val="009A6825"/>
    <w:rsid w:val="009A6AAE"/>
    <w:rsid w:val="009A6B7A"/>
    <w:rsid w:val="009A6F79"/>
    <w:rsid w:val="009A7150"/>
    <w:rsid w:val="009A7209"/>
    <w:rsid w:val="009A724A"/>
    <w:rsid w:val="009A79E9"/>
    <w:rsid w:val="009A7BBA"/>
    <w:rsid w:val="009B008D"/>
    <w:rsid w:val="009B04E5"/>
    <w:rsid w:val="009B058D"/>
    <w:rsid w:val="009B0605"/>
    <w:rsid w:val="009B0681"/>
    <w:rsid w:val="009B06AE"/>
    <w:rsid w:val="009B0761"/>
    <w:rsid w:val="009B07B5"/>
    <w:rsid w:val="009B08D0"/>
    <w:rsid w:val="009B0A31"/>
    <w:rsid w:val="009B0A7F"/>
    <w:rsid w:val="009B0F10"/>
    <w:rsid w:val="009B0FBD"/>
    <w:rsid w:val="009B125C"/>
    <w:rsid w:val="009B12EB"/>
    <w:rsid w:val="009B139F"/>
    <w:rsid w:val="009B14AF"/>
    <w:rsid w:val="009B180D"/>
    <w:rsid w:val="009B181F"/>
    <w:rsid w:val="009B1C86"/>
    <w:rsid w:val="009B201E"/>
    <w:rsid w:val="009B21DC"/>
    <w:rsid w:val="009B2366"/>
    <w:rsid w:val="009B25C1"/>
    <w:rsid w:val="009B25D7"/>
    <w:rsid w:val="009B26D1"/>
    <w:rsid w:val="009B27BF"/>
    <w:rsid w:val="009B294A"/>
    <w:rsid w:val="009B2A19"/>
    <w:rsid w:val="009B2BF3"/>
    <w:rsid w:val="009B2C13"/>
    <w:rsid w:val="009B2CF8"/>
    <w:rsid w:val="009B2D95"/>
    <w:rsid w:val="009B2E3D"/>
    <w:rsid w:val="009B2EC2"/>
    <w:rsid w:val="009B2FE6"/>
    <w:rsid w:val="009B3414"/>
    <w:rsid w:val="009B35B6"/>
    <w:rsid w:val="009B3B30"/>
    <w:rsid w:val="009B3D4B"/>
    <w:rsid w:val="009B3E21"/>
    <w:rsid w:val="009B3E68"/>
    <w:rsid w:val="009B3F97"/>
    <w:rsid w:val="009B4048"/>
    <w:rsid w:val="009B4076"/>
    <w:rsid w:val="009B41FA"/>
    <w:rsid w:val="009B4420"/>
    <w:rsid w:val="009B4638"/>
    <w:rsid w:val="009B4A0D"/>
    <w:rsid w:val="009B4B47"/>
    <w:rsid w:val="009B4D80"/>
    <w:rsid w:val="009B51FE"/>
    <w:rsid w:val="009B52FE"/>
    <w:rsid w:val="009B5588"/>
    <w:rsid w:val="009B566E"/>
    <w:rsid w:val="009B5852"/>
    <w:rsid w:val="009B5AAA"/>
    <w:rsid w:val="009B5BFB"/>
    <w:rsid w:val="009B5E58"/>
    <w:rsid w:val="009B5EB5"/>
    <w:rsid w:val="009B5EF0"/>
    <w:rsid w:val="009B5FC9"/>
    <w:rsid w:val="009B5FF1"/>
    <w:rsid w:val="009B5FF2"/>
    <w:rsid w:val="009B6084"/>
    <w:rsid w:val="009B60B8"/>
    <w:rsid w:val="009B6275"/>
    <w:rsid w:val="009B62A3"/>
    <w:rsid w:val="009B647C"/>
    <w:rsid w:val="009B66F2"/>
    <w:rsid w:val="009B6764"/>
    <w:rsid w:val="009B67E3"/>
    <w:rsid w:val="009B69E8"/>
    <w:rsid w:val="009B6B57"/>
    <w:rsid w:val="009B6E9F"/>
    <w:rsid w:val="009B6ED0"/>
    <w:rsid w:val="009B7043"/>
    <w:rsid w:val="009B7073"/>
    <w:rsid w:val="009B71A3"/>
    <w:rsid w:val="009B7292"/>
    <w:rsid w:val="009B74A2"/>
    <w:rsid w:val="009B76FD"/>
    <w:rsid w:val="009B786B"/>
    <w:rsid w:val="009B7A3D"/>
    <w:rsid w:val="009C022A"/>
    <w:rsid w:val="009C02A9"/>
    <w:rsid w:val="009C0403"/>
    <w:rsid w:val="009C0562"/>
    <w:rsid w:val="009C05D5"/>
    <w:rsid w:val="009C0786"/>
    <w:rsid w:val="009C07EF"/>
    <w:rsid w:val="009C0842"/>
    <w:rsid w:val="009C097F"/>
    <w:rsid w:val="009C0E3A"/>
    <w:rsid w:val="009C0E98"/>
    <w:rsid w:val="009C0EA9"/>
    <w:rsid w:val="009C103E"/>
    <w:rsid w:val="009C1120"/>
    <w:rsid w:val="009C11E5"/>
    <w:rsid w:val="009C1210"/>
    <w:rsid w:val="009C13D7"/>
    <w:rsid w:val="009C1A0D"/>
    <w:rsid w:val="009C1AB1"/>
    <w:rsid w:val="009C1E11"/>
    <w:rsid w:val="009C2382"/>
    <w:rsid w:val="009C23DB"/>
    <w:rsid w:val="009C2586"/>
    <w:rsid w:val="009C267B"/>
    <w:rsid w:val="009C28A5"/>
    <w:rsid w:val="009C2A89"/>
    <w:rsid w:val="009C2BC9"/>
    <w:rsid w:val="009C2C0A"/>
    <w:rsid w:val="009C2C29"/>
    <w:rsid w:val="009C2FCF"/>
    <w:rsid w:val="009C3593"/>
    <w:rsid w:val="009C39BA"/>
    <w:rsid w:val="009C3B88"/>
    <w:rsid w:val="009C3C00"/>
    <w:rsid w:val="009C3D3B"/>
    <w:rsid w:val="009C3D88"/>
    <w:rsid w:val="009C3FE6"/>
    <w:rsid w:val="009C403B"/>
    <w:rsid w:val="009C4124"/>
    <w:rsid w:val="009C42CB"/>
    <w:rsid w:val="009C462F"/>
    <w:rsid w:val="009C46E2"/>
    <w:rsid w:val="009C4702"/>
    <w:rsid w:val="009C471E"/>
    <w:rsid w:val="009C47B0"/>
    <w:rsid w:val="009C4965"/>
    <w:rsid w:val="009C4BBC"/>
    <w:rsid w:val="009C4BDD"/>
    <w:rsid w:val="009C4C79"/>
    <w:rsid w:val="009C4C84"/>
    <w:rsid w:val="009C4E3D"/>
    <w:rsid w:val="009C4EDA"/>
    <w:rsid w:val="009C4F1E"/>
    <w:rsid w:val="009C4F4A"/>
    <w:rsid w:val="009C52EC"/>
    <w:rsid w:val="009C5451"/>
    <w:rsid w:val="009C5469"/>
    <w:rsid w:val="009C560D"/>
    <w:rsid w:val="009C5731"/>
    <w:rsid w:val="009C5ACE"/>
    <w:rsid w:val="009C5D0A"/>
    <w:rsid w:val="009C6047"/>
    <w:rsid w:val="009C60A9"/>
    <w:rsid w:val="009C62DE"/>
    <w:rsid w:val="009C6412"/>
    <w:rsid w:val="009C65F6"/>
    <w:rsid w:val="009C66A7"/>
    <w:rsid w:val="009C6790"/>
    <w:rsid w:val="009C67DE"/>
    <w:rsid w:val="009C6A67"/>
    <w:rsid w:val="009C6CC6"/>
    <w:rsid w:val="009C6EA4"/>
    <w:rsid w:val="009C6F15"/>
    <w:rsid w:val="009C701A"/>
    <w:rsid w:val="009C7150"/>
    <w:rsid w:val="009C7184"/>
    <w:rsid w:val="009C73DF"/>
    <w:rsid w:val="009C7589"/>
    <w:rsid w:val="009C784A"/>
    <w:rsid w:val="009C7A78"/>
    <w:rsid w:val="009C7B13"/>
    <w:rsid w:val="009C7B37"/>
    <w:rsid w:val="009C7B74"/>
    <w:rsid w:val="009C7BDA"/>
    <w:rsid w:val="009C7DE7"/>
    <w:rsid w:val="009C7E0B"/>
    <w:rsid w:val="009C7E1D"/>
    <w:rsid w:val="009D00F7"/>
    <w:rsid w:val="009D0254"/>
    <w:rsid w:val="009D025F"/>
    <w:rsid w:val="009D05E9"/>
    <w:rsid w:val="009D08A5"/>
    <w:rsid w:val="009D08C2"/>
    <w:rsid w:val="009D0ABB"/>
    <w:rsid w:val="009D0B69"/>
    <w:rsid w:val="009D0B8D"/>
    <w:rsid w:val="009D0BC9"/>
    <w:rsid w:val="009D0C6E"/>
    <w:rsid w:val="009D0CB8"/>
    <w:rsid w:val="009D0D04"/>
    <w:rsid w:val="009D0E26"/>
    <w:rsid w:val="009D0E6C"/>
    <w:rsid w:val="009D1002"/>
    <w:rsid w:val="009D11B1"/>
    <w:rsid w:val="009D12A6"/>
    <w:rsid w:val="009D1311"/>
    <w:rsid w:val="009D136B"/>
    <w:rsid w:val="009D136E"/>
    <w:rsid w:val="009D1463"/>
    <w:rsid w:val="009D1B47"/>
    <w:rsid w:val="009D1E52"/>
    <w:rsid w:val="009D22E4"/>
    <w:rsid w:val="009D2323"/>
    <w:rsid w:val="009D27C7"/>
    <w:rsid w:val="009D2953"/>
    <w:rsid w:val="009D2C2D"/>
    <w:rsid w:val="009D2D63"/>
    <w:rsid w:val="009D2DEF"/>
    <w:rsid w:val="009D30B7"/>
    <w:rsid w:val="009D3564"/>
    <w:rsid w:val="009D3577"/>
    <w:rsid w:val="009D375B"/>
    <w:rsid w:val="009D3913"/>
    <w:rsid w:val="009D3B8F"/>
    <w:rsid w:val="009D3F93"/>
    <w:rsid w:val="009D42EB"/>
    <w:rsid w:val="009D42EF"/>
    <w:rsid w:val="009D433B"/>
    <w:rsid w:val="009D4490"/>
    <w:rsid w:val="009D48A0"/>
    <w:rsid w:val="009D48EB"/>
    <w:rsid w:val="009D4920"/>
    <w:rsid w:val="009D4E77"/>
    <w:rsid w:val="009D4F95"/>
    <w:rsid w:val="009D4F98"/>
    <w:rsid w:val="009D4FC9"/>
    <w:rsid w:val="009D5174"/>
    <w:rsid w:val="009D5493"/>
    <w:rsid w:val="009D56EC"/>
    <w:rsid w:val="009D57E3"/>
    <w:rsid w:val="009D5840"/>
    <w:rsid w:val="009D5A55"/>
    <w:rsid w:val="009D5BA8"/>
    <w:rsid w:val="009D5D13"/>
    <w:rsid w:val="009D5D90"/>
    <w:rsid w:val="009D5DDB"/>
    <w:rsid w:val="009D607B"/>
    <w:rsid w:val="009D6198"/>
    <w:rsid w:val="009D63EB"/>
    <w:rsid w:val="009D6429"/>
    <w:rsid w:val="009D6597"/>
    <w:rsid w:val="009D67AC"/>
    <w:rsid w:val="009D67D7"/>
    <w:rsid w:val="009D6967"/>
    <w:rsid w:val="009D6A70"/>
    <w:rsid w:val="009D6D99"/>
    <w:rsid w:val="009D6DFC"/>
    <w:rsid w:val="009D6FAD"/>
    <w:rsid w:val="009D70D2"/>
    <w:rsid w:val="009D70DF"/>
    <w:rsid w:val="009D713E"/>
    <w:rsid w:val="009D71FA"/>
    <w:rsid w:val="009D762F"/>
    <w:rsid w:val="009D767D"/>
    <w:rsid w:val="009D7ACE"/>
    <w:rsid w:val="009D7AFE"/>
    <w:rsid w:val="009D7E2F"/>
    <w:rsid w:val="009D7F58"/>
    <w:rsid w:val="009E006D"/>
    <w:rsid w:val="009E01AB"/>
    <w:rsid w:val="009E04A3"/>
    <w:rsid w:val="009E0639"/>
    <w:rsid w:val="009E06ED"/>
    <w:rsid w:val="009E07B5"/>
    <w:rsid w:val="009E09C0"/>
    <w:rsid w:val="009E0A65"/>
    <w:rsid w:val="009E1035"/>
    <w:rsid w:val="009E11AC"/>
    <w:rsid w:val="009E14B5"/>
    <w:rsid w:val="009E162E"/>
    <w:rsid w:val="009E172A"/>
    <w:rsid w:val="009E19C7"/>
    <w:rsid w:val="009E1D1E"/>
    <w:rsid w:val="009E1DEC"/>
    <w:rsid w:val="009E1E0F"/>
    <w:rsid w:val="009E1E10"/>
    <w:rsid w:val="009E2269"/>
    <w:rsid w:val="009E22AB"/>
    <w:rsid w:val="009E24A8"/>
    <w:rsid w:val="009E24F0"/>
    <w:rsid w:val="009E25F5"/>
    <w:rsid w:val="009E264C"/>
    <w:rsid w:val="009E2C86"/>
    <w:rsid w:val="009E2CF4"/>
    <w:rsid w:val="009E2DA5"/>
    <w:rsid w:val="009E2E5B"/>
    <w:rsid w:val="009E2E6A"/>
    <w:rsid w:val="009E304D"/>
    <w:rsid w:val="009E31E8"/>
    <w:rsid w:val="009E3202"/>
    <w:rsid w:val="009E3581"/>
    <w:rsid w:val="009E3636"/>
    <w:rsid w:val="009E365E"/>
    <w:rsid w:val="009E3956"/>
    <w:rsid w:val="009E3A5B"/>
    <w:rsid w:val="009E3B95"/>
    <w:rsid w:val="009E3D63"/>
    <w:rsid w:val="009E3E9A"/>
    <w:rsid w:val="009E3F09"/>
    <w:rsid w:val="009E415D"/>
    <w:rsid w:val="009E4297"/>
    <w:rsid w:val="009E4389"/>
    <w:rsid w:val="009E4496"/>
    <w:rsid w:val="009E4609"/>
    <w:rsid w:val="009E4649"/>
    <w:rsid w:val="009E46C9"/>
    <w:rsid w:val="009E47D1"/>
    <w:rsid w:val="009E48D7"/>
    <w:rsid w:val="009E4AD7"/>
    <w:rsid w:val="009E4BF0"/>
    <w:rsid w:val="009E4C59"/>
    <w:rsid w:val="009E4DD3"/>
    <w:rsid w:val="009E4EEB"/>
    <w:rsid w:val="009E5009"/>
    <w:rsid w:val="009E500B"/>
    <w:rsid w:val="009E5122"/>
    <w:rsid w:val="009E52B2"/>
    <w:rsid w:val="009E530E"/>
    <w:rsid w:val="009E5495"/>
    <w:rsid w:val="009E55EF"/>
    <w:rsid w:val="009E564A"/>
    <w:rsid w:val="009E5655"/>
    <w:rsid w:val="009E5663"/>
    <w:rsid w:val="009E5820"/>
    <w:rsid w:val="009E5962"/>
    <w:rsid w:val="009E597B"/>
    <w:rsid w:val="009E5B4C"/>
    <w:rsid w:val="009E626B"/>
    <w:rsid w:val="009E6C22"/>
    <w:rsid w:val="009E6C2F"/>
    <w:rsid w:val="009E6D4D"/>
    <w:rsid w:val="009E6E3C"/>
    <w:rsid w:val="009E6F56"/>
    <w:rsid w:val="009E7096"/>
    <w:rsid w:val="009E70B2"/>
    <w:rsid w:val="009E726B"/>
    <w:rsid w:val="009E72F6"/>
    <w:rsid w:val="009E75AD"/>
    <w:rsid w:val="009E772B"/>
    <w:rsid w:val="009E780A"/>
    <w:rsid w:val="009E7943"/>
    <w:rsid w:val="009E7D58"/>
    <w:rsid w:val="009E7E47"/>
    <w:rsid w:val="009E7E94"/>
    <w:rsid w:val="009E7F87"/>
    <w:rsid w:val="009F004D"/>
    <w:rsid w:val="009F0353"/>
    <w:rsid w:val="009F0461"/>
    <w:rsid w:val="009F04D8"/>
    <w:rsid w:val="009F05F1"/>
    <w:rsid w:val="009F06C8"/>
    <w:rsid w:val="009F0810"/>
    <w:rsid w:val="009F0A55"/>
    <w:rsid w:val="009F0BC1"/>
    <w:rsid w:val="009F0DA4"/>
    <w:rsid w:val="009F0E4E"/>
    <w:rsid w:val="009F102D"/>
    <w:rsid w:val="009F1064"/>
    <w:rsid w:val="009F11EA"/>
    <w:rsid w:val="009F1248"/>
    <w:rsid w:val="009F16A8"/>
    <w:rsid w:val="009F17B1"/>
    <w:rsid w:val="009F18C1"/>
    <w:rsid w:val="009F1A56"/>
    <w:rsid w:val="009F1AAD"/>
    <w:rsid w:val="009F1B13"/>
    <w:rsid w:val="009F1B2B"/>
    <w:rsid w:val="009F1B73"/>
    <w:rsid w:val="009F1BCF"/>
    <w:rsid w:val="009F1C9E"/>
    <w:rsid w:val="009F1D04"/>
    <w:rsid w:val="009F1DF3"/>
    <w:rsid w:val="009F1EFD"/>
    <w:rsid w:val="009F2166"/>
    <w:rsid w:val="009F21C5"/>
    <w:rsid w:val="009F243E"/>
    <w:rsid w:val="009F24AF"/>
    <w:rsid w:val="009F24B1"/>
    <w:rsid w:val="009F2527"/>
    <w:rsid w:val="009F2617"/>
    <w:rsid w:val="009F2686"/>
    <w:rsid w:val="009F2755"/>
    <w:rsid w:val="009F2B81"/>
    <w:rsid w:val="009F2BDB"/>
    <w:rsid w:val="009F2CF9"/>
    <w:rsid w:val="009F2D15"/>
    <w:rsid w:val="009F2EDB"/>
    <w:rsid w:val="009F2F55"/>
    <w:rsid w:val="009F2F5B"/>
    <w:rsid w:val="009F3208"/>
    <w:rsid w:val="009F32EB"/>
    <w:rsid w:val="009F3561"/>
    <w:rsid w:val="009F3658"/>
    <w:rsid w:val="009F3847"/>
    <w:rsid w:val="009F3A32"/>
    <w:rsid w:val="009F3A69"/>
    <w:rsid w:val="009F3AB3"/>
    <w:rsid w:val="009F3CBD"/>
    <w:rsid w:val="009F3ECB"/>
    <w:rsid w:val="009F40B1"/>
    <w:rsid w:val="009F4636"/>
    <w:rsid w:val="009F482F"/>
    <w:rsid w:val="009F48BA"/>
    <w:rsid w:val="009F48EC"/>
    <w:rsid w:val="009F4949"/>
    <w:rsid w:val="009F499C"/>
    <w:rsid w:val="009F49D1"/>
    <w:rsid w:val="009F4B8C"/>
    <w:rsid w:val="009F4F4F"/>
    <w:rsid w:val="009F539D"/>
    <w:rsid w:val="009F5482"/>
    <w:rsid w:val="009F550D"/>
    <w:rsid w:val="009F5736"/>
    <w:rsid w:val="009F5897"/>
    <w:rsid w:val="009F594E"/>
    <w:rsid w:val="009F5B5B"/>
    <w:rsid w:val="009F5BF6"/>
    <w:rsid w:val="009F5C62"/>
    <w:rsid w:val="009F5E15"/>
    <w:rsid w:val="009F5EF9"/>
    <w:rsid w:val="009F66EA"/>
    <w:rsid w:val="009F684A"/>
    <w:rsid w:val="009F6959"/>
    <w:rsid w:val="009F6B0A"/>
    <w:rsid w:val="009F6C6C"/>
    <w:rsid w:val="009F6ED8"/>
    <w:rsid w:val="009F6FFB"/>
    <w:rsid w:val="009F7006"/>
    <w:rsid w:val="009F7106"/>
    <w:rsid w:val="009F725E"/>
    <w:rsid w:val="009F73E1"/>
    <w:rsid w:val="009F73F8"/>
    <w:rsid w:val="009F761D"/>
    <w:rsid w:val="009F762A"/>
    <w:rsid w:val="009F7830"/>
    <w:rsid w:val="009F78E3"/>
    <w:rsid w:val="009F790E"/>
    <w:rsid w:val="009F7A8E"/>
    <w:rsid w:val="009F7AF8"/>
    <w:rsid w:val="009F7E72"/>
    <w:rsid w:val="009F7F9B"/>
    <w:rsid w:val="009F7F9D"/>
    <w:rsid w:val="00A00216"/>
    <w:rsid w:val="00A005C4"/>
    <w:rsid w:val="00A00633"/>
    <w:rsid w:val="00A00698"/>
    <w:rsid w:val="00A00783"/>
    <w:rsid w:val="00A007DA"/>
    <w:rsid w:val="00A00A0F"/>
    <w:rsid w:val="00A00EE7"/>
    <w:rsid w:val="00A00FF6"/>
    <w:rsid w:val="00A01156"/>
    <w:rsid w:val="00A01171"/>
    <w:rsid w:val="00A011BC"/>
    <w:rsid w:val="00A01283"/>
    <w:rsid w:val="00A01517"/>
    <w:rsid w:val="00A01912"/>
    <w:rsid w:val="00A01913"/>
    <w:rsid w:val="00A01C90"/>
    <w:rsid w:val="00A01DA8"/>
    <w:rsid w:val="00A020C4"/>
    <w:rsid w:val="00A021C5"/>
    <w:rsid w:val="00A02203"/>
    <w:rsid w:val="00A0235B"/>
    <w:rsid w:val="00A025E0"/>
    <w:rsid w:val="00A025EA"/>
    <w:rsid w:val="00A02645"/>
    <w:rsid w:val="00A026DC"/>
    <w:rsid w:val="00A0276E"/>
    <w:rsid w:val="00A02909"/>
    <w:rsid w:val="00A029B3"/>
    <w:rsid w:val="00A02AB1"/>
    <w:rsid w:val="00A0300E"/>
    <w:rsid w:val="00A0342C"/>
    <w:rsid w:val="00A034DB"/>
    <w:rsid w:val="00A03751"/>
    <w:rsid w:val="00A037E8"/>
    <w:rsid w:val="00A03873"/>
    <w:rsid w:val="00A038D8"/>
    <w:rsid w:val="00A0397F"/>
    <w:rsid w:val="00A03A03"/>
    <w:rsid w:val="00A03A1F"/>
    <w:rsid w:val="00A03AD7"/>
    <w:rsid w:val="00A03C44"/>
    <w:rsid w:val="00A03D30"/>
    <w:rsid w:val="00A03D38"/>
    <w:rsid w:val="00A03DE1"/>
    <w:rsid w:val="00A03E42"/>
    <w:rsid w:val="00A04198"/>
    <w:rsid w:val="00A04208"/>
    <w:rsid w:val="00A042FB"/>
    <w:rsid w:val="00A04491"/>
    <w:rsid w:val="00A0522E"/>
    <w:rsid w:val="00A0531B"/>
    <w:rsid w:val="00A0538C"/>
    <w:rsid w:val="00A0544B"/>
    <w:rsid w:val="00A05548"/>
    <w:rsid w:val="00A05AAB"/>
    <w:rsid w:val="00A05EEC"/>
    <w:rsid w:val="00A0609B"/>
    <w:rsid w:val="00A06261"/>
    <w:rsid w:val="00A062FE"/>
    <w:rsid w:val="00A06337"/>
    <w:rsid w:val="00A063E7"/>
    <w:rsid w:val="00A063EE"/>
    <w:rsid w:val="00A063FA"/>
    <w:rsid w:val="00A067D9"/>
    <w:rsid w:val="00A069A4"/>
    <w:rsid w:val="00A06A05"/>
    <w:rsid w:val="00A06A37"/>
    <w:rsid w:val="00A06AFF"/>
    <w:rsid w:val="00A06C69"/>
    <w:rsid w:val="00A06F85"/>
    <w:rsid w:val="00A0702C"/>
    <w:rsid w:val="00A07032"/>
    <w:rsid w:val="00A0706B"/>
    <w:rsid w:val="00A075F5"/>
    <w:rsid w:val="00A0774E"/>
    <w:rsid w:val="00A07996"/>
    <w:rsid w:val="00A07BB3"/>
    <w:rsid w:val="00A07DD7"/>
    <w:rsid w:val="00A07F11"/>
    <w:rsid w:val="00A10258"/>
    <w:rsid w:val="00A10647"/>
    <w:rsid w:val="00A106F8"/>
    <w:rsid w:val="00A10819"/>
    <w:rsid w:val="00A10896"/>
    <w:rsid w:val="00A109A2"/>
    <w:rsid w:val="00A10E70"/>
    <w:rsid w:val="00A1169C"/>
    <w:rsid w:val="00A1185B"/>
    <w:rsid w:val="00A11A3B"/>
    <w:rsid w:val="00A11B83"/>
    <w:rsid w:val="00A11F17"/>
    <w:rsid w:val="00A11FB2"/>
    <w:rsid w:val="00A1223F"/>
    <w:rsid w:val="00A12387"/>
    <w:rsid w:val="00A12444"/>
    <w:rsid w:val="00A124B6"/>
    <w:rsid w:val="00A125C9"/>
    <w:rsid w:val="00A12645"/>
    <w:rsid w:val="00A128A4"/>
    <w:rsid w:val="00A12BE3"/>
    <w:rsid w:val="00A12C25"/>
    <w:rsid w:val="00A12D5D"/>
    <w:rsid w:val="00A12DA8"/>
    <w:rsid w:val="00A12EA7"/>
    <w:rsid w:val="00A13202"/>
    <w:rsid w:val="00A13475"/>
    <w:rsid w:val="00A13B72"/>
    <w:rsid w:val="00A13CAA"/>
    <w:rsid w:val="00A13E9F"/>
    <w:rsid w:val="00A14440"/>
    <w:rsid w:val="00A1457A"/>
    <w:rsid w:val="00A1483A"/>
    <w:rsid w:val="00A14874"/>
    <w:rsid w:val="00A14A06"/>
    <w:rsid w:val="00A14C66"/>
    <w:rsid w:val="00A15015"/>
    <w:rsid w:val="00A15056"/>
    <w:rsid w:val="00A15283"/>
    <w:rsid w:val="00A15549"/>
    <w:rsid w:val="00A155D8"/>
    <w:rsid w:val="00A1598E"/>
    <w:rsid w:val="00A159BB"/>
    <w:rsid w:val="00A15A6F"/>
    <w:rsid w:val="00A15C62"/>
    <w:rsid w:val="00A15CC9"/>
    <w:rsid w:val="00A15D67"/>
    <w:rsid w:val="00A15F52"/>
    <w:rsid w:val="00A15FDB"/>
    <w:rsid w:val="00A16016"/>
    <w:rsid w:val="00A160F3"/>
    <w:rsid w:val="00A161A4"/>
    <w:rsid w:val="00A16477"/>
    <w:rsid w:val="00A164F1"/>
    <w:rsid w:val="00A16859"/>
    <w:rsid w:val="00A168E3"/>
    <w:rsid w:val="00A16DF0"/>
    <w:rsid w:val="00A1735A"/>
    <w:rsid w:val="00A174C5"/>
    <w:rsid w:val="00A1786F"/>
    <w:rsid w:val="00A1788F"/>
    <w:rsid w:val="00A17957"/>
    <w:rsid w:val="00A17B14"/>
    <w:rsid w:val="00A17C8F"/>
    <w:rsid w:val="00A17CB6"/>
    <w:rsid w:val="00A17D3D"/>
    <w:rsid w:val="00A17DB8"/>
    <w:rsid w:val="00A17E73"/>
    <w:rsid w:val="00A17EF8"/>
    <w:rsid w:val="00A17F28"/>
    <w:rsid w:val="00A20339"/>
    <w:rsid w:val="00A208CF"/>
    <w:rsid w:val="00A20B5B"/>
    <w:rsid w:val="00A21603"/>
    <w:rsid w:val="00A2181C"/>
    <w:rsid w:val="00A2187E"/>
    <w:rsid w:val="00A21883"/>
    <w:rsid w:val="00A2191D"/>
    <w:rsid w:val="00A219A1"/>
    <w:rsid w:val="00A21AD0"/>
    <w:rsid w:val="00A21BBB"/>
    <w:rsid w:val="00A220D6"/>
    <w:rsid w:val="00A223AE"/>
    <w:rsid w:val="00A22483"/>
    <w:rsid w:val="00A22725"/>
    <w:rsid w:val="00A22C63"/>
    <w:rsid w:val="00A22C80"/>
    <w:rsid w:val="00A22E69"/>
    <w:rsid w:val="00A231A9"/>
    <w:rsid w:val="00A23232"/>
    <w:rsid w:val="00A232B5"/>
    <w:rsid w:val="00A236F5"/>
    <w:rsid w:val="00A23736"/>
    <w:rsid w:val="00A239B0"/>
    <w:rsid w:val="00A23AE0"/>
    <w:rsid w:val="00A23BA6"/>
    <w:rsid w:val="00A23BAE"/>
    <w:rsid w:val="00A23DBF"/>
    <w:rsid w:val="00A23F59"/>
    <w:rsid w:val="00A24002"/>
    <w:rsid w:val="00A24020"/>
    <w:rsid w:val="00A24101"/>
    <w:rsid w:val="00A241CF"/>
    <w:rsid w:val="00A241E1"/>
    <w:rsid w:val="00A244C3"/>
    <w:rsid w:val="00A247EC"/>
    <w:rsid w:val="00A247EE"/>
    <w:rsid w:val="00A24A92"/>
    <w:rsid w:val="00A24BF9"/>
    <w:rsid w:val="00A24C5F"/>
    <w:rsid w:val="00A24D8D"/>
    <w:rsid w:val="00A24F4A"/>
    <w:rsid w:val="00A250DA"/>
    <w:rsid w:val="00A2518E"/>
    <w:rsid w:val="00A251E5"/>
    <w:rsid w:val="00A2532B"/>
    <w:rsid w:val="00A25342"/>
    <w:rsid w:val="00A25353"/>
    <w:rsid w:val="00A253A2"/>
    <w:rsid w:val="00A253F4"/>
    <w:rsid w:val="00A2548B"/>
    <w:rsid w:val="00A25636"/>
    <w:rsid w:val="00A2572C"/>
    <w:rsid w:val="00A25846"/>
    <w:rsid w:val="00A25941"/>
    <w:rsid w:val="00A25CC3"/>
    <w:rsid w:val="00A25CFE"/>
    <w:rsid w:val="00A25D4E"/>
    <w:rsid w:val="00A25D7B"/>
    <w:rsid w:val="00A25DE0"/>
    <w:rsid w:val="00A26046"/>
    <w:rsid w:val="00A260C1"/>
    <w:rsid w:val="00A26388"/>
    <w:rsid w:val="00A26458"/>
    <w:rsid w:val="00A26468"/>
    <w:rsid w:val="00A26478"/>
    <w:rsid w:val="00A264B9"/>
    <w:rsid w:val="00A264E6"/>
    <w:rsid w:val="00A264F4"/>
    <w:rsid w:val="00A2675E"/>
    <w:rsid w:val="00A2693A"/>
    <w:rsid w:val="00A26C0C"/>
    <w:rsid w:val="00A26D71"/>
    <w:rsid w:val="00A26E6F"/>
    <w:rsid w:val="00A26EBB"/>
    <w:rsid w:val="00A27038"/>
    <w:rsid w:val="00A2704C"/>
    <w:rsid w:val="00A2705D"/>
    <w:rsid w:val="00A27295"/>
    <w:rsid w:val="00A272D7"/>
    <w:rsid w:val="00A2745D"/>
    <w:rsid w:val="00A27593"/>
    <w:rsid w:val="00A2762A"/>
    <w:rsid w:val="00A2764C"/>
    <w:rsid w:val="00A27958"/>
    <w:rsid w:val="00A279D5"/>
    <w:rsid w:val="00A27A2A"/>
    <w:rsid w:val="00A27D6C"/>
    <w:rsid w:val="00A27DD4"/>
    <w:rsid w:val="00A27F57"/>
    <w:rsid w:val="00A27F5E"/>
    <w:rsid w:val="00A300F6"/>
    <w:rsid w:val="00A3014F"/>
    <w:rsid w:val="00A30201"/>
    <w:rsid w:val="00A307E2"/>
    <w:rsid w:val="00A309A9"/>
    <w:rsid w:val="00A30C82"/>
    <w:rsid w:val="00A3135B"/>
    <w:rsid w:val="00A318A9"/>
    <w:rsid w:val="00A318B0"/>
    <w:rsid w:val="00A31C33"/>
    <w:rsid w:val="00A31C67"/>
    <w:rsid w:val="00A31DF2"/>
    <w:rsid w:val="00A31DFA"/>
    <w:rsid w:val="00A31EF9"/>
    <w:rsid w:val="00A32258"/>
    <w:rsid w:val="00A322DF"/>
    <w:rsid w:val="00A3253C"/>
    <w:rsid w:val="00A32622"/>
    <w:rsid w:val="00A3287E"/>
    <w:rsid w:val="00A32AAE"/>
    <w:rsid w:val="00A32B4E"/>
    <w:rsid w:val="00A32CCD"/>
    <w:rsid w:val="00A32D43"/>
    <w:rsid w:val="00A32E02"/>
    <w:rsid w:val="00A32EBD"/>
    <w:rsid w:val="00A32FB9"/>
    <w:rsid w:val="00A33246"/>
    <w:rsid w:val="00A33333"/>
    <w:rsid w:val="00A33716"/>
    <w:rsid w:val="00A33747"/>
    <w:rsid w:val="00A33767"/>
    <w:rsid w:val="00A338BB"/>
    <w:rsid w:val="00A33AC5"/>
    <w:rsid w:val="00A33C8D"/>
    <w:rsid w:val="00A33CD7"/>
    <w:rsid w:val="00A33D30"/>
    <w:rsid w:val="00A3482F"/>
    <w:rsid w:val="00A34FFB"/>
    <w:rsid w:val="00A35166"/>
    <w:rsid w:val="00A3545D"/>
    <w:rsid w:val="00A35577"/>
    <w:rsid w:val="00A35689"/>
    <w:rsid w:val="00A356C3"/>
    <w:rsid w:val="00A356FB"/>
    <w:rsid w:val="00A3587C"/>
    <w:rsid w:val="00A3592F"/>
    <w:rsid w:val="00A35A90"/>
    <w:rsid w:val="00A35CB8"/>
    <w:rsid w:val="00A35EC7"/>
    <w:rsid w:val="00A36011"/>
    <w:rsid w:val="00A360F3"/>
    <w:rsid w:val="00A36359"/>
    <w:rsid w:val="00A36467"/>
    <w:rsid w:val="00A369DB"/>
    <w:rsid w:val="00A36B28"/>
    <w:rsid w:val="00A36DAC"/>
    <w:rsid w:val="00A36ED5"/>
    <w:rsid w:val="00A37036"/>
    <w:rsid w:val="00A3716C"/>
    <w:rsid w:val="00A372CB"/>
    <w:rsid w:val="00A37396"/>
    <w:rsid w:val="00A373F5"/>
    <w:rsid w:val="00A37477"/>
    <w:rsid w:val="00A37554"/>
    <w:rsid w:val="00A37735"/>
    <w:rsid w:val="00A378BF"/>
    <w:rsid w:val="00A37EFD"/>
    <w:rsid w:val="00A4033E"/>
    <w:rsid w:val="00A405D0"/>
    <w:rsid w:val="00A407E2"/>
    <w:rsid w:val="00A40B42"/>
    <w:rsid w:val="00A40CED"/>
    <w:rsid w:val="00A40D62"/>
    <w:rsid w:val="00A40DD3"/>
    <w:rsid w:val="00A410FE"/>
    <w:rsid w:val="00A411C0"/>
    <w:rsid w:val="00A411DA"/>
    <w:rsid w:val="00A41390"/>
    <w:rsid w:val="00A41B49"/>
    <w:rsid w:val="00A41B69"/>
    <w:rsid w:val="00A41B7D"/>
    <w:rsid w:val="00A41DAE"/>
    <w:rsid w:val="00A41E2C"/>
    <w:rsid w:val="00A42456"/>
    <w:rsid w:val="00A42614"/>
    <w:rsid w:val="00A4271E"/>
    <w:rsid w:val="00A429EF"/>
    <w:rsid w:val="00A42F39"/>
    <w:rsid w:val="00A42FDD"/>
    <w:rsid w:val="00A432FC"/>
    <w:rsid w:val="00A43400"/>
    <w:rsid w:val="00A4359D"/>
    <w:rsid w:val="00A4360D"/>
    <w:rsid w:val="00A436D9"/>
    <w:rsid w:val="00A436F4"/>
    <w:rsid w:val="00A43876"/>
    <w:rsid w:val="00A43935"/>
    <w:rsid w:val="00A43A6E"/>
    <w:rsid w:val="00A43AD0"/>
    <w:rsid w:val="00A43AD1"/>
    <w:rsid w:val="00A43B3E"/>
    <w:rsid w:val="00A43E52"/>
    <w:rsid w:val="00A4415F"/>
    <w:rsid w:val="00A443ED"/>
    <w:rsid w:val="00A44435"/>
    <w:rsid w:val="00A44703"/>
    <w:rsid w:val="00A448F1"/>
    <w:rsid w:val="00A449CB"/>
    <w:rsid w:val="00A44A5F"/>
    <w:rsid w:val="00A44C7F"/>
    <w:rsid w:val="00A44CE1"/>
    <w:rsid w:val="00A44D18"/>
    <w:rsid w:val="00A44E6B"/>
    <w:rsid w:val="00A45154"/>
    <w:rsid w:val="00A45291"/>
    <w:rsid w:val="00A45353"/>
    <w:rsid w:val="00A4554D"/>
    <w:rsid w:val="00A45711"/>
    <w:rsid w:val="00A45758"/>
    <w:rsid w:val="00A45793"/>
    <w:rsid w:val="00A45995"/>
    <w:rsid w:val="00A459EB"/>
    <w:rsid w:val="00A45AD0"/>
    <w:rsid w:val="00A45F24"/>
    <w:rsid w:val="00A45F88"/>
    <w:rsid w:val="00A45F8F"/>
    <w:rsid w:val="00A464B1"/>
    <w:rsid w:val="00A46626"/>
    <w:rsid w:val="00A46865"/>
    <w:rsid w:val="00A46CB2"/>
    <w:rsid w:val="00A46D94"/>
    <w:rsid w:val="00A46E11"/>
    <w:rsid w:val="00A46E9D"/>
    <w:rsid w:val="00A47077"/>
    <w:rsid w:val="00A470A5"/>
    <w:rsid w:val="00A470B1"/>
    <w:rsid w:val="00A47350"/>
    <w:rsid w:val="00A473AF"/>
    <w:rsid w:val="00A47578"/>
    <w:rsid w:val="00A4768C"/>
    <w:rsid w:val="00A4789C"/>
    <w:rsid w:val="00A478EB"/>
    <w:rsid w:val="00A47A25"/>
    <w:rsid w:val="00A47B13"/>
    <w:rsid w:val="00A47C74"/>
    <w:rsid w:val="00A47EF6"/>
    <w:rsid w:val="00A50236"/>
    <w:rsid w:val="00A50404"/>
    <w:rsid w:val="00A504E2"/>
    <w:rsid w:val="00A505F2"/>
    <w:rsid w:val="00A508C6"/>
    <w:rsid w:val="00A50A1F"/>
    <w:rsid w:val="00A50B98"/>
    <w:rsid w:val="00A50D24"/>
    <w:rsid w:val="00A50DB0"/>
    <w:rsid w:val="00A50F83"/>
    <w:rsid w:val="00A51018"/>
    <w:rsid w:val="00A51088"/>
    <w:rsid w:val="00A512C8"/>
    <w:rsid w:val="00A515BE"/>
    <w:rsid w:val="00A516A0"/>
    <w:rsid w:val="00A517CF"/>
    <w:rsid w:val="00A51887"/>
    <w:rsid w:val="00A51A20"/>
    <w:rsid w:val="00A51A7E"/>
    <w:rsid w:val="00A51C6F"/>
    <w:rsid w:val="00A51CEE"/>
    <w:rsid w:val="00A5219E"/>
    <w:rsid w:val="00A52259"/>
    <w:rsid w:val="00A5228F"/>
    <w:rsid w:val="00A52675"/>
    <w:rsid w:val="00A5280F"/>
    <w:rsid w:val="00A5286F"/>
    <w:rsid w:val="00A52A77"/>
    <w:rsid w:val="00A52A88"/>
    <w:rsid w:val="00A52DD2"/>
    <w:rsid w:val="00A52EBB"/>
    <w:rsid w:val="00A5326C"/>
    <w:rsid w:val="00A53329"/>
    <w:rsid w:val="00A533A1"/>
    <w:rsid w:val="00A538EE"/>
    <w:rsid w:val="00A53A4C"/>
    <w:rsid w:val="00A53AD9"/>
    <w:rsid w:val="00A53C10"/>
    <w:rsid w:val="00A53CD9"/>
    <w:rsid w:val="00A53F03"/>
    <w:rsid w:val="00A53FF6"/>
    <w:rsid w:val="00A5412E"/>
    <w:rsid w:val="00A541DB"/>
    <w:rsid w:val="00A5423C"/>
    <w:rsid w:val="00A54241"/>
    <w:rsid w:val="00A543B7"/>
    <w:rsid w:val="00A545F4"/>
    <w:rsid w:val="00A54628"/>
    <w:rsid w:val="00A54A6B"/>
    <w:rsid w:val="00A54A81"/>
    <w:rsid w:val="00A54B9E"/>
    <w:rsid w:val="00A54ECC"/>
    <w:rsid w:val="00A54F2D"/>
    <w:rsid w:val="00A54F7E"/>
    <w:rsid w:val="00A551AF"/>
    <w:rsid w:val="00A5556B"/>
    <w:rsid w:val="00A555F7"/>
    <w:rsid w:val="00A55624"/>
    <w:rsid w:val="00A557DA"/>
    <w:rsid w:val="00A55B0F"/>
    <w:rsid w:val="00A55C02"/>
    <w:rsid w:val="00A56086"/>
    <w:rsid w:val="00A56393"/>
    <w:rsid w:val="00A564DD"/>
    <w:rsid w:val="00A5698D"/>
    <w:rsid w:val="00A56B10"/>
    <w:rsid w:val="00A5701F"/>
    <w:rsid w:val="00A57094"/>
    <w:rsid w:val="00A57241"/>
    <w:rsid w:val="00A57376"/>
    <w:rsid w:val="00A5761E"/>
    <w:rsid w:val="00A57BD8"/>
    <w:rsid w:val="00A57D20"/>
    <w:rsid w:val="00A57D57"/>
    <w:rsid w:val="00A57D71"/>
    <w:rsid w:val="00A57DB7"/>
    <w:rsid w:val="00A57E34"/>
    <w:rsid w:val="00A57F26"/>
    <w:rsid w:val="00A57F49"/>
    <w:rsid w:val="00A6017B"/>
    <w:rsid w:val="00A60426"/>
    <w:rsid w:val="00A60759"/>
    <w:rsid w:val="00A60B87"/>
    <w:rsid w:val="00A60BED"/>
    <w:rsid w:val="00A60F7D"/>
    <w:rsid w:val="00A61090"/>
    <w:rsid w:val="00A611FB"/>
    <w:rsid w:val="00A6132E"/>
    <w:rsid w:val="00A61360"/>
    <w:rsid w:val="00A614D7"/>
    <w:rsid w:val="00A6159E"/>
    <w:rsid w:val="00A615A3"/>
    <w:rsid w:val="00A61882"/>
    <w:rsid w:val="00A61B32"/>
    <w:rsid w:val="00A61B84"/>
    <w:rsid w:val="00A61B8A"/>
    <w:rsid w:val="00A61EBC"/>
    <w:rsid w:val="00A624C9"/>
    <w:rsid w:val="00A62567"/>
    <w:rsid w:val="00A62588"/>
    <w:rsid w:val="00A626C2"/>
    <w:rsid w:val="00A62793"/>
    <w:rsid w:val="00A62878"/>
    <w:rsid w:val="00A62C54"/>
    <w:rsid w:val="00A6306A"/>
    <w:rsid w:val="00A63199"/>
    <w:rsid w:val="00A635CF"/>
    <w:rsid w:val="00A6366F"/>
    <w:rsid w:val="00A637B2"/>
    <w:rsid w:val="00A63813"/>
    <w:rsid w:val="00A63AAE"/>
    <w:rsid w:val="00A63C1A"/>
    <w:rsid w:val="00A63C69"/>
    <w:rsid w:val="00A63CCC"/>
    <w:rsid w:val="00A63D2F"/>
    <w:rsid w:val="00A63F4B"/>
    <w:rsid w:val="00A63F9D"/>
    <w:rsid w:val="00A641EE"/>
    <w:rsid w:val="00A642B1"/>
    <w:rsid w:val="00A64381"/>
    <w:rsid w:val="00A643BF"/>
    <w:rsid w:val="00A64604"/>
    <w:rsid w:val="00A6479F"/>
    <w:rsid w:val="00A649B5"/>
    <w:rsid w:val="00A64D88"/>
    <w:rsid w:val="00A64D9D"/>
    <w:rsid w:val="00A64FE3"/>
    <w:rsid w:val="00A65066"/>
    <w:rsid w:val="00A6595B"/>
    <w:rsid w:val="00A659E1"/>
    <w:rsid w:val="00A65B36"/>
    <w:rsid w:val="00A65D7A"/>
    <w:rsid w:val="00A65DE2"/>
    <w:rsid w:val="00A65FAE"/>
    <w:rsid w:val="00A662D3"/>
    <w:rsid w:val="00A6633C"/>
    <w:rsid w:val="00A66597"/>
    <w:rsid w:val="00A668B2"/>
    <w:rsid w:val="00A668F3"/>
    <w:rsid w:val="00A66A87"/>
    <w:rsid w:val="00A66AA1"/>
    <w:rsid w:val="00A66CD9"/>
    <w:rsid w:val="00A66E3E"/>
    <w:rsid w:val="00A66EED"/>
    <w:rsid w:val="00A66FDA"/>
    <w:rsid w:val="00A6701B"/>
    <w:rsid w:val="00A67089"/>
    <w:rsid w:val="00A670F1"/>
    <w:rsid w:val="00A67206"/>
    <w:rsid w:val="00A672A7"/>
    <w:rsid w:val="00A672D0"/>
    <w:rsid w:val="00A674DA"/>
    <w:rsid w:val="00A67507"/>
    <w:rsid w:val="00A67706"/>
    <w:rsid w:val="00A677DC"/>
    <w:rsid w:val="00A67A53"/>
    <w:rsid w:val="00A67AC1"/>
    <w:rsid w:val="00A67B27"/>
    <w:rsid w:val="00A67FD8"/>
    <w:rsid w:val="00A67FDF"/>
    <w:rsid w:val="00A70188"/>
    <w:rsid w:val="00A702C5"/>
    <w:rsid w:val="00A706C4"/>
    <w:rsid w:val="00A708A5"/>
    <w:rsid w:val="00A70C62"/>
    <w:rsid w:val="00A70D5A"/>
    <w:rsid w:val="00A70FC3"/>
    <w:rsid w:val="00A7131E"/>
    <w:rsid w:val="00A7153C"/>
    <w:rsid w:val="00A7157F"/>
    <w:rsid w:val="00A715B7"/>
    <w:rsid w:val="00A71648"/>
    <w:rsid w:val="00A717EE"/>
    <w:rsid w:val="00A71810"/>
    <w:rsid w:val="00A71897"/>
    <w:rsid w:val="00A71C31"/>
    <w:rsid w:val="00A71C54"/>
    <w:rsid w:val="00A71EDF"/>
    <w:rsid w:val="00A7234F"/>
    <w:rsid w:val="00A724DD"/>
    <w:rsid w:val="00A724E1"/>
    <w:rsid w:val="00A72596"/>
    <w:rsid w:val="00A7281A"/>
    <w:rsid w:val="00A7289E"/>
    <w:rsid w:val="00A72A38"/>
    <w:rsid w:val="00A72A52"/>
    <w:rsid w:val="00A72B47"/>
    <w:rsid w:val="00A72BD2"/>
    <w:rsid w:val="00A72E9C"/>
    <w:rsid w:val="00A72F90"/>
    <w:rsid w:val="00A72FCB"/>
    <w:rsid w:val="00A730E9"/>
    <w:rsid w:val="00A73183"/>
    <w:rsid w:val="00A734DD"/>
    <w:rsid w:val="00A7350E"/>
    <w:rsid w:val="00A73724"/>
    <w:rsid w:val="00A73BCE"/>
    <w:rsid w:val="00A73D8F"/>
    <w:rsid w:val="00A73E9A"/>
    <w:rsid w:val="00A73EA0"/>
    <w:rsid w:val="00A73FA8"/>
    <w:rsid w:val="00A740F6"/>
    <w:rsid w:val="00A74167"/>
    <w:rsid w:val="00A74173"/>
    <w:rsid w:val="00A7443C"/>
    <w:rsid w:val="00A74449"/>
    <w:rsid w:val="00A74467"/>
    <w:rsid w:val="00A74584"/>
    <w:rsid w:val="00A74708"/>
    <w:rsid w:val="00A747BC"/>
    <w:rsid w:val="00A74805"/>
    <w:rsid w:val="00A74B1C"/>
    <w:rsid w:val="00A74C40"/>
    <w:rsid w:val="00A74D08"/>
    <w:rsid w:val="00A750A5"/>
    <w:rsid w:val="00A75114"/>
    <w:rsid w:val="00A7512E"/>
    <w:rsid w:val="00A75324"/>
    <w:rsid w:val="00A755FE"/>
    <w:rsid w:val="00A75909"/>
    <w:rsid w:val="00A7592C"/>
    <w:rsid w:val="00A75AC6"/>
    <w:rsid w:val="00A76056"/>
    <w:rsid w:val="00A760A0"/>
    <w:rsid w:val="00A761DC"/>
    <w:rsid w:val="00A76394"/>
    <w:rsid w:val="00A76757"/>
    <w:rsid w:val="00A7680A"/>
    <w:rsid w:val="00A76985"/>
    <w:rsid w:val="00A7699C"/>
    <w:rsid w:val="00A76C55"/>
    <w:rsid w:val="00A770BE"/>
    <w:rsid w:val="00A776E2"/>
    <w:rsid w:val="00A77B38"/>
    <w:rsid w:val="00A77BF6"/>
    <w:rsid w:val="00A77E98"/>
    <w:rsid w:val="00A8005B"/>
    <w:rsid w:val="00A801BF"/>
    <w:rsid w:val="00A801FE"/>
    <w:rsid w:val="00A802F7"/>
    <w:rsid w:val="00A80A9A"/>
    <w:rsid w:val="00A80D0C"/>
    <w:rsid w:val="00A80E26"/>
    <w:rsid w:val="00A80E7B"/>
    <w:rsid w:val="00A80F37"/>
    <w:rsid w:val="00A80FCC"/>
    <w:rsid w:val="00A811A9"/>
    <w:rsid w:val="00A812AC"/>
    <w:rsid w:val="00A81649"/>
    <w:rsid w:val="00A818AD"/>
    <w:rsid w:val="00A81920"/>
    <w:rsid w:val="00A81930"/>
    <w:rsid w:val="00A819FE"/>
    <w:rsid w:val="00A81A85"/>
    <w:rsid w:val="00A81B72"/>
    <w:rsid w:val="00A81BBE"/>
    <w:rsid w:val="00A82075"/>
    <w:rsid w:val="00A820C7"/>
    <w:rsid w:val="00A821DB"/>
    <w:rsid w:val="00A8269A"/>
    <w:rsid w:val="00A8290F"/>
    <w:rsid w:val="00A82952"/>
    <w:rsid w:val="00A82A36"/>
    <w:rsid w:val="00A82B7A"/>
    <w:rsid w:val="00A82C59"/>
    <w:rsid w:val="00A82C5C"/>
    <w:rsid w:val="00A82D46"/>
    <w:rsid w:val="00A82D9B"/>
    <w:rsid w:val="00A82EA0"/>
    <w:rsid w:val="00A8332A"/>
    <w:rsid w:val="00A835E3"/>
    <w:rsid w:val="00A83D5D"/>
    <w:rsid w:val="00A83E5D"/>
    <w:rsid w:val="00A83E86"/>
    <w:rsid w:val="00A83FE8"/>
    <w:rsid w:val="00A841B1"/>
    <w:rsid w:val="00A84310"/>
    <w:rsid w:val="00A8444B"/>
    <w:rsid w:val="00A84527"/>
    <w:rsid w:val="00A8492E"/>
    <w:rsid w:val="00A84983"/>
    <w:rsid w:val="00A84BF7"/>
    <w:rsid w:val="00A84DD3"/>
    <w:rsid w:val="00A8500F"/>
    <w:rsid w:val="00A850D2"/>
    <w:rsid w:val="00A852DE"/>
    <w:rsid w:val="00A85409"/>
    <w:rsid w:val="00A85445"/>
    <w:rsid w:val="00A85695"/>
    <w:rsid w:val="00A85749"/>
    <w:rsid w:val="00A85993"/>
    <w:rsid w:val="00A85C12"/>
    <w:rsid w:val="00A85C50"/>
    <w:rsid w:val="00A85DED"/>
    <w:rsid w:val="00A85ECB"/>
    <w:rsid w:val="00A86004"/>
    <w:rsid w:val="00A860D7"/>
    <w:rsid w:val="00A86304"/>
    <w:rsid w:val="00A8693B"/>
    <w:rsid w:val="00A86AB1"/>
    <w:rsid w:val="00A86C24"/>
    <w:rsid w:val="00A86D65"/>
    <w:rsid w:val="00A871B0"/>
    <w:rsid w:val="00A87267"/>
    <w:rsid w:val="00A87350"/>
    <w:rsid w:val="00A87550"/>
    <w:rsid w:val="00A875E1"/>
    <w:rsid w:val="00A8790E"/>
    <w:rsid w:val="00A87BB1"/>
    <w:rsid w:val="00A87CCE"/>
    <w:rsid w:val="00A87CF9"/>
    <w:rsid w:val="00A87D40"/>
    <w:rsid w:val="00A90082"/>
    <w:rsid w:val="00A900CC"/>
    <w:rsid w:val="00A9025C"/>
    <w:rsid w:val="00A90336"/>
    <w:rsid w:val="00A90367"/>
    <w:rsid w:val="00A90423"/>
    <w:rsid w:val="00A9052E"/>
    <w:rsid w:val="00A9095F"/>
    <w:rsid w:val="00A9098D"/>
    <w:rsid w:val="00A90A8B"/>
    <w:rsid w:val="00A90B09"/>
    <w:rsid w:val="00A90CE1"/>
    <w:rsid w:val="00A90CE5"/>
    <w:rsid w:val="00A90D04"/>
    <w:rsid w:val="00A90FC7"/>
    <w:rsid w:val="00A913BD"/>
    <w:rsid w:val="00A9150E"/>
    <w:rsid w:val="00A918E1"/>
    <w:rsid w:val="00A918E8"/>
    <w:rsid w:val="00A91FA2"/>
    <w:rsid w:val="00A92207"/>
    <w:rsid w:val="00A92370"/>
    <w:rsid w:val="00A92559"/>
    <w:rsid w:val="00A927FA"/>
    <w:rsid w:val="00A928CE"/>
    <w:rsid w:val="00A92B0E"/>
    <w:rsid w:val="00A92B3C"/>
    <w:rsid w:val="00A92C37"/>
    <w:rsid w:val="00A92FC6"/>
    <w:rsid w:val="00A93323"/>
    <w:rsid w:val="00A9366E"/>
    <w:rsid w:val="00A938D7"/>
    <w:rsid w:val="00A9391F"/>
    <w:rsid w:val="00A93D7C"/>
    <w:rsid w:val="00A93DB5"/>
    <w:rsid w:val="00A93E96"/>
    <w:rsid w:val="00A93F9E"/>
    <w:rsid w:val="00A93FA4"/>
    <w:rsid w:val="00A943A6"/>
    <w:rsid w:val="00A946BB"/>
    <w:rsid w:val="00A94732"/>
    <w:rsid w:val="00A94990"/>
    <w:rsid w:val="00A949E7"/>
    <w:rsid w:val="00A94A92"/>
    <w:rsid w:val="00A94B09"/>
    <w:rsid w:val="00A94B7B"/>
    <w:rsid w:val="00A94C15"/>
    <w:rsid w:val="00A94CD4"/>
    <w:rsid w:val="00A94EB5"/>
    <w:rsid w:val="00A95090"/>
    <w:rsid w:val="00A95113"/>
    <w:rsid w:val="00A95186"/>
    <w:rsid w:val="00A953A6"/>
    <w:rsid w:val="00A9554B"/>
    <w:rsid w:val="00A95570"/>
    <w:rsid w:val="00A9576A"/>
    <w:rsid w:val="00A95909"/>
    <w:rsid w:val="00A95AB1"/>
    <w:rsid w:val="00A95AB8"/>
    <w:rsid w:val="00A95E3F"/>
    <w:rsid w:val="00A95ED4"/>
    <w:rsid w:val="00A95F0C"/>
    <w:rsid w:val="00A95F0D"/>
    <w:rsid w:val="00A96292"/>
    <w:rsid w:val="00A9637E"/>
    <w:rsid w:val="00A963FF"/>
    <w:rsid w:val="00A96504"/>
    <w:rsid w:val="00A96659"/>
    <w:rsid w:val="00A966AF"/>
    <w:rsid w:val="00A96AD6"/>
    <w:rsid w:val="00A96D2C"/>
    <w:rsid w:val="00A9703C"/>
    <w:rsid w:val="00A973DA"/>
    <w:rsid w:val="00A97444"/>
    <w:rsid w:val="00A9744F"/>
    <w:rsid w:val="00A97451"/>
    <w:rsid w:val="00A975E0"/>
    <w:rsid w:val="00A97786"/>
    <w:rsid w:val="00A97BA3"/>
    <w:rsid w:val="00A97D22"/>
    <w:rsid w:val="00A97DD0"/>
    <w:rsid w:val="00A97EDE"/>
    <w:rsid w:val="00A97F1F"/>
    <w:rsid w:val="00AA00CE"/>
    <w:rsid w:val="00AA018A"/>
    <w:rsid w:val="00AA045B"/>
    <w:rsid w:val="00AA0522"/>
    <w:rsid w:val="00AA0944"/>
    <w:rsid w:val="00AA0C2D"/>
    <w:rsid w:val="00AA16B5"/>
    <w:rsid w:val="00AA1801"/>
    <w:rsid w:val="00AA184C"/>
    <w:rsid w:val="00AA18D0"/>
    <w:rsid w:val="00AA1B77"/>
    <w:rsid w:val="00AA1D9F"/>
    <w:rsid w:val="00AA1DC7"/>
    <w:rsid w:val="00AA1E32"/>
    <w:rsid w:val="00AA1F81"/>
    <w:rsid w:val="00AA21DE"/>
    <w:rsid w:val="00AA2336"/>
    <w:rsid w:val="00AA239E"/>
    <w:rsid w:val="00AA245F"/>
    <w:rsid w:val="00AA2745"/>
    <w:rsid w:val="00AA2B3A"/>
    <w:rsid w:val="00AA2C90"/>
    <w:rsid w:val="00AA2E16"/>
    <w:rsid w:val="00AA30A9"/>
    <w:rsid w:val="00AA3175"/>
    <w:rsid w:val="00AA33C5"/>
    <w:rsid w:val="00AA3469"/>
    <w:rsid w:val="00AA34AC"/>
    <w:rsid w:val="00AA34E3"/>
    <w:rsid w:val="00AA362C"/>
    <w:rsid w:val="00AA3740"/>
    <w:rsid w:val="00AA376C"/>
    <w:rsid w:val="00AA382C"/>
    <w:rsid w:val="00AA3BA4"/>
    <w:rsid w:val="00AA40B2"/>
    <w:rsid w:val="00AA410C"/>
    <w:rsid w:val="00AA419B"/>
    <w:rsid w:val="00AA426D"/>
    <w:rsid w:val="00AA46E5"/>
    <w:rsid w:val="00AA4905"/>
    <w:rsid w:val="00AA4BE8"/>
    <w:rsid w:val="00AA4C01"/>
    <w:rsid w:val="00AA4FA2"/>
    <w:rsid w:val="00AA5092"/>
    <w:rsid w:val="00AA524B"/>
    <w:rsid w:val="00AA5311"/>
    <w:rsid w:val="00AA556A"/>
    <w:rsid w:val="00AA58CD"/>
    <w:rsid w:val="00AA592B"/>
    <w:rsid w:val="00AA5D51"/>
    <w:rsid w:val="00AA62A3"/>
    <w:rsid w:val="00AA62E5"/>
    <w:rsid w:val="00AA6630"/>
    <w:rsid w:val="00AA693F"/>
    <w:rsid w:val="00AA6AC4"/>
    <w:rsid w:val="00AA6C07"/>
    <w:rsid w:val="00AA6CDC"/>
    <w:rsid w:val="00AA6DCB"/>
    <w:rsid w:val="00AA6DEB"/>
    <w:rsid w:val="00AA715B"/>
    <w:rsid w:val="00AA72BA"/>
    <w:rsid w:val="00AA73C9"/>
    <w:rsid w:val="00AA73EF"/>
    <w:rsid w:val="00AA765C"/>
    <w:rsid w:val="00AA77E9"/>
    <w:rsid w:val="00AA7B23"/>
    <w:rsid w:val="00AA7B3E"/>
    <w:rsid w:val="00AB02E2"/>
    <w:rsid w:val="00AB0855"/>
    <w:rsid w:val="00AB0D5C"/>
    <w:rsid w:val="00AB0F46"/>
    <w:rsid w:val="00AB0FC1"/>
    <w:rsid w:val="00AB1028"/>
    <w:rsid w:val="00AB186E"/>
    <w:rsid w:val="00AB198D"/>
    <w:rsid w:val="00AB1E63"/>
    <w:rsid w:val="00AB1E67"/>
    <w:rsid w:val="00AB1ED2"/>
    <w:rsid w:val="00AB1F41"/>
    <w:rsid w:val="00AB2322"/>
    <w:rsid w:val="00AB2347"/>
    <w:rsid w:val="00AB236F"/>
    <w:rsid w:val="00AB2625"/>
    <w:rsid w:val="00AB2970"/>
    <w:rsid w:val="00AB2B32"/>
    <w:rsid w:val="00AB2C77"/>
    <w:rsid w:val="00AB2E3E"/>
    <w:rsid w:val="00AB2F53"/>
    <w:rsid w:val="00AB329C"/>
    <w:rsid w:val="00AB32A9"/>
    <w:rsid w:val="00AB3602"/>
    <w:rsid w:val="00AB36A9"/>
    <w:rsid w:val="00AB3A38"/>
    <w:rsid w:val="00AB3D3A"/>
    <w:rsid w:val="00AB3DD5"/>
    <w:rsid w:val="00AB459A"/>
    <w:rsid w:val="00AB459F"/>
    <w:rsid w:val="00AB4786"/>
    <w:rsid w:val="00AB485F"/>
    <w:rsid w:val="00AB4A05"/>
    <w:rsid w:val="00AB4ADC"/>
    <w:rsid w:val="00AB4B7A"/>
    <w:rsid w:val="00AB4C3E"/>
    <w:rsid w:val="00AB4C8D"/>
    <w:rsid w:val="00AB4CA3"/>
    <w:rsid w:val="00AB4D56"/>
    <w:rsid w:val="00AB4FF4"/>
    <w:rsid w:val="00AB5047"/>
    <w:rsid w:val="00AB50D2"/>
    <w:rsid w:val="00AB5122"/>
    <w:rsid w:val="00AB522F"/>
    <w:rsid w:val="00AB54B5"/>
    <w:rsid w:val="00AB5534"/>
    <w:rsid w:val="00AB5799"/>
    <w:rsid w:val="00AB58F6"/>
    <w:rsid w:val="00AB5908"/>
    <w:rsid w:val="00AB5C91"/>
    <w:rsid w:val="00AB5CD2"/>
    <w:rsid w:val="00AB5DDD"/>
    <w:rsid w:val="00AB6102"/>
    <w:rsid w:val="00AB6124"/>
    <w:rsid w:val="00AB6387"/>
    <w:rsid w:val="00AB639B"/>
    <w:rsid w:val="00AB63D4"/>
    <w:rsid w:val="00AB65CB"/>
    <w:rsid w:val="00AB6664"/>
    <w:rsid w:val="00AB6CE0"/>
    <w:rsid w:val="00AB6DA0"/>
    <w:rsid w:val="00AB7207"/>
    <w:rsid w:val="00AB731E"/>
    <w:rsid w:val="00AB736A"/>
    <w:rsid w:val="00AB76DB"/>
    <w:rsid w:val="00AB78DA"/>
    <w:rsid w:val="00AB7C1F"/>
    <w:rsid w:val="00AB7DF5"/>
    <w:rsid w:val="00AB7F12"/>
    <w:rsid w:val="00AC0018"/>
    <w:rsid w:val="00AC02AA"/>
    <w:rsid w:val="00AC0352"/>
    <w:rsid w:val="00AC04C3"/>
    <w:rsid w:val="00AC0607"/>
    <w:rsid w:val="00AC0715"/>
    <w:rsid w:val="00AC0987"/>
    <w:rsid w:val="00AC0B20"/>
    <w:rsid w:val="00AC0BB0"/>
    <w:rsid w:val="00AC0FE0"/>
    <w:rsid w:val="00AC118F"/>
    <w:rsid w:val="00AC121F"/>
    <w:rsid w:val="00AC1360"/>
    <w:rsid w:val="00AC13D5"/>
    <w:rsid w:val="00AC17DA"/>
    <w:rsid w:val="00AC19F9"/>
    <w:rsid w:val="00AC1A0B"/>
    <w:rsid w:val="00AC1A5F"/>
    <w:rsid w:val="00AC1D94"/>
    <w:rsid w:val="00AC1F98"/>
    <w:rsid w:val="00AC2081"/>
    <w:rsid w:val="00AC21F8"/>
    <w:rsid w:val="00AC271C"/>
    <w:rsid w:val="00AC29F9"/>
    <w:rsid w:val="00AC2A10"/>
    <w:rsid w:val="00AC2AD3"/>
    <w:rsid w:val="00AC2C16"/>
    <w:rsid w:val="00AC2D29"/>
    <w:rsid w:val="00AC300A"/>
    <w:rsid w:val="00AC323F"/>
    <w:rsid w:val="00AC324D"/>
    <w:rsid w:val="00AC3337"/>
    <w:rsid w:val="00AC36C1"/>
    <w:rsid w:val="00AC37B8"/>
    <w:rsid w:val="00AC37FD"/>
    <w:rsid w:val="00AC3831"/>
    <w:rsid w:val="00AC3881"/>
    <w:rsid w:val="00AC38D7"/>
    <w:rsid w:val="00AC3D48"/>
    <w:rsid w:val="00AC4034"/>
    <w:rsid w:val="00AC406C"/>
    <w:rsid w:val="00AC4105"/>
    <w:rsid w:val="00AC41D6"/>
    <w:rsid w:val="00AC423E"/>
    <w:rsid w:val="00AC42E2"/>
    <w:rsid w:val="00AC472B"/>
    <w:rsid w:val="00AC474D"/>
    <w:rsid w:val="00AC4786"/>
    <w:rsid w:val="00AC486E"/>
    <w:rsid w:val="00AC4BA7"/>
    <w:rsid w:val="00AC4E39"/>
    <w:rsid w:val="00AC4E5C"/>
    <w:rsid w:val="00AC5007"/>
    <w:rsid w:val="00AC5030"/>
    <w:rsid w:val="00AC53EF"/>
    <w:rsid w:val="00AC54A0"/>
    <w:rsid w:val="00AC552E"/>
    <w:rsid w:val="00AC5660"/>
    <w:rsid w:val="00AC56F4"/>
    <w:rsid w:val="00AC5777"/>
    <w:rsid w:val="00AC5862"/>
    <w:rsid w:val="00AC58F5"/>
    <w:rsid w:val="00AC5AD8"/>
    <w:rsid w:val="00AC5ADE"/>
    <w:rsid w:val="00AC5C99"/>
    <w:rsid w:val="00AC5D78"/>
    <w:rsid w:val="00AC6098"/>
    <w:rsid w:val="00AC61A4"/>
    <w:rsid w:val="00AC6255"/>
    <w:rsid w:val="00AC6306"/>
    <w:rsid w:val="00AC650B"/>
    <w:rsid w:val="00AC65C2"/>
    <w:rsid w:val="00AC69C3"/>
    <w:rsid w:val="00AC6A0E"/>
    <w:rsid w:val="00AC6D72"/>
    <w:rsid w:val="00AC6DC6"/>
    <w:rsid w:val="00AC6E43"/>
    <w:rsid w:val="00AC6ECD"/>
    <w:rsid w:val="00AC7116"/>
    <w:rsid w:val="00AC7188"/>
    <w:rsid w:val="00AC7225"/>
    <w:rsid w:val="00AC7371"/>
    <w:rsid w:val="00AC74ED"/>
    <w:rsid w:val="00AC7517"/>
    <w:rsid w:val="00AC75C7"/>
    <w:rsid w:val="00AC761C"/>
    <w:rsid w:val="00AC7767"/>
    <w:rsid w:val="00AC7843"/>
    <w:rsid w:val="00AC7886"/>
    <w:rsid w:val="00AC7942"/>
    <w:rsid w:val="00AC7A31"/>
    <w:rsid w:val="00AC7A9B"/>
    <w:rsid w:val="00AC7AA6"/>
    <w:rsid w:val="00AC7AE1"/>
    <w:rsid w:val="00AC7D54"/>
    <w:rsid w:val="00AC7E80"/>
    <w:rsid w:val="00AC7FC2"/>
    <w:rsid w:val="00AD020D"/>
    <w:rsid w:val="00AD0372"/>
    <w:rsid w:val="00AD0396"/>
    <w:rsid w:val="00AD0625"/>
    <w:rsid w:val="00AD0756"/>
    <w:rsid w:val="00AD07BC"/>
    <w:rsid w:val="00AD0AC9"/>
    <w:rsid w:val="00AD0FC1"/>
    <w:rsid w:val="00AD110E"/>
    <w:rsid w:val="00AD113C"/>
    <w:rsid w:val="00AD137F"/>
    <w:rsid w:val="00AD138E"/>
    <w:rsid w:val="00AD14C3"/>
    <w:rsid w:val="00AD16FA"/>
    <w:rsid w:val="00AD17E2"/>
    <w:rsid w:val="00AD1849"/>
    <w:rsid w:val="00AD199A"/>
    <w:rsid w:val="00AD1E92"/>
    <w:rsid w:val="00AD22A9"/>
    <w:rsid w:val="00AD22F5"/>
    <w:rsid w:val="00AD242E"/>
    <w:rsid w:val="00AD2804"/>
    <w:rsid w:val="00AD28CC"/>
    <w:rsid w:val="00AD2B01"/>
    <w:rsid w:val="00AD2B0F"/>
    <w:rsid w:val="00AD2B4E"/>
    <w:rsid w:val="00AD2F18"/>
    <w:rsid w:val="00AD2F8E"/>
    <w:rsid w:val="00AD3286"/>
    <w:rsid w:val="00AD3588"/>
    <w:rsid w:val="00AD3E87"/>
    <w:rsid w:val="00AD3F06"/>
    <w:rsid w:val="00AD40A1"/>
    <w:rsid w:val="00AD413A"/>
    <w:rsid w:val="00AD41BF"/>
    <w:rsid w:val="00AD41F8"/>
    <w:rsid w:val="00AD4261"/>
    <w:rsid w:val="00AD4643"/>
    <w:rsid w:val="00AD4850"/>
    <w:rsid w:val="00AD48EA"/>
    <w:rsid w:val="00AD493D"/>
    <w:rsid w:val="00AD4A7A"/>
    <w:rsid w:val="00AD4C7F"/>
    <w:rsid w:val="00AD4D17"/>
    <w:rsid w:val="00AD4E4E"/>
    <w:rsid w:val="00AD4F28"/>
    <w:rsid w:val="00AD4F45"/>
    <w:rsid w:val="00AD4FFC"/>
    <w:rsid w:val="00AD5139"/>
    <w:rsid w:val="00AD51BE"/>
    <w:rsid w:val="00AD51D7"/>
    <w:rsid w:val="00AD55A9"/>
    <w:rsid w:val="00AD590A"/>
    <w:rsid w:val="00AD6066"/>
    <w:rsid w:val="00AD628B"/>
    <w:rsid w:val="00AD643F"/>
    <w:rsid w:val="00AD661C"/>
    <w:rsid w:val="00AD6623"/>
    <w:rsid w:val="00AD689B"/>
    <w:rsid w:val="00AD69F9"/>
    <w:rsid w:val="00AD6A22"/>
    <w:rsid w:val="00AD6DF3"/>
    <w:rsid w:val="00AD6DF7"/>
    <w:rsid w:val="00AD7074"/>
    <w:rsid w:val="00AD70C2"/>
    <w:rsid w:val="00AD7299"/>
    <w:rsid w:val="00AD732E"/>
    <w:rsid w:val="00AD7452"/>
    <w:rsid w:val="00AD7754"/>
    <w:rsid w:val="00AD776B"/>
    <w:rsid w:val="00AD7888"/>
    <w:rsid w:val="00AD79E9"/>
    <w:rsid w:val="00AD7A63"/>
    <w:rsid w:val="00AD7B85"/>
    <w:rsid w:val="00AD7D6C"/>
    <w:rsid w:val="00AD7EFD"/>
    <w:rsid w:val="00AD7F68"/>
    <w:rsid w:val="00AD7F7F"/>
    <w:rsid w:val="00AE0059"/>
    <w:rsid w:val="00AE0165"/>
    <w:rsid w:val="00AE078B"/>
    <w:rsid w:val="00AE07D3"/>
    <w:rsid w:val="00AE0936"/>
    <w:rsid w:val="00AE094B"/>
    <w:rsid w:val="00AE0980"/>
    <w:rsid w:val="00AE0EBA"/>
    <w:rsid w:val="00AE0ED4"/>
    <w:rsid w:val="00AE0FC7"/>
    <w:rsid w:val="00AE1324"/>
    <w:rsid w:val="00AE13B6"/>
    <w:rsid w:val="00AE1A3C"/>
    <w:rsid w:val="00AE1A82"/>
    <w:rsid w:val="00AE1DB8"/>
    <w:rsid w:val="00AE1E80"/>
    <w:rsid w:val="00AE1F08"/>
    <w:rsid w:val="00AE20F3"/>
    <w:rsid w:val="00AE225A"/>
    <w:rsid w:val="00AE2275"/>
    <w:rsid w:val="00AE2292"/>
    <w:rsid w:val="00AE22AF"/>
    <w:rsid w:val="00AE22B8"/>
    <w:rsid w:val="00AE22BF"/>
    <w:rsid w:val="00AE256A"/>
    <w:rsid w:val="00AE26E9"/>
    <w:rsid w:val="00AE273C"/>
    <w:rsid w:val="00AE27FD"/>
    <w:rsid w:val="00AE28DC"/>
    <w:rsid w:val="00AE2965"/>
    <w:rsid w:val="00AE2AFB"/>
    <w:rsid w:val="00AE2CDD"/>
    <w:rsid w:val="00AE2D6E"/>
    <w:rsid w:val="00AE2FFC"/>
    <w:rsid w:val="00AE3262"/>
    <w:rsid w:val="00AE33E6"/>
    <w:rsid w:val="00AE352C"/>
    <w:rsid w:val="00AE377C"/>
    <w:rsid w:val="00AE38DF"/>
    <w:rsid w:val="00AE393D"/>
    <w:rsid w:val="00AE396C"/>
    <w:rsid w:val="00AE3C7F"/>
    <w:rsid w:val="00AE3F77"/>
    <w:rsid w:val="00AE46F5"/>
    <w:rsid w:val="00AE47B9"/>
    <w:rsid w:val="00AE48DB"/>
    <w:rsid w:val="00AE4B8B"/>
    <w:rsid w:val="00AE4C1A"/>
    <w:rsid w:val="00AE4E67"/>
    <w:rsid w:val="00AE4EE3"/>
    <w:rsid w:val="00AE4F5C"/>
    <w:rsid w:val="00AE4FCC"/>
    <w:rsid w:val="00AE50D2"/>
    <w:rsid w:val="00AE519E"/>
    <w:rsid w:val="00AE5416"/>
    <w:rsid w:val="00AE5636"/>
    <w:rsid w:val="00AE576E"/>
    <w:rsid w:val="00AE5869"/>
    <w:rsid w:val="00AE59F0"/>
    <w:rsid w:val="00AE5A41"/>
    <w:rsid w:val="00AE5AF6"/>
    <w:rsid w:val="00AE5B09"/>
    <w:rsid w:val="00AE5B5E"/>
    <w:rsid w:val="00AE5BE3"/>
    <w:rsid w:val="00AE5CE2"/>
    <w:rsid w:val="00AE5D6B"/>
    <w:rsid w:val="00AE5D92"/>
    <w:rsid w:val="00AE5E11"/>
    <w:rsid w:val="00AE5EB5"/>
    <w:rsid w:val="00AE5F35"/>
    <w:rsid w:val="00AE5F82"/>
    <w:rsid w:val="00AE64A6"/>
    <w:rsid w:val="00AE6646"/>
    <w:rsid w:val="00AE66CC"/>
    <w:rsid w:val="00AE6C40"/>
    <w:rsid w:val="00AE6C91"/>
    <w:rsid w:val="00AE710A"/>
    <w:rsid w:val="00AE74B3"/>
    <w:rsid w:val="00AE74C8"/>
    <w:rsid w:val="00AE74D1"/>
    <w:rsid w:val="00AE7699"/>
    <w:rsid w:val="00AE7734"/>
    <w:rsid w:val="00AE7D56"/>
    <w:rsid w:val="00AF039A"/>
    <w:rsid w:val="00AF0679"/>
    <w:rsid w:val="00AF074C"/>
    <w:rsid w:val="00AF0855"/>
    <w:rsid w:val="00AF0C9C"/>
    <w:rsid w:val="00AF0FDA"/>
    <w:rsid w:val="00AF1225"/>
    <w:rsid w:val="00AF12D7"/>
    <w:rsid w:val="00AF1312"/>
    <w:rsid w:val="00AF1459"/>
    <w:rsid w:val="00AF1633"/>
    <w:rsid w:val="00AF1662"/>
    <w:rsid w:val="00AF16B9"/>
    <w:rsid w:val="00AF1758"/>
    <w:rsid w:val="00AF1778"/>
    <w:rsid w:val="00AF1A4A"/>
    <w:rsid w:val="00AF1B2E"/>
    <w:rsid w:val="00AF1B53"/>
    <w:rsid w:val="00AF1C09"/>
    <w:rsid w:val="00AF1F45"/>
    <w:rsid w:val="00AF201E"/>
    <w:rsid w:val="00AF2048"/>
    <w:rsid w:val="00AF210C"/>
    <w:rsid w:val="00AF2168"/>
    <w:rsid w:val="00AF2343"/>
    <w:rsid w:val="00AF23B6"/>
    <w:rsid w:val="00AF23E7"/>
    <w:rsid w:val="00AF2599"/>
    <w:rsid w:val="00AF25CE"/>
    <w:rsid w:val="00AF2651"/>
    <w:rsid w:val="00AF280B"/>
    <w:rsid w:val="00AF2938"/>
    <w:rsid w:val="00AF2A1F"/>
    <w:rsid w:val="00AF2DEE"/>
    <w:rsid w:val="00AF2DF1"/>
    <w:rsid w:val="00AF306B"/>
    <w:rsid w:val="00AF320B"/>
    <w:rsid w:val="00AF32F8"/>
    <w:rsid w:val="00AF36F6"/>
    <w:rsid w:val="00AF380C"/>
    <w:rsid w:val="00AF3980"/>
    <w:rsid w:val="00AF3BC0"/>
    <w:rsid w:val="00AF3BCD"/>
    <w:rsid w:val="00AF3E0C"/>
    <w:rsid w:val="00AF3E58"/>
    <w:rsid w:val="00AF3F96"/>
    <w:rsid w:val="00AF46CF"/>
    <w:rsid w:val="00AF474A"/>
    <w:rsid w:val="00AF47B7"/>
    <w:rsid w:val="00AF4908"/>
    <w:rsid w:val="00AF4D12"/>
    <w:rsid w:val="00AF529F"/>
    <w:rsid w:val="00AF551D"/>
    <w:rsid w:val="00AF55EE"/>
    <w:rsid w:val="00AF585D"/>
    <w:rsid w:val="00AF5A0B"/>
    <w:rsid w:val="00AF5CEE"/>
    <w:rsid w:val="00AF5D09"/>
    <w:rsid w:val="00AF5D1C"/>
    <w:rsid w:val="00AF5D20"/>
    <w:rsid w:val="00AF5E83"/>
    <w:rsid w:val="00AF625D"/>
    <w:rsid w:val="00AF62B7"/>
    <w:rsid w:val="00AF65C5"/>
    <w:rsid w:val="00AF6A04"/>
    <w:rsid w:val="00AF6FBF"/>
    <w:rsid w:val="00AF6FC2"/>
    <w:rsid w:val="00AF70CB"/>
    <w:rsid w:val="00AF7377"/>
    <w:rsid w:val="00AF7404"/>
    <w:rsid w:val="00AF748D"/>
    <w:rsid w:val="00AF768C"/>
    <w:rsid w:val="00AF782F"/>
    <w:rsid w:val="00AF7877"/>
    <w:rsid w:val="00AF78BC"/>
    <w:rsid w:val="00AF79D9"/>
    <w:rsid w:val="00AF7D9B"/>
    <w:rsid w:val="00AF7E3E"/>
    <w:rsid w:val="00B001F4"/>
    <w:rsid w:val="00B00247"/>
    <w:rsid w:val="00B00406"/>
    <w:rsid w:val="00B00B5D"/>
    <w:rsid w:val="00B00BA9"/>
    <w:rsid w:val="00B00F9A"/>
    <w:rsid w:val="00B0137F"/>
    <w:rsid w:val="00B01467"/>
    <w:rsid w:val="00B0180B"/>
    <w:rsid w:val="00B01824"/>
    <w:rsid w:val="00B018AB"/>
    <w:rsid w:val="00B01A32"/>
    <w:rsid w:val="00B01AFA"/>
    <w:rsid w:val="00B01D04"/>
    <w:rsid w:val="00B01FF5"/>
    <w:rsid w:val="00B020E4"/>
    <w:rsid w:val="00B021F6"/>
    <w:rsid w:val="00B025E4"/>
    <w:rsid w:val="00B02E9F"/>
    <w:rsid w:val="00B02F42"/>
    <w:rsid w:val="00B02FE5"/>
    <w:rsid w:val="00B0332E"/>
    <w:rsid w:val="00B0343F"/>
    <w:rsid w:val="00B0370A"/>
    <w:rsid w:val="00B0377B"/>
    <w:rsid w:val="00B03833"/>
    <w:rsid w:val="00B038C1"/>
    <w:rsid w:val="00B038CA"/>
    <w:rsid w:val="00B03BF0"/>
    <w:rsid w:val="00B03CB7"/>
    <w:rsid w:val="00B03F6A"/>
    <w:rsid w:val="00B0412C"/>
    <w:rsid w:val="00B042CE"/>
    <w:rsid w:val="00B04367"/>
    <w:rsid w:val="00B0459A"/>
    <w:rsid w:val="00B047DF"/>
    <w:rsid w:val="00B04B37"/>
    <w:rsid w:val="00B04F9D"/>
    <w:rsid w:val="00B050A3"/>
    <w:rsid w:val="00B05478"/>
    <w:rsid w:val="00B055B1"/>
    <w:rsid w:val="00B05A0E"/>
    <w:rsid w:val="00B05C6E"/>
    <w:rsid w:val="00B05EBE"/>
    <w:rsid w:val="00B05FE1"/>
    <w:rsid w:val="00B05FF1"/>
    <w:rsid w:val="00B0606A"/>
    <w:rsid w:val="00B061E7"/>
    <w:rsid w:val="00B06262"/>
    <w:rsid w:val="00B062A0"/>
    <w:rsid w:val="00B06471"/>
    <w:rsid w:val="00B06491"/>
    <w:rsid w:val="00B064D4"/>
    <w:rsid w:val="00B0660D"/>
    <w:rsid w:val="00B06697"/>
    <w:rsid w:val="00B06776"/>
    <w:rsid w:val="00B067E3"/>
    <w:rsid w:val="00B06B46"/>
    <w:rsid w:val="00B06C23"/>
    <w:rsid w:val="00B06D75"/>
    <w:rsid w:val="00B06D83"/>
    <w:rsid w:val="00B06EA7"/>
    <w:rsid w:val="00B07035"/>
    <w:rsid w:val="00B0728F"/>
    <w:rsid w:val="00B0753E"/>
    <w:rsid w:val="00B076C3"/>
    <w:rsid w:val="00B078DB"/>
    <w:rsid w:val="00B0795A"/>
    <w:rsid w:val="00B079FA"/>
    <w:rsid w:val="00B07CE3"/>
    <w:rsid w:val="00B07D75"/>
    <w:rsid w:val="00B07ED4"/>
    <w:rsid w:val="00B10051"/>
    <w:rsid w:val="00B1011C"/>
    <w:rsid w:val="00B101D8"/>
    <w:rsid w:val="00B104A9"/>
    <w:rsid w:val="00B10792"/>
    <w:rsid w:val="00B1091A"/>
    <w:rsid w:val="00B10982"/>
    <w:rsid w:val="00B10A02"/>
    <w:rsid w:val="00B10EB4"/>
    <w:rsid w:val="00B11559"/>
    <w:rsid w:val="00B11B37"/>
    <w:rsid w:val="00B11BA5"/>
    <w:rsid w:val="00B11EE8"/>
    <w:rsid w:val="00B12207"/>
    <w:rsid w:val="00B12284"/>
    <w:rsid w:val="00B12294"/>
    <w:rsid w:val="00B1236F"/>
    <w:rsid w:val="00B12503"/>
    <w:rsid w:val="00B12588"/>
    <w:rsid w:val="00B125B7"/>
    <w:rsid w:val="00B12871"/>
    <w:rsid w:val="00B12875"/>
    <w:rsid w:val="00B12DBD"/>
    <w:rsid w:val="00B12E41"/>
    <w:rsid w:val="00B13029"/>
    <w:rsid w:val="00B13101"/>
    <w:rsid w:val="00B131B5"/>
    <w:rsid w:val="00B1343E"/>
    <w:rsid w:val="00B13521"/>
    <w:rsid w:val="00B13964"/>
    <w:rsid w:val="00B13BD7"/>
    <w:rsid w:val="00B13C85"/>
    <w:rsid w:val="00B1404C"/>
    <w:rsid w:val="00B142AC"/>
    <w:rsid w:val="00B143D1"/>
    <w:rsid w:val="00B14609"/>
    <w:rsid w:val="00B1492E"/>
    <w:rsid w:val="00B14969"/>
    <w:rsid w:val="00B14A68"/>
    <w:rsid w:val="00B14B16"/>
    <w:rsid w:val="00B14CB9"/>
    <w:rsid w:val="00B14CCC"/>
    <w:rsid w:val="00B14D42"/>
    <w:rsid w:val="00B15015"/>
    <w:rsid w:val="00B15049"/>
    <w:rsid w:val="00B1526C"/>
    <w:rsid w:val="00B15322"/>
    <w:rsid w:val="00B154FC"/>
    <w:rsid w:val="00B15972"/>
    <w:rsid w:val="00B15AE7"/>
    <w:rsid w:val="00B15BBD"/>
    <w:rsid w:val="00B15BEC"/>
    <w:rsid w:val="00B15D1D"/>
    <w:rsid w:val="00B15DC4"/>
    <w:rsid w:val="00B15DDE"/>
    <w:rsid w:val="00B15ECD"/>
    <w:rsid w:val="00B15F47"/>
    <w:rsid w:val="00B15FCE"/>
    <w:rsid w:val="00B161A8"/>
    <w:rsid w:val="00B165AB"/>
    <w:rsid w:val="00B166BB"/>
    <w:rsid w:val="00B16736"/>
    <w:rsid w:val="00B16A1E"/>
    <w:rsid w:val="00B16B6F"/>
    <w:rsid w:val="00B16BF1"/>
    <w:rsid w:val="00B17384"/>
    <w:rsid w:val="00B1763B"/>
    <w:rsid w:val="00B17643"/>
    <w:rsid w:val="00B176C3"/>
    <w:rsid w:val="00B1789A"/>
    <w:rsid w:val="00B179DA"/>
    <w:rsid w:val="00B17C34"/>
    <w:rsid w:val="00B17E02"/>
    <w:rsid w:val="00B17FC5"/>
    <w:rsid w:val="00B20003"/>
    <w:rsid w:val="00B20051"/>
    <w:rsid w:val="00B2030C"/>
    <w:rsid w:val="00B20660"/>
    <w:rsid w:val="00B20907"/>
    <w:rsid w:val="00B2095A"/>
    <w:rsid w:val="00B20BF5"/>
    <w:rsid w:val="00B20C7A"/>
    <w:rsid w:val="00B20CDC"/>
    <w:rsid w:val="00B20CFB"/>
    <w:rsid w:val="00B20D4A"/>
    <w:rsid w:val="00B20DA8"/>
    <w:rsid w:val="00B20DE2"/>
    <w:rsid w:val="00B20E03"/>
    <w:rsid w:val="00B20E3E"/>
    <w:rsid w:val="00B211FB"/>
    <w:rsid w:val="00B21648"/>
    <w:rsid w:val="00B21761"/>
    <w:rsid w:val="00B21822"/>
    <w:rsid w:val="00B21A86"/>
    <w:rsid w:val="00B21C89"/>
    <w:rsid w:val="00B21D1C"/>
    <w:rsid w:val="00B220EB"/>
    <w:rsid w:val="00B2211D"/>
    <w:rsid w:val="00B2245E"/>
    <w:rsid w:val="00B2257A"/>
    <w:rsid w:val="00B225D1"/>
    <w:rsid w:val="00B22862"/>
    <w:rsid w:val="00B229B7"/>
    <w:rsid w:val="00B22A33"/>
    <w:rsid w:val="00B22C3C"/>
    <w:rsid w:val="00B22C89"/>
    <w:rsid w:val="00B22C8B"/>
    <w:rsid w:val="00B22FB9"/>
    <w:rsid w:val="00B23018"/>
    <w:rsid w:val="00B23280"/>
    <w:rsid w:val="00B233AA"/>
    <w:rsid w:val="00B233F3"/>
    <w:rsid w:val="00B23447"/>
    <w:rsid w:val="00B23578"/>
    <w:rsid w:val="00B23826"/>
    <w:rsid w:val="00B23972"/>
    <w:rsid w:val="00B239FE"/>
    <w:rsid w:val="00B23FDF"/>
    <w:rsid w:val="00B24036"/>
    <w:rsid w:val="00B24060"/>
    <w:rsid w:val="00B240BA"/>
    <w:rsid w:val="00B24234"/>
    <w:rsid w:val="00B246E4"/>
    <w:rsid w:val="00B24754"/>
    <w:rsid w:val="00B2481B"/>
    <w:rsid w:val="00B248AE"/>
    <w:rsid w:val="00B248C3"/>
    <w:rsid w:val="00B24B9E"/>
    <w:rsid w:val="00B24F53"/>
    <w:rsid w:val="00B2539A"/>
    <w:rsid w:val="00B253A1"/>
    <w:rsid w:val="00B25616"/>
    <w:rsid w:val="00B2565A"/>
    <w:rsid w:val="00B25B75"/>
    <w:rsid w:val="00B25C50"/>
    <w:rsid w:val="00B260DA"/>
    <w:rsid w:val="00B26197"/>
    <w:rsid w:val="00B2628F"/>
    <w:rsid w:val="00B262AB"/>
    <w:rsid w:val="00B26333"/>
    <w:rsid w:val="00B2661F"/>
    <w:rsid w:val="00B26955"/>
    <w:rsid w:val="00B26AA8"/>
    <w:rsid w:val="00B271CD"/>
    <w:rsid w:val="00B27454"/>
    <w:rsid w:val="00B278FE"/>
    <w:rsid w:val="00B2795D"/>
    <w:rsid w:val="00B279D5"/>
    <w:rsid w:val="00B27B62"/>
    <w:rsid w:val="00B27BAD"/>
    <w:rsid w:val="00B27D38"/>
    <w:rsid w:val="00B27DE2"/>
    <w:rsid w:val="00B27ED5"/>
    <w:rsid w:val="00B30436"/>
    <w:rsid w:val="00B305E5"/>
    <w:rsid w:val="00B306E6"/>
    <w:rsid w:val="00B30797"/>
    <w:rsid w:val="00B307C9"/>
    <w:rsid w:val="00B30A1C"/>
    <w:rsid w:val="00B31029"/>
    <w:rsid w:val="00B31283"/>
    <w:rsid w:val="00B3147A"/>
    <w:rsid w:val="00B31872"/>
    <w:rsid w:val="00B31A64"/>
    <w:rsid w:val="00B31C00"/>
    <w:rsid w:val="00B31C2B"/>
    <w:rsid w:val="00B31C90"/>
    <w:rsid w:val="00B31DA3"/>
    <w:rsid w:val="00B31DCE"/>
    <w:rsid w:val="00B31E7E"/>
    <w:rsid w:val="00B31F2F"/>
    <w:rsid w:val="00B32310"/>
    <w:rsid w:val="00B323EB"/>
    <w:rsid w:val="00B32655"/>
    <w:rsid w:val="00B32E37"/>
    <w:rsid w:val="00B33032"/>
    <w:rsid w:val="00B33597"/>
    <w:rsid w:val="00B339AF"/>
    <w:rsid w:val="00B33A08"/>
    <w:rsid w:val="00B33A6C"/>
    <w:rsid w:val="00B33B16"/>
    <w:rsid w:val="00B33CB7"/>
    <w:rsid w:val="00B34083"/>
    <w:rsid w:val="00B342AE"/>
    <w:rsid w:val="00B345E7"/>
    <w:rsid w:val="00B34871"/>
    <w:rsid w:val="00B3498E"/>
    <w:rsid w:val="00B34F07"/>
    <w:rsid w:val="00B34FB6"/>
    <w:rsid w:val="00B35075"/>
    <w:rsid w:val="00B352FA"/>
    <w:rsid w:val="00B354EE"/>
    <w:rsid w:val="00B35704"/>
    <w:rsid w:val="00B3574E"/>
    <w:rsid w:val="00B357A6"/>
    <w:rsid w:val="00B3586A"/>
    <w:rsid w:val="00B35886"/>
    <w:rsid w:val="00B35A3F"/>
    <w:rsid w:val="00B35DEA"/>
    <w:rsid w:val="00B35EE5"/>
    <w:rsid w:val="00B360B4"/>
    <w:rsid w:val="00B360DE"/>
    <w:rsid w:val="00B3629C"/>
    <w:rsid w:val="00B362C5"/>
    <w:rsid w:val="00B362E1"/>
    <w:rsid w:val="00B363CD"/>
    <w:rsid w:val="00B3663E"/>
    <w:rsid w:val="00B3671B"/>
    <w:rsid w:val="00B36868"/>
    <w:rsid w:val="00B36B5C"/>
    <w:rsid w:val="00B36CEB"/>
    <w:rsid w:val="00B36D31"/>
    <w:rsid w:val="00B36D34"/>
    <w:rsid w:val="00B37093"/>
    <w:rsid w:val="00B37475"/>
    <w:rsid w:val="00B374EE"/>
    <w:rsid w:val="00B37588"/>
    <w:rsid w:val="00B37628"/>
    <w:rsid w:val="00B376F4"/>
    <w:rsid w:val="00B37755"/>
    <w:rsid w:val="00B377AF"/>
    <w:rsid w:val="00B37A88"/>
    <w:rsid w:val="00B37AC5"/>
    <w:rsid w:val="00B37B9A"/>
    <w:rsid w:val="00B37D47"/>
    <w:rsid w:val="00B37ECB"/>
    <w:rsid w:val="00B37EF7"/>
    <w:rsid w:val="00B37F18"/>
    <w:rsid w:val="00B4003F"/>
    <w:rsid w:val="00B40083"/>
    <w:rsid w:val="00B4011A"/>
    <w:rsid w:val="00B40387"/>
    <w:rsid w:val="00B40556"/>
    <w:rsid w:val="00B40755"/>
    <w:rsid w:val="00B40811"/>
    <w:rsid w:val="00B40884"/>
    <w:rsid w:val="00B40B20"/>
    <w:rsid w:val="00B40B98"/>
    <w:rsid w:val="00B40C5D"/>
    <w:rsid w:val="00B40CBA"/>
    <w:rsid w:val="00B40D40"/>
    <w:rsid w:val="00B40EE3"/>
    <w:rsid w:val="00B40EF8"/>
    <w:rsid w:val="00B41005"/>
    <w:rsid w:val="00B4101D"/>
    <w:rsid w:val="00B413E6"/>
    <w:rsid w:val="00B41602"/>
    <w:rsid w:val="00B41D05"/>
    <w:rsid w:val="00B41DB8"/>
    <w:rsid w:val="00B420DE"/>
    <w:rsid w:val="00B420F9"/>
    <w:rsid w:val="00B4215C"/>
    <w:rsid w:val="00B42208"/>
    <w:rsid w:val="00B425DF"/>
    <w:rsid w:val="00B42659"/>
    <w:rsid w:val="00B428EF"/>
    <w:rsid w:val="00B4291D"/>
    <w:rsid w:val="00B429AF"/>
    <w:rsid w:val="00B42BFA"/>
    <w:rsid w:val="00B43146"/>
    <w:rsid w:val="00B432E9"/>
    <w:rsid w:val="00B43319"/>
    <w:rsid w:val="00B43457"/>
    <w:rsid w:val="00B438FF"/>
    <w:rsid w:val="00B43930"/>
    <w:rsid w:val="00B43DB8"/>
    <w:rsid w:val="00B43E40"/>
    <w:rsid w:val="00B43E43"/>
    <w:rsid w:val="00B43F84"/>
    <w:rsid w:val="00B441FB"/>
    <w:rsid w:val="00B444CF"/>
    <w:rsid w:val="00B444DF"/>
    <w:rsid w:val="00B444FD"/>
    <w:rsid w:val="00B44533"/>
    <w:rsid w:val="00B4481E"/>
    <w:rsid w:val="00B44970"/>
    <w:rsid w:val="00B44A1F"/>
    <w:rsid w:val="00B44BE9"/>
    <w:rsid w:val="00B44BFA"/>
    <w:rsid w:val="00B44D3C"/>
    <w:rsid w:val="00B44E95"/>
    <w:rsid w:val="00B44F2C"/>
    <w:rsid w:val="00B45038"/>
    <w:rsid w:val="00B45199"/>
    <w:rsid w:val="00B45370"/>
    <w:rsid w:val="00B456F9"/>
    <w:rsid w:val="00B459E9"/>
    <w:rsid w:val="00B459FE"/>
    <w:rsid w:val="00B45B3C"/>
    <w:rsid w:val="00B45CCD"/>
    <w:rsid w:val="00B45D56"/>
    <w:rsid w:val="00B45D7D"/>
    <w:rsid w:val="00B45E13"/>
    <w:rsid w:val="00B45F37"/>
    <w:rsid w:val="00B460E1"/>
    <w:rsid w:val="00B46301"/>
    <w:rsid w:val="00B463EF"/>
    <w:rsid w:val="00B4644B"/>
    <w:rsid w:val="00B464C3"/>
    <w:rsid w:val="00B464D3"/>
    <w:rsid w:val="00B465E5"/>
    <w:rsid w:val="00B465EE"/>
    <w:rsid w:val="00B468B6"/>
    <w:rsid w:val="00B46969"/>
    <w:rsid w:val="00B469B2"/>
    <w:rsid w:val="00B46A07"/>
    <w:rsid w:val="00B46CBD"/>
    <w:rsid w:val="00B46D7C"/>
    <w:rsid w:val="00B46D8C"/>
    <w:rsid w:val="00B46DDF"/>
    <w:rsid w:val="00B46DF9"/>
    <w:rsid w:val="00B46E41"/>
    <w:rsid w:val="00B470A7"/>
    <w:rsid w:val="00B473EA"/>
    <w:rsid w:val="00B474D2"/>
    <w:rsid w:val="00B47598"/>
    <w:rsid w:val="00B47761"/>
    <w:rsid w:val="00B47A1D"/>
    <w:rsid w:val="00B47ABA"/>
    <w:rsid w:val="00B47B52"/>
    <w:rsid w:val="00B47B6A"/>
    <w:rsid w:val="00B47F4C"/>
    <w:rsid w:val="00B47FCF"/>
    <w:rsid w:val="00B500F8"/>
    <w:rsid w:val="00B501CC"/>
    <w:rsid w:val="00B503C6"/>
    <w:rsid w:val="00B5067F"/>
    <w:rsid w:val="00B508EC"/>
    <w:rsid w:val="00B50A1C"/>
    <w:rsid w:val="00B50B0B"/>
    <w:rsid w:val="00B50D02"/>
    <w:rsid w:val="00B50E7B"/>
    <w:rsid w:val="00B51386"/>
    <w:rsid w:val="00B51860"/>
    <w:rsid w:val="00B51D9D"/>
    <w:rsid w:val="00B51DEF"/>
    <w:rsid w:val="00B51E09"/>
    <w:rsid w:val="00B51E71"/>
    <w:rsid w:val="00B51FB6"/>
    <w:rsid w:val="00B52473"/>
    <w:rsid w:val="00B52480"/>
    <w:rsid w:val="00B526F0"/>
    <w:rsid w:val="00B52720"/>
    <w:rsid w:val="00B52A14"/>
    <w:rsid w:val="00B52A7B"/>
    <w:rsid w:val="00B52AD2"/>
    <w:rsid w:val="00B52BCA"/>
    <w:rsid w:val="00B52C2B"/>
    <w:rsid w:val="00B52D20"/>
    <w:rsid w:val="00B52E21"/>
    <w:rsid w:val="00B52E89"/>
    <w:rsid w:val="00B53006"/>
    <w:rsid w:val="00B530E3"/>
    <w:rsid w:val="00B531D5"/>
    <w:rsid w:val="00B534EC"/>
    <w:rsid w:val="00B53893"/>
    <w:rsid w:val="00B5393E"/>
    <w:rsid w:val="00B53B1A"/>
    <w:rsid w:val="00B53C0C"/>
    <w:rsid w:val="00B54030"/>
    <w:rsid w:val="00B540CE"/>
    <w:rsid w:val="00B5441D"/>
    <w:rsid w:val="00B5471F"/>
    <w:rsid w:val="00B547A3"/>
    <w:rsid w:val="00B549D8"/>
    <w:rsid w:val="00B54BDB"/>
    <w:rsid w:val="00B54CA5"/>
    <w:rsid w:val="00B54EAA"/>
    <w:rsid w:val="00B55058"/>
    <w:rsid w:val="00B5505B"/>
    <w:rsid w:val="00B551FA"/>
    <w:rsid w:val="00B552C9"/>
    <w:rsid w:val="00B55542"/>
    <w:rsid w:val="00B557C7"/>
    <w:rsid w:val="00B5593E"/>
    <w:rsid w:val="00B55945"/>
    <w:rsid w:val="00B55CF2"/>
    <w:rsid w:val="00B5608F"/>
    <w:rsid w:val="00B56136"/>
    <w:rsid w:val="00B5626C"/>
    <w:rsid w:val="00B562AA"/>
    <w:rsid w:val="00B568F5"/>
    <w:rsid w:val="00B5697E"/>
    <w:rsid w:val="00B56A3D"/>
    <w:rsid w:val="00B56D62"/>
    <w:rsid w:val="00B56DB9"/>
    <w:rsid w:val="00B57211"/>
    <w:rsid w:val="00B57393"/>
    <w:rsid w:val="00B574EC"/>
    <w:rsid w:val="00B575BF"/>
    <w:rsid w:val="00B575CB"/>
    <w:rsid w:val="00B5784C"/>
    <w:rsid w:val="00B57A36"/>
    <w:rsid w:val="00B57C91"/>
    <w:rsid w:val="00B57ED8"/>
    <w:rsid w:val="00B57F11"/>
    <w:rsid w:val="00B60717"/>
    <w:rsid w:val="00B60BF3"/>
    <w:rsid w:val="00B60C0E"/>
    <w:rsid w:val="00B60E26"/>
    <w:rsid w:val="00B60E46"/>
    <w:rsid w:val="00B61298"/>
    <w:rsid w:val="00B612BA"/>
    <w:rsid w:val="00B612ED"/>
    <w:rsid w:val="00B6130D"/>
    <w:rsid w:val="00B61430"/>
    <w:rsid w:val="00B614A6"/>
    <w:rsid w:val="00B6159F"/>
    <w:rsid w:val="00B617A3"/>
    <w:rsid w:val="00B617CD"/>
    <w:rsid w:val="00B6185A"/>
    <w:rsid w:val="00B61B17"/>
    <w:rsid w:val="00B61C13"/>
    <w:rsid w:val="00B61C78"/>
    <w:rsid w:val="00B61C8C"/>
    <w:rsid w:val="00B61E27"/>
    <w:rsid w:val="00B61ECE"/>
    <w:rsid w:val="00B61F35"/>
    <w:rsid w:val="00B62054"/>
    <w:rsid w:val="00B6230B"/>
    <w:rsid w:val="00B62510"/>
    <w:rsid w:val="00B628FA"/>
    <w:rsid w:val="00B62E7B"/>
    <w:rsid w:val="00B62E9D"/>
    <w:rsid w:val="00B63018"/>
    <w:rsid w:val="00B63046"/>
    <w:rsid w:val="00B63130"/>
    <w:rsid w:val="00B631A7"/>
    <w:rsid w:val="00B63204"/>
    <w:rsid w:val="00B6331A"/>
    <w:rsid w:val="00B63351"/>
    <w:rsid w:val="00B6383B"/>
    <w:rsid w:val="00B63993"/>
    <w:rsid w:val="00B63C6A"/>
    <w:rsid w:val="00B63CA6"/>
    <w:rsid w:val="00B63EFF"/>
    <w:rsid w:val="00B63F31"/>
    <w:rsid w:val="00B63FD6"/>
    <w:rsid w:val="00B64004"/>
    <w:rsid w:val="00B641B7"/>
    <w:rsid w:val="00B642B6"/>
    <w:rsid w:val="00B643F4"/>
    <w:rsid w:val="00B6466E"/>
    <w:rsid w:val="00B646DB"/>
    <w:rsid w:val="00B64B13"/>
    <w:rsid w:val="00B64C60"/>
    <w:rsid w:val="00B64CBC"/>
    <w:rsid w:val="00B650C7"/>
    <w:rsid w:val="00B653F5"/>
    <w:rsid w:val="00B65639"/>
    <w:rsid w:val="00B65823"/>
    <w:rsid w:val="00B659A3"/>
    <w:rsid w:val="00B65A45"/>
    <w:rsid w:val="00B65A6C"/>
    <w:rsid w:val="00B65D4F"/>
    <w:rsid w:val="00B660B3"/>
    <w:rsid w:val="00B662C9"/>
    <w:rsid w:val="00B66469"/>
    <w:rsid w:val="00B6666D"/>
    <w:rsid w:val="00B66761"/>
    <w:rsid w:val="00B66809"/>
    <w:rsid w:val="00B669EC"/>
    <w:rsid w:val="00B66A05"/>
    <w:rsid w:val="00B66CE8"/>
    <w:rsid w:val="00B66D4D"/>
    <w:rsid w:val="00B66EA1"/>
    <w:rsid w:val="00B6711A"/>
    <w:rsid w:val="00B67169"/>
    <w:rsid w:val="00B67183"/>
    <w:rsid w:val="00B67448"/>
    <w:rsid w:val="00B675A0"/>
    <w:rsid w:val="00B675CB"/>
    <w:rsid w:val="00B67677"/>
    <w:rsid w:val="00B67692"/>
    <w:rsid w:val="00B676C4"/>
    <w:rsid w:val="00B67924"/>
    <w:rsid w:val="00B67AB6"/>
    <w:rsid w:val="00B67B2F"/>
    <w:rsid w:val="00B67E3F"/>
    <w:rsid w:val="00B67EFA"/>
    <w:rsid w:val="00B7002A"/>
    <w:rsid w:val="00B7005C"/>
    <w:rsid w:val="00B700CB"/>
    <w:rsid w:val="00B702C8"/>
    <w:rsid w:val="00B7031D"/>
    <w:rsid w:val="00B70584"/>
    <w:rsid w:val="00B705A4"/>
    <w:rsid w:val="00B705C9"/>
    <w:rsid w:val="00B7075B"/>
    <w:rsid w:val="00B707FE"/>
    <w:rsid w:val="00B7088E"/>
    <w:rsid w:val="00B7095A"/>
    <w:rsid w:val="00B70B1D"/>
    <w:rsid w:val="00B70E17"/>
    <w:rsid w:val="00B70F0D"/>
    <w:rsid w:val="00B7107C"/>
    <w:rsid w:val="00B710D3"/>
    <w:rsid w:val="00B71275"/>
    <w:rsid w:val="00B7143A"/>
    <w:rsid w:val="00B71537"/>
    <w:rsid w:val="00B71543"/>
    <w:rsid w:val="00B715EF"/>
    <w:rsid w:val="00B7184E"/>
    <w:rsid w:val="00B718C8"/>
    <w:rsid w:val="00B71E64"/>
    <w:rsid w:val="00B720E8"/>
    <w:rsid w:val="00B72355"/>
    <w:rsid w:val="00B7258A"/>
    <w:rsid w:val="00B7279D"/>
    <w:rsid w:val="00B72E08"/>
    <w:rsid w:val="00B73144"/>
    <w:rsid w:val="00B73353"/>
    <w:rsid w:val="00B7337A"/>
    <w:rsid w:val="00B733D9"/>
    <w:rsid w:val="00B73A6D"/>
    <w:rsid w:val="00B73B0D"/>
    <w:rsid w:val="00B73B31"/>
    <w:rsid w:val="00B73CCC"/>
    <w:rsid w:val="00B73E8C"/>
    <w:rsid w:val="00B74047"/>
    <w:rsid w:val="00B742F9"/>
    <w:rsid w:val="00B74343"/>
    <w:rsid w:val="00B74640"/>
    <w:rsid w:val="00B74822"/>
    <w:rsid w:val="00B7497C"/>
    <w:rsid w:val="00B74DB6"/>
    <w:rsid w:val="00B74FA4"/>
    <w:rsid w:val="00B750D1"/>
    <w:rsid w:val="00B75102"/>
    <w:rsid w:val="00B75115"/>
    <w:rsid w:val="00B751BD"/>
    <w:rsid w:val="00B7531E"/>
    <w:rsid w:val="00B7554D"/>
    <w:rsid w:val="00B75718"/>
    <w:rsid w:val="00B75857"/>
    <w:rsid w:val="00B759A3"/>
    <w:rsid w:val="00B75A40"/>
    <w:rsid w:val="00B75ABA"/>
    <w:rsid w:val="00B75AE0"/>
    <w:rsid w:val="00B75BD5"/>
    <w:rsid w:val="00B75C32"/>
    <w:rsid w:val="00B75CF1"/>
    <w:rsid w:val="00B75D9C"/>
    <w:rsid w:val="00B75DFB"/>
    <w:rsid w:val="00B760BE"/>
    <w:rsid w:val="00B760FC"/>
    <w:rsid w:val="00B7611C"/>
    <w:rsid w:val="00B76120"/>
    <w:rsid w:val="00B76210"/>
    <w:rsid w:val="00B7623E"/>
    <w:rsid w:val="00B76565"/>
    <w:rsid w:val="00B76798"/>
    <w:rsid w:val="00B7699F"/>
    <w:rsid w:val="00B76AF5"/>
    <w:rsid w:val="00B76B4F"/>
    <w:rsid w:val="00B76B56"/>
    <w:rsid w:val="00B76CF2"/>
    <w:rsid w:val="00B76E28"/>
    <w:rsid w:val="00B76E4D"/>
    <w:rsid w:val="00B76E64"/>
    <w:rsid w:val="00B76F71"/>
    <w:rsid w:val="00B7709D"/>
    <w:rsid w:val="00B770BF"/>
    <w:rsid w:val="00B77345"/>
    <w:rsid w:val="00B77461"/>
    <w:rsid w:val="00B7764A"/>
    <w:rsid w:val="00B778C3"/>
    <w:rsid w:val="00B779DB"/>
    <w:rsid w:val="00B77A1B"/>
    <w:rsid w:val="00B77A9E"/>
    <w:rsid w:val="00B77D3D"/>
    <w:rsid w:val="00B77D6E"/>
    <w:rsid w:val="00B77EC0"/>
    <w:rsid w:val="00B803C5"/>
    <w:rsid w:val="00B80436"/>
    <w:rsid w:val="00B8048A"/>
    <w:rsid w:val="00B80548"/>
    <w:rsid w:val="00B805E0"/>
    <w:rsid w:val="00B80622"/>
    <w:rsid w:val="00B80650"/>
    <w:rsid w:val="00B806F2"/>
    <w:rsid w:val="00B80810"/>
    <w:rsid w:val="00B80A17"/>
    <w:rsid w:val="00B80A2B"/>
    <w:rsid w:val="00B80B5B"/>
    <w:rsid w:val="00B81069"/>
    <w:rsid w:val="00B8109F"/>
    <w:rsid w:val="00B81371"/>
    <w:rsid w:val="00B81468"/>
    <w:rsid w:val="00B818B9"/>
    <w:rsid w:val="00B8195E"/>
    <w:rsid w:val="00B81C4C"/>
    <w:rsid w:val="00B81DEF"/>
    <w:rsid w:val="00B81F4E"/>
    <w:rsid w:val="00B81FA1"/>
    <w:rsid w:val="00B81FD8"/>
    <w:rsid w:val="00B8265E"/>
    <w:rsid w:val="00B827AE"/>
    <w:rsid w:val="00B82832"/>
    <w:rsid w:val="00B82C4C"/>
    <w:rsid w:val="00B82C6E"/>
    <w:rsid w:val="00B82FBB"/>
    <w:rsid w:val="00B83791"/>
    <w:rsid w:val="00B837AA"/>
    <w:rsid w:val="00B83845"/>
    <w:rsid w:val="00B83875"/>
    <w:rsid w:val="00B8393F"/>
    <w:rsid w:val="00B83948"/>
    <w:rsid w:val="00B839AA"/>
    <w:rsid w:val="00B83B88"/>
    <w:rsid w:val="00B83BBC"/>
    <w:rsid w:val="00B83DA3"/>
    <w:rsid w:val="00B83E05"/>
    <w:rsid w:val="00B83F5B"/>
    <w:rsid w:val="00B841BE"/>
    <w:rsid w:val="00B8426D"/>
    <w:rsid w:val="00B843EA"/>
    <w:rsid w:val="00B843EC"/>
    <w:rsid w:val="00B84584"/>
    <w:rsid w:val="00B846D4"/>
    <w:rsid w:val="00B849EC"/>
    <w:rsid w:val="00B84C20"/>
    <w:rsid w:val="00B84E71"/>
    <w:rsid w:val="00B84ED9"/>
    <w:rsid w:val="00B84F2D"/>
    <w:rsid w:val="00B85251"/>
    <w:rsid w:val="00B853BA"/>
    <w:rsid w:val="00B8552D"/>
    <w:rsid w:val="00B857D5"/>
    <w:rsid w:val="00B85817"/>
    <w:rsid w:val="00B85ADB"/>
    <w:rsid w:val="00B85CDF"/>
    <w:rsid w:val="00B85F56"/>
    <w:rsid w:val="00B86125"/>
    <w:rsid w:val="00B86231"/>
    <w:rsid w:val="00B863EB"/>
    <w:rsid w:val="00B864DD"/>
    <w:rsid w:val="00B86E85"/>
    <w:rsid w:val="00B86FA6"/>
    <w:rsid w:val="00B86FFD"/>
    <w:rsid w:val="00B87088"/>
    <w:rsid w:val="00B87262"/>
    <w:rsid w:val="00B872B3"/>
    <w:rsid w:val="00B8756C"/>
    <w:rsid w:val="00B87683"/>
    <w:rsid w:val="00B878A3"/>
    <w:rsid w:val="00B878F3"/>
    <w:rsid w:val="00B879DE"/>
    <w:rsid w:val="00B87EBF"/>
    <w:rsid w:val="00B87F69"/>
    <w:rsid w:val="00B87FAB"/>
    <w:rsid w:val="00B87FC2"/>
    <w:rsid w:val="00B905EF"/>
    <w:rsid w:val="00B90715"/>
    <w:rsid w:val="00B90723"/>
    <w:rsid w:val="00B90770"/>
    <w:rsid w:val="00B907E0"/>
    <w:rsid w:val="00B908ED"/>
    <w:rsid w:val="00B90F0E"/>
    <w:rsid w:val="00B90F72"/>
    <w:rsid w:val="00B912CF"/>
    <w:rsid w:val="00B914C1"/>
    <w:rsid w:val="00B9152F"/>
    <w:rsid w:val="00B91588"/>
    <w:rsid w:val="00B91689"/>
    <w:rsid w:val="00B91707"/>
    <w:rsid w:val="00B917CC"/>
    <w:rsid w:val="00B91854"/>
    <w:rsid w:val="00B9194A"/>
    <w:rsid w:val="00B91AAA"/>
    <w:rsid w:val="00B91CE4"/>
    <w:rsid w:val="00B91D84"/>
    <w:rsid w:val="00B91D96"/>
    <w:rsid w:val="00B91DB4"/>
    <w:rsid w:val="00B92161"/>
    <w:rsid w:val="00B921CB"/>
    <w:rsid w:val="00B921CF"/>
    <w:rsid w:val="00B922B0"/>
    <w:rsid w:val="00B92820"/>
    <w:rsid w:val="00B92ADD"/>
    <w:rsid w:val="00B92DC1"/>
    <w:rsid w:val="00B92EDD"/>
    <w:rsid w:val="00B9323C"/>
    <w:rsid w:val="00B934B6"/>
    <w:rsid w:val="00B934E3"/>
    <w:rsid w:val="00B935C1"/>
    <w:rsid w:val="00B93895"/>
    <w:rsid w:val="00B93906"/>
    <w:rsid w:val="00B939EE"/>
    <w:rsid w:val="00B93A8C"/>
    <w:rsid w:val="00B93E48"/>
    <w:rsid w:val="00B93F23"/>
    <w:rsid w:val="00B943CF"/>
    <w:rsid w:val="00B9488B"/>
    <w:rsid w:val="00B948E2"/>
    <w:rsid w:val="00B94C72"/>
    <w:rsid w:val="00B94D7C"/>
    <w:rsid w:val="00B94D7F"/>
    <w:rsid w:val="00B94DA8"/>
    <w:rsid w:val="00B952A7"/>
    <w:rsid w:val="00B954B1"/>
    <w:rsid w:val="00B955FF"/>
    <w:rsid w:val="00B956AC"/>
    <w:rsid w:val="00B957A1"/>
    <w:rsid w:val="00B958FB"/>
    <w:rsid w:val="00B95A65"/>
    <w:rsid w:val="00B95AD7"/>
    <w:rsid w:val="00B95DFF"/>
    <w:rsid w:val="00B95F0D"/>
    <w:rsid w:val="00B9607E"/>
    <w:rsid w:val="00B961B5"/>
    <w:rsid w:val="00B9623E"/>
    <w:rsid w:val="00B962CB"/>
    <w:rsid w:val="00B963F3"/>
    <w:rsid w:val="00B9646C"/>
    <w:rsid w:val="00B96567"/>
    <w:rsid w:val="00B965E4"/>
    <w:rsid w:val="00B9673E"/>
    <w:rsid w:val="00B96805"/>
    <w:rsid w:val="00B968BF"/>
    <w:rsid w:val="00B96A5B"/>
    <w:rsid w:val="00B96BB2"/>
    <w:rsid w:val="00B96C51"/>
    <w:rsid w:val="00B96C5E"/>
    <w:rsid w:val="00B96E1D"/>
    <w:rsid w:val="00B96FDB"/>
    <w:rsid w:val="00B9703C"/>
    <w:rsid w:val="00B971CD"/>
    <w:rsid w:val="00B972A1"/>
    <w:rsid w:val="00B972A7"/>
    <w:rsid w:val="00B97813"/>
    <w:rsid w:val="00B9794E"/>
    <w:rsid w:val="00B97DCC"/>
    <w:rsid w:val="00BA00F2"/>
    <w:rsid w:val="00BA028A"/>
    <w:rsid w:val="00BA0411"/>
    <w:rsid w:val="00BA09D3"/>
    <w:rsid w:val="00BA0A18"/>
    <w:rsid w:val="00BA0B00"/>
    <w:rsid w:val="00BA0BB1"/>
    <w:rsid w:val="00BA0C66"/>
    <w:rsid w:val="00BA0DCF"/>
    <w:rsid w:val="00BA1077"/>
    <w:rsid w:val="00BA10F4"/>
    <w:rsid w:val="00BA112B"/>
    <w:rsid w:val="00BA13A2"/>
    <w:rsid w:val="00BA13B1"/>
    <w:rsid w:val="00BA146E"/>
    <w:rsid w:val="00BA1470"/>
    <w:rsid w:val="00BA148A"/>
    <w:rsid w:val="00BA15C7"/>
    <w:rsid w:val="00BA1866"/>
    <w:rsid w:val="00BA19BD"/>
    <w:rsid w:val="00BA1A63"/>
    <w:rsid w:val="00BA1ACC"/>
    <w:rsid w:val="00BA1B38"/>
    <w:rsid w:val="00BA1C0B"/>
    <w:rsid w:val="00BA1C5D"/>
    <w:rsid w:val="00BA1C9C"/>
    <w:rsid w:val="00BA1DB4"/>
    <w:rsid w:val="00BA1E63"/>
    <w:rsid w:val="00BA1E85"/>
    <w:rsid w:val="00BA2076"/>
    <w:rsid w:val="00BA20B9"/>
    <w:rsid w:val="00BA20BF"/>
    <w:rsid w:val="00BA2301"/>
    <w:rsid w:val="00BA230D"/>
    <w:rsid w:val="00BA2544"/>
    <w:rsid w:val="00BA25A1"/>
    <w:rsid w:val="00BA291A"/>
    <w:rsid w:val="00BA2E13"/>
    <w:rsid w:val="00BA3063"/>
    <w:rsid w:val="00BA31B0"/>
    <w:rsid w:val="00BA32E8"/>
    <w:rsid w:val="00BA3576"/>
    <w:rsid w:val="00BA3643"/>
    <w:rsid w:val="00BA3920"/>
    <w:rsid w:val="00BA394B"/>
    <w:rsid w:val="00BA3AB7"/>
    <w:rsid w:val="00BA3ACE"/>
    <w:rsid w:val="00BA3AF6"/>
    <w:rsid w:val="00BA3BD8"/>
    <w:rsid w:val="00BA3F9E"/>
    <w:rsid w:val="00BA42D9"/>
    <w:rsid w:val="00BA4743"/>
    <w:rsid w:val="00BA4907"/>
    <w:rsid w:val="00BA4A12"/>
    <w:rsid w:val="00BA4D90"/>
    <w:rsid w:val="00BA4E1B"/>
    <w:rsid w:val="00BA505F"/>
    <w:rsid w:val="00BA51A2"/>
    <w:rsid w:val="00BA56FB"/>
    <w:rsid w:val="00BA5788"/>
    <w:rsid w:val="00BA59E9"/>
    <w:rsid w:val="00BA5A78"/>
    <w:rsid w:val="00BA5E34"/>
    <w:rsid w:val="00BA5E36"/>
    <w:rsid w:val="00BA6058"/>
    <w:rsid w:val="00BA643A"/>
    <w:rsid w:val="00BA648C"/>
    <w:rsid w:val="00BA6523"/>
    <w:rsid w:val="00BA65A2"/>
    <w:rsid w:val="00BA6834"/>
    <w:rsid w:val="00BA6AA7"/>
    <w:rsid w:val="00BA6B36"/>
    <w:rsid w:val="00BA6F85"/>
    <w:rsid w:val="00BA6FED"/>
    <w:rsid w:val="00BA72D8"/>
    <w:rsid w:val="00BA75A3"/>
    <w:rsid w:val="00BA7B93"/>
    <w:rsid w:val="00BA7BD6"/>
    <w:rsid w:val="00BB022B"/>
    <w:rsid w:val="00BB0385"/>
    <w:rsid w:val="00BB0720"/>
    <w:rsid w:val="00BB0E55"/>
    <w:rsid w:val="00BB0FC0"/>
    <w:rsid w:val="00BB1009"/>
    <w:rsid w:val="00BB125F"/>
    <w:rsid w:val="00BB12F0"/>
    <w:rsid w:val="00BB1423"/>
    <w:rsid w:val="00BB174A"/>
    <w:rsid w:val="00BB1845"/>
    <w:rsid w:val="00BB184A"/>
    <w:rsid w:val="00BB19ED"/>
    <w:rsid w:val="00BB19F6"/>
    <w:rsid w:val="00BB1B4B"/>
    <w:rsid w:val="00BB1B8E"/>
    <w:rsid w:val="00BB1C81"/>
    <w:rsid w:val="00BB1CDD"/>
    <w:rsid w:val="00BB1E10"/>
    <w:rsid w:val="00BB1F07"/>
    <w:rsid w:val="00BB232B"/>
    <w:rsid w:val="00BB24BF"/>
    <w:rsid w:val="00BB2670"/>
    <w:rsid w:val="00BB268D"/>
    <w:rsid w:val="00BB2AC0"/>
    <w:rsid w:val="00BB2C02"/>
    <w:rsid w:val="00BB2C72"/>
    <w:rsid w:val="00BB2CBE"/>
    <w:rsid w:val="00BB2E79"/>
    <w:rsid w:val="00BB2FB4"/>
    <w:rsid w:val="00BB2FD0"/>
    <w:rsid w:val="00BB30A2"/>
    <w:rsid w:val="00BB328D"/>
    <w:rsid w:val="00BB3340"/>
    <w:rsid w:val="00BB345A"/>
    <w:rsid w:val="00BB3B81"/>
    <w:rsid w:val="00BB3C12"/>
    <w:rsid w:val="00BB3E75"/>
    <w:rsid w:val="00BB411C"/>
    <w:rsid w:val="00BB4281"/>
    <w:rsid w:val="00BB438E"/>
    <w:rsid w:val="00BB471E"/>
    <w:rsid w:val="00BB479A"/>
    <w:rsid w:val="00BB49DF"/>
    <w:rsid w:val="00BB4A7A"/>
    <w:rsid w:val="00BB4BEC"/>
    <w:rsid w:val="00BB4C5C"/>
    <w:rsid w:val="00BB51B2"/>
    <w:rsid w:val="00BB5278"/>
    <w:rsid w:val="00BB560A"/>
    <w:rsid w:val="00BB5634"/>
    <w:rsid w:val="00BB5AE9"/>
    <w:rsid w:val="00BB5DCE"/>
    <w:rsid w:val="00BB64B6"/>
    <w:rsid w:val="00BB65EE"/>
    <w:rsid w:val="00BB6987"/>
    <w:rsid w:val="00BB6A60"/>
    <w:rsid w:val="00BB6CB3"/>
    <w:rsid w:val="00BB6DFF"/>
    <w:rsid w:val="00BB6E05"/>
    <w:rsid w:val="00BB6F1A"/>
    <w:rsid w:val="00BB7108"/>
    <w:rsid w:val="00BB72D2"/>
    <w:rsid w:val="00BB7449"/>
    <w:rsid w:val="00BB75AE"/>
    <w:rsid w:val="00BB790E"/>
    <w:rsid w:val="00BB79A9"/>
    <w:rsid w:val="00BB7A03"/>
    <w:rsid w:val="00BB7A6F"/>
    <w:rsid w:val="00BB7B92"/>
    <w:rsid w:val="00BB7C32"/>
    <w:rsid w:val="00BB7CCE"/>
    <w:rsid w:val="00BB7E0A"/>
    <w:rsid w:val="00BB7E34"/>
    <w:rsid w:val="00BC0047"/>
    <w:rsid w:val="00BC01A9"/>
    <w:rsid w:val="00BC0331"/>
    <w:rsid w:val="00BC035D"/>
    <w:rsid w:val="00BC05F8"/>
    <w:rsid w:val="00BC0940"/>
    <w:rsid w:val="00BC0ABF"/>
    <w:rsid w:val="00BC0E17"/>
    <w:rsid w:val="00BC121C"/>
    <w:rsid w:val="00BC12C8"/>
    <w:rsid w:val="00BC1306"/>
    <w:rsid w:val="00BC1317"/>
    <w:rsid w:val="00BC15AC"/>
    <w:rsid w:val="00BC15D1"/>
    <w:rsid w:val="00BC1710"/>
    <w:rsid w:val="00BC1713"/>
    <w:rsid w:val="00BC1C41"/>
    <w:rsid w:val="00BC1D31"/>
    <w:rsid w:val="00BC1E09"/>
    <w:rsid w:val="00BC1E82"/>
    <w:rsid w:val="00BC1ED0"/>
    <w:rsid w:val="00BC22AA"/>
    <w:rsid w:val="00BC255A"/>
    <w:rsid w:val="00BC266F"/>
    <w:rsid w:val="00BC26AC"/>
    <w:rsid w:val="00BC271C"/>
    <w:rsid w:val="00BC2A4E"/>
    <w:rsid w:val="00BC2C06"/>
    <w:rsid w:val="00BC2C4D"/>
    <w:rsid w:val="00BC2DC2"/>
    <w:rsid w:val="00BC301F"/>
    <w:rsid w:val="00BC30EF"/>
    <w:rsid w:val="00BC35B4"/>
    <w:rsid w:val="00BC3859"/>
    <w:rsid w:val="00BC3A85"/>
    <w:rsid w:val="00BC3AE5"/>
    <w:rsid w:val="00BC3D95"/>
    <w:rsid w:val="00BC4348"/>
    <w:rsid w:val="00BC4513"/>
    <w:rsid w:val="00BC466C"/>
    <w:rsid w:val="00BC46C3"/>
    <w:rsid w:val="00BC477B"/>
    <w:rsid w:val="00BC4BFF"/>
    <w:rsid w:val="00BC4E87"/>
    <w:rsid w:val="00BC4F0C"/>
    <w:rsid w:val="00BC4F2E"/>
    <w:rsid w:val="00BC5014"/>
    <w:rsid w:val="00BC52A4"/>
    <w:rsid w:val="00BC5380"/>
    <w:rsid w:val="00BC538A"/>
    <w:rsid w:val="00BC5466"/>
    <w:rsid w:val="00BC562D"/>
    <w:rsid w:val="00BC5651"/>
    <w:rsid w:val="00BC56FE"/>
    <w:rsid w:val="00BC5706"/>
    <w:rsid w:val="00BC577B"/>
    <w:rsid w:val="00BC580C"/>
    <w:rsid w:val="00BC59B4"/>
    <w:rsid w:val="00BC5A6A"/>
    <w:rsid w:val="00BC5D2E"/>
    <w:rsid w:val="00BC5F29"/>
    <w:rsid w:val="00BC5F5F"/>
    <w:rsid w:val="00BC601B"/>
    <w:rsid w:val="00BC60E9"/>
    <w:rsid w:val="00BC6252"/>
    <w:rsid w:val="00BC64F0"/>
    <w:rsid w:val="00BC6605"/>
    <w:rsid w:val="00BC6781"/>
    <w:rsid w:val="00BC682C"/>
    <w:rsid w:val="00BC683E"/>
    <w:rsid w:val="00BC6841"/>
    <w:rsid w:val="00BC6894"/>
    <w:rsid w:val="00BC69B4"/>
    <w:rsid w:val="00BC6A6F"/>
    <w:rsid w:val="00BC6ADA"/>
    <w:rsid w:val="00BC6B6E"/>
    <w:rsid w:val="00BC6CAE"/>
    <w:rsid w:val="00BC6CEE"/>
    <w:rsid w:val="00BC6F00"/>
    <w:rsid w:val="00BC7157"/>
    <w:rsid w:val="00BC7363"/>
    <w:rsid w:val="00BC7794"/>
    <w:rsid w:val="00BC79AF"/>
    <w:rsid w:val="00BC7D62"/>
    <w:rsid w:val="00BD0124"/>
    <w:rsid w:val="00BD0388"/>
    <w:rsid w:val="00BD05B7"/>
    <w:rsid w:val="00BD05DB"/>
    <w:rsid w:val="00BD072A"/>
    <w:rsid w:val="00BD0880"/>
    <w:rsid w:val="00BD0CAB"/>
    <w:rsid w:val="00BD0DCC"/>
    <w:rsid w:val="00BD0E5C"/>
    <w:rsid w:val="00BD0E9A"/>
    <w:rsid w:val="00BD102C"/>
    <w:rsid w:val="00BD107F"/>
    <w:rsid w:val="00BD10B5"/>
    <w:rsid w:val="00BD1138"/>
    <w:rsid w:val="00BD15A5"/>
    <w:rsid w:val="00BD18F6"/>
    <w:rsid w:val="00BD1947"/>
    <w:rsid w:val="00BD1948"/>
    <w:rsid w:val="00BD1B77"/>
    <w:rsid w:val="00BD1B9C"/>
    <w:rsid w:val="00BD1BCC"/>
    <w:rsid w:val="00BD1CB5"/>
    <w:rsid w:val="00BD1D7B"/>
    <w:rsid w:val="00BD1E68"/>
    <w:rsid w:val="00BD2034"/>
    <w:rsid w:val="00BD2133"/>
    <w:rsid w:val="00BD24AE"/>
    <w:rsid w:val="00BD2598"/>
    <w:rsid w:val="00BD2A80"/>
    <w:rsid w:val="00BD2CB6"/>
    <w:rsid w:val="00BD2CE0"/>
    <w:rsid w:val="00BD2E58"/>
    <w:rsid w:val="00BD3064"/>
    <w:rsid w:val="00BD30AE"/>
    <w:rsid w:val="00BD3249"/>
    <w:rsid w:val="00BD3257"/>
    <w:rsid w:val="00BD33D4"/>
    <w:rsid w:val="00BD366B"/>
    <w:rsid w:val="00BD36C7"/>
    <w:rsid w:val="00BD3819"/>
    <w:rsid w:val="00BD3874"/>
    <w:rsid w:val="00BD39F2"/>
    <w:rsid w:val="00BD3A06"/>
    <w:rsid w:val="00BD3A14"/>
    <w:rsid w:val="00BD3C0B"/>
    <w:rsid w:val="00BD3CDD"/>
    <w:rsid w:val="00BD3D68"/>
    <w:rsid w:val="00BD3EB6"/>
    <w:rsid w:val="00BD400E"/>
    <w:rsid w:val="00BD427D"/>
    <w:rsid w:val="00BD4A7E"/>
    <w:rsid w:val="00BD4AF8"/>
    <w:rsid w:val="00BD4B7F"/>
    <w:rsid w:val="00BD4D05"/>
    <w:rsid w:val="00BD5007"/>
    <w:rsid w:val="00BD503A"/>
    <w:rsid w:val="00BD5160"/>
    <w:rsid w:val="00BD51B3"/>
    <w:rsid w:val="00BD51F0"/>
    <w:rsid w:val="00BD552D"/>
    <w:rsid w:val="00BD55FB"/>
    <w:rsid w:val="00BD565C"/>
    <w:rsid w:val="00BD5669"/>
    <w:rsid w:val="00BD5812"/>
    <w:rsid w:val="00BD59B2"/>
    <w:rsid w:val="00BD5A65"/>
    <w:rsid w:val="00BD5EB4"/>
    <w:rsid w:val="00BD6176"/>
    <w:rsid w:val="00BD6249"/>
    <w:rsid w:val="00BD6354"/>
    <w:rsid w:val="00BD6384"/>
    <w:rsid w:val="00BD63A3"/>
    <w:rsid w:val="00BD66C0"/>
    <w:rsid w:val="00BD6B55"/>
    <w:rsid w:val="00BD6BA2"/>
    <w:rsid w:val="00BD6D18"/>
    <w:rsid w:val="00BD6D84"/>
    <w:rsid w:val="00BD6EE7"/>
    <w:rsid w:val="00BD7216"/>
    <w:rsid w:val="00BD7763"/>
    <w:rsid w:val="00BD7872"/>
    <w:rsid w:val="00BD7893"/>
    <w:rsid w:val="00BD7907"/>
    <w:rsid w:val="00BD7A17"/>
    <w:rsid w:val="00BD7BD7"/>
    <w:rsid w:val="00BD7FF8"/>
    <w:rsid w:val="00BE0323"/>
    <w:rsid w:val="00BE03F2"/>
    <w:rsid w:val="00BE0491"/>
    <w:rsid w:val="00BE04BF"/>
    <w:rsid w:val="00BE0575"/>
    <w:rsid w:val="00BE06A7"/>
    <w:rsid w:val="00BE0EA9"/>
    <w:rsid w:val="00BE12F6"/>
    <w:rsid w:val="00BE15DE"/>
    <w:rsid w:val="00BE1730"/>
    <w:rsid w:val="00BE1E0D"/>
    <w:rsid w:val="00BE2024"/>
    <w:rsid w:val="00BE23D5"/>
    <w:rsid w:val="00BE244A"/>
    <w:rsid w:val="00BE26FA"/>
    <w:rsid w:val="00BE28D4"/>
    <w:rsid w:val="00BE2922"/>
    <w:rsid w:val="00BE297D"/>
    <w:rsid w:val="00BE2C89"/>
    <w:rsid w:val="00BE2CF0"/>
    <w:rsid w:val="00BE2DDA"/>
    <w:rsid w:val="00BE3193"/>
    <w:rsid w:val="00BE394F"/>
    <w:rsid w:val="00BE3B3F"/>
    <w:rsid w:val="00BE3CF1"/>
    <w:rsid w:val="00BE41C4"/>
    <w:rsid w:val="00BE4416"/>
    <w:rsid w:val="00BE4602"/>
    <w:rsid w:val="00BE46C8"/>
    <w:rsid w:val="00BE48D2"/>
    <w:rsid w:val="00BE4975"/>
    <w:rsid w:val="00BE4C25"/>
    <w:rsid w:val="00BE4F47"/>
    <w:rsid w:val="00BE511B"/>
    <w:rsid w:val="00BE521A"/>
    <w:rsid w:val="00BE53DB"/>
    <w:rsid w:val="00BE5470"/>
    <w:rsid w:val="00BE54E3"/>
    <w:rsid w:val="00BE56DF"/>
    <w:rsid w:val="00BE56F6"/>
    <w:rsid w:val="00BE5A65"/>
    <w:rsid w:val="00BE5C1E"/>
    <w:rsid w:val="00BE6005"/>
    <w:rsid w:val="00BE6017"/>
    <w:rsid w:val="00BE6286"/>
    <w:rsid w:val="00BE63F4"/>
    <w:rsid w:val="00BE6501"/>
    <w:rsid w:val="00BE6837"/>
    <w:rsid w:val="00BE6B6E"/>
    <w:rsid w:val="00BE6B7A"/>
    <w:rsid w:val="00BE6EAF"/>
    <w:rsid w:val="00BE6EB1"/>
    <w:rsid w:val="00BE7058"/>
    <w:rsid w:val="00BE719E"/>
    <w:rsid w:val="00BE7377"/>
    <w:rsid w:val="00BE75C7"/>
    <w:rsid w:val="00BE7685"/>
    <w:rsid w:val="00BE77B1"/>
    <w:rsid w:val="00BE786C"/>
    <w:rsid w:val="00BE7A5D"/>
    <w:rsid w:val="00BE7A7D"/>
    <w:rsid w:val="00BE7CF4"/>
    <w:rsid w:val="00BF002F"/>
    <w:rsid w:val="00BF00EC"/>
    <w:rsid w:val="00BF0293"/>
    <w:rsid w:val="00BF0388"/>
    <w:rsid w:val="00BF0469"/>
    <w:rsid w:val="00BF0929"/>
    <w:rsid w:val="00BF0BB1"/>
    <w:rsid w:val="00BF0D7D"/>
    <w:rsid w:val="00BF14C9"/>
    <w:rsid w:val="00BF14EF"/>
    <w:rsid w:val="00BF15DD"/>
    <w:rsid w:val="00BF1AB4"/>
    <w:rsid w:val="00BF1AF6"/>
    <w:rsid w:val="00BF1FA1"/>
    <w:rsid w:val="00BF2167"/>
    <w:rsid w:val="00BF2317"/>
    <w:rsid w:val="00BF2338"/>
    <w:rsid w:val="00BF237E"/>
    <w:rsid w:val="00BF25E7"/>
    <w:rsid w:val="00BF28C7"/>
    <w:rsid w:val="00BF298B"/>
    <w:rsid w:val="00BF318C"/>
    <w:rsid w:val="00BF31E4"/>
    <w:rsid w:val="00BF3260"/>
    <w:rsid w:val="00BF327D"/>
    <w:rsid w:val="00BF34BC"/>
    <w:rsid w:val="00BF35D9"/>
    <w:rsid w:val="00BF3620"/>
    <w:rsid w:val="00BF3716"/>
    <w:rsid w:val="00BF3932"/>
    <w:rsid w:val="00BF3BEF"/>
    <w:rsid w:val="00BF3DAB"/>
    <w:rsid w:val="00BF4047"/>
    <w:rsid w:val="00BF43F3"/>
    <w:rsid w:val="00BF4432"/>
    <w:rsid w:val="00BF44AD"/>
    <w:rsid w:val="00BF45AE"/>
    <w:rsid w:val="00BF4CD7"/>
    <w:rsid w:val="00BF4D2D"/>
    <w:rsid w:val="00BF4FFF"/>
    <w:rsid w:val="00BF5105"/>
    <w:rsid w:val="00BF5127"/>
    <w:rsid w:val="00BF51FC"/>
    <w:rsid w:val="00BF5206"/>
    <w:rsid w:val="00BF5352"/>
    <w:rsid w:val="00BF53A1"/>
    <w:rsid w:val="00BF54B3"/>
    <w:rsid w:val="00BF5A95"/>
    <w:rsid w:val="00BF5C61"/>
    <w:rsid w:val="00BF5D38"/>
    <w:rsid w:val="00BF5EBD"/>
    <w:rsid w:val="00BF604F"/>
    <w:rsid w:val="00BF61AB"/>
    <w:rsid w:val="00BF62E0"/>
    <w:rsid w:val="00BF6385"/>
    <w:rsid w:val="00BF67EE"/>
    <w:rsid w:val="00BF68A2"/>
    <w:rsid w:val="00BF6C49"/>
    <w:rsid w:val="00BF6F8B"/>
    <w:rsid w:val="00BF71D0"/>
    <w:rsid w:val="00BF74AD"/>
    <w:rsid w:val="00BF74C5"/>
    <w:rsid w:val="00BF7637"/>
    <w:rsid w:val="00BF76E2"/>
    <w:rsid w:val="00BF7769"/>
    <w:rsid w:val="00BF7CA3"/>
    <w:rsid w:val="00BF7CB2"/>
    <w:rsid w:val="00C00483"/>
    <w:rsid w:val="00C0061C"/>
    <w:rsid w:val="00C0068B"/>
    <w:rsid w:val="00C0079F"/>
    <w:rsid w:val="00C00B5A"/>
    <w:rsid w:val="00C00CD1"/>
    <w:rsid w:val="00C00E8A"/>
    <w:rsid w:val="00C0117C"/>
    <w:rsid w:val="00C01409"/>
    <w:rsid w:val="00C01607"/>
    <w:rsid w:val="00C0169A"/>
    <w:rsid w:val="00C01877"/>
    <w:rsid w:val="00C01C13"/>
    <w:rsid w:val="00C01CE6"/>
    <w:rsid w:val="00C01CFF"/>
    <w:rsid w:val="00C01DD3"/>
    <w:rsid w:val="00C02216"/>
    <w:rsid w:val="00C02304"/>
    <w:rsid w:val="00C023DA"/>
    <w:rsid w:val="00C024B7"/>
    <w:rsid w:val="00C025DE"/>
    <w:rsid w:val="00C0273C"/>
    <w:rsid w:val="00C02868"/>
    <w:rsid w:val="00C028FD"/>
    <w:rsid w:val="00C02AD7"/>
    <w:rsid w:val="00C02C33"/>
    <w:rsid w:val="00C02EF8"/>
    <w:rsid w:val="00C032FB"/>
    <w:rsid w:val="00C0363D"/>
    <w:rsid w:val="00C03746"/>
    <w:rsid w:val="00C039F1"/>
    <w:rsid w:val="00C03E11"/>
    <w:rsid w:val="00C03F51"/>
    <w:rsid w:val="00C03F70"/>
    <w:rsid w:val="00C03FE1"/>
    <w:rsid w:val="00C041A5"/>
    <w:rsid w:val="00C044D8"/>
    <w:rsid w:val="00C047F6"/>
    <w:rsid w:val="00C048B2"/>
    <w:rsid w:val="00C04C16"/>
    <w:rsid w:val="00C04CCC"/>
    <w:rsid w:val="00C04D49"/>
    <w:rsid w:val="00C04DCF"/>
    <w:rsid w:val="00C04E2D"/>
    <w:rsid w:val="00C0501C"/>
    <w:rsid w:val="00C05269"/>
    <w:rsid w:val="00C0529C"/>
    <w:rsid w:val="00C05741"/>
    <w:rsid w:val="00C057F1"/>
    <w:rsid w:val="00C058BE"/>
    <w:rsid w:val="00C059BB"/>
    <w:rsid w:val="00C059D0"/>
    <w:rsid w:val="00C05BC0"/>
    <w:rsid w:val="00C05CDA"/>
    <w:rsid w:val="00C05E6A"/>
    <w:rsid w:val="00C05FD5"/>
    <w:rsid w:val="00C05FF6"/>
    <w:rsid w:val="00C06177"/>
    <w:rsid w:val="00C06340"/>
    <w:rsid w:val="00C06407"/>
    <w:rsid w:val="00C066D9"/>
    <w:rsid w:val="00C06AAC"/>
    <w:rsid w:val="00C06CBC"/>
    <w:rsid w:val="00C06E06"/>
    <w:rsid w:val="00C06E6B"/>
    <w:rsid w:val="00C07179"/>
    <w:rsid w:val="00C072DD"/>
    <w:rsid w:val="00C07335"/>
    <w:rsid w:val="00C0738F"/>
    <w:rsid w:val="00C07398"/>
    <w:rsid w:val="00C073AD"/>
    <w:rsid w:val="00C075EA"/>
    <w:rsid w:val="00C076C7"/>
    <w:rsid w:val="00C07740"/>
    <w:rsid w:val="00C07858"/>
    <w:rsid w:val="00C07C3F"/>
    <w:rsid w:val="00C07DD0"/>
    <w:rsid w:val="00C07F60"/>
    <w:rsid w:val="00C10011"/>
    <w:rsid w:val="00C102A3"/>
    <w:rsid w:val="00C10336"/>
    <w:rsid w:val="00C10353"/>
    <w:rsid w:val="00C103A3"/>
    <w:rsid w:val="00C1044E"/>
    <w:rsid w:val="00C108F4"/>
    <w:rsid w:val="00C10C1B"/>
    <w:rsid w:val="00C10D2A"/>
    <w:rsid w:val="00C10DE9"/>
    <w:rsid w:val="00C110F0"/>
    <w:rsid w:val="00C112AC"/>
    <w:rsid w:val="00C113F0"/>
    <w:rsid w:val="00C11734"/>
    <w:rsid w:val="00C11798"/>
    <w:rsid w:val="00C117EF"/>
    <w:rsid w:val="00C11B93"/>
    <w:rsid w:val="00C11BDD"/>
    <w:rsid w:val="00C11CC6"/>
    <w:rsid w:val="00C11CFB"/>
    <w:rsid w:val="00C11E83"/>
    <w:rsid w:val="00C1220F"/>
    <w:rsid w:val="00C122C7"/>
    <w:rsid w:val="00C12604"/>
    <w:rsid w:val="00C12609"/>
    <w:rsid w:val="00C12664"/>
    <w:rsid w:val="00C128D4"/>
    <w:rsid w:val="00C129C1"/>
    <w:rsid w:val="00C12A78"/>
    <w:rsid w:val="00C12B72"/>
    <w:rsid w:val="00C12D27"/>
    <w:rsid w:val="00C12EAF"/>
    <w:rsid w:val="00C12FD2"/>
    <w:rsid w:val="00C13155"/>
    <w:rsid w:val="00C133CC"/>
    <w:rsid w:val="00C135FD"/>
    <w:rsid w:val="00C13B83"/>
    <w:rsid w:val="00C13C4A"/>
    <w:rsid w:val="00C141C0"/>
    <w:rsid w:val="00C14262"/>
    <w:rsid w:val="00C1432A"/>
    <w:rsid w:val="00C14705"/>
    <w:rsid w:val="00C1484A"/>
    <w:rsid w:val="00C1485A"/>
    <w:rsid w:val="00C14A12"/>
    <w:rsid w:val="00C14C5F"/>
    <w:rsid w:val="00C14F33"/>
    <w:rsid w:val="00C14F77"/>
    <w:rsid w:val="00C15057"/>
    <w:rsid w:val="00C15127"/>
    <w:rsid w:val="00C152E5"/>
    <w:rsid w:val="00C15575"/>
    <w:rsid w:val="00C155CE"/>
    <w:rsid w:val="00C157E0"/>
    <w:rsid w:val="00C158DA"/>
    <w:rsid w:val="00C158E5"/>
    <w:rsid w:val="00C15B57"/>
    <w:rsid w:val="00C15CE0"/>
    <w:rsid w:val="00C15E20"/>
    <w:rsid w:val="00C15FD3"/>
    <w:rsid w:val="00C160EA"/>
    <w:rsid w:val="00C16172"/>
    <w:rsid w:val="00C16203"/>
    <w:rsid w:val="00C16229"/>
    <w:rsid w:val="00C16564"/>
    <w:rsid w:val="00C165CF"/>
    <w:rsid w:val="00C16625"/>
    <w:rsid w:val="00C168C9"/>
    <w:rsid w:val="00C16B3B"/>
    <w:rsid w:val="00C16BAA"/>
    <w:rsid w:val="00C16BDA"/>
    <w:rsid w:val="00C16C91"/>
    <w:rsid w:val="00C16E1B"/>
    <w:rsid w:val="00C17130"/>
    <w:rsid w:val="00C17232"/>
    <w:rsid w:val="00C172F3"/>
    <w:rsid w:val="00C17461"/>
    <w:rsid w:val="00C1775C"/>
    <w:rsid w:val="00C1787B"/>
    <w:rsid w:val="00C17BF5"/>
    <w:rsid w:val="00C17CBD"/>
    <w:rsid w:val="00C17D4C"/>
    <w:rsid w:val="00C17D64"/>
    <w:rsid w:val="00C17F81"/>
    <w:rsid w:val="00C17F9B"/>
    <w:rsid w:val="00C20028"/>
    <w:rsid w:val="00C20141"/>
    <w:rsid w:val="00C208EB"/>
    <w:rsid w:val="00C210CF"/>
    <w:rsid w:val="00C2111D"/>
    <w:rsid w:val="00C212A6"/>
    <w:rsid w:val="00C21332"/>
    <w:rsid w:val="00C213E0"/>
    <w:rsid w:val="00C2155B"/>
    <w:rsid w:val="00C215DD"/>
    <w:rsid w:val="00C217AF"/>
    <w:rsid w:val="00C21951"/>
    <w:rsid w:val="00C219AA"/>
    <w:rsid w:val="00C21B83"/>
    <w:rsid w:val="00C21CD6"/>
    <w:rsid w:val="00C21E0A"/>
    <w:rsid w:val="00C220BC"/>
    <w:rsid w:val="00C22226"/>
    <w:rsid w:val="00C2234B"/>
    <w:rsid w:val="00C224DC"/>
    <w:rsid w:val="00C22566"/>
    <w:rsid w:val="00C227D9"/>
    <w:rsid w:val="00C228CD"/>
    <w:rsid w:val="00C22B3D"/>
    <w:rsid w:val="00C22BC6"/>
    <w:rsid w:val="00C22C9A"/>
    <w:rsid w:val="00C22DD5"/>
    <w:rsid w:val="00C2305D"/>
    <w:rsid w:val="00C23222"/>
    <w:rsid w:val="00C2325D"/>
    <w:rsid w:val="00C23347"/>
    <w:rsid w:val="00C234A9"/>
    <w:rsid w:val="00C23984"/>
    <w:rsid w:val="00C23990"/>
    <w:rsid w:val="00C23B34"/>
    <w:rsid w:val="00C23B5A"/>
    <w:rsid w:val="00C23BCF"/>
    <w:rsid w:val="00C23BD3"/>
    <w:rsid w:val="00C23C2B"/>
    <w:rsid w:val="00C23DA6"/>
    <w:rsid w:val="00C23ED4"/>
    <w:rsid w:val="00C23F17"/>
    <w:rsid w:val="00C24523"/>
    <w:rsid w:val="00C24561"/>
    <w:rsid w:val="00C245BD"/>
    <w:rsid w:val="00C24838"/>
    <w:rsid w:val="00C248B1"/>
    <w:rsid w:val="00C24997"/>
    <w:rsid w:val="00C24DFD"/>
    <w:rsid w:val="00C2524E"/>
    <w:rsid w:val="00C25481"/>
    <w:rsid w:val="00C25632"/>
    <w:rsid w:val="00C25807"/>
    <w:rsid w:val="00C259FC"/>
    <w:rsid w:val="00C25C87"/>
    <w:rsid w:val="00C25C99"/>
    <w:rsid w:val="00C25CD2"/>
    <w:rsid w:val="00C25D2D"/>
    <w:rsid w:val="00C25DAD"/>
    <w:rsid w:val="00C25EC1"/>
    <w:rsid w:val="00C25F4C"/>
    <w:rsid w:val="00C26322"/>
    <w:rsid w:val="00C26692"/>
    <w:rsid w:val="00C2686A"/>
    <w:rsid w:val="00C26A0A"/>
    <w:rsid w:val="00C26B7C"/>
    <w:rsid w:val="00C26D5C"/>
    <w:rsid w:val="00C26DED"/>
    <w:rsid w:val="00C26EA1"/>
    <w:rsid w:val="00C26F9B"/>
    <w:rsid w:val="00C2708B"/>
    <w:rsid w:val="00C2719D"/>
    <w:rsid w:val="00C272AA"/>
    <w:rsid w:val="00C273AF"/>
    <w:rsid w:val="00C2770D"/>
    <w:rsid w:val="00C27BC7"/>
    <w:rsid w:val="00C27E3D"/>
    <w:rsid w:val="00C27EB9"/>
    <w:rsid w:val="00C27EF2"/>
    <w:rsid w:val="00C27F33"/>
    <w:rsid w:val="00C27FC2"/>
    <w:rsid w:val="00C30074"/>
    <w:rsid w:val="00C30554"/>
    <w:rsid w:val="00C30724"/>
    <w:rsid w:val="00C308A8"/>
    <w:rsid w:val="00C309E9"/>
    <w:rsid w:val="00C30D27"/>
    <w:rsid w:val="00C30D88"/>
    <w:rsid w:val="00C313EA"/>
    <w:rsid w:val="00C3142B"/>
    <w:rsid w:val="00C31549"/>
    <w:rsid w:val="00C31653"/>
    <w:rsid w:val="00C3165A"/>
    <w:rsid w:val="00C31C84"/>
    <w:rsid w:val="00C320B1"/>
    <w:rsid w:val="00C32275"/>
    <w:rsid w:val="00C3244B"/>
    <w:rsid w:val="00C324AD"/>
    <w:rsid w:val="00C326D1"/>
    <w:rsid w:val="00C32801"/>
    <w:rsid w:val="00C329D9"/>
    <w:rsid w:val="00C32DE5"/>
    <w:rsid w:val="00C32F3E"/>
    <w:rsid w:val="00C33092"/>
    <w:rsid w:val="00C330E6"/>
    <w:rsid w:val="00C330F9"/>
    <w:rsid w:val="00C33136"/>
    <w:rsid w:val="00C33166"/>
    <w:rsid w:val="00C331F5"/>
    <w:rsid w:val="00C3342A"/>
    <w:rsid w:val="00C33581"/>
    <w:rsid w:val="00C33583"/>
    <w:rsid w:val="00C336EF"/>
    <w:rsid w:val="00C339A2"/>
    <w:rsid w:val="00C33AEE"/>
    <w:rsid w:val="00C33B8E"/>
    <w:rsid w:val="00C33C22"/>
    <w:rsid w:val="00C33D0A"/>
    <w:rsid w:val="00C33D8D"/>
    <w:rsid w:val="00C33F91"/>
    <w:rsid w:val="00C34028"/>
    <w:rsid w:val="00C34048"/>
    <w:rsid w:val="00C3418C"/>
    <w:rsid w:val="00C342B6"/>
    <w:rsid w:val="00C344A9"/>
    <w:rsid w:val="00C34528"/>
    <w:rsid w:val="00C3476C"/>
    <w:rsid w:val="00C34C43"/>
    <w:rsid w:val="00C34C96"/>
    <w:rsid w:val="00C34EAC"/>
    <w:rsid w:val="00C34F0B"/>
    <w:rsid w:val="00C357E7"/>
    <w:rsid w:val="00C35846"/>
    <w:rsid w:val="00C35B2B"/>
    <w:rsid w:val="00C35BA2"/>
    <w:rsid w:val="00C35D43"/>
    <w:rsid w:val="00C35E0E"/>
    <w:rsid w:val="00C35EBC"/>
    <w:rsid w:val="00C35FE5"/>
    <w:rsid w:val="00C3613E"/>
    <w:rsid w:val="00C361F6"/>
    <w:rsid w:val="00C363D1"/>
    <w:rsid w:val="00C36639"/>
    <w:rsid w:val="00C369C7"/>
    <w:rsid w:val="00C36B8A"/>
    <w:rsid w:val="00C36B94"/>
    <w:rsid w:val="00C36D96"/>
    <w:rsid w:val="00C36E20"/>
    <w:rsid w:val="00C36F02"/>
    <w:rsid w:val="00C36F4B"/>
    <w:rsid w:val="00C370E7"/>
    <w:rsid w:val="00C371E3"/>
    <w:rsid w:val="00C372F1"/>
    <w:rsid w:val="00C37308"/>
    <w:rsid w:val="00C373FF"/>
    <w:rsid w:val="00C374B1"/>
    <w:rsid w:val="00C374B8"/>
    <w:rsid w:val="00C3759E"/>
    <w:rsid w:val="00C37867"/>
    <w:rsid w:val="00C37B7A"/>
    <w:rsid w:val="00C37C1A"/>
    <w:rsid w:val="00C37DB7"/>
    <w:rsid w:val="00C37EE9"/>
    <w:rsid w:val="00C37F84"/>
    <w:rsid w:val="00C40038"/>
    <w:rsid w:val="00C400A1"/>
    <w:rsid w:val="00C400E3"/>
    <w:rsid w:val="00C404D4"/>
    <w:rsid w:val="00C40544"/>
    <w:rsid w:val="00C4067F"/>
    <w:rsid w:val="00C4080C"/>
    <w:rsid w:val="00C408C1"/>
    <w:rsid w:val="00C40B94"/>
    <w:rsid w:val="00C4123E"/>
    <w:rsid w:val="00C41476"/>
    <w:rsid w:val="00C41620"/>
    <w:rsid w:val="00C416FA"/>
    <w:rsid w:val="00C419A7"/>
    <w:rsid w:val="00C41B4A"/>
    <w:rsid w:val="00C41BEB"/>
    <w:rsid w:val="00C41BFC"/>
    <w:rsid w:val="00C41C8C"/>
    <w:rsid w:val="00C41CBE"/>
    <w:rsid w:val="00C41DCE"/>
    <w:rsid w:val="00C41E04"/>
    <w:rsid w:val="00C41E6A"/>
    <w:rsid w:val="00C41F6F"/>
    <w:rsid w:val="00C41FB6"/>
    <w:rsid w:val="00C4203A"/>
    <w:rsid w:val="00C421D6"/>
    <w:rsid w:val="00C4285A"/>
    <w:rsid w:val="00C4287D"/>
    <w:rsid w:val="00C42AEF"/>
    <w:rsid w:val="00C42B82"/>
    <w:rsid w:val="00C42D80"/>
    <w:rsid w:val="00C42E6D"/>
    <w:rsid w:val="00C43024"/>
    <w:rsid w:val="00C43426"/>
    <w:rsid w:val="00C4353F"/>
    <w:rsid w:val="00C436FE"/>
    <w:rsid w:val="00C43889"/>
    <w:rsid w:val="00C43BFC"/>
    <w:rsid w:val="00C43E38"/>
    <w:rsid w:val="00C44021"/>
    <w:rsid w:val="00C440B1"/>
    <w:rsid w:val="00C442B6"/>
    <w:rsid w:val="00C44305"/>
    <w:rsid w:val="00C44506"/>
    <w:rsid w:val="00C44607"/>
    <w:rsid w:val="00C447E0"/>
    <w:rsid w:val="00C44862"/>
    <w:rsid w:val="00C448F5"/>
    <w:rsid w:val="00C4498D"/>
    <w:rsid w:val="00C449C3"/>
    <w:rsid w:val="00C44CA0"/>
    <w:rsid w:val="00C44D24"/>
    <w:rsid w:val="00C44EAC"/>
    <w:rsid w:val="00C44EB9"/>
    <w:rsid w:val="00C44F94"/>
    <w:rsid w:val="00C4515C"/>
    <w:rsid w:val="00C451E0"/>
    <w:rsid w:val="00C45297"/>
    <w:rsid w:val="00C452C6"/>
    <w:rsid w:val="00C454AB"/>
    <w:rsid w:val="00C45631"/>
    <w:rsid w:val="00C4565C"/>
    <w:rsid w:val="00C458A7"/>
    <w:rsid w:val="00C45A45"/>
    <w:rsid w:val="00C45D94"/>
    <w:rsid w:val="00C45E69"/>
    <w:rsid w:val="00C45F16"/>
    <w:rsid w:val="00C45F8A"/>
    <w:rsid w:val="00C461D4"/>
    <w:rsid w:val="00C4622E"/>
    <w:rsid w:val="00C46609"/>
    <w:rsid w:val="00C46635"/>
    <w:rsid w:val="00C46651"/>
    <w:rsid w:val="00C4683F"/>
    <w:rsid w:val="00C46924"/>
    <w:rsid w:val="00C46BF4"/>
    <w:rsid w:val="00C46DC6"/>
    <w:rsid w:val="00C46E2E"/>
    <w:rsid w:val="00C46E71"/>
    <w:rsid w:val="00C46F06"/>
    <w:rsid w:val="00C46F2E"/>
    <w:rsid w:val="00C46F8A"/>
    <w:rsid w:val="00C471A8"/>
    <w:rsid w:val="00C4739B"/>
    <w:rsid w:val="00C474A4"/>
    <w:rsid w:val="00C47550"/>
    <w:rsid w:val="00C4755A"/>
    <w:rsid w:val="00C47BA2"/>
    <w:rsid w:val="00C47C80"/>
    <w:rsid w:val="00C47E6E"/>
    <w:rsid w:val="00C47F40"/>
    <w:rsid w:val="00C47FAF"/>
    <w:rsid w:val="00C500C6"/>
    <w:rsid w:val="00C502B3"/>
    <w:rsid w:val="00C5039E"/>
    <w:rsid w:val="00C50447"/>
    <w:rsid w:val="00C5056B"/>
    <w:rsid w:val="00C5061E"/>
    <w:rsid w:val="00C50863"/>
    <w:rsid w:val="00C50A26"/>
    <w:rsid w:val="00C50AE0"/>
    <w:rsid w:val="00C50E1D"/>
    <w:rsid w:val="00C50FBA"/>
    <w:rsid w:val="00C5104F"/>
    <w:rsid w:val="00C51302"/>
    <w:rsid w:val="00C51356"/>
    <w:rsid w:val="00C516F3"/>
    <w:rsid w:val="00C51A9F"/>
    <w:rsid w:val="00C51AD5"/>
    <w:rsid w:val="00C51C8A"/>
    <w:rsid w:val="00C51D1E"/>
    <w:rsid w:val="00C51D68"/>
    <w:rsid w:val="00C51D95"/>
    <w:rsid w:val="00C51E4B"/>
    <w:rsid w:val="00C51F71"/>
    <w:rsid w:val="00C521A1"/>
    <w:rsid w:val="00C522E6"/>
    <w:rsid w:val="00C5259C"/>
    <w:rsid w:val="00C526DE"/>
    <w:rsid w:val="00C52722"/>
    <w:rsid w:val="00C527DF"/>
    <w:rsid w:val="00C528D0"/>
    <w:rsid w:val="00C5290A"/>
    <w:rsid w:val="00C52E5A"/>
    <w:rsid w:val="00C531AF"/>
    <w:rsid w:val="00C5324B"/>
    <w:rsid w:val="00C532AE"/>
    <w:rsid w:val="00C534DC"/>
    <w:rsid w:val="00C53551"/>
    <w:rsid w:val="00C53652"/>
    <w:rsid w:val="00C537B7"/>
    <w:rsid w:val="00C537C2"/>
    <w:rsid w:val="00C538B7"/>
    <w:rsid w:val="00C538F0"/>
    <w:rsid w:val="00C539C8"/>
    <w:rsid w:val="00C53D61"/>
    <w:rsid w:val="00C53F72"/>
    <w:rsid w:val="00C5410F"/>
    <w:rsid w:val="00C54174"/>
    <w:rsid w:val="00C5421F"/>
    <w:rsid w:val="00C542F1"/>
    <w:rsid w:val="00C54306"/>
    <w:rsid w:val="00C54578"/>
    <w:rsid w:val="00C546CD"/>
    <w:rsid w:val="00C5479B"/>
    <w:rsid w:val="00C548DD"/>
    <w:rsid w:val="00C54D64"/>
    <w:rsid w:val="00C54DDE"/>
    <w:rsid w:val="00C550F8"/>
    <w:rsid w:val="00C5520E"/>
    <w:rsid w:val="00C55385"/>
    <w:rsid w:val="00C557F3"/>
    <w:rsid w:val="00C5593F"/>
    <w:rsid w:val="00C55CAD"/>
    <w:rsid w:val="00C55DB0"/>
    <w:rsid w:val="00C55FA0"/>
    <w:rsid w:val="00C55FF0"/>
    <w:rsid w:val="00C560E9"/>
    <w:rsid w:val="00C561E5"/>
    <w:rsid w:val="00C5656B"/>
    <w:rsid w:val="00C5690F"/>
    <w:rsid w:val="00C56936"/>
    <w:rsid w:val="00C5693F"/>
    <w:rsid w:val="00C56D99"/>
    <w:rsid w:val="00C56D9D"/>
    <w:rsid w:val="00C570E3"/>
    <w:rsid w:val="00C571B8"/>
    <w:rsid w:val="00C57255"/>
    <w:rsid w:val="00C57340"/>
    <w:rsid w:val="00C57361"/>
    <w:rsid w:val="00C577D2"/>
    <w:rsid w:val="00C57853"/>
    <w:rsid w:val="00C57AC1"/>
    <w:rsid w:val="00C57FB6"/>
    <w:rsid w:val="00C57FCE"/>
    <w:rsid w:val="00C60264"/>
    <w:rsid w:val="00C60554"/>
    <w:rsid w:val="00C605C0"/>
    <w:rsid w:val="00C60672"/>
    <w:rsid w:val="00C60BAF"/>
    <w:rsid w:val="00C60E53"/>
    <w:rsid w:val="00C60EA5"/>
    <w:rsid w:val="00C6112C"/>
    <w:rsid w:val="00C6149F"/>
    <w:rsid w:val="00C6161B"/>
    <w:rsid w:val="00C61658"/>
    <w:rsid w:val="00C61703"/>
    <w:rsid w:val="00C61742"/>
    <w:rsid w:val="00C617D4"/>
    <w:rsid w:val="00C61871"/>
    <w:rsid w:val="00C61AC6"/>
    <w:rsid w:val="00C61BCC"/>
    <w:rsid w:val="00C61CCA"/>
    <w:rsid w:val="00C61F79"/>
    <w:rsid w:val="00C61FCC"/>
    <w:rsid w:val="00C62081"/>
    <w:rsid w:val="00C6214D"/>
    <w:rsid w:val="00C623F2"/>
    <w:rsid w:val="00C624D0"/>
    <w:rsid w:val="00C62C61"/>
    <w:rsid w:val="00C62CAF"/>
    <w:rsid w:val="00C62DB8"/>
    <w:rsid w:val="00C62E0F"/>
    <w:rsid w:val="00C62FDE"/>
    <w:rsid w:val="00C63172"/>
    <w:rsid w:val="00C63235"/>
    <w:rsid w:val="00C632DD"/>
    <w:rsid w:val="00C63397"/>
    <w:rsid w:val="00C6355E"/>
    <w:rsid w:val="00C635ED"/>
    <w:rsid w:val="00C636BB"/>
    <w:rsid w:val="00C6387D"/>
    <w:rsid w:val="00C63B2F"/>
    <w:rsid w:val="00C63C0D"/>
    <w:rsid w:val="00C63F11"/>
    <w:rsid w:val="00C63F6A"/>
    <w:rsid w:val="00C63FB8"/>
    <w:rsid w:val="00C64141"/>
    <w:rsid w:val="00C6416E"/>
    <w:rsid w:val="00C6419C"/>
    <w:rsid w:val="00C642BE"/>
    <w:rsid w:val="00C64314"/>
    <w:rsid w:val="00C6439C"/>
    <w:rsid w:val="00C646A7"/>
    <w:rsid w:val="00C6496C"/>
    <w:rsid w:val="00C64AB3"/>
    <w:rsid w:val="00C64B19"/>
    <w:rsid w:val="00C64BA3"/>
    <w:rsid w:val="00C64CF7"/>
    <w:rsid w:val="00C64E1C"/>
    <w:rsid w:val="00C64E35"/>
    <w:rsid w:val="00C64E4A"/>
    <w:rsid w:val="00C64E5D"/>
    <w:rsid w:val="00C64F22"/>
    <w:rsid w:val="00C6506D"/>
    <w:rsid w:val="00C651AD"/>
    <w:rsid w:val="00C653B8"/>
    <w:rsid w:val="00C653EB"/>
    <w:rsid w:val="00C6558B"/>
    <w:rsid w:val="00C6562F"/>
    <w:rsid w:val="00C656AA"/>
    <w:rsid w:val="00C65783"/>
    <w:rsid w:val="00C65CC4"/>
    <w:rsid w:val="00C65DF6"/>
    <w:rsid w:val="00C65FDC"/>
    <w:rsid w:val="00C6630D"/>
    <w:rsid w:val="00C6642A"/>
    <w:rsid w:val="00C66454"/>
    <w:rsid w:val="00C66771"/>
    <w:rsid w:val="00C66A11"/>
    <w:rsid w:val="00C66AC9"/>
    <w:rsid w:val="00C66E61"/>
    <w:rsid w:val="00C6718E"/>
    <w:rsid w:val="00C671AE"/>
    <w:rsid w:val="00C671D3"/>
    <w:rsid w:val="00C672FE"/>
    <w:rsid w:val="00C674BC"/>
    <w:rsid w:val="00C6750F"/>
    <w:rsid w:val="00C676D4"/>
    <w:rsid w:val="00C67A49"/>
    <w:rsid w:val="00C67BA4"/>
    <w:rsid w:val="00C67BC7"/>
    <w:rsid w:val="00C67DA2"/>
    <w:rsid w:val="00C67DD6"/>
    <w:rsid w:val="00C67F73"/>
    <w:rsid w:val="00C702BA"/>
    <w:rsid w:val="00C702C7"/>
    <w:rsid w:val="00C70683"/>
    <w:rsid w:val="00C706A5"/>
    <w:rsid w:val="00C70AE2"/>
    <w:rsid w:val="00C7177A"/>
    <w:rsid w:val="00C71B6A"/>
    <w:rsid w:val="00C71E65"/>
    <w:rsid w:val="00C71EA3"/>
    <w:rsid w:val="00C71F77"/>
    <w:rsid w:val="00C72839"/>
    <w:rsid w:val="00C72AB6"/>
    <w:rsid w:val="00C72C16"/>
    <w:rsid w:val="00C72DD0"/>
    <w:rsid w:val="00C72F23"/>
    <w:rsid w:val="00C72F3C"/>
    <w:rsid w:val="00C73028"/>
    <w:rsid w:val="00C731C7"/>
    <w:rsid w:val="00C7326F"/>
    <w:rsid w:val="00C732F8"/>
    <w:rsid w:val="00C73B03"/>
    <w:rsid w:val="00C73B5F"/>
    <w:rsid w:val="00C73CA7"/>
    <w:rsid w:val="00C73DEE"/>
    <w:rsid w:val="00C73E95"/>
    <w:rsid w:val="00C73EB5"/>
    <w:rsid w:val="00C741C1"/>
    <w:rsid w:val="00C7429C"/>
    <w:rsid w:val="00C744D0"/>
    <w:rsid w:val="00C745DF"/>
    <w:rsid w:val="00C74639"/>
    <w:rsid w:val="00C74770"/>
    <w:rsid w:val="00C747F6"/>
    <w:rsid w:val="00C74996"/>
    <w:rsid w:val="00C74A6C"/>
    <w:rsid w:val="00C74C06"/>
    <w:rsid w:val="00C74C78"/>
    <w:rsid w:val="00C74C8C"/>
    <w:rsid w:val="00C74CD5"/>
    <w:rsid w:val="00C7508E"/>
    <w:rsid w:val="00C7545E"/>
    <w:rsid w:val="00C7571A"/>
    <w:rsid w:val="00C75881"/>
    <w:rsid w:val="00C758F5"/>
    <w:rsid w:val="00C759B5"/>
    <w:rsid w:val="00C75AB0"/>
    <w:rsid w:val="00C75B6A"/>
    <w:rsid w:val="00C75BED"/>
    <w:rsid w:val="00C75D13"/>
    <w:rsid w:val="00C75D89"/>
    <w:rsid w:val="00C75F52"/>
    <w:rsid w:val="00C76022"/>
    <w:rsid w:val="00C760F3"/>
    <w:rsid w:val="00C7619A"/>
    <w:rsid w:val="00C762EB"/>
    <w:rsid w:val="00C76415"/>
    <w:rsid w:val="00C76545"/>
    <w:rsid w:val="00C766A8"/>
    <w:rsid w:val="00C76C26"/>
    <w:rsid w:val="00C76DCB"/>
    <w:rsid w:val="00C76E6C"/>
    <w:rsid w:val="00C76EF2"/>
    <w:rsid w:val="00C7723B"/>
    <w:rsid w:val="00C772AE"/>
    <w:rsid w:val="00C772CD"/>
    <w:rsid w:val="00C77548"/>
    <w:rsid w:val="00C77673"/>
    <w:rsid w:val="00C7774D"/>
    <w:rsid w:val="00C7775A"/>
    <w:rsid w:val="00C77A73"/>
    <w:rsid w:val="00C77BF2"/>
    <w:rsid w:val="00C77C3A"/>
    <w:rsid w:val="00C77D9C"/>
    <w:rsid w:val="00C77E0A"/>
    <w:rsid w:val="00C77E9E"/>
    <w:rsid w:val="00C8012A"/>
    <w:rsid w:val="00C80191"/>
    <w:rsid w:val="00C80314"/>
    <w:rsid w:val="00C8045D"/>
    <w:rsid w:val="00C80598"/>
    <w:rsid w:val="00C80890"/>
    <w:rsid w:val="00C808C2"/>
    <w:rsid w:val="00C808E0"/>
    <w:rsid w:val="00C80B70"/>
    <w:rsid w:val="00C80C12"/>
    <w:rsid w:val="00C80C62"/>
    <w:rsid w:val="00C80CDD"/>
    <w:rsid w:val="00C80F27"/>
    <w:rsid w:val="00C811FA"/>
    <w:rsid w:val="00C81272"/>
    <w:rsid w:val="00C81353"/>
    <w:rsid w:val="00C81360"/>
    <w:rsid w:val="00C819E6"/>
    <w:rsid w:val="00C81CBA"/>
    <w:rsid w:val="00C81EFE"/>
    <w:rsid w:val="00C822C7"/>
    <w:rsid w:val="00C8231F"/>
    <w:rsid w:val="00C823E4"/>
    <w:rsid w:val="00C824E2"/>
    <w:rsid w:val="00C8272D"/>
    <w:rsid w:val="00C82C1F"/>
    <w:rsid w:val="00C82C63"/>
    <w:rsid w:val="00C82D29"/>
    <w:rsid w:val="00C83049"/>
    <w:rsid w:val="00C83277"/>
    <w:rsid w:val="00C835EE"/>
    <w:rsid w:val="00C8377B"/>
    <w:rsid w:val="00C837F5"/>
    <w:rsid w:val="00C838A2"/>
    <w:rsid w:val="00C83AB2"/>
    <w:rsid w:val="00C842BE"/>
    <w:rsid w:val="00C843A6"/>
    <w:rsid w:val="00C844BB"/>
    <w:rsid w:val="00C845D7"/>
    <w:rsid w:val="00C84657"/>
    <w:rsid w:val="00C8475D"/>
    <w:rsid w:val="00C84819"/>
    <w:rsid w:val="00C849A2"/>
    <w:rsid w:val="00C84A99"/>
    <w:rsid w:val="00C84B45"/>
    <w:rsid w:val="00C84B5B"/>
    <w:rsid w:val="00C84CB5"/>
    <w:rsid w:val="00C84F9A"/>
    <w:rsid w:val="00C85021"/>
    <w:rsid w:val="00C85415"/>
    <w:rsid w:val="00C8543F"/>
    <w:rsid w:val="00C854C2"/>
    <w:rsid w:val="00C8554A"/>
    <w:rsid w:val="00C85750"/>
    <w:rsid w:val="00C858A3"/>
    <w:rsid w:val="00C85A19"/>
    <w:rsid w:val="00C85E23"/>
    <w:rsid w:val="00C8675B"/>
    <w:rsid w:val="00C86ACB"/>
    <w:rsid w:val="00C86DA5"/>
    <w:rsid w:val="00C86E2F"/>
    <w:rsid w:val="00C86E80"/>
    <w:rsid w:val="00C86F08"/>
    <w:rsid w:val="00C86F66"/>
    <w:rsid w:val="00C86FC9"/>
    <w:rsid w:val="00C87029"/>
    <w:rsid w:val="00C8703B"/>
    <w:rsid w:val="00C872AF"/>
    <w:rsid w:val="00C8749A"/>
    <w:rsid w:val="00C8768D"/>
    <w:rsid w:val="00C877AA"/>
    <w:rsid w:val="00C87AC7"/>
    <w:rsid w:val="00C87B04"/>
    <w:rsid w:val="00C87B4F"/>
    <w:rsid w:val="00C87D2B"/>
    <w:rsid w:val="00C87DBA"/>
    <w:rsid w:val="00C87EB6"/>
    <w:rsid w:val="00C901AE"/>
    <w:rsid w:val="00C903A8"/>
    <w:rsid w:val="00C90485"/>
    <w:rsid w:val="00C9052E"/>
    <w:rsid w:val="00C906C7"/>
    <w:rsid w:val="00C908AB"/>
    <w:rsid w:val="00C90922"/>
    <w:rsid w:val="00C90CC4"/>
    <w:rsid w:val="00C90CFE"/>
    <w:rsid w:val="00C90FFF"/>
    <w:rsid w:val="00C9107B"/>
    <w:rsid w:val="00C910AF"/>
    <w:rsid w:val="00C91100"/>
    <w:rsid w:val="00C9123E"/>
    <w:rsid w:val="00C913AC"/>
    <w:rsid w:val="00C91550"/>
    <w:rsid w:val="00C91594"/>
    <w:rsid w:val="00C91727"/>
    <w:rsid w:val="00C9181E"/>
    <w:rsid w:val="00C91AD6"/>
    <w:rsid w:val="00C91B3A"/>
    <w:rsid w:val="00C91C8C"/>
    <w:rsid w:val="00C91E52"/>
    <w:rsid w:val="00C91F63"/>
    <w:rsid w:val="00C92348"/>
    <w:rsid w:val="00C9238E"/>
    <w:rsid w:val="00C92572"/>
    <w:rsid w:val="00C92607"/>
    <w:rsid w:val="00C92681"/>
    <w:rsid w:val="00C92703"/>
    <w:rsid w:val="00C927A6"/>
    <w:rsid w:val="00C92992"/>
    <w:rsid w:val="00C92A7D"/>
    <w:rsid w:val="00C92ECF"/>
    <w:rsid w:val="00C92F58"/>
    <w:rsid w:val="00C92F85"/>
    <w:rsid w:val="00C93007"/>
    <w:rsid w:val="00C9329F"/>
    <w:rsid w:val="00C93629"/>
    <w:rsid w:val="00C936C2"/>
    <w:rsid w:val="00C93BF2"/>
    <w:rsid w:val="00C94002"/>
    <w:rsid w:val="00C9422D"/>
    <w:rsid w:val="00C942AF"/>
    <w:rsid w:val="00C94333"/>
    <w:rsid w:val="00C943CE"/>
    <w:rsid w:val="00C94653"/>
    <w:rsid w:val="00C949F8"/>
    <w:rsid w:val="00C94A22"/>
    <w:rsid w:val="00C94E75"/>
    <w:rsid w:val="00C94FFF"/>
    <w:rsid w:val="00C951B7"/>
    <w:rsid w:val="00C953B7"/>
    <w:rsid w:val="00C955D7"/>
    <w:rsid w:val="00C95681"/>
    <w:rsid w:val="00C9589E"/>
    <w:rsid w:val="00C959C0"/>
    <w:rsid w:val="00C95CD0"/>
    <w:rsid w:val="00C95CDF"/>
    <w:rsid w:val="00C95E2E"/>
    <w:rsid w:val="00C95F82"/>
    <w:rsid w:val="00C961BF"/>
    <w:rsid w:val="00C96381"/>
    <w:rsid w:val="00C9659D"/>
    <w:rsid w:val="00C96723"/>
    <w:rsid w:val="00C96724"/>
    <w:rsid w:val="00C9678E"/>
    <w:rsid w:val="00C967AE"/>
    <w:rsid w:val="00C968D9"/>
    <w:rsid w:val="00C96C76"/>
    <w:rsid w:val="00C96E85"/>
    <w:rsid w:val="00C96FC0"/>
    <w:rsid w:val="00C97072"/>
    <w:rsid w:val="00C9750C"/>
    <w:rsid w:val="00C97969"/>
    <w:rsid w:val="00C97A9E"/>
    <w:rsid w:val="00C97D0F"/>
    <w:rsid w:val="00C97E87"/>
    <w:rsid w:val="00C97EFD"/>
    <w:rsid w:val="00CA0286"/>
    <w:rsid w:val="00CA0756"/>
    <w:rsid w:val="00CA0A1A"/>
    <w:rsid w:val="00CA1178"/>
    <w:rsid w:val="00CA11F4"/>
    <w:rsid w:val="00CA1961"/>
    <w:rsid w:val="00CA1ABE"/>
    <w:rsid w:val="00CA1AC4"/>
    <w:rsid w:val="00CA1B13"/>
    <w:rsid w:val="00CA1EFF"/>
    <w:rsid w:val="00CA25FF"/>
    <w:rsid w:val="00CA261C"/>
    <w:rsid w:val="00CA285B"/>
    <w:rsid w:val="00CA2B4E"/>
    <w:rsid w:val="00CA2EC6"/>
    <w:rsid w:val="00CA2ECC"/>
    <w:rsid w:val="00CA2F31"/>
    <w:rsid w:val="00CA302D"/>
    <w:rsid w:val="00CA3207"/>
    <w:rsid w:val="00CA3221"/>
    <w:rsid w:val="00CA3327"/>
    <w:rsid w:val="00CA33C0"/>
    <w:rsid w:val="00CA3948"/>
    <w:rsid w:val="00CA3A55"/>
    <w:rsid w:val="00CA3E26"/>
    <w:rsid w:val="00CA3F35"/>
    <w:rsid w:val="00CA4199"/>
    <w:rsid w:val="00CA42E4"/>
    <w:rsid w:val="00CA434F"/>
    <w:rsid w:val="00CA4546"/>
    <w:rsid w:val="00CA45D7"/>
    <w:rsid w:val="00CA4AE6"/>
    <w:rsid w:val="00CA4C86"/>
    <w:rsid w:val="00CA4D99"/>
    <w:rsid w:val="00CA4DA8"/>
    <w:rsid w:val="00CA4E30"/>
    <w:rsid w:val="00CA4E63"/>
    <w:rsid w:val="00CA4E69"/>
    <w:rsid w:val="00CA4F45"/>
    <w:rsid w:val="00CA4FA6"/>
    <w:rsid w:val="00CA4FF0"/>
    <w:rsid w:val="00CA5045"/>
    <w:rsid w:val="00CA5111"/>
    <w:rsid w:val="00CA51D6"/>
    <w:rsid w:val="00CA5303"/>
    <w:rsid w:val="00CA55E9"/>
    <w:rsid w:val="00CA5745"/>
    <w:rsid w:val="00CA57CD"/>
    <w:rsid w:val="00CA58FB"/>
    <w:rsid w:val="00CA5998"/>
    <w:rsid w:val="00CA5AF7"/>
    <w:rsid w:val="00CA5B05"/>
    <w:rsid w:val="00CA5C42"/>
    <w:rsid w:val="00CA5CE8"/>
    <w:rsid w:val="00CA64A8"/>
    <w:rsid w:val="00CA65A9"/>
    <w:rsid w:val="00CA6743"/>
    <w:rsid w:val="00CA69AF"/>
    <w:rsid w:val="00CA6A04"/>
    <w:rsid w:val="00CA6BFE"/>
    <w:rsid w:val="00CA7084"/>
    <w:rsid w:val="00CA74B7"/>
    <w:rsid w:val="00CA74BA"/>
    <w:rsid w:val="00CA7594"/>
    <w:rsid w:val="00CA7999"/>
    <w:rsid w:val="00CA7B75"/>
    <w:rsid w:val="00CA7B88"/>
    <w:rsid w:val="00CA7BD0"/>
    <w:rsid w:val="00CA7C97"/>
    <w:rsid w:val="00CA7D40"/>
    <w:rsid w:val="00CA7EA4"/>
    <w:rsid w:val="00CA7F77"/>
    <w:rsid w:val="00CB00C4"/>
    <w:rsid w:val="00CB00C8"/>
    <w:rsid w:val="00CB0193"/>
    <w:rsid w:val="00CB028E"/>
    <w:rsid w:val="00CB0302"/>
    <w:rsid w:val="00CB0532"/>
    <w:rsid w:val="00CB07B7"/>
    <w:rsid w:val="00CB09AC"/>
    <w:rsid w:val="00CB0BF6"/>
    <w:rsid w:val="00CB0F24"/>
    <w:rsid w:val="00CB0F91"/>
    <w:rsid w:val="00CB1026"/>
    <w:rsid w:val="00CB11AB"/>
    <w:rsid w:val="00CB1250"/>
    <w:rsid w:val="00CB134D"/>
    <w:rsid w:val="00CB1474"/>
    <w:rsid w:val="00CB14F1"/>
    <w:rsid w:val="00CB1629"/>
    <w:rsid w:val="00CB1825"/>
    <w:rsid w:val="00CB1B8E"/>
    <w:rsid w:val="00CB1C4C"/>
    <w:rsid w:val="00CB1D8F"/>
    <w:rsid w:val="00CB1F7A"/>
    <w:rsid w:val="00CB2122"/>
    <w:rsid w:val="00CB2269"/>
    <w:rsid w:val="00CB2288"/>
    <w:rsid w:val="00CB2299"/>
    <w:rsid w:val="00CB2442"/>
    <w:rsid w:val="00CB2576"/>
    <w:rsid w:val="00CB259F"/>
    <w:rsid w:val="00CB25F1"/>
    <w:rsid w:val="00CB2789"/>
    <w:rsid w:val="00CB2971"/>
    <w:rsid w:val="00CB2A38"/>
    <w:rsid w:val="00CB2A4E"/>
    <w:rsid w:val="00CB2C45"/>
    <w:rsid w:val="00CB2F41"/>
    <w:rsid w:val="00CB348A"/>
    <w:rsid w:val="00CB3564"/>
    <w:rsid w:val="00CB35D1"/>
    <w:rsid w:val="00CB382D"/>
    <w:rsid w:val="00CB3BFB"/>
    <w:rsid w:val="00CB3EEB"/>
    <w:rsid w:val="00CB3FC6"/>
    <w:rsid w:val="00CB3FF2"/>
    <w:rsid w:val="00CB425E"/>
    <w:rsid w:val="00CB4284"/>
    <w:rsid w:val="00CB4415"/>
    <w:rsid w:val="00CB45E5"/>
    <w:rsid w:val="00CB475E"/>
    <w:rsid w:val="00CB48A1"/>
    <w:rsid w:val="00CB4B4D"/>
    <w:rsid w:val="00CB4C26"/>
    <w:rsid w:val="00CB4C99"/>
    <w:rsid w:val="00CB4DE6"/>
    <w:rsid w:val="00CB4F04"/>
    <w:rsid w:val="00CB4F31"/>
    <w:rsid w:val="00CB4F3A"/>
    <w:rsid w:val="00CB4F5C"/>
    <w:rsid w:val="00CB4FE7"/>
    <w:rsid w:val="00CB51D1"/>
    <w:rsid w:val="00CB5369"/>
    <w:rsid w:val="00CB53D0"/>
    <w:rsid w:val="00CB540D"/>
    <w:rsid w:val="00CB564A"/>
    <w:rsid w:val="00CB595A"/>
    <w:rsid w:val="00CB5CAD"/>
    <w:rsid w:val="00CB5D7C"/>
    <w:rsid w:val="00CB5E6D"/>
    <w:rsid w:val="00CB608D"/>
    <w:rsid w:val="00CB6224"/>
    <w:rsid w:val="00CB62DE"/>
    <w:rsid w:val="00CB6758"/>
    <w:rsid w:val="00CB68CA"/>
    <w:rsid w:val="00CB6914"/>
    <w:rsid w:val="00CB6988"/>
    <w:rsid w:val="00CB6FE5"/>
    <w:rsid w:val="00CB7156"/>
    <w:rsid w:val="00CB73C5"/>
    <w:rsid w:val="00CB7630"/>
    <w:rsid w:val="00CB7652"/>
    <w:rsid w:val="00CB76C7"/>
    <w:rsid w:val="00CB773C"/>
    <w:rsid w:val="00CB78DA"/>
    <w:rsid w:val="00CB78F4"/>
    <w:rsid w:val="00CB7ABD"/>
    <w:rsid w:val="00CB7BAA"/>
    <w:rsid w:val="00CB7CFA"/>
    <w:rsid w:val="00CB7E83"/>
    <w:rsid w:val="00CC042A"/>
    <w:rsid w:val="00CC05EA"/>
    <w:rsid w:val="00CC0684"/>
    <w:rsid w:val="00CC0797"/>
    <w:rsid w:val="00CC0906"/>
    <w:rsid w:val="00CC0D8D"/>
    <w:rsid w:val="00CC0EC5"/>
    <w:rsid w:val="00CC112C"/>
    <w:rsid w:val="00CC132D"/>
    <w:rsid w:val="00CC1560"/>
    <w:rsid w:val="00CC15C0"/>
    <w:rsid w:val="00CC1706"/>
    <w:rsid w:val="00CC187B"/>
    <w:rsid w:val="00CC1B66"/>
    <w:rsid w:val="00CC1BE8"/>
    <w:rsid w:val="00CC1D84"/>
    <w:rsid w:val="00CC1E48"/>
    <w:rsid w:val="00CC1E51"/>
    <w:rsid w:val="00CC1E7F"/>
    <w:rsid w:val="00CC1EFE"/>
    <w:rsid w:val="00CC1F57"/>
    <w:rsid w:val="00CC2239"/>
    <w:rsid w:val="00CC22A9"/>
    <w:rsid w:val="00CC24A5"/>
    <w:rsid w:val="00CC272B"/>
    <w:rsid w:val="00CC2A1A"/>
    <w:rsid w:val="00CC2A43"/>
    <w:rsid w:val="00CC2B70"/>
    <w:rsid w:val="00CC2C19"/>
    <w:rsid w:val="00CC2DA2"/>
    <w:rsid w:val="00CC2E20"/>
    <w:rsid w:val="00CC3165"/>
    <w:rsid w:val="00CC31AB"/>
    <w:rsid w:val="00CC3A90"/>
    <w:rsid w:val="00CC412F"/>
    <w:rsid w:val="00CC4179"/>
    <w:rsid w:val="00CC42D3"/>
    <w:rsid w:val="00CC45D0"/>
    <w:rsid w:val="00CC463B"/>
    <w:rsid w:val="00CC47E2"/>
    <w:rsid w:val="00CC48A7"/>
    <w:rsid w:val="00CC48DC"/>
    <w:rsid w:val="00CC4A14"/>
    <w:rsid w:val="00CC4D8F"/>
    <w:rsid w:val="00CC4E51"/>
    <w:rsid w:val="00CC5011"/>
    <w:rsid w:val="00CC53DF"/>
    <w:rsid w:val="00CC5536"/>
    <w:rsid w:val="00CC5A2A"/>
    <w:rsid w:val="00CC5A62"/>
    <w:rsid w:val="00CC5E8E"/>
    <w:rsid w:val="00CC5E8F"/>
    <w:rsid w:val="00CC6009"/>
    <w:rsid w:val="00CC6039"/>
    <w:rsid w:val="00CC6136"/>
    <w:rsid w:val="00CC6177"/>
    <w:rsid w:val="00CC61A2"/>
    <w:rsid w:val="00CC63E6"/>
    <w:rsid w:val="00CC6932"/>
    <w:rsid w:val="00CC698B"/>
    <w:rsid w:val="00CC6C5F"/>
    <w:rsid w:val="00CC6CA0"/>
    <w:rsid w:val="00CC702D"/>
    <w:rsid w:val="00CC72A7"/>
    <w:rsid w:val="00CC7348"/>
    <w:rsid w:val="00CC7495"/>
    <w:rsid w:val="00CC754B"/>
    <w:rsid w:val="00CC75C4"/>
    <w:rsid w:val="00CC762E"/>
    <w:rsid w:val="00CC76A1"/>
    <w:rsid w:val="00CC78B4"/>
    <w:rsid w:val="00CC7A08"/>
    <w:rsid w:val="00CC7CEB"/>
    <w:rsid w:val="00CC7E75"/>
    <w:rsid w:val="00CC7E86"/>
    <w:rsid w:val="00CC7EB5"/>
    <w:rsid w:val="00CC7EF1"/>
    <w:rsid w:val="00CD011F"/>
    <w:rsid w:val="00CD02D8"/>
    <w:rsid w:val="00CD0455"/>
    <w:rsid w:val="00CD063E"/>
    <w:rsid w:val="00CD0661"/>
    <w:rsid w:val="00CD09F6"/>
    <w:rsid w:val="00CD0A29"/>
    <w:rsid w:val="00CD0D02"/>
    <w:rsid w:val="00CD0DB1"/>
    <w:rsid w:val="00CD0EA4"/>
    <w:rsid w:val="00CD0F34"/>
    <w:rsid w:val="00CD0F92"/>
    <w:rsid w:val="00CD103E"/>
    <w:rsid w:val="00CD113E"/>
    <w:rsid w:val="00CD1147"/>
    <w:rsid w:val="00CD144E"/>
    <w:rsid w:val="00CD14B9"/>
    <w:rsid w:val="00CD14CF"/>
    <w:rsid w:val="00CD165C"/>
    <w:rsid w:val="00CD16D3"/>
    <w:rsid w:val="00CD18F8"/>
    <w:rsid w:val="00CD1A37"/>
    <w:rsid w:val="00CD1A38"/>
    <w:rsid w:val="00CD1B9E"/>
    <w:rsid w:val="00CD1E4F"/>
    <w:rsid w:val="00CD23B0"/>
    <w:rsid w:val="00CD23C0"/>
    <w:rsid w:val="00CD241C"/>
    <w:rsid w:val="00CD2882"/>
    <w:rsid w:val="00CD2885"/>
    <w:rsid w:val="00CD2D03"/>
    <w:rsid w:val="00CD2F9A"/>
    <w:rsid w:val="00CD2FB0"/>
    <w:rsid w:val="00CD30CE"/>
    <w:rsid w:val="00CD30F6"/>
    <w:rsid w:val="00CD32B1"/>
    <w:rsid w:val="00CD349F"/>
    <w:rsid w:val="00CD35AE"/>
    <w:rsid w:val="00CD35C1"/>
    <w:rsid w:val="00CD36F5"/>
    <w:rsid w:val="00CD379E"/>
    <w:rsid w:val="00CD3DD4"/>
    <w:rsid w:val="00CD40E7"/>
    <w:rsid w:val="00CD4246"/>
    <w:rsid w:val="00CD42E2"/>
    <w:rsid w:val="00CD430D"/>
    <w:rsid w:val="00CD4399"/>
    <w:rsid w:val="00CD43CD"/>
    <w:rsid w:val="00CD4785"/>
    <w:rsid w:val="00CD48BB"/>
    <w:rsid w:val="00CD4C69"/>
    <w:rsid w:val="00CD5226"/>
    <w:rsid w:val="00CD5847"/>
    <w:rsid w:val="00CD587C"/>
    <w:rsid w:val="00CD5AFE"/>
    <w:rsid w:val="00CD5E13"/>
    <w:rsid w:val="00CD5E40"/>
    <w:rsid w:val="00CD5EF8"/>
    <w:rsid w:val="00CD616D"/>
    <w:rsid w:val="00CD6172"/>
    <w:rsid w:val="00CD635B"/>
    <w:rsid w:val="00CD63E4"/>
    <w:rsid w:val="00CD649E"/>
    <w:rsid w:val="00CD69ED"/>
    <w:rsid w:val="00CD6B3A"/>
    <w:rsid w:val="00CD6B96"/>
    <w:rsid w:val="00CD6E9A"/>
    <w:rsid w:val="00CD6F0B"/>
    <w:rsid w:val="00CD6F82"/>
    <w:rsid w:val="00CD7085"/>
    <w:rsid w:val="00CD7278"/>
    <w:rsid w:val="00CD74A8"/>
    <w:rsid w:val="00CD757C"/>
    <w:rsid w:val="00CD7620"/>
    <w:rsid w:val="00CD7638"/>
    <w:rsid w:val="00CD7971"/>
    <w:rsid w:val="00CD7C1A"/>
    <w:rsid w:val="00CD7D8B"/>
    <w:rsid w:val="00CE025B"/>
    <w:rsid w:val="00CE0343"/>
    <w:rsid w:val="00CE0407"/>
    <w:rsid w:val="00CE0443"/>
    <w:rsid w:val="00CE07B5"/>
    <w:rsid w:val="00CE07E5"/>
    <w:rsid w:val="00CE092E"/>
    <w:rsid w:val="00CE0B04"/>
    <w:rsid w:val="00CE0CEF"/>
    <w:rsid w:val="00CE0EF2"/>
    <w:rsid w:val="00CE0FCF"/>
    <w:rsid w:val="00CE1026"/>
    <w:rsid w:val="00CE1274"/>
    <w:rsid w:val="00CE14F2"/>
    <w:rsid w:val="00CE1579"/>
    <w:rsid w:val="00CE1773"/>
    <w:rsid w:val="00CE1A0F"/>
    <w:rsid w:val="00CE1AA8"/>
    <w:rsid w:val="00CE1AAC"/>
    <w:rsid w:val="00CE1B48"/>
    <w:rsid w:val="00CE1D9F"/>
    <w:rsid w:val="00CE1E16"/>
    <w:rsid w:val="00CE1EDF"/>
    <w:rsid w:val="00CE1EE4"/>
    <w:rsid w:val="00CE2223"/>
    <w:rsid w:val="00CE2C61"/>
    <w:rsid w:val="00CE2CB1"/>
    <w:rsid w:val="00CE2CCB"/>
    <w:rsid w:val="00CE2CD3"/>
    <w:rsid w:val="00CE2CD9"/>
    <w:rsid w:val="00CE30B7"/>
    <w:rsid w:val="00CE30F0"/>
    <w:rsid w:val="00CE3464"/>
    <w:rsid w:val="00CE348F"/>
    <w:rsid w:val="00CE3580"/>
    <w:rsid w:val="00CE35BE"/>
    <w:rsid w:val="00CE37F2"/>
    <w:rsid w:val="00CE392B"/>
    <w:rsid w:val="00CE393E"/>
    <w:rsid w:val="00CE3A69"/>
    <w:rsid w:val="00CE3BBC"/>
    <w:rsid w:val="00CE3C75"/>
    <w:rsid w:val="00CE3D7C"/>
    <w:rsid w:val="00CE3DD8"/>
    <w:rsid w:val="00CE3E1A"/>
    <w:rsid w:val="00CE4037"/>
    <w:rsid w:val="00CE40E3"/>
    <w:rsid w:val="00CE40FB"/>
    <w:rsid w:val="00CE4149"/>
    <w:rsid w:val="00CE4278"/>
    <w:rsid w:val="00CE431E"/>
    <w:rsid w:val="00CE44A6"/>
    <w:rsid w:val="00CE44A7"/>
    <w:rsid w:val="00CE49F9"/>
    <w:rsid w:val="00CE4BF7"/>
    <w:rsid w:val="00CE4CA2"/>
    <w:rsid w:val="00CE4D52"/>
    <w:rsid w:val="00CE515F"/>
    <w:rsid w:val="00CE5244"/>
    <w:rsid w:val="00CE5801"/>
    <w:rsid w:val="00CE5C99"/>
    <w:rsid w:val="00CE5E10"/>
    <w:rsid w:val="00CE5EAB"/>
    <w:rsid w:val="00CE6103"/>
    <w:rsid w:val="00CE6322"/>
    <w:rsid w:val="00CE6499"/>
    <w:rsid w:val="00CE6583"/>
    <w:rsid w:val="00CE67D1"/>
    <w:rsid w:val="00CE6B45"/>
    <w:rsid w:val="00CE6B9B"/>
    <w:rsid w:val="00CE6EAB"/>
    <w:rsid w:val="00CE719D"/>
    <w:rsid w:val="00CE7373"/>
    <w:rsid w:val="00CE7452"/>
    <w:rsid w:val="00CE75E3"/>
    <w:rsid w:val="00CE761B"/>
    <w:rsid w:val="00CE78A0"/>
    <w:rsid w:val="00CE79B4"/>
    <w:rsid w:val="00CE7BF8"/>
    <w:rsid w:val="00CE7E85"/>
    <w:rsid w:val="00CF03BD"/>
    <w:rsid w:val="00CF0557"/>
    <w:rsid w:val="00CF0602"/>
    <w:rsid w:val="00CF062E"/>
    <w:rsid w:val="00CF0BA8"/>
    <w:rsid w:val="00CF0CBA"/>
    <w:rsid w:val="00CF0D13"/>
    <w:rsid w:val="00CF0D2D"/>
    <w:rsid w:val="00CF0E8E"/>
    <w:rsid w:val="00CF0F96"/>
    <w:rsid w:val="00CF10C4"/>
    <w:rsid w:val="00CF138E"/>
    <w:rsid w:val="00CF14AC"/>
    <w:rsid w:val="00CF15A4"/>
    <w:rsid w:val="00CF1609"/>
    <w:rsid w:val="00CF188A"/>
    <w:rsid w:val="00CF1908"/>
    <w:rsid w:val="00CF1A09"/>
    <w:rsid w:val="00CF1B17"/>
    <w:rsid w:val="00CF1BEF"/>
    <w:rsid w:val="00CF1D3C"/>
    <w:rsid w:val="00CF1D42"/>
    <w:rsid w:val="00CF1D78"/>
    <w:rsid w:val="00CF1E9E"/>
    <w:rsid w:val="00CF1F9C"/>
    <w:rsid w:val="00CF2306"/>
    <w:rsid w:val="00CF23CD"/>
    <w:rsid w:val="00CF27ED"/>
    <w:rsid w:val="00CF2825"/>
    <w:rsid w:val="00CF2970"/>
    <w:rsid w:val="00CF2B86"/>
    <w:rsid w:val="00CF2CCD"/>
    <w:rsid w:val="00CF2D8E"/>
    <w:rsid w:val="00CF2E0A"/>
    <w:rsid w:val="00CF3034"/>
    <w:rsid w:val="00CF397B"/>
    <w:rsid w:val="00CF3C4E"/>
    <w:rsid w:val="00CF3C71"/>
    <w:rsid w:val="00CF3CA4"/>
    <w:rsid w:val="00CF3E98"/>
    <w:rsid w:val="00CF435D"/>
    <w:rsid w:val="00CF43B8"/>
    <w:rsid w:val="00CF43BA"/>
    <w:rsid w:val="00CF4558"/>
    <w:rsid w:val="00CF459F"/>
    <w:rsid w:val="00CF4C58"/>
    <w:rsid w:val="00CF4C88"/>
    <w:rsid w:val="00CF51AB"/>
    <w:rsid w:val="00CF51E7"/>
    <w:rsid w:val="00CF5400"/>
    <w:rsid w:val="00CF546E"/>
    <w:rsid w:val="00CF5484"/>
    <w:rsid w:val="00CF574E"/>
    <w:rsid w:val="00CF5BAF"/>
    <w:rsid w:val="00CF5D6A"/>
    <w:rsid w:val="00CF5D96"/>
    <w:rsid w:val="00CF6150"/>
    <w:rsid w:val="00CF616C"/>
    <w:rsid w:val="00CF622F"/>
    <w:rsid w:val="00CF6268"/>
    <w:rsid w:val="00CF63B0"/>
    <w:rsid w:val="00CF664A"/>
    <w:rsid w:val="00CF6686"/>
    <w:rsid w:val="00CF673A"/>
    <w:rsid w:val="00CF6779"/>
    <w:rsid w:val="00CF67B6"/>
    <w:rsid w:val="00CF67D2"/>
    <w:rsid w:val="00CF6893"/>
    <w:rsid w:val="00CF6A17"/>
    <w:rsid w:val="00CF6E6D"/>
    <w:rsid w:val="00CF727A"/>
    <w:rsid w:val="00CF72A9"/>
    <w:rsid w:val="00CF7368"/>
    <w:rsid w:val="00CF77C8"/>
    <w:rsid w:val="00CF77F7"/>
    <w:rsid w:val="00CF7ADE"/>
    <w:rsid w:val="00CF7C99"/>
    <w:rsid w:val="00CF7DD9"/>
    <w:rsid w:val="00CF7DF4"/>
    <w:rsid w:val="00CF7F7F"/>
    <w:rsid w:val="00CF7FC1"/>
    <w:rsid w:val="00D0023B"/>
    <w:rsid w:val="00D00494"/>
    <w:rsid w:val="00D004B1"/>
    <w:rsid w:val="00D00518"/>
    <w:rsid w:val="00D00AC2"/>
    <w:rsid w:val="00D00C00"/>
    <w:rsid w:val="00D00D2C"/>
    <w:rsid w:val="00D00FDC"/>
    <w:rsid w:val="00D01239"/>
    <w:rsid w:val="00D012FB"/>
    <w:rsid w:val="00D0158E"/>
    <w:rsid w:val="00D0168D"/>
    <w:rsid w:val="00D01D5C"/>
    <w:rsid w:val="00D020C2"/>
    <w:rsid w:val="00D02139"/>
    <w:rsid w:val="00D021A4"/>
    <w:rsid w:val="00D0252E"/>
    <w:rsid w:val="00D028C8"/>
    <w:rsid w:val="00D0292C"/>
    <w:rsid w:val="00D02A72"/>
    <w:rsid w:val="00D02D93"/>
    <w:rsid w:val="00D02EFC"/>
    <w:rsid w:val="00D02F99"/>
    <w:rsid w:val="00D03036"/>
    <w:rsid w:val="00D030D0"/>
    <w:rsid w:val="00D03507"/>
    <w:rsid w:val="00D03715"/>
    <w:rsid w:val="00D037F0"/>
    <w:rsid w:val="00D03991"/>
    <w:rsid w:val="00D03A8E"/>
    <w:rsid w:val="00D03B92"/>
    <w:rsid w:val="00D04480"/>
    <w:rsid w:val="00D04494"/>
    <w:rsid w:val="00D0469B"/>
    <w:rsid w:val="00D04895"/>
    <w:rsid w:val="00D049C9"/>
    <w:rsid w:val="00D04BF7"/>
    <w:rsid w:val="00D04C4A"/>
    <w:rsid w:val="00D04DE7"/>
    <w:rsid w:val="00D04F2A"/>
    <w:rsid w:val="00D0500F"/>
    <w:rsid w:val="00D0505E"/>
    <w:rsid w:val="00D05108"/>
    <w:rsid w:val="00D05252"/>
    <w:rsid w:val="00D05332"/>
    <w:rsid w:val="00D053AA"/>
    <w:rsid w:val="00D053B2"/>
    <w:rsid w:val="00D054FA"/>
    <w:rsid w:val="00D0581F"/>
    <w:rsid w:val="00D05CF3"/>
    <w:rsid w:val="00D05EDA"/>
    <w:rsid w:val="00D06012"/>
    <w:rsid w:val="00D06095"/>
    <w:rsid w:val="00D06216"/>
    <w:rsid w:val="00D063D0"/>
    <w:rsid w:val="00D06407"/>
    <w:rsid w:val="00D064BF"/>
    <w:rsid w:val="00D064FD"/>
    <w:rsid w:val="00D068A5"/>
    <w:rsid w:val="00D0695E"/>
    <w:rsid w:val="00D069F1"/>
    <w:rsid w:val="00D06A61"/>
    <w:rsid w:val="00D06B55"/>
    <w:rsid w:val="00D06C64"/>
    <w:rsid w:val="00D06FCA"/>
    <w:rsid w:val="00D0705D"/>
    <w:rsid w:val="00D070A4"/>
    <w:rsid w:val="00D070D5"/>
    <w:rsid w:val="00D07811"/>
    <w:rsid w:val="00D078D8"/>
    <w:rsid w:val="00D07A2B"/>
    <w:rsid w:val="00D07A33"/>
    <w:rsid w:val="00D07C63"/>
    <w:rsid w:val="00D07F61"/>
    <w:rsid w:val="00D07FB5"/>
    <w:rsid w:val="00D1012F"/>
    <w:rsid w:val="00D10201"/>
    <w:rsid w:val="00D104B0"/>
    <w:rsid w:val="00D1059E"/>
    <w:rsid w:val="00D105DA"/>
    <w:rsid w:val="00D10829"/>
    <w:rsid w:val="00D10897"/>
    <w:rsid w:val="00D10B39"/>
    <w:rsid w:val="00D10CF2"/>
    <w:rsid w:val="00D10D5D"/>
    <w:rsid w:val="00D10DFC"/>
    <w:rsid w:val="00D110AF"/>
    <w:rsid w:val="00D11181"/>
    <w:rsid w:val="00D111AF"/>
    <w:rsid w:val="00D111E8"/>
    <w:rsid w:val="00D1122D"/>
    <w:rsid w:val="00D11371"/>
    <w:rsid w:val="00D1142D"/>
    <w:rsid w:val="00D11653"/>
    <w:rsid w:val="00D1172F"/>
    <w:rsid w:val="00D117C2"/>
    <w:rsid w:val="00D117D4"/>
    <w:rsid w:val="00D11838"/>
    <w:rsid w:val="00D11986"/>
    <w:rsid w:val="00D11AD0"/>
    <w:rsid w:val="00D1273C"/>
    <w:rsid w:val="00D127A0"/>
    <w:rsid w:val="00D12861"/>
    <w:rsid w:val="00D1289F"/>
    <w:rsid w:val="00D12B11"/>
    <w:rsid w:val="00D12BBE"/>
    <w:rsid w:val="00D12D64"/>
    <w:rsid w:val="00D12EBE"/>
    <w:rsid w:val="00D132E0"/>
    <w:rsid w:val="00D134E4"/>
    <w:rsid w:val="00D1376B"/>
    <w:rsid w:val="00D1391C"/>
    <w:rsid w:val="00D13ADE"/>
    <w:rsid w:val="00D13BC5"/>
    <w:rsid w:val="00D13DFE"/>
    <w:rsid w:val="00D13EEA"/>
    <w:rsid w:val="00D13F55"/>
    <w:rsid w:val="00D13FA2"/>
    <w:rsid w:val="00D14028"/>
    <w:rsid w:val="00D140CB"/>
    <w:rsid w:val="00D1417C"/>
    <w:rsid w:val="00D14495"/>
    <w:rsid w:val="00D146E0"/>
    <w:rsid w:val="00D14953"/>
    <w:rsid w:val="00D149EC"/>
    <w:rsid w:val="00D14B18"/>
    <w:rsid w:val="00D14CB4"/>
    <w:rsid w:val="00D14CC8"/>
    <w:rsid w:val="00D14F10"/>
    <w:rsid w:val="00D15229"/>
    <w:rsid w:val="00D1538E"/>
    <w:rsid w:val="00D154A2"/>
    <w:rsid w:val="00D156DE"/>
    <w:rsid w:val="00D1570C"/>
    <w:rsid w:val="00D157E8"/>
    <w:rsid w:val="00D15D41"/>
    <w:rsid w:val="00D15EB0"/>
    <w:rsid w:val="00D15ED4"/>
    <w:rsid w:val="00D15FC6"/>
    <w:rsid w:val="00D1609C"/>
    <w:rsid w:val="00D160FE"/>
    <w:rsid w:val="00D16198"/>
    <w:rsid w:val="00D161A7"/>
    <w:rsid w:val="00D16262"/>
    <w:rsid w:val="00D16428"/>
    <w:rsid w:val="00D164B6"/>
    <w:rsid w:val="00D167F8"/>
    <w:rsid w:val="00D16882"/>
    <w:rsid w:val="00D169ED"/>
    <w:rsid w:val="00D16BA6"/>
    <w:rsid w:val="00D16BE9"/>
    <w:rsid w:val="00D16CEE"/>
    <w:rsid w:val="00D16D94"/>
    <w:rsid w:val="00D16F4A"/>
    <w:rsid w:val="00D171C0"/>
    <w:rsid w:val="00D1770D"/>
    <w:rsid w:val="00D1777A"/>
    <w:rsid w:val="00D177B7"/>
    <w:rsid w:val="00D1782C"/>
    <w:rsid w:val="00D17B54"/>
    <w:rsid w:val="00D17DAB"/>
    <w:rsid w:val="00D17F50"/>
    <w:rsid w:val="00D20532"/>
    <w:rsid w:val="00D207C6"/>
    <w:rsid w:val="00D20AC1"/>
    <w:rsid w:val="00D20B13"/>
    <w:rsid w:val="00D20D2A"/>
    <w:rsid w:val="00D210AB"/>
    <w:rsid w:val="00D210D5"/>
    <w:rsid w:val="00D2151A"/>
    <w:rsid w:val="00D215BC"/>
    <w:rsid w:val="00D21931"/>
    <w:rsid w:val="00D219A5"/>
    <w:rsid w:val="00D21D6A"/>
    <w:rsid w:val="00D22003"/>
    <w:rsid w:val="00D220DD"/>
    <w:rsid w:val="00D2218F"/>
    <w:rsid w:val="00D2228E"/>
    <w:rsid w:val="00D2229E"/>
    <w:rsid w:val="00D2232E"/>
    <w:rsid w:val="00D2296F"/>
    <w:rsid w:val="00D22972"/>
    <w:rsid w:val="00D22993"/>
    <w:rsid w:val="00D229DA"/>
    <w:rsid w:val="00D22E92"/>
    <w:rsid w:val="00D231C7"/>
    <w:rsid w:val="00D23439"/>
    <w:rsid w:val="00D236E8"/>
    <w:rsid w:val="00D23935"/>
    <w:rsid w:val="00D2393A"/>
    <w:rsid w:val="00D23942"/>
    <w:rsid w:val="00D23B75"/>
    <w:rsid w:val="00D23CB2"/>
    <w:rsid w:val="00D240E4"/>
    <w:rsid w:val="00D246AB"/>
    <w:rsid w:val="00D247E6"/>
    <w:rsid w:val="00D24870"/>
    <w:rsid w:val="00D249C7"/>
    <w:rsid w:val="00D24A6C"/>
    <w:rsid w:val="00D24BBC"/>
    <w:rsid w:val="00D24BD5"/>
    <w:rsid w:val="00D24C05"/>
    <w:rsid w:val="00D24DF9"/>
    <w:rsid w:val="00D24FC9"/>
    <w:rsid w:val="00D24FE5"/>
    <w:rsid w:val="00D25026"/>
    <w:rsid w:val="00D25271"/>
    <w:rsid w:val="00D253F5"/>
    <w:rsid w:val="00D25465"/>
    <w:rsid w:val="00D256C6"/>
    <w:rsid w:val="00D25AB9"/>
    <w:rsid w:val="00D25C2A"/>
    <w:rsid w:val="00D2645E"/>
    <w:rsid w:val="00D2667F"/>
    <w:rsid w:val="00D266AE"/>
    <w:rsid w:val="00D26818"/>
    <w:rsid w:val="00D26FAD"/>
    <w:rsid w:val="00D2718C"/>
    <w:rsid w:val="00D2754D"/>
    <w:rsid w:val="00D276E8"/>
    <w:rsid w:val="00D2794A"/>
    <w:rsid w:val="00D27B73"/>
    <w:rsid w:val="00D27C90"/>
    <w:rsid w:val="00D27CFB"/>
    <w:rsid w:val="00D27ECA"/>
    <w:rsid w:val="00D30024"/>
    <w:rsid w:val="00D3036E"/>
    <w:rsid w:val="00D30398"/>
    <w:rsid w:val="00D303D3"/>
    <w:rsid w:val="00D3069F"/>
    <w:rsid w:val="00D307BE"/>
    <w:rsid w:val="00D30A19"/>
    <w:rsid w:val="00D30BD2"/>
    <w:rsid w:val="00D30C31"/>
    <w:rsid w:val="00D30CE8"/>
    <w:rsid w:val="00D30D36"/>
    <w:rsid w:val="00D3121C"/>
    <w:rsid w:val="00D312A1"/>
    <w:rsid w:val="00D314CE"/>
    <w:rsid w:val="00D31544"/>
    <w:rsid w:val="00D315B8"/>
    <w:rsid w:val="00D31790"/>
    <w:rsid w:val="00D317C9"/>
    <w:rsid w:val="00D31869"/>
    <w:rsid w:val="00D31D0C"/>
    <w:rsid w:val="00D31D3C"/>
    <w:rsid w:val="00D31E0F"/>
    <w:rsid w:val="00D31E5E"/>
    <w:rsid w:val="00D31F05"/>
    <w:rsid w:val="00D31F6B"/>
    <w:rsid w:val="00D31F84"/>
    <w:rsid w:val="00D31F99"/>
    <w:rsid w:val="00D320CE"/>
    <w:rsid w:val="00D327D4"/>
    <w:rsid w:val="00D329DF"/>
    <w:rsid w:val="00D32BCB"/>
    <w:rsid w:val="00D32CCF"/>
    <w:rsid w:val="00D3301B"/>
    <w:rsid w:val="00D33088"/>
    <w:rsid w:val="00D33259"/>
    <w:rsid w:val="00D333F2"/>
    <w:rsid w:val="00D335B3"/>
    <w:rsid w:val="00D3378F"/>
    <w:rsid w:val="00D3379C"/>
    <w:rsid w:val="00D339BA"/>
    <w:rsid w:val="00D33A2B"/>
    <w:rsid w:val="00D33BFA"/>
    <w:rsid w:val="00D33D09"/>
    <w:rsid w:val="00D33E93"/>
    <w:rsid w:val="00D34054"/>
    <w:rsid w:val="00D340D5"/>
    <w:rsid w:val="00D341F9"/>
    <w:rsid w:val="00D34230"/>
    <w:rsid w:val="00D3436B"/>
    <w:rsid w:val="00D347F2"/>
    <w:rsid w:val="00D3483B"/>
    <w:rsid w:val="00D348B4"/>
    <w:rsid w:val="00D3492C"/>
    <w:rsid w:val="00D34931"/>
    <w:rsid w:val="00D349A3"/>
    <w:rsid w:val="00D34A0A"/>
    <w:rsid w:val="00D34B8B"/>
    <w:rsid w:val="00D34C49"/>
    <w:rsid w:val="00D34E52"/>
    <w:rsid w:val="00D34E70"/>
    <w:rsid w:val="00D34E8D"/>
    <w:rsid w:val="00D35003"/>
    <w:rsid w:val="00D35102"/>
    <w:rsid w:val="00D3576C"/>
    <w:rsid w:val="00D3579F"/>
    <w:rsid w:val="00D3583D"/>
    <w:rsid w:val="00D35860"/>
    <w:rsid w:val="00D35916"/>
    <w:rsid w:val="00D35952"/>
    <w:rsid w:val="00D359C0"/>
    <w:rsid w:val="00D35CEA"/>
    <w:rsid w:val="00D360B8"/>
    <w:rsid w:val="00D3618E"/>
    <w:rsid w:val="00D36583"/>
    <w:rsid w:val="00D3661A"/>
    <w:rsid w:val="00D366CE"/>
    <w:rsid w:val="00D36B2D"/>
    <w:rsid w:val="00D36C3F"/>
    <w:rsid w:val="00D36C89"/>
    <w:rsid w:val="00D36CAE"/>
    <w:rsid w:val="00D36E73"/>
    <w:rsid w:val="00D376DA"/>
    <w:rsid w:val="00D37905"/>
    <w:rsid w:val="00D37912"/>
    <w:rsid w:val="00D37C31"/>
    <w:rsid w:val="00D37FC8"/>
    <w:rsid w:val="00D40095"/>
    <w:rsid w:val="00D40153"/>
    <w:rsid w:val="00D401C9"/>
    <w:rsid w:val="00D40402"/>
    <w:rsid w:val="00D4042F"/>
    <w:rsid w:val="00D404C5"/>
    <w:rsid w:val="00D40ECF"/>
    <w:rsid w:val="00D40F6C"/>
    <w:rsid w:val="00D41122"/>
    <w:rsid w:val="00D41196"/>
    <w:rsid w:val="00D414D7"/>
    <w:rsid w:val="00D41A3D"/>
    <w:rsid w:val="00D41D1A"/>
    <w:rsid w:val="00D41F8A"/>
    <w:rsid w:val="00D42023"/>
    <w:rsid w:val="00D42237"/>
    <w:rsid w:val="00D42350"/>
    <w:rsid w:val="00D4236D"/>
    <w:rsid w:val="00D425C3"/>
    <w:rsid w:val="00D425DC"/>
    <w:rsid w:val="00D4280C"/>
    <w:rsid w:val="00D428AE"/>
    <w:rsid w:val="00D42DB6"/>
    <w:rsid w:val="00D42FD3"/>
    <w:rsid w:val="00D431B0"/>
    <w:rsid w:val="00D436F2"/>
    <w:rsid w:val="00D438B4"/>
    <w:rsid w:val="00D43AB5"/>
    <w:rsid w:val="00D43D84"/>
    <w:rsid w:val="00D43F2F"/>
    <w:rsid w:val="00D4401C"/>
    <w:rsid w:val="00D44054"/>
    <w:rsid w:val="00D4406F"/>
    <w:rsid w:val="00D440FC"/>
    <w:rsid w:val="00D44130"/>
    <w:rsid w:val="00D442B5"/>
    <w:rsid w:val="00D44333"/>
    <w:rsid w:val="00D44471"/>
    <w:rsid w:val="00D446BE"/>
    <w:rsid w:val="00D44701"/>
    <w:rsid w:val="00D44849"/>
    <w:rsid w:val="00D448DC"/>
    <w:rsid w:val="00D44C15"/>
    <w:rsid w:val="00D44F2B"/>
    <w:rsid w:val="00D44F4E"/>
    <w:rsid w:val="00D4517F"/>
    <w:rsid w:val="00D45237"/>
    <w:rsid w:val="00D4528B"/>
    <w:rsid w:val="00D452C0"/>
    <w:rsid w:val="00D45316"/>
    <w:rsid w:val="00D45649"/>
    <w:rsid w:val="00D456DE"/>
    <w:rsid w:val="00D456F3"/>
    <w:rsid w:val="00D45746"/>
    <w:rsid w:val="00D4574D"/>
    <w:rsid w:val="00D45AF5"/>
    <w:rsid w:val="00D45D1A"/>
    <w:rsid w:val="00D45D20"/>
    <w:rsid w:val="00D45D54"/>
    <w:rsid w:val="00D45F86"/>
    <w:rsid w:val="00D45F9B"/>
    <w:rsid w:val="00D45FE4"/>
    <w:rsid w:val="00D4602F"/>
    <w:rsid w:val="00D46113"/>
    <w:rsid w:val="00D46168"/>
    <w:rsid w:val="00D46295"/>
    <w:rsid w:val="00D462F7"/>
    <w:rsid w:val="00D4680C"/>
    <w:rsid w:val="00D4680F"/>
    <w:rsid w:val="00D46816"/>
    <w:rsid w:val="00D468AD"/>
    <w:rsid w:val="00D46A58"/>
    <w:rsid w:val="00D46B27"/>
    <w:rsid w:val="00D46B8A"/>
    <w:rsid w:val="00D46C42"/>
    <w:rsid w:val="00D46DA9"/>
    <w:rsid w:val="00D46F38"/>
    <w:rsid w:val="00D4753C"/>
    <w:rsid w:val="00D4775A"/>
    <w:rsid w:val="00D47791"/>
    <w:rsid w:val="00D478D6"/>
    <w:rsid w:val="00D47A71"/>
    <w:rsid w:val="00D47A99"/>
    <w:rsid w:val="00D47B07"/>
    <w:rsid w:val="00D47D56"/>
    <w:rsid w:val="00D47DAE"/>
    <w:rsid w:val="00D47E2D"/>
    <w:rsid w:val="00D47E5F"/>
    <w:rsid w:val="00D47F91"/>
    <w:rsid w:val="00D50033"/>
    <w:rsid w:val="00D500DE"/>
    <w:rsid w:val="00D501A4"/>
    <w:rsid w:val="00D5029A"/>
    <w:rsid w:val="00D50385"/>
    <w:rsid w:val="00D507AB"/>
    <w:rsid w:val="00D507F1"/>
    <w:rsid w:val="00D50853"/>
    <w:rsid w:val="00D5093F"/>
    <w:rsid w:val="00D50A50"/>
    <w:rsid w:val="00D50D3A"/>
    <w:rsid w:val="00D50DDB"/>
    <w:rsid w:val="00D50E39"/>
    <w:rsid w:val="00D50F22"/>
    <w:rsid w:val="00D50FE0"/>
    <w:rsid w:val="00D5149F"/>
    <w:rsid w:val="00D51568"/>
    <w:rsid w:val="00D515FA"/>
    <w:rsid w:val="00D5172B"/>
    <w:rsid w:val="00D51739"/>
    <w:rsid w:val="00D517B1"/>
    <w:rsid w:val="00D517F9"/>
    <w:rsid w:val="00D5185A"/>
    <w:rsid w:val="00D51988"/>
    <w:rsid w:val="00D51AFF"/>
    <w:rsid w:val="00D51B40"/>
    <w:rsid w:val="00D51BEB"/>
    <w:rsid w:val="00D51CCE"/>
    <w:rsid w:val="00D51EAF"/>
    <w:rsid w:val="00D52035"/>
    <w:rsid w:val="00D520F4"/>
    <w:rsid w:val="00D521C3"/>
    <w:rsid w:val="00D52358"/>
    <w:rsid w:val="00D52378"/>
    <w:rsid w:val="00D52776"/>
    <w:rsid w:val="00D5297D"/>
    <w:rsid w:val="00D52A6A"/>
    <w:rsid w:val="00D52A94"/>
    <w:rsid w:val="00D52B2C"/>
    <w:rsid w:val="00D52C4E"/>
    <w:rsid w:val="00D52CE3"/>
    <w:rsid w:val="00D5325C"/>
    <w:rsid w:val="00D5329E"/>
    <w:rsid w:val="00D53859"/>
    <w:rsid w:val="00D5386D"/>
    <w:rsid w:val="00D53975"/>
    <w:rsid w:val="00D53A01"/>
    <w:rsid w:val="00D54215"/>
    <w:rsid w:val="00D543A0"/>
    <w:rsid w:val="00D543C7"/>
    <w:rsid w:val="00D54612"/>
    <w:rsid w:val="00D54714"/>
    <w:rsid w:val="00D54996"/>
    <w:rsid w:val="00D54A48"/>
    <w:rsid w:val="00D54A88"/>
    <w:rsid w:val="00D54E1A"/>
    <w:rsid w:val="00D54FAA"/>
    <w:rsid w:val="00D55237"/>
    <w:rsid w:val="00D552F6"/>
    <w:rsid w:val="00D55366"/>
    <w:rsid w:val="00D55475"/>
    <w:rsid w:val="00D5564F"/>
    <w:rsid w:val="00D556DB"/>
    <w:rsid w:val="00D55BCE"/>
    <w:rsid w:val="00D55E1C"/>
    <w:rsid w:val="00D56453"/>
    <w:rsid w:val="00D56578"/>
    <w:rsid w:val="00D56589"/>
    <w:rsid w:val="00D56738"/>
    <w:rsid w:val="00D5676D"/>
    <w:rsid w:val="00D567F9"/>
    <w:rsid w:val="00D568E3"/>
    <w:rsid w:val="00D5690D"/>
    <w:rsid w:val="00D56A78"/>
    <w:rsid w:val="00D56B60"/>
    <w:rsid w:val="00D56B90"/>
    <w:rsid w:val="00D56BF9"/>
    <w:rsid w:val="00D56ECA"/>
    <w:rsid w:val="00D57131"/>
    <w:rsid w:val="00D571D0"/>
    <w:rsid w:val="00D576B3"/>
    <w:rsid w:val="00D577A5"/>
    <w:rsid w:val="00D57ADC"/>
    <w:rsid w:val="00D57B88"/>
    <w:rsid w:val="00D57C36"/>
    <w:rsid w:val="00D57CAE"/>
    <w:rsid w:val="00D57F28"/>
    <w:rsid w:val="00D57F5E"/>
    <w:rsid w:val="00D60135"/>
    <w:rsid w:val="00D602B8"/>
    <w:rsid w:val="00D604EE"/>
    <w:rsid w:val="00D60670"/>
    <w:rsid w:val="00D607B3"/>
    <w:rsid w:val="00D607D3"/>
    <w:rsid w:val="00D60A99"/>
    <w:rsid w:val="00D60AFB"/>
    <w:rsid w:val="00D60BF6"/>
    <w:rsid w:val="00D60CEE"/>
    <w:rsid w:val="00D60F9B"/>
    <w:rsid w:val="00D60FE0"/>
    <w:rsid w:val="00D61109"/>
    <w:rsid w:val="00D6111A"/>
    <w:rsid w:val="00D6117D"/>
    <w:rsid w:val="00D612AC"/>
    <w:rsid w:val="00D612E1"/>
    <w:rsid w:val="00D61445"/>
    <w:rsid w:val="00D61569"/>
    <w:rsid w:val="00D616D9"/>
    <w:rsid w:val="00D6173A"/>
    <w:rsid w:val="00D61DA3"/>
    <w:rsid w:val="00D61DDD"/>
    <w:rsid w:val="00D61DFC"/>
    <w:rsid w:val="00D61E55"/>
    <w:rsid w:val="00D61F5D"/>
    <w:rsid w:val="00D61FFD"/>
    <w:rsid w:val="00D6207A"/>
    <w:rsid w:val="00D620FA"/>
    <w:rsid w:val="00D62511"/>
    <w:rsid w:val="00D6269B"/>
    <w:rsid w:val="00D62765"/>
    <w:rsid w:val="00D6280C"/>
    <w:rsid w:val="00D62A8C"/>
    <w:rsid w:val="00D62AA2"/>
    <w:rsid w:val="00D62B4D"/>
    <w:rsid w:val="00D62B85"/>
    <w:rsid w:val="00D62CF0"/>
    <w:rsid w:val="00D62E41"/>
    <w:rsid w:val="00D62EB0"/>
    <w:rsid w:val="00D62EC0"/>
    <w:rsid w:val="00D62F66"/>
    <w:rsid w:val="00D62FAB"/>
    <w:rsid w:val="00D62FC7"/>
    <w:rsid w:val="00D6306C"/>
    <w:rsid w:val="00D6314D"/>
    <w:rsid w:val="00D632DE"/>
    <w:rsid w:val="00D63331"/>
    <w:rsid w:val="00D633B7"/>
    <w:rsid w:val="00D636B2"/>
    <w:rsid w:val="00D6371A"/>
    <w:rsid w:val="00D638C3"/>
    <w:rsid w:val="00D63A06"/>
    <w:rsid w:val="00D63CF6"/>
    <w:rsid w:val="00D63E13"/>
    <w:rsid w:val="00D63F38"/>
    <w:rsid w:val="00D63F84"/>
    <w:rsid w:val="00D6406A"/>
    <w:rsid w:val="00D640C2"/>
    <w:rsid w:val="00D641E7"/>
    <w:rsid w:val="00D64301"/>
    <w:rsid w:val="00D64340"/>
    <w:rsid w:val="00D6436C"/>
    <w:rsid w:val="00D644C1"/>
    <w:rsid w:val="00D64523"/>
    <w:rsid w:val="00D64576"/>
    <w:rsid w:val="00D6472D"/>
    <w:rsid w:val="00D64BA8"/>
    <w:rsid w:val="00D64CA3"/>
    <w:rsid w:val="00D64EF9"/>
    <w:rsid w:val="00D64F30"/>
    <w:rsid w:val="00D655B5"/>
    <w:rsid w:val="00D6584A"/>
    <w:rsid w:val="00D65872"/>
    <w:rsid w:val="00D658F6"/>
    <w:rsid w:val="00D659CA"/>
    <w:rsid w:val="00D65A1A"/>
    <w:rsid w:val="00D65AA1"/>
    <w:rsid w:val="00D65CBC"/>
    <w:rsid w:val="00D66070"/>
    <w:rsid w:val="00D664F8"/>
    <w:rsid w:val="00D6682D"/>
    <w:rsid w:val="00D66A88"/>
    <w:rsid w:val="00D66C0B"/>
    <w:rsid w:val="00D66DBE"/>
    <w:rsid w:val="00D66EDC"/>
    <w:rsid w:val="00D66FBA"/>
    <w:rsid w:val="00D6738C"/>
    <w:rsid w:val="00D67676"/>
    <w:rsid w:val="00D67810"/>
    <w:rsid w:val="00D67FE9"/>
    <w:rsid w:val="00D701A5"/>
    <w:rsid w:val="00D70320"/>
    <w:rsid w:val="00D7073B"/>
    <w:rsid w:val="00D707B9"/>
    <w:rsid w:val="00D7097D"/>
    <w:rsid w:val="00D70982"/>
    <w:rsid w:val="00D70B1D"/>
    <w:rsid w:val="00D70DE4"/>
    <w:rsid w:val="00D70E1C"/>
    <w:rsid w:val="00D70F27"/>
    <w:rsid w:val="00D7120A"/>
    <w:rsid w:val="00D71315"/>
    <w:rsid w:val="00D7157C"/>
    <w:rsid w:val="00D718BC"/>
    <w:rsid w:val="00D7192B"/>
    <w:rsid w:val="00D71D53"/>
    <w:rsid w:val="00D721F1"/>
    <w:rsid w:val="00D72460"/>
    <w:rsid w:val="00D7258D"/>
    <w:rsid w:val="00D72925"/>
    <w:rsid w:val="00D72A32"/>
    <w:rsid w:val="00D72B37"/>
    <w:rsid w:val="00D73180"/>
    <w:rsid w:val="00D732D3"/>
    <w:rsid w:val="00D734BD"/>
    <w:rsid w:val="00D73540"/>
    <w:rsid w:val="00D73711"/>
    <w:rsid w:val="00D737B9"/>
    <w:rsid w:val="00D739D8"/>
    <w:rsid w:val="00D73AAF"/>
    <w:rsid w:val="00D73B6D"/>
    <w:rsid w:val="00D73C56"/>
    <w:rsid w:val="00D73D02"/>
    <w:rsid w:val="00D73D6B"/>
    <w:rsid w:val="00D73EC7"/>
    <w:rsid w:val="00D73EFA"/>
    <w:rsid w:val="00D740CF"/>
    <w:rsid w:val="00D740D0"/>
    <w:rsid w:val="00D742F4"/>
    <w:rsid w:val="00D746F5"/>
    <w:rsid w:val="00D74779"/>
    <w:rsid w:val="00D7482B"/>
    <w:rsid w:val="00D74A16"/>
    <w:rsid w:val="00D74F9A"/>
    <w:rsid w:val="00D75229"/>
    <w:rsid w:val="00D752EC"/>
    <w:rsid w:val="00D7537C"/>
    <w:rsid w:val="00D7587E"/>
    <w:rsid w:val="00D75A55"/>
    <w:rsid w:val="00D75C89"/>
    <w:rsid w:val="00D76198"/>
    <w:rsid w:val="00D762D5"/>
    <w:rsid w:val="00D7634A"/>
    <w:rsid w:val="00D764C3"/>
    <w:rsid w:val="00D76546"/>
    <w:rsid w:val="00D765A3"/>
    <w:rsid w:val="00D765AB"/>
    <w:rsid w:val="00D7664C"/>
    <w:rsid w:val="00D76749"/>
    <w:rsid w:val="00D768FD"/>
    <w:rsid w:val="00D76963"/>
    <w:rsid w:val="00D76B07"/>
    <w:rsid w:val="00D76B30"/>
    <w:rsid w:val="00D76B6F"/>
    <w:rsid w:val="00D76B8A"/>
    <w:rsid w:val="00D76CF5"/>
    <w:rsid w:val="00D76D8E"/>
    <w:rsid w:val="00D770C5"/>
    <w:rsid w:val="00D7732D"/>
    <w:rsid w:val="00D77386"/>
    <w:rsid w:val="00D77487"/>
    <w:rsid w:val="00D77A6D"/>
    <w:rsid w:val="00D77D69"/>
    <w:rsid w:val="00D77DA3"/>
    <w:rsid w:val="00D77E7E"/>
    <w:rsid w:val="00D77EBB"/>
    <w:rsid w:val="00D77F52"/>
    <w:rsid w:val="00D800F7"/>
    <w:rsid w:val="00D80216"/>
    <w:rsid w:val="00D80248"/>
    <w:rsid w:val="00D80297"/>
    <w:rsid w:val="00D80372"/>
    <w:rsid w:val="00D803FD"/>
    <w:rsid w:val="00D805E2"/>
    <w:rsid w:val="00D80827"/>
    <w:rsid w:val="00D8094C"/>
    <w:rsid w:val="00D80B2A"/>
    <w:rsid w:val="00D80C4D"/>
    <w:rsid w:val="00D80DF0"/>
    <w:rsid w:val="00D80E31"/>
    <w:rsid w:val="00D80EBA"/>
    <w:rsid w:val="00D80F9A"/>
    <w:rsid w:val="00D81250"/>
    <w:rsid w:val="00D814B7"/>
    <w:rsid w:val="00D815D0"/>
    <w:rsid w:val="00D816C3"/>
    <w:rsid w:val="00D81758"/>
    <w:rsid w:val="00D81766"/>
    <w:rsid w:val="00D818B1"/>
    <w:rsid w:val="00D81973"/>
    <w:rsid w:val="00D819DF"/>
    <w:rsid w:val="00D81AB3"/>
    <w:rsid w:val="00D81B19"/>
    <w:rsid w:val="00D81BF9"/>
    <w:rsid w:val="00D821C4"/>
    <w:rsid w:val="00D8232D"/>
    <w:rsid w:val="00D82425"/>
    <w:rsid w:val="00D82550"/>
    <w:rsid w:val="00D82889"/>
    <w:rsid w:val="00D82AEE"/>
    <w:rsid w:val="00D82B52"/>
    <w:rsid w:val="00D82F50"/>
    <w:rsid w:val="00D82F56"/>
    <w:rsid w:val="00D83199"/>
    <w:rsid w:val="00D8358A"/>
    <w:rsid w:val="00D835A7"/>
    <w:rsid w:val="00D83D79"/>
    <w:rsid w:val="00D83E08"/>
    <w:rsid w:val="00D8412B"/>
    <w:rsid w:val="00D8419E"/>
    <w:rsid w:val="00D8427A"/>
    <w:rsid w:val="00D84308"/>
    <w:rsid w:val="00D844C7"/>
    <w:rsid w:val="00D8456F"/>
    <w:rsid w:val="00D84EF9"/>
    <w:rsid w:val="00D84F71"/>
    <w:rsid w:val="00D850F7"/>
    <w:rsid w:val="00D8539E"/>
    <w:rsid w:val="00D853A9"/>
    <w:rsid w:val="00D8546F"/>
    <w:rsid w:val="00D85812"/>
    <w:rsid w:val="00D85868"/>
    <w:rsid w:val="00D861D3"/>
    <w:rsid w:val="00D86241"/>
    <w:rsid w:val="00D86267"/>
    <w:rsid w:val="00D8635D"/>
    <w:rsid w:val="00D8689A"/>
    <w:rsid w:val="00D869B9"/>
    <w:rsid w:val="00D86CF8"/>
    <w:rsid w:val="00D86F3F"/>
    <w:rsid w:val="00D87001"/>
    <w:rsid w:val="00D87505"/>
    <w:rsid w:val="00D875BA"/>
    <w:rsid w:val="00D87800"/>
    <w:rsid w:val="00D87941"/>
    <w:rsid w:val="00D87988"/>
    <w:rsid w:val="00D87A1D"/>
    <w:rsid w:val="00D87A5E"/>
    <w:rsid w:val="00D87A66"/>
    <w:rsid w:val="00D87B69"/>
    <w:rsid w:val="00D87E81"/>
    <w:rsid w:val="00D90089"/>
    <w:rsid w:val="00D90200"/>
    <w:rsid w:val="00D9039F"/>
    <w:rsid w:val="00D90473"/>
    <w:rsid w:val="00D907F2"/>
    <w:rsid w:val="00D90B09"/>
    <w:rsid w:val="00D90D51"/>
    <w:rsid w:val="00D90EFF"/>
    <w:rsid w:val="00D90FA7"/>
    <w:rsid w:val="00D9108D"/>
    <w:rsid w:val="00D91206"/>
    <w:rsid w:val="00D9130C"/>
    <w:rsid w:val="00D91338"/>
    <w:rsid w:val="00D915FA"/>
    <w:rsid w:val="00D91AB0"/>
    <w:rsid w:val="00D91B84"/>
    <w:rsid w:val="00D91D57"/>
    <w:rsid w:val="00D91D91"/>
    <w:rsid w:val="00D91DA8"/>
    <w:rsid w:val="00D91DE9"/>
    <w:rsid w:val="00D91FDC"/>
    <w:rsid w:val="00D92306"/>
    <w:rsid w:val="00D92481"/>
    <w:rsid w:val="00D929E7"/>
    <w:rsid w:val="00D92F93"/>
    <w:rsid w:val="00D932F8"/>
    <w:rsid w:val="00D93363"/>
    <w:rsid w:val="00D933DB"/>
    <w:rsid w:val="00D93429"/>
    <w:rsid w:val="00D934AA"/>
    <w:rsid w:val="00D93517"/>
    <w:rsid w:val="00D935B2"/>
    <w:rsid w:val="00D935EE"/>
    <w:rsid w:val="00D936D1"/>
    <w:rsid w:val="00D93859"/>
    <w:rsid w:val="00D9397A"/>
    <w:rsid w:val="00D9397C"/>
    <w:rsid w:val="00D93A3F"/>
    <w:rsid w:val="00D93DA1"/>
    <w:rsid w:val="00D93FD0"/>
    <w:rsid w:val="00D93FDC"/>
    <w:rsid w:val="00D93FF0"/>
    <w:rsid w:val="00D94147"/>
    <w:rsid w:val="00D94603"/>
    <w:rsid w:val="00D948AB"/>
    <w:rsid w:val="00D94ABA"/>
    <w:rsid w:val="00D94C57"/>
    <w:rsid w:val="00D94D92"/>
    <w:rsid w:val="00D9529C"/>
    <w:rsid w:val="00D9538B"/>
    <w:rsid w:val="00D956F8"/>
    <w:rsid w:val="00D95914"/>
    <w:rsid w:val="00D95DE4"/>
    <w:rsid w:val="00D96280"/>
    <w:rsid w:val="00D96296"/>
    <w:rsid w:val="00D965BA"/>
    <w:rsid w:val="00D965FC"/>
    <w:rsid w:val="00D9661C"/>
    <w:rsid w:val="00D9687D"/>
    <w:rsid w:val="00D9689A"/>
    <w:rsid w:val="00D96A9A"/>
    <w:rsid w:val="00D9706C"/>
    <w:rsid w:val="00D97330"/>
    <w:rsid w:val="00D9750A"/>
    <w:rsid w:val="00D9753D"/>
    <w:rsid w:val="00D97898"/>
    <w:rsid w:val="00D978A8"/>
    <w:rsid w:val="00D97AFB"/>
    <w:rsid w:val="00D97CA6"/>
    <w:rsid w:val="00DA00EE"/>
    <w:rsid w:val="00DA02DD"/>
    <w:rsid w:val="00DA02F1"/>
    <w:rsid w:val="00DA0338"/>
    <w:rsid w:val="00DA0585"/>
    <w:rsid w:val="00DA0933"/>
    <w:rsid w:val="00DA09C8"/>
    <w:rsid w:val="00DA0C4D"/>
    <w:rsid w:val="00DA0E3D"/>
    <w:rsid w:val="00DA115C"/>
    <w:rsid w:val="00DA117D"/>
    <w:rsid w:val="00DA1368"/>
    <w:rsid w:val="00DA1413"/>
    <w:rsid w:val="00DA1962"/>
    <w:rsid w:val="00DA1B2D"/>
    <w:rsid w:val="00DA1B5D"/>
    <w:rsid w:val="00DA1FCA"/>
    <w:rsid w:val="00DA213D"/>
    <w:rsid w:val="00DA21A4"/>
    <w:rsid w:val="00DA250C"/>
    <w:rsid w:val="00DA2516"/>
    <w:rsid w:val="00DA25B2"/>
    <w:rsid w:val="00DA2712"/>
    <w:rsid w:val="00DA28A9"/>
    <w:rsid w:val="00DA2AB5"/>
    <w:rsid w:val="00DA2AC1"/>
    <w:rsid w:val="00DA2AD2"/>
    <w:rsid w:val="00DA2C1F"/>
    <w:rsid w:val="00DA2E27"/>
    <w:rsid w:val="00DA30BF"/>
    <w:rsid w:val="00DA3176"/>
    <w:rsid w:val="00DA33F4"/>
    <w:rsid w:val="00DA3687"/>
    <w:rsid w:val="00DA36A9"/>
    <w:rsid w:val="00DA37D1"/>
    <w:rsid w:val="00DA3800"/>
    <w:rsid w:val="00DA3D65"/>
    <w:rsid w:val="00DA3EEF"/>
    <w:rsid w:val="00DA3EF3"/>
    <w:rsid w:val="00DA3F17"/>
    <w:rsid w:val="00DA46C9"/>
    <w:rsid w:val="00DA48B1"/>
    <w:rsid w:val="00DA499D"/>
    <w:rsid w:val="00DA4B5E"/>
    <w:rsid w:val="00DA4B67"/>
    <w:rsid w:val="00DA4DE7"/>
    <w:rsid w:val="00DA5020"/>
    <w:rsid w:val="00DA5064"/>
    <w:rsid w:val="00DA52D1"/>
    <w:rsid w:val="00DA530D"/>
    <w:rsid w:val="00DA5579"/>
    <w:rsid w:val="00DA56AB"/>
    <w:rsid w:val="00DA596D"/>
    <w:rsid w:val="00DA5C36"/>
    <w:rsid w:val="00DA5D51"/>
    <w:rsid w:val="00DA5F0A"/>
    <w:rsid w:val="00DA605E"/>
    <w:rsid w:val="00DA607E"/>
    <w:rsid w:val="00DA60C9"/>
    <w:rsid w:val="00DA6146"/>
    <w:rsid w:val="00DA685B"/>
    <w:rsid w:val="00DA6901"/>
    <w:rsid w:val="00DA6A75"/>
    <w:rsid w:val="00DA6B20"/>
    <w:rsid w:val="00DA6C2F"/>
    <w:rsid w:val="00DA7242"/>
    <w:rsid w:val="00DA745A"/>
    <w:rsid w:val="00DA74BF"/>
    <w:rsid w:val="00DA7668"/>
    <w:rsid w:val="00DA78E6"/>
    <w:rsid w:val="00DA7A7D"/>
    <w:rsid w:val="00DA7B16"/>
    <w:rsid w:val="00DA7BA7"/>
    <w:rsid w:val="00DA7EF8"/>
    <w:rsid w:val="00DA7F45"/>
    <w:rsid w:val="00DB0055"/>
    <w:rsid w:val="00DB026E"/>
    <w:rsid w:val="00DB0451"/>
    <w:rsid w:val="00DB054E"/>
    <w:rsid w:val="00DB0737"/>
    <w:rsid w:val="00DB07C6"/>
    <w:rsid w:val="00DB07CE"/>
    <w:rsid w:val="00DB07DA"/>
    <w:rsid w:val="00DB098F"/>
    <w:rsid w:val="00DB0BBA"/>
    <w:rsid w:val="00DB0C31"/>
    <w:rsid w:val="00DB0CB1"/>
    <w:rsid w:val="00DB106B"/>
    <w:rsid w:val="00DB1091"/>
    <w:rsid w:val="00DB10F2"/>
    <w:rsid w:val="00DB117A"/>
    <w:rsid w:val="00DB13A2"/>
    <w:rsid w:val="00DB1686"/>
    <w:rsid w:val="00DB1739"/>
    <w:rsid w:val="00DB18A4"/>
    <w:rsid w:val="00DB1926"/>
    <w:rsid w:val="00DB19B9"/>
    <w:rsid w:val="00DB1A7D"/>
    <w:rsid w:val="00DB1ABF"/>
    <w:rsid w:val="00DB1C10"/>
    <w:rsid w:val="00DB1C7E"/>
    <w:rsid w:val="00DB2770"/>
    <w:rsid w:val="00DB289C"/>
    <w:rsid w:val="00DB2B17"/>
    <w:rsid w:val="00DB2C0F"/>
    <w:rsid w:val="00DB2C67"/>
    <w:rsid w:val="00DB2D12"/>
    <w:rsid w:val="00DB3159"/>
    <w:rsid w:val="00DB319F"/>
    <w:rsid w:val="00DB3293"/>
    <w:rsid w:val="00DB339B"/>
    <w:rsid w:val="00DB370D"/>
    <w:rsid w:val="00DB3813"/>
    <w:rsid w:val="00DB3923"/>
    <w:rsid w:val="00DB3B08"/>
    <w:rsid w:val="00DB3FFF"/>
    <w:rsid w:val="00DB4274"/>
    <w:rsid w:val="00DB42A6"/>
    <w:rsid w:val="00DB4410"/>
    <w:rsid w:val="00DB4429"/>
    <w:rsid w:val="00DB481C"/>
    <w:rsid w:val="00DB49A5"/>
    <w:rsid w:val="00DB4CA3"/>
    <w:rsid w:val="00DB4DA2"/>
    <w:rsid w:val="00DB4DB6"/>
    <w:rsid w:val="00DB4DD6"/>
    <w:rsid w:val="00DB4EBB"/>
    <w:rsid w:val="00DB4F23"/>
    <w:rsid w:val="00DB4FED"/>
    <w:rsid w:val="00DB5250"/>
    <w:rsid w:val="00DB527E"/>
    <w:rsid w:val="00DB56AF"/>
    <w:rsid w:val="00DB58D0"/>
    <w:rsid w:val="00DB59CE"/>
    <w:rsid w:val="00DB5A6A"/>
    <w:rsid w:val="00DB5D79"/>
    <w:rsid w:val="00DB5EBE"/>
    <w:rsid w:val="00DB62F7"/>
    <w:rsid w:val="00DB64B4"/>
    <w:rsid w:val="00DB6538"/>
    <w:rsid w:val="00DB6754"/>
    <w:rsid w:val="00DB6762"/>
    <w:rsid w:val="00DB67BA"/>
    <w:rsid w:val="00DB6CF5"/>
    <w:rsid w:val="00DB6DDD"/>
    <w:rsid w:val="00DB6E79"/>
    <w:rsid w:val="00DB7233"/>
    <w:rsid w:val="00DB7474"/>
    <w:rsid w:val="00DB749C"/>
    <w:rsid w:val="00DB74BD"/>
    <w:rsid w:val="00DB757A"/>
    <w:rsid w:val="00DB75F7"/>
    <w:rsid w:val="00DB77A0"/>
    <w:rsid w:val="00DB77B3"/>
    <w:rsid w:val="00DB79ED"/>
    <w:rsid w:val="00DB7AB1"/>
    <w:rsid w:val="00DB7DAC"/>
    <w:rsid w:val="00DB7DB7"/>
    <w:rsid w:val="00DB7E0A"/>
    <w:rsid w:val="00DB7F09"/>
    <w:rsid w:val="00DB7F93"/>
    <w:rsid w:val="00DC00AC"/>
    <w:rsid w:val="00DC015D"/>
    <w:rsid w:val="00DC02EA"/>
    <w:rsid w:val="00DC03D5"/>
    <w:rsid w:val="00DC0440"/>
    <w:rsid w:val="00DC046B"/>
    <w:rsid w:val="00DC0480"/>
    <w:rsid w:val="00DC05E8"/>
    <w:rsid w:val="00DC06A4"/>
    <w:rsid w:val="00DC0D4D"/>
    <w:rsid w:val="00DC0E02"/>
    <w:rsid w:val="00DC0E12"/>
    <w:rsid w:val="00DC0E2A"/>
    <w:rsid w:val="00DC0FF0"/>
    <w:rsid w:val="00DC125B"/>
    <w:rsid w:val="00DC154F"/>
    <w:rsid w:val="00DC1612"/>
    <w:rsid w:val="00DC196E"/>
    <w:rsid w:val="00DC19E7"/>
    <w:rsid w:val="00DC1C68"/>
    <w:rsid w:val="00DC1FF3"/>
    <w:rsid w:val="00DC2467"/>
    <w:rsid w:val="00DC27DB"/>
    <w:rsid w:val="00DC2802"/>
    <w:rsid w:val="00DC283C"/>
    <w:rsid w:val="00DC28EC"/>
    <w:rsid w:val="00DC2AEA"/>
    <w:rsid w:val="00DC2BF6"/>
    <w:rsid w:val="00DC2C32"/>
    <w:rsid w:val="00DC2F70"/>
    <w:rsid w:val="00DC2FC6"/>
    <w:rsid w:val="00DC3348"/>
    <w:rsid w:val="00DC337C"/>
    <w:rsid w:val="00DC352E"/>
    <w:rsid w:val="00DC388B"/>
    <w:rsid w:val="00DC389F"/>
    <w:rsid w:val="00DC3A9D"/>
    <w:rsid w:val="00DC3C0F"/>
    <w:rsid w:val="00DC3C3D"/>
    <w:rsid w:val="00DC3C65"/>
    <w:rsid w:val="00DC3CE8"/>
    <w:rsid w:val="00DC3D06"/>
    <w:rsid w:val="00DC3F57"/>
    <w:rsid w:val="00DC41FC"/>
    <w:rsid w:val="00DC4233"/>
    <w:rsid w:val="00DC4580"/>
    <w:rsid w:val="00DC4978"/>
    <w:rsid w:val="00DC4AA6"/>
    <w:rsid w:val="00DC4B12"/>
    <w:rsid w:val="00DC4B5E"/>
    <w:rsid w:val="00DC4D4E"/>
    <w:rsid w:val="00DC4D78"/>
    <w:rsid w:val="00DC4D91"/>
    <w:rsid w:val="00DC5086"/>
    <w:rsid w:val="00DC5188"/>
    <w:rsid w:val="00DC51CB"/>
    <w:rsid w:val="00DC521F"/>
    <w:rsid w:val="00DC5334"/>
    <w:rsid w:val="00DC547B"/>
    <w:rsid w:val="00DC550B"/>
    <w:rsid w:val="00DC5744"/>
    <w:rsid w:val="00DC5B64"/>
    <w:rsid w:val="00DC5BA3"/>
    <w:rsid w:val="00DC5BAB"/>
    <w:rsid w:val="00DC5DF9"/>
    <w:rsid w:val="00DC5E5A"/>
    <w:rsid w:val="00DC5EA6"/>
    <w:rsid w:val="00DC605C"/>
    <w:rsid w:val="00DC6140"/>
    <w:rsid w:val="00DC6533"/>
    <w:rsid w:val="00DC65D0"/>
    <w:rsid w:val="00DC6911"/>
    <w:rsid w:val="00DC6BAF"/>
    <w:rsid w:val="00DC70BA"/>
    <w:rsid w:val="00DC7160"/>
    <w:rsid w:val="00DC7458"/>
    <w:rsid w:val="00DC74AB"/>
    <w:rsid w:val="00DC74FA"/>
    <w:rsid w:val="00DC7504"/>
    <w:rsid w:val="00DC7605"/>
    <w:rsid w:val="00DC7881"/>
    <w:rsid w:val="00DC795B"/>
    <w:rsid w:val="00DC7B2A"/>
    <w:rsid w:val="00DC7FAB"/>
    <w:rsid w:val="00DD011D"/>
    <w:rsid w:val="00DD0130"/>
    <w:rsid w:val="00DD0177"/>
    <w:rsid w:val="00DD01CA"/>
    <w:rsid w:val="00DD0207"/>
    <w:rsid w:val="00DD0355"/>
    <w:rsid w:val="00DD041B"/>
    <w:rsid w:val="00DD0479"/>
    <w:rsid w:val="00DD04C4"/>
    <w:rsid w:val="00DD051B"/>
    <w:rsid w:val="00DD069D"/>
    <w:rsid w:val="00DD0846"/>
    <w:rsid w:val="00DD0F1C"/>
    <w:rsid w:val="00DD0FF3"/>
    <w:rsid w:val="00DD0FF7"/>
    <w:rsid w:val="00DD11AC"/>
    <w:rsid w:val="00DD11C7"/>
    <w:rsid w:val="00DD1473"/>
    <w:rsid w:val="00DD14E6"/>
    <w:rsid w:val="00DD1503"/>
    <w:rsid w:val="00DD16EE"/>
    <w:rsid w:val="00DD1739"/>
    <w:rsid w:val="00DD1A2D"/>
    <w:rsid w:val="00DD1A72"/>
    <w:rsid w:val="00DD1AFA"/>
    <w:rsid w:val="00DD1B79"/>
    <w:rsid w:val="00DD1D4B"/>
    <w:rsid w:val="00DD21C8"/>
    <w:rsid w:val="00DD21D5"/>
    <w:rsid w:val="00DD21FA"/>
    <w:rsid w:val="00DD22FF"/>
    <w:rsid w:val="00DD23E9"/>
    <w:rsid w:val="00DD24DC"/>
    <w:rsid w:val="00DD2718"/>
    <w:rsid w:val="00DD2B36"/>
    <w:rsid w:val="00DD2BB1"/>
    <w:rsid w:val="00DD2BC6"/>
    <w:rsid w:val="00DD2C9B"/>
    <w:rsid w:val="00DD2CBE"/>
    <w:rsid w:val="00DD2EEC"/>
    <w:rsid w:val="00DD31D2"/>
    <w:rsid w:val="00DD325A"/>
    <w:rsid w:val="00DD3276"/>
    <w:rsid w:val="00DD3455"/>
    <w:rsid w:val="00DD34B9"/>
    <w:rsid w:val="00DD365D"/>
    <w:rsid w:val="00DD3904"/>
    <w:rsid w:val="00DD39FA"/>
    <w:rsid w:val="00DD3C73"/>
    <w:rsid w:val="00DD3CA5"/>
    <w:rsid w:val="00DD3FA4"/>
    <w:rsid w:val="00DD41D2"/>
    <w:rsid w:val="00DD42C2"/>
    <w:rsid w:val="00DD42C8"/>
    <w:rsid w:val="00DD4331"/>
    <w:rsid w:val="00DD4362"/>
    <w:rsid w:val="00DD43A9"/>
    <w:rsid w:val="00DD4717"/>
    <w:rsid w:val="00DD4723"/>
    <w:rsid w:val="00DD4750"/>
    <w:rsid w:val="00DD48A8"/>
    <w:rsid w:val="00DD4A5C"/>
    <w:rsid w:val="00DD4AAA"/>
    <w:rsid w:val="00DD4DEE"/>
    <w:rsid w:val="00DD5029"/>
    <w:rsid w:val="00DD525A"/>
    <w:rsid w:val="00DD5451"/>
    <w:rsid w:val="00DD560A"/>
    <w:rsid w:val="00DD5838"/>
    <w:rsid w:val="00DD591F"/>
    <w:rsid w:val="00DD595B"/>
    <w:rsid w:val="00DD5A1B"/>
    <w:rsid w:val="00DD5A44"/>
    <w:rsid w:val="00DD5B92"/>
    <w:rsid w:val="00DD6158"/>
    <w:rsid w:val="00DD6216"/>
    <w:rsid w:val="00DD67E0"/>
    <w:rsid w:val="00DD6964"/>
    <w:rsid w:val="00DD69C3"/>
    <w:rsid w:val="00DD6C36"/>
    <w:rsid w:val="00DD7042"/>
    <w:rsid w:val="00DD7124"/>
    <w:rsid w:val="00DD715C"/>
    <w:rsid w:val="00DD72F1"/>
    <w:rsid w:val="00DD755D"/>
    <w:rsid w:val="00DD75AA"/>
    <w:rsid w:val="00DD7C90"/>
    <w:rsid w:val="00DE017F"/>
    <w:rsid w:val="00DE04DC"/>
    <w:rsid w:val="00DE05EA"/>
    <w:rsid w:val="00DE0678"/>
    <w:rsid w:val="00DE06C9"/>
    <w:rsid w:val="00DE0858"/>
    <w:rsid w:val="00DE08BC"/>
    <w:rsid w:val="00DE08EB"/>
    <w:rsid w:val="00DE0B89"/>
    <w:rsid w:val="00DE1036"/>
    <w:rsid w:val="00DE1200"/>
    <w:rsid w:val="00DE12CA"/>
    <w:rsid w:val="00DE12DF"/>
    <w:rsid w:val="00DE14C6"/>
    <w:rsid w:val="00DE1757"/>
    <w:rsid w:val="00DE1834"/>
    <w:rsid w:val="00DE18BC"/>
    <w:rsid w:val="00DE1A00"/>
    <w:rsid w:val="00DE1B87"/>
    <w:rsid w:val="00DE1F5F"/>
    <w:rsid w:val="00DE202A"/>
    <w:rsid w:val="00DE249A"/>
    <w:rsid w:val="00DE271E"/>
    <w:rsid w:val="00DE2851"/>
    <w:rsid w:val="00DE2E14"/>
    <w:rsid w:val="00DE2ED9"/>
    <w:rsid w:val="00DE3206"/>
    <w:rsid w:val="00DE3434"/>
    <w:rsid w:val="00DE3457"/>
    <w:rsid w:val="00DE3694"/>
    <w:rsid w:val="00DE379A"/>
    <w:rsid w:val="00DE3810"/>
    <w:rsid w:val="00DE3A48"/>
    <w:rsid w:val="00DE3AC4"/>
    <w:rsid w:val="00DE3B19"/>
    <w:rsid w:val="00DE3E90"/>
    <w:rsid w:val="00DE406E"/>
    <w:rsid w:val="00DE4240"/>
    <w:rsid w:val="00DE4413"/>
    <w:rsid w:val="00DE46B1"/>
    <w:rsid w:val="00DE4830"/>
    <w:rsid w:val="00DE495B"/>
    <w:rsid w:val="00DE4991"/>
    <w:rsid w:val="00DE4A54"/>
    <w:rsid w:val="00DE4E49"/>
    <w:rsid w:val="00DE4EE2"/>
    <w:rsid w:val="00DE51BB"/>
    <w:rsid w:val="00DE5629"/>
    <w:rsid w:val="00DE5647"/>
    <w:rsid w:val="00DE5653"/>
    <w:rsid w:val="00DE57C1"/>
    <w:rsid w:val="00DE5A29"/>
    <w:rsid w:val="00DE5C49"/>
    <w:rsid w:val="00DE5C6E"/>
    <w:rsid w:val="00DE5EF3"/>
    <w:rsid w:val="00DE5F6B"/>
    <w:rsid w:val="00DE60FB"/>
    <w:rsid w:val="00DE6175"/>
    <w:rsid w:val="00DE61DB"/>
    <w:rsid w:val="00DE628B"/>
    <w:rsid w:val="00DE64BF"/>
    <w:rsid w:val="00DE652E"/>
    <w:rsid w:val="00DE67A1"/>
    <w:rsid w:val="00DE67F0"/>
    <w:rsid w:val="00DE7177"/>
    <w:rsid w:val="00DE71A8"/>
    <w:rsid w:val="00DE724A"/>
    <w:rsid w:val="00DE73BD"/>
    <w:rsid w:val="00DE7429"/>
    <w:rsid w:val="00DE757C"/>
    <w:rsid w:val="00DE7864"/>
    <w:rsid w:val="00DE792B"/>
    <w:rsid w:val="00DE7B17"/>
    <w:rsid w:val="00DE7B6C"/>
    <w:rsid w:val="00DE7B71"/>
    <w:rsid w:val="00DE7C4E"/>
    <w:rsid w:val="00DE7EED"/>
    <w:rsid w:val="00DF007F"/>
    <w:rsid w:val="00DF01C3"/>
    <w:rsid w:val="00DF04E8"/>
    <w:rsid w:val="00DF06E9"/>
    <w:rsid w:val="00DF0AA1"/>
    <w:rsid w:val="00DF0B64"/>
    <w:rsid w:val="00DF0CA4"/>
    <w:rsid w:val="00DF0E9E"/>
    <w:rsid w:val="00DF1041"/>
    <w:rsid w:val="00DF1966"/>
    <w:rsid w:val="00DF1A1E"/>
    <w:rsid w:val="00DF1DD0"/>
    <w:rsid w:val="00DF2035"/>
    <w:rsid w:val="00DF2206"/>
    <w:rsid w:val="00DF2325"/>
    <w:rsid w:val="00DF23AC"/>
    <w:rsid w:val="00DF23C2"/>
    <w:rsid w:val="00DF25C9"/>
    <w:rsid w:val="00DF26BD"/>
    <w:rsid w:val="00DF2784"/>
    <w:rsid w:val="00DF2ABB"/>
    <w:rsid w:val="00DF2AD0"/>
    <w:rsid w:val="00DF2ADF"/>
    <w:rsid w:val="00DF2C17"/>
    <w:rsid w:val="00DF2C2A"/>
    <w:rsid w:val="00DF2D54"/>
    <w:rsid w:val="00DF2F21"/>
    <w:rsid w:val="00DF3435"/>
    <w:rsid w:val="00DF3523"/>
    <w:rsid w:val="00DF3724"/>
    <w:rsid w:val="00DF3780"/>
    <w:rsid w:val="00DF3DBE"/>
    <w:rsid w:val="00DF403C"/>
    <w:rsid w:val="00DF4178"/>
    <w:rsid w:val="00DF418F"/>
    <w:rsid w:val="00DF4462"/>
    <w:rsid w:val="00DF452A"/>
    <w:rsid w:val="00DF4898"/>
    <w:rsid w:val="00DF4B62"/>
    <w:rsid w:val="00DF4BA1"/>
    <w:rsid w:val="00DF4C99"/>
    <w:rsid w:val="00DF4CCB"/>
    <w:rsid w:val="00DF4CF3"/>
    <w:rsid w:val="00DF5057"/>
    <w:rsid w:val="00DF55D2"/>
    <w:rsid w:val="00DF59D6"/>
    <w:rsid w:val="00DF5AA5"/>
    <w:rsid w:val="00DF5C2C"/>
    <w:rsid w:val="00DF5C67"/>
    <w:rsid w:val="00DF5F20"/>
    <w:rsid w:val="00DF6091"/>
    <w:rsid w:val="00DF60C1"/>
    <w:rsid w:val="00DF61A3"/>
    <w:rsid w:val="00DF63A0"/>
    <w:rsid w:val="00DF65B8"/>
    <w:rsid w:val="00DF68B2"/>
    <w:rsid w:val="00DF6B6A"/>
    <w:rsid w:val="00DF6B6F"/>
    <w:rsid w:val="00DF6D6F"/>
    <w:rsid w:val="00DF6FDC"/>
    <w:rsid w:val="00DF711A"/>
    <w:rsid w:val="00DF7247"/>
    <w:rsid w:val="00DF754A"/>
    <w:rsid w:val="00DF7917"/>
    <w:rsid w:val="00DF7990"/>
    <w:rsid w:val="00DF7A6F"/>
    <w:rsid w:val="00DF7BD3"/>
    <w:rsid w:val="00DF7DDF"/>
    <w:rsid w:val="00E000AF"/>
    <w:rsid w:val="00E00180"/>
    <w:rsid w:val="00E00400"/>
    <w:rsid w:val="00E00513"/>
    <w:rsid w:val="00E00652"/>
    <w:rsid w:val="00E0072B"/>
    <w:rsid w:val="00E007FE"/>
    <w:rsid w:val="00E00A61"/>
    <w:rsid w:val="00E00C99"/>
    <w:rsid w:val="00E00E63"/>
    <w:rsid w:val="00E010B0"/>
    <w:rsid w:val="00E0163D"/>
    <w:rsid w:val="00E01668"/>
    <w:rsid w:val="00E0178D"/>
    <w:rsid w:val="00E01950"/>
    <w:rsid w:val="00E01960"/>
    <w:rsid w:val="00E020C0"/>
    <w:rsid w:val="00E0218F"/>
    <w:rsid w:val="00E02231"/>
    <w:rsid w:val="00E0237F"/>
    <w:rsid w:val="00E02476"/>
    <w:rsid w:val="00E024D4"/>
    <w:rsid w:val="00E02592"/>
    <w:rsid w:val="00E026B8"/>
    <w:rsid w:val="00E02975"/>
    <w:rsid w:val="00E029E9"/>
    <w:rsid w:val="00E02AEF"/>
    <w:rsid w:val="00E02FD8"/>
    <w:rsid w:val="00E0305B"/>
    <w:rsid w:val="00E03213"/>
    <w:rsid w:val="00E0349C"/>
    <w:rsid w:val="00E03542"/>
    <w:rsid w:val="00E03C1C"/>
    <w:rsid w:val="00E03C8C"/>
    <w:rsid w:val="00E03DCF"/>
    <w:rsid w:val="00E03E06"/>
    <w:rsid w:val="00E03E1F"/>
    <w:rsid w:val="00E041A1"/>
    <w:rsid w:val="00E0423A"/>
    <w:rsid w:val="00E04471"/>
    <w:rsid w:val="00E047C6"/>
    <w:rsid w:val="00E04AD0"/>
    <w:rsid w:val="00E04F33"/>
    <w:rsid w:val="00E0517E"/>
    <w:rsid w:val="00E05192"/>
    <w:rsid w:val="00E0523A"/>
    <w:rsid w:val="00E0523F"/>
    <w:rsid w:val="00E05342"/>
    <w:rsid w:val="00E05B86"/>
    <w:rsid w:val="00E05C4D"/>
    <w:rsid w:val="00E05E04"/>
    <w:rsid w:val="00E05EBA"/>
    <w:rsid w:val="00E05FC9"/>
    <w:rsid w:val="00E05FE1"/>
    <w:rsid w:val="00E06180"/>
    <w:rsid w:val="00E06640"/>
    <w:rsid w:val="00E066FB"/>
    <w:rsid w:val="00E067CD"/>
    <w:rsid w:val="00E06BC4"/>
    <w:rsid w:val="00E06C82"/>
    <w:rsid w:val="00E072AC"/>
    <w:rsid w:val="00E07553"/>
    <w:rsid w:val="00E07B15"/>
    <w:rsid w:val="00E07CB8"/>
    <w:rsid w:val="00E07D60"/>
    <w:rsid w:val="00E07D7B"/>
    <w:rsid w:val="00E07E39"/>
    <w:rsid w:val="00E10179"/>
    <w:rsid w:val="00E101F9"/>
    <w:rsid w:val="00E103FD"/>
    <w:rsid w:val="00E10810"/>
    <w:rsid w:val="00E108B6"/>
    <w:rsid w:val="00E10A39"/>
    <w:rsid w:val="00E10DA7"/>
    <w:rsid w:val="00E11048"/>
    <w:rsid w:val="00E110B3"/>
    <w:rsid w:val="00E111D8"/>
    <w:rsid w:val="00E112B6"/>
    <w:rsid w:val="00E112C4"/>
    <w:rsid w:val="00E116B0"/>
    <w:rsid w:val="00E11A1B"/>
    <w:rsid w:val="00E11B9C"/>
    <w:rsid w:val="00E11BB2"/>
    <w:rsid w:val="00E11C9B"/>
    <w:rsid w:val="00E11D44"/>
    <w:rsid w:val="00E121BC"/>
    <w:rsid w:val="00E1226E"/>
    <w:rsid w:val="00E123B0"/>
    <w:rsid w:val="00E123C8"/>
    <w:rsid w:val="00E12475"/>
    <w:rsid w:val="00E124AB"/>
    <w:rsid w:val="00E124D6"/>
    <w:rsid w:val="00E1259D"/>
    <w:rsid w:val="00E1268A"/>
    <w:rsid w:val="00E12CB1"/>
    <w:rsid w:val="00E12D8E"/>
    <w:rsid w:val="00E12E42"/>
    <w:rsid w:val="00E12EB2"/>
    <w:rsid w:val="00E1309A"/>
    <w:rsid w:val="00E1328E"/>
    <w:rsid w:val="00E132FA"/>
    <w:rsid w:val="00E13437"/>
    <w:rsid w:val="00E13604"/>
    <w:rsid w:val="00E13855"/>
    <w:rsid w:val="00E13A7C"/>
    <w:rsid w:val="00E13B72"/>
    <w:rsid w:val="00E13B88"/>
    <w:rsid w:val="00E13C66"/>
    <w:rsid w:val="00E13CF1"/>
    <w:rsid w:val="00E13E1A"/>
    <w:rsid w:val="00E144D3"/>
    <w:rsid w:val="00E14577"/>
    <w:rsid w:val="00E1462D"/>
    <w:rsid w:val="00E14694"/>
    <w:rsid w:val="00E148AE"/>
    <w:rsid w:val="00E1491E"/>
    <w:rsid w:val="00E14934"/>
    <w:rsid w:val="00E149F5"/>
    <w:rsid w:val="00E14AC9"/>
    <w:rsid w:val="00E14DE2"/>
    <w:rsid w:val="00E15123"/>
    <w:rsid w:val="00E15145"/>
    <w:rsid w:val="00E155B9"/>
    <w:rsid w:val="00E155D9"/>
    <w:rsid w:val="00E15735"/>
    <w:rsid w:val="00E157A0"/>
    <w:rsid w:val="00E157BE"/>
    <w:rsid w:val="00E15849"/>
    <w:rsid w:val="00E15B35"/>
    <w:rsid w:val="00E15DEF"/>
    <w:rsid w:val="00E15E53"/>
    <w:rsid w:val="00E15E72"/>
    <w:rsid w:val="00E15E9E"/>
    <w:rsid w:val="00E16269"/>
    <w:rsid w:val="00E1632D"/>
    <w:rsid w:val="00E16A91"/>
    <w:rsid w:val="00E16B14"/>
    <w:rsid w:val="00E16C0A"/>
    <w:rsid w:val="00E16D2E"/>
    <w:rsid w:val="00E16E8F"/>
    <w:rsid w:val="00E16F5F"/>
    <w:rsid w:val="00E170B7"/>
    <w:rsid w:val="00E174AF"/>
    <w:rsid w:val="00E175D6"/>
    <w:rsid w:val="00E1772F"/>
    <w:rsid w:val="00E17761"/>
    <w:rsid w:val="00E177A8"/>
    <w:rsid w:val="00E17863"/>
    <w:rsid w:val="00E178AD"/>
    <w:rsid w:val="00E1799F"/>
    <w:rsid w:val="00E17A43"/>
    <w:rsid w:val="00E17A68"/>
    <w:rsid w:val="00E17A89"/>
    <w:rsid w:val="00E17AD4"/>
    <w:rsid w:val="00E17D44"/>
    <w:rsid w:val="00E17D46"/>
    <w:rsid w:val="00E17E15"/>
    <w:rsid w:val="00E17E8F"/>
    <w:rsid w:val="00E17EAF"/>
    <w:rsid w:val="00E17FA0"/>
    <w:rsid w:val="00E201F9"/>
    <w:rsid w:val="00E201FC"/>
    <w:rsid w:val="00E203B9"/>
    <w:rsid w:val="00E20589"/>
    <w:rsid w:val="00E20669"/>
    <w:rsid w:val="00E20797"/>
    <w:rsid w:val="00E207E2"/>
    <w:rsid w:val="00E20E41"/>
    <w:rsid w:val="00E21103"/>
    <w:rsid w:val="00E2130D"/>
    <w:rsid w:val="00E21538"/>
    <w:rsid w:val="00E21657"/>
    <w:rsid w:val="00E21895"/>
    <w:rsid w:val="00E218BA"/>
    <w:rsid w:val="00E219AB"/>
    <w:rsid w:val="00E219AE"/>
    <w:rsid w:val="00E219EA"/>
    <w:rsid w:val="00E21B10"/>
    <w:rsid w:val="00E21D35"/>
    <w:rsid w:val="00E21E22"/>
    <w:rsid w:val="00E221F5"/>
    <w:rsid w:val="00E2274D"/>
    <w:rsid w:val="00E228FE"/>
    <w:rsid w:val="00E22A71"/>
    <w:rsid w:val="00E22B5B"/>
    <w:rsid w:val="00E22C7E"/>
    <w:rsid w:val="00E2372B"/>
    <w:rsid w:val="00E23CFA"/>
    <w:rsid w:val="00E23D4F"/>
    <w:rsid w:val="00E23F4B"/>
    <w:rsid w:val="00E2466F"/>
    <w:rsid w:val="00E24675"/>
    <w:rsid w:val="00E248A2"/>
    <w:rsid w:val="00E24903"/>
    <w:rsid w:val="00E24A6E"/>
    <w:rsid w:val="00E24AC4"/>
    <w:rsid w:val="00E24B24"/>
    <w:rsid w:val="00E24B87"/>
    <w:rsid w:val="00E24DA5"/>
    <w:rsid w:val="00E25192"/>
    <w:rsid w:val="00E253EE"/>
    <w:rsid w:val="00E25486"/>
    <w:rsid w:val="00E255C1"/>
    <w:rsid w:val="00E25774"/>
    <w:rsid w:val="00E2579A"/>
    <w:rsid w:val="00E258F1"/>
    <w:rsid w:val="00E25B4F"/>
    <w:rsid w:val="00E25D62"/>
    <w:rsid w:val="00E25DED"/>
    <w:rsid w:val="00E26113"/>
    <w:rsid w:val="00E26393"/>
    <w:rsid w:val="00E264A0"/>
    <w:rsid w:val="00E265DD"/>
    <w:rsid w:val="00E266A4"/>
    <w:rsid w:val="00E266DA"/>
    <w:rsid w:val="00E26A78"/>
    <w:rsid w:val="00E26AAA"/>
    <w:rsid w:val="00E26D08"/>
    <w:rsid w:val="00E26DE3"/>
    <w:rsid w:val="00E26E04"/>
    <w:rsid w:val="00E26E2B"/>
    <w:rsid w:val="00E26EC9"/>
    <w:rsid w:val="00E26FB1"/>
    <w:rsid w:val="00E2721D"/>
    <w:rsid w:val="00E27320"/>
    <w:rsid w:val="00E2762F"/>
    <w:rsid w:val="00E27917"/>
    <w:rsid w:val="00E27A33"/>
    <w:rsid w:val="00E27AA6"/>
    <w:rsid w:val="00E27AF8"/>
    <w:rsid w:val="00E27B50"/>
    <w:rsid w:val="00E27BC6"/>
    <w:rsid w:val="00E27ECE"/>
    <w:rsid w:val="00E30952"/>
    <w:rsid w:val="00E30A63"/>
    <w:rsid w:val="00E30B05"/>
    <w:rsid w:val="00E30C8F"/>
    <w:rsid w:val="00E31129"/>
    <w:rsid w:val="00E31183"/>
    <w:rsid w:val="00E312D2"/>
    <w:rsid w:val="00E31433"/>
    <w:rsid w:val="00E314DF"/>
    <w:rsid w:val="00E31593"/>
    <w:rsid w:val="00E318C9"/>
    <w:rsid w:val="00E31A90"/>
    <w:rsid w:val="00E31DAF"/>
    <w:rsid w:val="00E31F93"/>
    <w:rsid w:val="00E32029"/>
    <w:rsid w:val="00E32263"/>
    <w:rsid w:val="00E32304"/>
    <w:rsid w:val="00E323E0"/>
    <w:rsid w:val="00E32411"/>
    <w:rsid w:val="00E32540"/>
    <w:rsid w:val="00E32580"/>
    <w:rsid w:val="00E327FE"/>
    <w:rsid w:val="00E32A01"/>
    <w:rsid w:val="00E32E06"/>
    <w:rsid w:val="00E32E9E"/>
    <w:rsid w:val="00E32ED6"/>
    <w:rsid w:val="00E330D9"/>
    <w:rsid w:val="00E3336A"/>
    <w:rsid w:val="00E333C7"/>
    <w:rsid w:val="00E336AE"/>
    <w:rsid w:val="00E34533"/>
    <w:rsid w:val="00E34695"/>
    <w:rsid w:val="00E346EA"/>
    <w:rsid w:val="00E34758"/>
    <w:rsid w:val="00E348FB"/>
    <w:rsid w:val="00E34CFA"/>
    <w:rsid w:val="00E34E30"/>
    <w:rsid w:val="00E34FF2"/>
    <w:rsid w:val="00E35134"/>
    <w:rsid w:val="00E351AB"/>
    <w:rsid w:val="00E352C4"/>
    <w:rsid w:val="00E35306"/>
    <w:rsid w:val="00E35378"/>
    <w:rsid w:val="00E353B3"/>
    <w:rsid w:val="00E354DA"/>
    <w:rsid w:val="00E3568D"/>
    <w:rsid w:val="00E35715"/>
    <w:rsid w:val="00E35847"/>
    <w:rsid w:val="00E35AF4"/>
    <w:rsid w:val="00E35B3C"/>
    <w:rsid w:val="00E35EBB"/>
    <w:rsid w:val="00E35F18"/>
    <w:rsid w:val="00E36787"/>
    <w:rsid w:val="00E3693F"/>
    <w:rsid w:val="00E36C7A"/>
    <w:rsid w:val="00E36CBB"/>
    <w:rsid w:val="00E36CCE"/>
    <w:rsid w:val="00E36D0F"/>
    <w:rsid w:val="00E36F0D"/>
    <w:rsid w:val="00E37055"/>
    <w:rsid w:val="00E371E7"/>
    <w:rsid w:val="00E3724F"/>
    <w:rsid w:val="00E37320"/>
    <w:rsid w:val="00E37607"/>
    <w:rsid w:val="00E3762E"/>
    <w:rsid w:val="00E37681"/>
    <w:rsid w:val="00E376F5"/>
    <w:rsid w:val="00E3796D"/>
    <w:rsid w:val="00E37A45"/>
    <w:rsid w:val="00E37EEE"/>
    <w:rsid w:val="00E37F95"/>
    <w:rsid w:val="00E400A7"/>
    <w:rsid w:val="00E40392"/>
    <w:rsid w:val="00E404B7"/>
    <w:rsid w:val="00E404EB"/>
    <w:rsid w:val="00E40514"/>
    <w:rsid w:val="00E40794"/>
    <w:rsid w:val="00E4081B"/>
    <w:rsid w:val="00E408C8"/>
    <w:rsid w:val="00E40A77"/>
    <w:rsid w:val="00E40AAB"/>
    <w:rsid w:val="00E40BE8"/>
    <w:rsid w:val="00E40D9E"/>
    <w:rsid w:val="00E40EF2"/>
    <w:rsid w:val="00E41165"/>
    <w:rsid w:val="00E4123B"/>
    <w:rsid w:val="00E414A2"/>
    <w:rsid w:val="00E41576"/>
    <w:rsid w:val="00E4178D"/>
    <w:rsid w:val="00E4185E"/>
    <w:rsid w:val="00E41B22"/>
    <w:rsid w:val="00E41B4E"/>
    <w:rsid w:val="00E41BAA"/>
    <w:rsid w:val="00E41E48"/>
    <w:rsid w:val="00E41E58"/>
    <w:rsid w:val="00E41E97"/>
    <w:rsid w:val="00E41EA1"/>
    <w:rsid w:val="00E41ED6"/>
    <w:rsid w:val="00E41F31"/>
    <w:rsid w:val="00E42168"/>
    <w:rsid w:val="00E4245A"/>
    <w:rsid w:val="00E42493"/>
    <w:rsid w:val="00E4252E"/>
    <w:rsid w:val="00E4257F"/>
    <w:rsid w:val="00E4268A"/>
    <w:rsid w:val="00E426B4"/>
    <w:rsid w:val="00E4271B"/>
    <w:rsid w:val="00E42B21"/>
    <w:rsid w:val="00E42D28"/>
    <w:rsid w:val="00E42DC4"/>
    <w:rsid w:val="00E42E18"/>
    <w:rsid w:val="00E42E95"/>
    <w:rsid w:val="00E43204"/>
    <w:rsid w:val="00E43453"/>
    <w:rsid w:val="00E434AB"/>
    <w:rsid w:val="00E4362E"/>
    <w:rsid w:val="00E437EE"/>
    <w:rsid w:val="00E43AB6"/>
    <w:rsid w:val="00E43B04"/>
    <w:rsid w:val="00E43B19"/>
    <w:rsid w:val="00E43B50"/>
    <w:rsid w:val="00E44030"/>
    <w:rsid w:val="00E440F7"/>
    <w:rsid w:val="00E441D2"/>
    <w:rsid w:val="00E441E7"/>
    <w:rsid w:val="00E4462E"/>
    <w:rsid w:val="00E448E7"/>
    <w:rsid w:val="00E449B0"/>
    <w:rsid w:val="00E44A46"/>
    <w:rsid w:val="00E44A5E"/>
    <w:rsid w:val="00E44FDD"/>
    <w:rsid w:val="00E453CF"/>
    <w:rsid w:val="00E45445"/>
    <w:rsid w:val="00E45595"/>
    <w:rsid w:val="00E457C4"/>
    <w:rsid w:val="00E4585F"/>
    <w:rsid w:val="00E45B4C"/>
    <w:rsid w:val="00E45DE5"/>
    <w:rsid w:val="00E45DFD"/>
    <w:rsid w:val="00E45E96"/>
    <w:rsid w:val="00E4608F"/>
    <w:rsid w:val="00E461D9"/>
    <w:rsid w:val="00E46235"/>
    <w:rsid w:val="00E46308"/>
    <w:rsid w:val="00E46318"/>
    <w:rsid w:val="00E46426"/>
    <w:rsid w:val="00E465AF"/>
    <w:rsid w:val="00E46916"/>
    <w:rsid w:val="00E46A11"/>
    <w:rsid w:val="00E46D49"/>
    <w:rsid w:val="00E46DC7"/>
    <w:rsid w:val="00E46E7A"/>
    <w:rsid w:val="00E46EF9"/>
    <w:rsid w:val="00E46F75"/>
    <w:rsid w:val="00E46FF9"/>
    <w:rsid w:val="00E47278"/>
    <w:rsid w:val="00E47BB1"/>
    <w:rsid w:val="00E47D92"/>
    <w:rsid w:val="00E5028B"/>
    <w:rsid w:val="00E50381"/>
    <w:rsid w:val="00E5050D"/>
    <w:rsid w:val="00E5051E"/>
    <w:rsid w:val="00E50591"/>
    <w:rsid w:val="00E50689"/>
    <w:rsid w:val="00E5095E"/>
    <w:rsid w:val="00E50B9D"/>
    <w:rsid w:val="00E50E47"/>
    <w:rsid w:val="00E50F08"/>
    <w:rsid w:val="00E50FCF"/>
    <w:rsid w:val="00E51051"/>
    <w:rsid w:val="00E510EB"/>
    <w:rsid w:val="00E511F8"/>
    <w:rsid w:val="00E51264"/>
    <w:rsid w:val="00E5133A"/>
    <w:rsid w:val="00E51605"/>
    <w:rsid w:val="00E516FD"/>
    <w:rsid w:val="00E5172C"/>
    <w:rsid w:val="00E519C1"/>
    <w:rsid w:val="00E51ADA"/>
    <w:rsid w:val="00E51B4C"/>
    <w:rsid w:val="00E51C19"/>
    <w:rsid w:val="00E51EE6"/>
    <w:rsid w:val="00E51FAF"/>
    <w:rsid w:val="00E52263"/>
    <w:rsid w:val="00E52531"/>
    <w:rsid w:val="00E52998"/>
    <w:rsid w:val="00E529C0"/>
    <w:rsid w:val="00E52A3E"/>
    <w:rsid w:val="00E52B2B"/>
    <w:rsid w:val="00E52B32"/>
    <w:rsid w:val="00E53183"/>
    <w:rsid w:val="00E53520"/>
    <w:rsid w:val="00E5367D"/>
    <w:rsid w:val="00E53A31"/>
    <w:rsid w:val="00E53BBA"/>
    <w:rsid w:val="00E53E00"/>
    <w:rsid w:val="00E54024"/>
    <w:rsid w:val="00E540D8"/>
    <w:rsid w:val="00E541D8"/>
    <w:rsid w:val="00E54531"/>
    <w:rsid w:val="00E5459E"/>
    <w:rsid w:val="00E54619"/>
    <w:rsid w:val="00E5489E"/>
    <w:rsid w:val="00E54A27"/>
    <w:rsid w:val="00E54B79"/>
    <w:rsid w:val="00E54BCB"/>
    <w:rsid w:val="00E54BEF"/>
    <w:rsid w:val="00E54BF6"/>
    <w:rsid w:val="00E54D30"/>
    <w:rsid w:val="00E54ED6"/>
    <w:rsid w:val="00E5532B"/>
    <w:rsid w:val="00E55408"/>
    <w:rsid w:val="00E5552B"/>
    <w:rsid w:val="00E55608"/>
    <w:rsid w:val="00E556A9"/>
    <w:rsid w:val="00E5586D"/>
    <w:rsid w:val="00E55943"/>
    <w:rsid w:val="00E55ABD"/>
    <w:rsid w:val="00E55C5B"/>
    <w:rsid w:val="00E55F30"/>
    <w:rsid w:val="00E562F0"/>
    <w:rsid w:val="00E56459"/>
    <w:rsid w:val="00E56464"/>
    <w:rsid w:val="00E564FB"/>
    <w:rsid w:val="00E5668C"/>
    <w:rsid w:val="00E56837"/>
    <w:rsid w:val="00E5693B"/>
    <w:rsid w:val="00E56993"/>
    <w:rsid w:val="00E56C42"/>
    <w:rsid w:val="00E56E25"/>
    <w:rsid w:val="00E56E79"/>
    <w:rsid w:val="00E56EA1"/>
    <w:rsid w:val="00E56F4A"/>
    <w:rsid w:val="00E56F4E"/>
    <w:rsid w:val="00E56FAB"/>
    <w:rsid w:val="00E56FB5"/>
    <w:rsid w:val="00E56FE3"/>
    <w:rsid w:val="00E57170"/>
    <w:rsid w:val="00E57415"/>
    <w:rsid w:val="00E576E6"/>
    <w:rsid w:val="00E57902"/>
    <w:rsid w:val="00E579BB"/>
    <w:rsid w:val="00E579F7"/>
    <w:rsid w:val="00E57A43"/>
    <w:rsid w:val="00E57D8F"/>
    <w:rsid w:val="00E57E3A"/>
    <w:rsid w:val="00E60037"/>
    <w:rsid w:val="00E60089"/>
    <w:rsid w:val="00E60681"/>
    <w:rsid w:val="00E606B2"/>
    <w:rsid w:val="00E607F0"/>
    <w:rsid w:val="00E6098A"/>
    <w:rsid w:val="00E609E5"/>
    <w:rsid w:val="00E60ADE"/>
    <w:rsid w:val="00E60F7E"/>
    <w:rsid w:val="00E60FA5"/>
    <w:rsid w:val="00E612C0"/>
    <w:rsid w:val="00E6146E"/>
    <w:rsid w:val="00E614AE"/>
    <w:rsid w:val="00E615A7"/>
    <w:rsid w:val="00E616AF"/>
    <w:rsid w:val="00E61B69"/>
    <w:rsid w:val="00E61CAB"/>
    <w:rsid w:val="00E61E19"/>
    <w:rsid w:val="00E61F85"/>
    <w:rsid w:val="00E623B5"/>
    <w:rsid w:val="00E6243C"/>
    <w:rsid w:val="00E6245F"/>
    <w:rsid w:val="00E62497"/>
    <w:rsid w:val="00E62526"/>
    <w:rsid w:val="00E62533"/>
    <w:rsid w:val="00E62625"/>
    <w:rsid w:val="00E62F18"/>
    <w:rsid w:val="00E630DF"/>
    <w:rsid w:val="00E631A8"/>
    <w:rsid w:val="00E6334D"/>
    <w:rsid w:val="00E6346D"/>
    <w:rsid w:val="00E63486"/>
    <w:rsid w:val="00E6348A"/>
    <w:rsid w:val="00E6350F"/>
    <w:rsid w:val="00E635AA"/>
    <w:rsid w:val="00E635B6"/>
    <w:rsid w:val="00E635F5"/>
    <w:rsid w:val="00E63A77"/>
    <w:rsid w:val="00E63B87"/>
    <w:rsid w:val="00E63DF2"/>
    <w:rsid w:val="00E63F98"/>
    <w:rsid w:val="00E640A6"/>
    <w:rsid w:val="00E642C1"/>
    <w:rsid w:val="00E64423"/>
    <w:rsid w:val="00E64676"/>
    <w:rsid w:val="00E646BD"/>
    <w:rsid w:val="00E648B6"/>
    <w:rsid w:val="00E64A30"/>
    <w:rsid w:val="00E64B22"/>
    <w:rsid w:val="00E64C4E"/>
    <w:rsid w:val="00E64ECA"/>
    <w:rsid w:val="00E6510A"/>
    <w:rsid w:val="00E6511C"/>
    <w:rsid w:val="00E65120"/>
    <w:rsid w:val="00E65285"/>
    <w:rsid w:val="00E652CC"/>
    <w:rsid w:val="00E65427"/>
    <w:rsid w:val="00E657B4"/>
    <w:rsid w:val="00E663FE"/>
    <w:rsid w:val="00E668A0"/>
    <w:rsid w:val="00E669CC"/>
    <w:rsid w:val="00E66A1D"/>
    <w:rsid w:val="00E66A6C"/>
    <w:rsid w:val="00E66D83"/>
    <w:rsid w:val="00E66DAB"/>
    <w:rsid w:val="00E66F44"/>
    <w:rsid w:val="00E670BF"/>
    <w:rsid w:val="00E675A5"/>
    <w:rsid w:val="00E679E7"/>
    <w:rsid w:val="00E67BB3"/>
    <w:rsid w:val="00E67E07"/>
    <w:rsid w:val="00E7016D"/>
    <w:rsid w:val="00E7032D"/>
    <w:rsid w:val="00E70415"/>
    <w:rsid w:val="00E7054A"/>
    <w:rsid w:val="00E705AB"/>
    <w:rsid w:val="00E705F6"/>
    <w:rsid w:val="00E70788"/>
    <w:rsid w:val="00E70798"/>
    <w:rsid w:val="00E707BA"/>
    <w:rsid w:val="00E7094A"/>
    <w:rsid w:val="00E70A9D"/>
    <w:rsid w:val="00E70D3B"/>
    <w:rsid w:val="00E70F36"/>
    <w:rsid w:val="00E70F3E"/>
    <w:rsid w:val="00E71103"/>
    <w:rsid w:val="00E71289"/>
    <w:rsid w:val="00E712F4"/>
    <w:rsid w:val="00E71719"/>
    <w:rsid w:val="00E71AA6"/>
    <w:rsid w:val="00E71B26"/>
    <w:rsid w:val="00E71BAB"/>
    <w:rsid w:val="00E71D06"/>
    <w:rsid w:val="00E71EA1"/>
    <w:rsid w:val="00E7205E"/>
    <w:rsid w:val="00E72874"/>
    <w:rsid w:val="00E72B67"/>
    <w:rsid w:val="00E730DC"/>
    <w:rsid w:val="00E731D0"/>
    <w:rsid w:val="00E73253"/>
    <w:rsid w:val="00E73296"/>
    <w:rsid w:val="00E732FE"/>
    <w:rsid w:val="00E73742"/>
    <w:rsid w:val="00E7394B"/>
    <w:rsid w:val="00E73981"/>
    <w:rsid w:val="00E73986"/>
    <w:rsid w:val="00E73BCB"/>
    <w:rsid w:val="00E73C51"/>
    <w:rsid w:val="00E73CB2"/>
    <w:rsid w:val="00E73CEE"/>
    <w:rsid w:val="00E73D42"/>
    <w:rsid w:val="00E74240"/>
    <w:rsid w:val="00E743D8"/>
    <w:rsid w:val="00E744BD"/>
    <w:rsid w:val="00E7463A"/>
    <w:rsid w:val="00E7484C"/>
    <w:rsid w:val="00E749DE"/>
    <w:rsid w:val="00E74B40"/>
    <w:rsid w:val="00E74C26"/>
    <w:rsid w:val="00E74EE3"/>
    <w:rsid w:val="00E751B5"/>
    <w:rsid w:val="00E751B8"/>
    <w:rsid w:val="00E75A38"/>
    <w:rsid w:val="00E75BFD"/>
    <w:rsid w:val="00E75C95"/>
    <w:rsid w:val="00E75D31"/>
    <w:rsid w:val="00E75D96"/>
    <w:rsid w:val="00E7629D"/>
    <w:rsid w:val="00E7632C"/>
    <w:rsid w:val="00E76464"/>
    <w:rsid w:val="00E764F3"/>
    <w:rsid w:val="00E7673F"/>
    <w:rsid w:val="00E7683A"/>
    <w:rsid w:val="00E7688B"/>
    <w:rsid w:val="00E76EA6"/>
    <w:rsid w:val="00E76EE7"/>
    <w:rsid w:val="00E77210"/>
    <w:rsid w:val="00E7741E"/>
    <w:rsid w:val="00E77506"/>
    <w:rsid w:val="00E7753A"/>
    <w:rsid w:val="00E77696"/>
    <w:rsid w:val="00E777E1"/>
    <w:rsid w:val="00E777E6"/>
    <w:rsid w:val="00E77957"/>
    <w:rsid w:val="00E77B3A"/>
    <w:rsid w:val="00E77C69"/>
    <w:rsid w:val="00E77E47"/>
    <w:rsid w:val="00E77F92"/>
    <w:rsid w:val="00E77FE8"/>
    <w:rsid w:val="00E80266"/>
    <w:rsid w:val="00E80298"/>
    <w:rsid w:val="00E803AE"/>
    <w:rsid w:val="00E80C3C"/>
    <w:rsid w:val="00E80C55"/>
    <w:rsid w:val="00E810A9"/>
    <w:rsid w:val="00E81215"/>
    <w:rsid w:val="00E814B7"/>
    <w:rsid w:val="00E814CB"/>
    <w:rsid w:val="00E816B8"/>
    <w:rsid w:val="00E81937"/>
    <w:rsid w:val="00E8198B"/>
    <w:rsid w:val="00E81D08"/>
    <w:rsid w:val="00E81D4D"/>
    <w:rsid w:val="00E81D74"/>
    <w:rsid w:val="00E81E5C"/>
    <w:rsid w:val="00E8219B"/>
    <w:rsid w:val="00E82205"/>
    <w:rsid w:val="00E822FE"/>
    <w:rsid w:val="00E8232E"/>
    <w:rsid w:val="00E82438"/>
    <w:rsid w:val="00E8246E"/>
    <w:rsid w:val="00E824BB"/>
    <w:rsid w:val="00E825C7"/>
    <w:rsid w:val="00E825DA"/>
    <w:rsid w:val="00E82650"/>
    <w:rsid w:val="00E8265D"/>
    <w:rsid w:val="00E82807"/>
    <w:rsid w:val="00E8285F"/>
    <w:rsid w:val="00E8287D"/>
    <w:rsid w:val="00E82B5F"/>
    <w:rsid w:val="00E82C24"/>
    <w:rsid w:val="00E82E08"/>
    <w:rsid w:val="00E82FD5"/>
    <w:rsid w:val="00E831AD"/>
    <w:rsid w:val="00E8329E"/>
    <w:rsid w:val="00E833AD"/>
    <w:rsid w:val="00E835D3"/>
    <w:rsid w:val="00E83722"/>
    <w:rsid w:val="00E839ED"/>
    <w:rsid w:val="00E839F7"/>
    <w:rsid w:val="00E839FF"/>
    <w:rsid w:val="00E83D3E"/>
    <w:rsid w:val="00E83DA1"/>
    <w:rsid w:val="00E83E80"/>
    <w:rsid w:val="00E840E5"/>
    <w:rsid w:val="00E840FC"/>
    <w:rsid w:val="00E84131"/>
    <w:rsid w:val="00E8428D"/>
    <w:rsid w:val="00E844C1"/>
    <w:rsid w:val="00E84531"/>
    <w:rsid w:val="00E84D93"/>
    <w:rsid w:val="00E84D97"/>
    <w:rsid w:val="00E84E09"/>
    <w:rsid w:val="00E84E68"/>
    <w:rsid w:val="00E850B4"/>
    <w:rsid w:val="00E8513A"/>
    <w:rsid w:val="00E851E0"/>
    <w:rsid w:val="00E8540F"/>
    <w:rsid w:val="00E857AE"/>
    <w:rsid w:val="00E858D7"/>
    <w:rsid w:val="00E85BBB"/>
    <w:rsid w:val="00E85C2A"/>
    <w:rsid w:val="00E85C36"/>
    <w:rsid w:val="00E85D44"/>
    <w:rsid w:val="00E85DE5"/>
    <w:rsid w:val="00E85E30"/>
    <w:rsid w:val="00E860D9"/>
    <w:rsid w:val="00E86406"/>
    <w:rsid w:val="00E8666A"/>
    <w:rsid w:val="00E86A24"/>
    <w:rsid w:val="00E87002"/>
    <w:rsid w:val="00E870D2"/>
    <w:rsid w:val="00E870DD"/>
    <w:rsid w:val="00E87159"/>
    <w:rsid w:val="00E87258"/>
    <w:rsid w:val="00E87262"/>
    <w:rsid w:val="00E87432"/>
    <w:rsid w:val="00E874A4"/>
    <w:rsid w:val="00E87767"/>
    <w:rsid w:val="00E877B9"/>
    <w:rsid w:val="00E87AE2"/>
    <w:rsid w:val="00E87D48"/>
    <w:rsid w:val="00E87D7F"/>
    <w:rsid w:val="00E87DD3"/>
    <w:rsid w:val="00E87DF0"/>
    <w:rsid w:val="00E87FD1"/>
    <w:rsid w:val="00E900A1"/>
    <w:rsid w:val="00E90253"/>
    <w:rsid w:val="00E907EC"/>
    <w:rsid w:val="00E90819"/>
    <w:rsid w:val="00E90A4D"/>
    <w:rsid w:val="00E90B63"/>
    <w:rsid w:val="00E90B79"/>
    <w:rsid w:val="00E90FA4"/>
    <w:rsid w:val="00E911D4"/>
    <w:rsid w:val="00E911F8"/>
    <w:rsid w:val="00E9130E"/>
    <w:rsid w:val="00E915FC"/>
    <w:rsid w:val="00E91606"/>
    <w:rsid w:val="00E91725"/>
    <w:rsid w:val="00E91778"/>
    <w:rsid w:val="00E91880"/>
    <w:rsid w:val="00E91A9B"/>
    <w:rsid w:val="00E91AB5"/>
    <w:rsid w:val="00E91BA6"/>
    <w:rsid w:val="00E92321"/>
    <w:rsid w:val="00E92382"/>
    <w:rsid w:val="00E923DB"/>
    <w:rsid w:val="00E92575"/>
    <w:rsid w:val="00E92CC2"/>
    <w:rsid w:val="00E92DBF"/>
    <w:rsid w:val="00E92DD7"/>
    <w:rsid w:val="00E92E08"/>
    <w:rsid w:val="00E92F2A"/>
    <w:rsid w:val="00E931F1"/>
    <w:rsid w:val="00E9347E"/>
    <w:rsid w:val="00E934E4"/>
    <w:rsid w:val="00E9351C"/>
    <w:rsid w:val="00E93564"/>
    <w:rsid w:val="00E93722"/>
    <w:rsid w:val="00E93748"/>
    <w:rsid w:val="00E937A8"/>
    <w:rsid w:val="00E937C4"/>
    <w:rsid w:val="00E937FD"/>
    <w:rsid w:val="00E9387A"/>
    <w:rsid w:val="00E93AEA"/>
    <w:rsid w:val="00E93DC2"/>
    <w:rsid w:val="00E94205"/>
    <w:rsid w:val="00E943B8"/>
    <w:rsid w:val="00E9442C"/>
    <w:rsid w:val="00E94477"/>
    <w:rsid w:val="00E94481"/>
    <w:rsid w:val="00E94684"/>
    <w:rsid w:val="00E94BB2"/>
    <w:rsid w:val="00E94C20"/>
    <w:rsid w:val="00E94C84"/>
    <w:rsid w:val="00E94D9B"/>
    <w:rsid w:val="00E94F48"/>
    <w:rsid w:val="00E95095"/>
    <w:rsid w:val="00E950D6"/>
    <w:rsid w:val="00E954FC"/>
    <w:rsid w:val="00E9561A"/>
    <w:rsid w:val="00E95626"/>
    <w:rsid w:val="00E95675"/>
    <w:rsid w:val="00E957BF"/>
    <w:rsid w:val="00E9580F"/>
    <w:rsid w:val="00E95A91"/>
    <w:rsid w:val="00E95C07"/>
    <w:rsid w:val="00E962A5"/>
    <w:rsid w:val="00E9677F"/>
    <w:rsid w:val="00E96A42"/>
    <w:rsid w:val="00E96B1A"/>
    <w:rsid w:val="00E96B7D"/>
    <w:rsid w:val="00E96D42"/>
    <w:rsid w:val="00E971FF"/>
    <w:rsid w:val="00E972B9"/>
    <w:rsid w:val="00E972CA"/>
    <w:rsid w:val="00E97499"/>
    <w:rsid w:val="00E974BE"/>
    <w:rsid w:val="00E97971"/>
    <w:rsid w:val="00E979B0"/>
    <w:rsid w:val="00E979CF"/>
    <w:rsid w:val="00E97BA7"/>
    <w:rsid w:val="00E97D9A"/>
    <w:rsid w:val="00EA0179"/>
    <w:rsid w:val="00EA0239"/>
    <w:rsid w:val="00EA0258"/>
    <w:rsid w:val="00EA037A"/>
    <w:rsid w:val="00EA04DA"/>
    <w:rsid w:val="00EA05F8"/>
    <w:rsid w:val="00EA0613"/>
    <w:rsid w:val="00EA06AD"/>
    <w:rsid w:val="00EA06AF"/>
    <w:rsid w:val="00EA07D4"/>
    <w:rsid w:val="00EA0C0F"/>
    <w:rsid w:val="00EA0C52"/>
    <w:rsid w:val="00EA0D4D"/>
    <w:rsid w:val="00EA0FDF"/>
    <w:rsid w:val="00EA1076"/>
    <w:rsid w:val="00EA115F"/>
    <w:rsid w:val="00EA12BA"/>
    <w:rsid w:val="00EA1324"/>
    <w:rsid w:val="00EA145E"/>
    <w:rsid w:val="00EA1605"/>
    <w:rsid w:val="00EA1675"/>
    <w:rsid w:val="00EA19AE"/>
    <w:rsid w:val="00EA1AF1"/>
    <w:rsid w:val="00EA1B7A"/>
    <w:rsid w:val="00EA1BD7"/>
    <w:rsid w:val="00EA1C04"/>
    <w:rsid w:val="00EA1D0A"/>
    <w:rsid w:val="00EA1DB8"/>
    <w:rsid w:val="00EA1E3F"/>
    <w:rsid w:val="00EA1F1B"/>
    <w:rsid w:val="00EA2368"/>
    <w:rsid w:val="00EA260F"/>
    <w:rsid w:val="00EA2685"/>
    <w:rsid w:val="00EA2720"/>
    <w:rsid w:val="00EA2854"/>
    <w:rsid w:val="00EA28C6"/>
    <w:rsid w:val="00EA2913"/>
    <w:rsid w:val="00EA2B7F"/>
    <w:rsid w:val="00EA2D8D"/>
    <w:rsid w:val="00EA2DBB"/>
    <w:rsid w:val="00EA2FD6"/>
    <w:rsid w:val="00EA2FE3"/>
    <w:rsid w:val="00EA31BB"/>
    <w:rsid w:val="00EA346B"/>
    <w:rsid w:val="00EA352B"/>
    <w:rsid w:val="00EA354A"/>
    <w:rsid w:val="00EA3879"/>
    <w:rsid w:val="00EA38B8"/>
    <w:rsid w:val="00EA3968"/>
    <w:rsid w:val="00EA3C75"/>
    <w:rsid w:val="00EA3D70"/>
    <w:rsid w:val="00EA3E31"/>
    <w:rsid w:val="00EA3F12"/>
    <w:rsid w:val="00EA40B2"/>
    <w:rsid w:val="00EA41E5"/>
    <w:rsid w:val="00EA453F"/>
    <w:rsid w:val="00EA461F"/>
    <w:rsid w:val="00EA470C"/>
    <w:rsid w:val="00EA4975"/>
    <w:rsid w:val="00EA498A"/>
    <w:rsid w:val="00EA4B90"/>
    <w:rsid w:val="00EA4FA2"/>
    <w:rsid w:val="00EA513B"/>
    <w:rsid w:val="00EA51EE"/>
    <w:rsid w:val="00EA5321"/>
    <w:rsid w:val="00EA5631"/>
    <w:rsid w:val="00EA5671"/>
    <w:rsid w:val="00EA5894"/>
    <w:rsid w:val="00EA58E9"/>
    <w:rsid w:val="00EA5B3F"/>
    <w:rsid w:val="00EA5B65"/>
    <w:rsid w:val="00EA5C7D"/>
    <w:rsid w:val="00EA5CCE"/>
    <w:rsid w:val="00EA5D13"/>
    <w:rsid w:val="00EA5D70"/>
    <w:rsid w:val="00EA6080"/>
    <w:rsid w:val="00EA635F"/>
    <w:rsid w:val="00EA66F2"/>
    <w:rsid w:val="00EA6732"/>
    <w:rsid w:val="00EA6946"/>
    <w:rsid w:val="00EA6D50"/>
    <w:rsid w:val="00EA7186"/>
    <w:rsid w:val="00EA7224"/>
    <w:rsid w:val="00EA736E"/>
    <w:rsid w:val="00EA7434"/>
    <w:rsid w:val="00EA74B4"/>
    <w:rsid w:val="00EA75D5"/>
    <w:rsid w:val="00EA7657"/>
    <w:rsid w:val="00EA7BCA"/>
    <w:rsid w:val="00EA7CE7"/>
    <w:rsid w:val="00EA7E53"/>
    <w:rsid w:val="00EA7EA1"/>
    <w:rsid w:val="00EA7FA3"/>
    <w:rsid w:val="00EB0244"/>
    <w:rsid w:val="00EB034E"/>
    <w:rsid w:val="00EB03E2"/>
    <w:rsid w:val="00EB077D"/>
    <w:rsid w:val="00EB081D"/>
    <w:rsid w:val="00EB0AE2"/>
    <w:rsid w:val="00EB0B0A"/>
    <w:rsid w:val="00EB1152"/>
    <w:rsid w:val="00EB16FE"/>
    <w:rsid w:val="00EB17AD"/>
    <w:rsid w:val="00EB17CA"/>
    <w:rsid w:val="00EB187B"/>
    <w:rsid w:val="00EB1893"/>
    <w:rsid w:val="00EB1974"/>
    <w:rsid w:val="00EB1A20"/>
    <w:rsid w:val="00EB1A85"/>
    <w:rsid w:val="00EB1DAB"/>
    <w:rsid w:val="00EB1DC4"/>
    <w:rsid w:val="00EB203C"/>
    <w:rsid w:val="00EB204C"/>
    <w:rsid w:val="00EB2078"/>
    <w:rsid w:val="00EB209E"/>
    <w:rsid w:val="00EB23A0"/>
    <w:rsid w:val="00EB24C4"/>
    <w:rsid w:val="00EB2539"/>
    <w:rsid w:val="00EB254D"/>
    <w:rsid w:val="00EB2676"/>
    <w:rsid w:val="00EB2B03"/>
    <w:rsid w:val="00EB2B8D"/>
    <w:rsid w:val="00EB2E89"/>
    <w:rsid w:val="00EB2ED4"/>
    <w:rsid w:val="00EB2F3B"/>
    <w:rsid w:val="00EB309F"/>
    <w:rsid w:val="00EB31F6"/>
    <w:rsid w:val="00EB3892"/>
    <w:rsid w:val="00EB390C"/>
    <w:rsid w:val="00EB4084"/>
    <w:rsid w:val="00EB4276"/>
    <w:rsid w:val="00EB4596"/>
    <w:rsid w:val="00EB45E5"/>
    <w:rsid w:val="00EB4676"/>
    <w:rsid w:val="00EB4712"/>
    <w:rsid w:val="00EB494F"/>
    <w:rsid w:val="00EB49B6"/>
    <w:rsid w:val="00EB5038"/>
    <w:rsid w:val="00EB5085"/>
    <w:rsid w:val="00EB53DD"/>
    <w:rsid w:val="00EB5462"/>
    <w:rsid w:val="00EB5487"/>
    <w:rsid w:val="00EB54E2"/>
    <w:rsid w:val="00EB55C2"/>
    <w:rsid w:val="00EB5620"/>
    <w:rsid w:val="00EB5799"/>
    <w:rsid w:val="00EB598E"/>
    <w:rsid w:val="00EB5A2D"/>
    <w:rsid w:val="00EB5A6C"/>
    <w:rsid w:val="00EB5CD1"/>
    <w:rsid w:val="00EB6049"/>
    <w:rsid w:val="00EB629F"/>
    <w:rsid w:val="00EB636E"/>
    <w:rsid w:val="00EB649E"/>
    <w:rsid w:val="00EB64C6"/>
    <w:rsid w:val="00EB674E"/>
    <w:rsid w:val="00EB682E"/>
    <w:rsid w:val="00EB6A4D"/>
    <w:rsid w:val="00EB6AAE"/>
    <w:rsid w:val="00EB6ABE"/>
    <w:rsid w:val="00EB6AEC"/>
    <w:rsid w:val="00EB6E81"/>
    <w:rsid w:val="00EB6FBD"/>
    <w:rsid w:val="00EB6FD2"/>
    <w:rsid w:val="00EB70D4"/>
    <w:rsid w:val="00EB717C"/>
    <w:rsid w:val="00EB71A5"/>
    <w:rsid w:val="00EB76C6"/>
    <w:rsid w:val="00EB7728"/>
    <w:rsid w:val="00EB78B2"/>
    <w:rsid w:val="00EB7A0E"/>
    <w:rsid w:val="00EC0233"/>
    <w:rsid w:val="00EC0862"/>
    <w:rsid w:val="00EC0910"/>
    <w:rsid w:val="00EC0AD4"/>
    <w:rsid w:val="00EC0CDF"/>
    <w:rsid w:val="00EC0D71"/>
    <w:rsid w:val="00EC0DD6"/>
    <w:rsid w:val="00EC16DA"/>
    <w:rsid w:val="00EC1900"/>
    <w:rsid w:val="00EC1945"/>
    <w:rsid w:val="00EC1A23"/>
    <w:rsid w:val="00EC1E3B"/>
    <w:rsid w:val="00EC22CC"/>
    <w:rsid w:val="00EC23B8"/>
    <w:rsid w:val="00EC2489"/>
    <w:rsid w:val="00EC27D9"/>
    <w:rsid w:val="00EC2A1A"/>
    <w:rsid w:val="00EC2B40"/>
    <w:rsid w:val="00EC2B7E"/>
    <w:rsid w:val="00EC2BDD"/>
    <w:rsid w:val="00EC2C7C"/>
    <w:rsid w:val="00EC3258"/>
    <w:rsid w:val="00EC331B"/>
    <w:rsid w:val="00EC33DC"/>
    <w:rsid w:val="00EC36C2"/>
    <w:rsid w:val="00EC3A40"/>
    <w:rsid w:val="00EC3CAD"/>
    <w:rsid w:val="00EC3EF8"/>
    <w:rsid w:val="00EC41BF"/>
    <w:rsid w:val="00EC4215"/>
    <w:rsid w:val="00EC4339"/>
    <w:rsid w:val="00EC44EA"/>
    <w:rsid w:val="00EC4633"/>
    <w:rsid w:val="00EC484D"/>
    <w:rsid w:val="00EC4B1A"/>
    <w:rsid w:val="00EC4BFC"/>
    <w:rsid w:val="00EC4E34"/>
    <w:rsid w:val="00EC4E8F"/>
    <w:rsid w:val="00EC4FA9"/>
    <w:rsid w:val="00EC5011"/>
    <w:rsid w:val="00EC50C9"/>
    <w:rsid w:val="00EC511B"/>
    <w:rsid w:val="00EC5147"/>
    <w:rsid w:val="00EC5262"/>
    <w:rsid w:val="00EC5307"/>
    <w:rsid w:val="00EC54DB"/>
    <w:rsid w:val="00EC564B"/>
    <w:rsid w:val="00EC5701"/>
    <w:rsid w:val="00EC5A84"/>
    <w:rsid w:val="00EC5C51"/>
    <w:rsid w:val="00EC5F12"/>
    <w:rsid w:val="00EC5FCE"/>
    <w:rsid w:val="00EC6213"/>
    <w:rsid w:val="00EC6618"/>
    <w:rsid w:val="00EC6628"/>
    <w:rsid w:val="00EC697E"/>
    <w:rsid w:val="00EC6A42"/>
    <w:rsid w:val="00EC6B53"/>
    <w:rsid w:val="00EC6CC9"/>
    <w:rsid w:val="00EC6E39"/>
    <w:rsid w:val="00EC6F5A"/>
    <w:rsid w:val="00EC6FA8"/>
    <w:rsid w:val="00EC7015"/>
    <w:rsid w:val="00EC714F"/>
    <w:rsid w:val="00EC726C"/>
    <w:rsid w:val="00EC7678"/>
    <w:rsid w:val="00EC7C02"/>
    <w:rsid w:val="00ED00BC"/>
    <w:rsid w:val="00ED0103"/>
    <w:rsid w:val="00ED015F"/>
    <w:rsid w:val="00ED059D"/>
    <w:rsid w:val="00ED05D5"/>
    <w:rsid w:val="00ED073C"/>
    <w:rsid w:val="00ED07CE"/>
    <w:rsid w:val="00ED0880"/>
    <w:rsid w:val="00ED0A26"/>
    <w:rsid w:val="00ED0AC9"/>
    <w:rsid w:val="00ED0B25"/>
    <w:rsid w:val="00ED0BC6"/>
    <w:rsid w:val="00ED0DDF"/>
    <w:rsid w:val="00ED0DFB"/>
    <w:rsid w:val="00ED116B"/>
    <w:rsid w:val="00ED1271"/>
    <w:rsid w:val="00ED131F"/>
    <w:rsid w:val="00ED1453"/>
    <w:rsid w:val="00ED1552"/>
    <w:rsid w:val="00ED16AE"/>
    <w:rsid w:val="00ED177C"/>
    <w:rsid w:val="00ED1910"/>
    <w:rsid w:val="00ED194A"/>
    <w:rsid w:val="00ED1CA0"/>
    <w:rsid w:val="00ED1DAC"/>
    <w:rsid w:val="00ED2106"/>
    <w:rsid w:val="00ED2208"/>
    <w:rsid w:val="00ED22A3"/>
    <w:rsid w:val="00ED2380"/>
    <w:rsid w:val="00ED23A3"/>
    <w:rsid w:val="00ED23C2"/>
    <w:rsid w:val="00ED250A"/>
    <w:rsid w:val="00ED2603"/>
    <w:rsid w:val="00ED26CD"/>
    <w:rsid w:val="00ED2719"/>
    <w:rsid w:val="00ED2746"/>
    <w:rsid w:val="00ED28A6"/>
    <w:rsid w:val="00ED2978"/>
    <w:rsid w:val="00ED2991"/>
    <w:rsid w:val="00ED2A55"/>
    <w:rsid w:val="00ED2A74"/>
    <w:rsid w:val="00ED2C08"/>
    <w:rsid w:val="00ED2C4E"/>
    <w:rsid w:val="00ED2E65"/>
    <w:rsid w:val="00ED2EF6"/>
    <w:rsid w:val="00ED30F8"/>
    <w:rsid w:val="00ED3291"/>
    <w:rsid w:val="00ED3516"/>
    <w:rsid w:val="00ED355B"/>
    <w:rsid w:val="00ED356B"/>
    <w:rsid w:val="00ED35EE"/>
    <w:rsid w:val="00ED368F"/>
    <w:rsid w:val="00ED36D3"/>
    <w:rsid w:val="00ED3745"/>
    <w:rsid w:val="00ED389F"/>
    <w:rsid w:val="00ED3A20"/>
    <w:rsid w:val="00ED3A79"/>
    <w:rsid w:val="00ED3BDF"/>
    <w:rsid w:val="00ED3D14"/>
    <w:rsid w:val="00ED3EB2"/>
    <w:rsid w:val="00ED40A3"/>
    <w:rsid w:val="00ED40E8"/>
    <w:rsid w:val="00ED418A"/>
    <w:rsid w:val="00ED418D"/>
    <w:rsid w:val="00ED4199"/>
    <w:rsid w:val="00ED4573"/>
    <w:rsid w:val="00ED45AE"/>
    <w:rsid w:val="00ED473D"/>
    <w:rsid w:val="00ED47BE"/>
    <w:rsid w:val="00ED4A44"/>
    <w:rsid w:val="00ED4C6A"/>
    <w:rsid w:val="00ED5005"/>
    <w:rsid w:val="00ED5044"/>
    <w:rsid w:val="00ED518B"/>
    <w:rsid w:val="00ED521F"/>
    <w:rsid w:val="00ED5263"/>
    <w:rsid w:val="00ED536F"/>
    <w:rsid w:val="00ED59C5"/>
    <w:rsid w:val="00ED5BE1"/>
    <w:rsid w:val="00ED5BE9"/>
    <w:rsid w:val="00ED5FAB"/>
    <w:rsid w:val="00ED6077"/>
    <w:rsid w:val="00ED61A1"/>
    <w:rsid w:val="00ED6236"/>
    <w:rsid w:val="00ED62DC"/>
    <w:rsid w:val="00ED63A9"/>
    <w:rsid w:val="00ED66C7"/>
    <w:rsid w:val="00ED687D"/>
    <w:rsid w:val="00ED699C"/>
    <w:rsid w:val="00ED6AAF"/>
    <w:rsid w:val="00ED6BC8"/>
    <w:rsid w:val="00ED6CCC"/>
    <w:rsid w:val="00ED6CDC"/>
    <w:rsid w:val="00ED6D6E"/>
    <w:rsid w:val="00ED6E66"/>
    <w:rsid w:val="00ED7277"/>
    <w:rsid w:val="00ED7297"/>
    <w:rsid w:val="00ED72E8"/>
    <w:rsid w:val="00ED777B"/>
    <w:rsid w:val="00ED791A"/>
    <w:rsid w:val="00ED7B80"/>
    <w:rsid w:val="00ED7BB5"/>
    <w:rsid w:val="00ED7BE8"/>
    <w:rsid w:val="00ED7C20"/>
    <w:rsid w:val="00EE01B4"/>
    <w:rsid w:val="00EE03E5"/>
    <w:rsid w:val="00EE0817"/>
    <w:rsid w:val="00EE0930"/>
    <w:rsid w:val="00EE0AC8"/>
    <w:rsid w:val="00EE0AF8"/>
    <w:rsid w:val="00EE0B04"/>
    <w:rsid w:val="00EE0C9F"/>
    <w:rsid w:val="00EE0D9D"/>
    <w:rsid w:val="00EE0DCE"/>
    <w:rsid w:val="00EE0E1D"/>
    <w:rsid w:val="00EE0FB8"/>
    <w:rsid w:val="00EE0FF1"/>
    <w:rsid w:val="00EE116A"/>
    <w:rsid w:val="00EE13BC"/>
    <w:rsid w:val="00EE16D4"/>
    <w:rsid w:val="00EE1744"/>
    <w:rsid w:val="00EE1A59"/>
    <w:rsid w:val="00EE1CAC"/>
    <w:rsid w:val="00EE1D3A"/>
    <w:rsid w:val="00EE1F3A"/>
    <w:rsid w:val="00EE2139"/>
    <w:rsid w:val="00EE23B9"/>
    <w:rsid w:val="00EE2447"/>
    <w:rsid w:val="00EE263D"/>
    <w:rsid w:val="00EE27B7"/>
    <w:rsid w:val="00EE28DA"/>
    <w:rsid w:val="00EE2A15"/>
    <w:rsid w:val="00EE2A63"/>
    <w:rsid w:val="00EE2C87"/>
    <w:rsid w:val="00EE2E2D"/>
    <w:rsid w:val="00EE303F"/>
    <w:rsid w:val="00EE309D"/>
    <w:rsid w:val="00EE32E0"/>
    <w:rsid w:val="00EE33C0"/>
    <w:rsid w:val="00EE3587"/>
    <w:rsid w:val="00EE3A5B"/>
    <w:rsid w:val="00EE3CCB"/>
    <w:rsid w:val="00EE3F91"/>
    <w:rsid w:val="00EE4079"/>
    <w:rsid w:val="00EE40DD"/>
    <w:rsid w:val="00EE41F5"/>
    <w:rsid w:val="00EE425E"/>
    <w:rsid w:val="00EE42A9"/>
    <w:rsid w:val="00EE432B"/>
    <w:rsid w:val="00EE43CF"/>
    <w:rsid w:val="00EE44EE"/>
    <w:rsid w:val="00EE4665"/>
    <w:rsid w:val="00EE4848"/>
    <w:rsid w:val="00EE4AE7"/>
    <w:rsid w:val="00EE4E6A"/>
    <w:rsid w:val="00EE4E7F"/>
    <w:rsid w:val="00EE4F8B"/>
    <w:rsid w:val="00EE5374"/>
    <w:rsid w:val="00EE55FA"/>
    <w:rsid w:val="00EE5807"/>
    <w:rsid w:val="00EE58F1"/>
    <w:rsid w:val="00EE58F5"/>
    <w:rsid w:val="00EE59B3"/>
    <w:rsid w:val="00EE59CF"/>
    <w:rsid w:val="00EE5A09"/>
    <w:rsid w:val="00EE5A1F"/>
    <w:rsid w:val="00EE5A55"/>
    <w:rsid w:val="00EE5B60"/>
    <w:rsid w:val="00EE5E35"/>
    <w:rsid w:val="00EE5F36"/>
    <w:rsid w:val="00EE608C"/>
    <w:rsid w:val="00EE60DC"/>
    <w:rsid w:val="00EE6126"/>
    <w:rsid w:val="00EE612C"/>
    <w:rsid w:val="00EE61A2"/>
    <w:rsid w:val="00EE61D8"/>
    <w:rsid w:val="00EE628D"/>
    <w:rsid w:val="00EE6984"/>
    <w:rsid w:val="00EE69C5"/>
    <w:rsid w:val="00EE6B68"/>
    <w:rsid w:val="00EE6DE6"/>
    <w:rsid w:val="00EE7053"/>
    <w:rsid w:val="00EE7346"/>
    <w:rsid w:val="00EE7897"/>
    <w:rsid w:val="00EE7922"/>
    <w:rsid w:val="00EE79EA"/>
    <w:rsid w:val="00EF01A2"/>
    <w:rsid w:val="00EF0506"/>
    <w:rsid w:val="00EF0613"/>
    <w:rsid w:val="00EF06D4"/>
    <w:rsid w:val="00EF0925"/>
    <w:rsid w:val="00EF0D8B"/>
    <w:rsid w:val="00EF0EE9"/>
    <w:rsid w:val="00EF0FC0"/>
    <w:rsid w:val="00EF1038"/>
    <w:rsid w:val="00EF11A2"/>
    <w:rsid w:val="00EF1431"/>
    <w:rsid w:val="00EF167C"/>
    <w:rsid w:val="00EF1712"/>
    <w:rsid w:val="00EF17CF"/>
    <w:rsid w:val="00EF1848"/>
    <w:rsid w:val="00EF18CC"/>
    <w:rsid w:val="00EF1B27"/>
    <w:rsid w:val="00EF1C56"/>
    <w:rsid w:val="00EF1EF7"/>
    <w:rsid w:val="00EF1F50"/>
    <w:rsid w:val="00EF24B5"/>
    <w:rsid w:val="00EF2514"/>
    <w:rsid w:val="00EF2622"/>
    <w:rsid w:val="00EF2A54"/>
    <w:rsid w:val="00EF2CCA"/>
    <w:rsid w:val="00EF2D1A"/>
    <w:rsid w:val="00EF2D30"/>
    <w:rsid w:val="00EF2D71"/>
    <w:rsid w:val="00EF2F55"/>
    <w:rsid w:val="00EF3118"/>
    <w:rsid w:val="00EF311B"/>
    <w:rsid w:val="00EF32EE"/>
    <w:rsid w:val="00EF3405"/>
    <w:rsid w:val="00EF3445"/>
    <w:rsid w:val="00EF3578"/>
    <w:rsid w:val="00EF368D"/>
    <w:rsid w:val="00EF38C0"/>
    <w:rsid w:val="00EF3929"/>
    <w:rsid w:val="00EF392D"/>
    <w:rsid w:val="00EF3BC6"/>
    <w:rsid w:val="00EF3CB1"/>
    <w:rsid w:val="00EF3DB3"/>
    <w:rsid w:val="00EF3EA9"/>
    <w:rsid w:val="00EF3F85"/>
    <w:rsid w:val="00EF400F"/>
    <w:rsid w:val="00EF4086"/>
    <w:rsid w:val="00EF41AA"/>
    <w:rsid w:val="00EF4643"/>
    <w:rsid w:val="00EF4718"/>
    <w:rsid w:val="00EF4759"/>
    <w:rsid w:val="00EF48D4"/>
    <w:rsid w:val="00EF4D4C"/>
    <w:rsid w:val="00EF4EFD"/>
    <w:rsid w:val="00EF508C"/>
    <w:rsid w:val="00EF54EA"/>
    <w:rsid w:val="00EF560A"/>
    <w:rsid w:val="00EF583C"/>
    <w:rsid w:val="00EF59BD"/>
    <w:rsid w:val="00EF5A09"/>
    <w:rsid w:val="00EF5ACA"/>
    <w:rsid w:val="00EF5D24"/>
    <w:rsid w:val="00EF5E5B"/>
    <w:rsid w:val="00EF61D3"/>
    <w:rsid w:val="00EF63BA"/>
    <w:rsid w:val="00EF64CE"/>
    <w:rsid w:val="00EF6751"/>
    <w:rsid w:val="00EF691E"/>
    <w:rsid w:val="00EF6983"/>
    <w:rsid w:val="00EF699A"/>
    <w:rsid w:val="00EF6A87"/>
    <w:rsid w:val="00EF6B7B"/>
    <w:rsid w:val="00EF6C2B"/>
    <w:rsid w:val="00EF7223"/>
    <w:rsid w:val="00EF7245"/>
    <w:rsid w:val="00EF7322"/>
    <w:rsid w:val="00EF7797"/>
    <w:rsid w:val="00EF794F"/>
    <w:rsid w:val="00EF79E9"/>
    <w:rsid w:val="00EF7D12"/>
    <w:rsid w:val="00F00448"/>
    <w:rsid w:val="00F00891"/>
    <w:rsid w:val="00F008DD"/>
    <w:rsid w:val="00F00D3E"/>
    <w:rsid w:val="00F00DA4"/>
    <w:rsid w:val="00F01102"/>
    <w:rsid w:val="00F01516"/>
    <w:rsid w:val="00F01FCF"/>
    <w:rsid w:val="00F020A9"/>
    <w:rsid w:val="00F02183"/>
    <w:rsid w:val="00F0232D"/>
    <w:rsid w:val="00F02351"/>
    <w:rsid w:val="00F024AE"/>
    <w:rsid w:val="00F0264F"/>
    <w:rsid w:val="00F02728"/>
    <w:rsid w:val="00F02A09"/>
    <w:rsid w:val="00F02A3E"/>
    <w:rsid w:val="00F02A46"/>
    <w:rsid w:val="00F02A69"/>
    <w:rsid w:val="00F02F33"/>
    <w:rsid w:val="00F03682"/>
    <w:rsid w:val="00F03805"/>
    <w:rsid w:val="00F03910"/>
    <w:rsid w:val="00F03927"/>
    <w:rsid w:val="00F03B08"/>
    <w:rsid w:val="00F03D79"/>
    <w:rsid w:val="00F03E25"/>
    <w:rsid w:val="00F0409D"/>
    <w:rsid w:val="00F040FF"/>
    <w:rsid w:val="00F043A6"/>
    <w:rsid w:val="00F0442B"/>
    <w:rsid w:val="00F0455E"/>
    <w:rsid w:val="00F045B9"/>
    <w:rsid w:val="00F04673"/>
    <w:rsid w:val="00F0468A"/>
    <w:rsid w:val="00F04729"/>
    <w:rsid w:val="00F0472E"/>
    <w:rsid w:val="00F0491C"/>
    <w:rsid w:val="00F04A0A"/>
    <w:rsid w:val="00F04B76"/>
    <w:rsid w:val="00F04E80"/>
    <w:rsid w:val="00F04EEE"/>
    <w:rsid w:val="00F051C5"/>
    <w:rsid w:val="00F05528"/>
    <w:rsid w:val="00F055A7"/>
    <w:rsid w:val="00F05FB1"/>
    <w:rsid w:val="00F060D7"/>
    <w:rsid w:val="00F06284"/>
    <w:rsid w:val="00F062B4"/>
    <w:rsid w:val="00F06371"/>
    <w:rsid w:val="00F06686"/>
    <w:rsid w:val="00F066D2"/>
    <w:rsid w:val="00F06715"/>
    <w:rsid w:val="00F06BDA"/>
    <w:rsid w:val="00F06D37"/>
    <w:rsid w:val="00F06E23"/>
    <w:rsid w:val="00F06E2B"/>
    <w:rsid w:val="00F06F4F"/>
    <w:rsid w:val="00F06F58"/>
    <w:rsid w:val="00F0742E"/>
    <w:rsid w:val="00F07606"/>
    <w:rsid w:val="00F077E8"/>
    <w:rsid w:val="00F0792D"/>
    <w:rsid w:val="00F07EFC"/>
    <w:rsid w:val="00F10088"/>
    <w:rsid w:val="00F104DF"/>
    <w:rsid w:val="00F10598"/>
    <w:rsid w:val="00F10750"/>
    <w:rsid w:val="00F107F7"/>
    <w:rsid w:val="00F1093C"/>
    <w:rsid w:val="00F10A05"/>
    <w:rsid w:val="00F10B33"/>
    <w:rsid w:val="00F10BFC"/>
    <w:rsid w:val="00F10CFF"/>
    <w:rsid w:val="00F10D06"/>
    <w:rsid w:val="00F10E55"/>
    <w:rsid w:val="00F10F10"/>
    <w:rsid w:val="00F1106B"/>
    <w:rsid w:val="00F111BD"/>
    <w:rsid w:val="00F11267"/>
    <w:rsid w:val="00F11283"/>
    <w:rsid w:val="00F112A6"/>
    <w:rsid w:val="00F113BC"/>
    <w:rsid w:val="00F11402"/>
    <w:rsid w:val="00F114A7"/>
    <w:rsid w:val="00F1171F"/>
    <w:rsid w:val="00F1188D"/>
    <w:rsid w:val="00F118CB"/>
    <w:rsid w:val="00F119DC"/>
    <w:rsid w:val="00F119FB"/>
    <w:rsid w:val="00F11D78"/>
    <w:rsid w:val="00F11DA1"/>
    <w:rsid w:val="00F11E0C"/>
    <w:rsid w:val="00F121E2"/>
    <w:rsid w:val="00F122E8"/>
    <w:rsid w:val="00F123C0"/>
    <w:rsid w:val="00F123F8"/>
    <w:rsid w:val="00F123FE"/>
    <w:rsid w:val="00F12457"/>
    <w:rsid w:val="00F12477"/>
    <w:rsid w:val="00F125B3"/>
    <w:rsid w:val="00F1288C"/>
    <w:rsid w:val="00F12A6E"/>
    <w:rsid w:val="00F12F36"/>
    <w:rsid w:val="00F130BB"/>
    <w:rsid w:val="00F130FF"/>
    <w:rsid w:val="00F13196"/>
    <w:rsid w:val="00F131EB"/>
    <w:rsid w:val="00F13751"/>
    <w:rsid w:val="00F13856"/>
    <w:rsid w:val="00F13A08"/>
    <w:rsid w:val="00F140BE"/>
    <w:rsid w:val="00F141F2"/>
    <w:rsid w:val="00F1432B"/>
    <w:rsid w:val="00F14410"/>
    <w:rsid w:val="00F146ED"/>
    <w:rsid w:val="00F14AF8"/>
    <w:rsid w:val="00F14B2B"/>
    <w:rsid w:val="00F14D33"/>
    <w:rsid w:val="00F14E34"/>
    <w:rsid w:val="00F14FBB"/>
    <w:rsid w:val="00F14FBD"/>
    <w:rsid w:val="00F1518C"/>
    <w:rsid w:val="00F151DE"/>
    <w:rsid w:val="00F15272"/>
    <w:rsid w:val="00F155E1"/>
    <w:rsid w:val="00F1563C"/>
    <w:rsid w:val="00F1578B"/>
    <w:rsid w:val="00F15842"/>
    <w:rsid w:val="00F158E8"/>
    <w:rsid w:val="00F159F2"/>
    <w:rsid w:val="00F15B6B"/>
    <w:rsid w:val="00F15BD7"/>
    <w:rsid w:val="00F15EAA"/>
    <w:rsid w:val="00F15EDF"/>
    <w:rsid w:val="00F15F5C"/>
    <w:rsid w:val="00F162B2"/>
    <w:rsid w:val="00F1639D"/>
    <w:rsid w:val="00F16985"/>
    <w:rsid w:val="00F16C3E"/>
    <w:rsid w:val="00F16D70"/>
    <w:rsid w:val="00F16DB6"/>
    <w:rsid w:val="00F16F00"/>
    <w:rsid w:val="00F17063"/>
    <w:rsid w:val="00F170F2"/>
    <w:rsid w:val="00F17210"/>
    <w:rsid w:val="00F17377"/>
    <w:rsid w:val="00F1739B"/>
    <w:rsid w:val="00F1741D"/>
    <w:rsid w:val="00F174BA"/>
    <w:rsid w:val="00F175BE"/>
    <w:rsid w:val="00F1760F"/>
    <w:rsid w:val="00F178C0"/>
    <w:rsid w:val="00F179C3"/>
    <w:rsid w:val="00F17CD5"/>
    <w:rsid w:val="00F17E12"/>
    <w:rsid w:val="00F20355"/>
    <w:rsid w:val="00F20903"/>
    <w:rsid w:val="00F21003"/>
    <w:rsid w:val="00F210CC"/>
    <w:rsid w:val="00F2132F"/>
    <w:rsid w:val="00F213BB"/>
    <w:rsid w:val="00F215E9"/>
    <w:rsid w:val="00F21861"/>
    <w:rsid w:val="00F21942"/>
    <w:rsid w:val="00F21A1C"/>
    <w:rsid w:val="00F21E2F"/>
    <w:rsid w:val="00F21E3D"/>
    <w:rsid w:val="00F21EC4"/>
    <w:rsid w:val="00F220E5"/>
    <w:rsid w:val="00F222D1"/>
    <w:rsid w:val="00F223FC"/>
    <w:rsid w:val="00F225CD"/>
    <w:rsid w:val="00F2260F"/>
    <w:rsid w:val="00F2278E"/>
    <w:rsid w:val="00F22833"/>
    <w:rsid w:val="00F22939"/>
    <w:rsid w:val="00F2298C"/>
    <w:rsid w:val="00F22B49"/>
    <w:rsid w:val="00F22EDA"/>
    <w:rsid w:val="00F23028"/>
    <w:rsid w:val="00F23266"/>
    <w:rsid w:val="00F23303"/>
    <w:rsid w:val="00F23337"/>
    <w:rsid w:val="00F234F2"/>
    <w:rsid w:val="00F235F1"/>
    <w:rsid w:val="00F2365A"/>
    <w:rsid w:val="00F237FA"/>
    <w:rsid w:val="00F239A7"/>
    <w:rsid w:val="00F23C0C"/>
    <w:rsid w:val="00F242C9"/>
    <w:rsid w:val="00F242F2"/>
    <w:rsid w:val="00F24624"/>
    <w:rsid w:val="00F2466C"/>
    <w:rsid w:val="00F2473D"/>
    <w:rsid w:val="00F249A8"/>
    <w:rsid w:val="00F249BC"/>
    <w:rsid w:val="00F24CD3"/>
    <w:rsid w:val="00F24E04"/>
    <w:rsid w:val="00F253DD"/>
    <w:rsid w:val="00F25554"/>
    <w:rsid w:val="00F255AB"/>
    <w:rsid w:val="00F25784"/>
    <w:rsid w:val="00F25835"/>
    <w:rsid w:val="00F25ACD"/>
    <w:rsid w:val="00F25CF4"/>
    <w:rsid w:val="00F25EA4"/>
    <w:rsid w:val="00F26229"/>
    <w:rsid w:val="00F26375"/>
    <w:rsid w:val="00F2659F"/>
    <w:rsid w:val="00F267D7"/>
    <w:rsid w:val="00F26931"/>
    <w:rsid w:val="00F26D17"/>
    <w:rsid w:val="00F26D89"/>
    <w:rsid w:val="00F26DAF"/>
    <w:rsid w:val="00F26E94"/>
    <w:rsid w:val="00F2700F"/>
    <w:rsid w:val="00F270BB"/>
    <w:rsid w:val="00F27198"/>
    <w:rsid w:val="00F27226"/>
    <w:rsid w:val="00F277B5"/>
    <w:rsid w:val="00F279B2"/>
    <w:rsid w:val="00F27A4B"/>
    <w:rsid w:val="00F27BC5"/>
    <w:rsid w:val="00F27C9D"/>
    <w:rsid w:val="00F27E56"/>
    <w:rsid w:val="00F27EEE"/>
    <w:rsid w:val="00F301E9"/>
    <w:rsid w:val="00F30392"/>
    <w:rsid w:val="00F306D9"/>
    <w:rsid w:val="00F3081C"/>
    <w:rsid w:val="00F30953"/>
    <w:rsid w:val="00F30C31"/>
    <w:rsid w:val="00F30CBE"/>
    <w:rsid w:val="00F30D5D"/>
    <w:rsid w:val="00F3150F"/>
    <w:rsid w:val="00F317BB"/>
    <w:rsid w:val="00F318B6"/>
    <w:rsid w:val="00F31A33"/>
    <w:rsid w:val="00F31EF9"/>
    <w:rsid w:val="00F32119"/>
    <w:rsid w:val="00F32673"/>
    <w:rsid w:val="00F3276D"/>
    <w:rsid w:val="00F3289B"/>
    <w:rsid w:val="00F32A8F"/>
    <w:rsid w:val="00F32E00"/>
    <w:rsid w:val="00F32E4D"/>
    <w:rsid w:val="00F32ED3"/>
    <w:rsid w:val="00F32F89"/>
    <w:rsid w:val="00F330E6"/>
    <w:rsid w:val="00F33104"/>
    <w:rsid w:val="00F33409"/>
    <w:rsid w:val="00F3343D"/>
    <w:rsid w:val="00F3363E"/>
    <w:rsid w:val="00F336E7"/>
    <w:rsid w:val="00F33997"/>
    <w:rsid w:val="00F33A91"/>
    <w:rsid w:val="00F33BA6"/>
    <w:rsid w:val="00F33D48"/>
    <w:rsid w:val="00F33F01"/>
    <w:rsid w:val="00F33F1B"/>
    <w:rsid w:val="00F3445E"/>
    <w:rsid w:val="00F346F5"/>
    <w:rsid w:val="00F34707"/>
    <w:rsid w:val="00F34A8B"/>
    <w:rsid w:val="00F34CF2"/>
    <w:rsid w:val="00F3507C"/>
    <w:rsid w:val="00F35371"/>
    <w:rsid w:val="00F358B5"/>
    <w:rsid w:val="00F35B3F"/>
    <w:rsid w:val="00F35D2B"/>
    <w:rsid w:val="00F35D4B"/>
    <w:rsid w:val="00F36304"/>
    <w:rsid w:val="00F365BF"/>
    <w:rsid w:val="00F3690A"/>
    <w:rsid w:val="00F36999"/>
    <w:rsid w:val="00F36A97"/>
    <w:rsid w:val="00F36A9A"/>
    <w:rsid w:val="00F36E25"/>
    <w:rsid w:val="00F36F6B"/>
    <w:rsid w:val="00F370BF"/>
    <w:rsid w:val="00F3711A"/>
    <w:rsid w:val="00F378A5"/>
    <w:rsid w:val="00F37968"/>
    <w:rsid w:val="00F379ED"/>
    <w:rsid w:val="00F37CDA"/>
    <w:rsid w:val="00F37D5F"/>
    <w:rsid w:val="00F37D93"/>
    <w:rsid w:val="00F37E64"/>
    <w:rsid w:val="00F40202"/>
    <w:rsid w:val="00F40332"/>
    <w:rsid w:val="00F4062C"/>
    <w:rsid w:val="00F40778"/>
    <w:rsid w:val="00F40A62"/>
    <w:rsid w:val="00F40C6B"/>
    <w:rsid w:val="00F40D15"/>
    <w:rsid w:val="00F40D44"/>
    <w:rsid w:val="00F40E09"/>
    <w:rsid w:val="00F41A64"/>
    <w:rsid w:val="00F41A9C"/>
    <w:rsid w:val="00F41B78"/>
    <w:rsid w:val="00F41B98"/>
    <w:rsid w:val="00F42213"/>
    <w:rsid w:val="00F42387"/>
    <w:rsid w:val="00F423FC"/>
    <w:rsid w:val="00F4240D"/>
    <w:rsid w:val="00F4240F"/>
    <w:rsid w:val="00F42574"/>
    <w:rsid w:val="00F4274F"/>
    <w:rsid w:val="00F42D13"/>
    <w:rsid w:val="00F42DEA"/>
    <w:rsid w:val="00F42E3C"/>
    <w:rsid w:val="00F42F60"/>
    <w:rsid w:val="00F43031"/>
    <w:rsid w:val="00F432C2"/>
    <w:rsid w:val="00F43461"/>
    <w:rsid w:val="00F4362A"/>
    <w:rsid w:val="00F43856"/>
    <w:rsid w:val="00F43A97"/>
    <w:rsid w:val="00F43B61"/>
    <w:rsid w:val="00F440B2"/>
    <w:rsid w:val="00F44123"/>
    <w:rsid w:val="00F44220"/>
    <w:rsid w:val="00F44247"/>
    <w:rsid w:val="00F445E4"/>
    <w:rsid w:val="00F447D4"/>
    <w:rsid w:val="00F448EC"/>
    <w:rsid w:val="00F44BB7"/>
    <w:rsid w:val="00F44BF2"/>
    <w:rsid w:val="00F44C0D"/>
    <w:rsid w:val="00F44CD0"/>
    <w:rsid w:val="00F44E8B"/>
    <w:rsid w:val="00F44EA2"/>
    <w:rsid w:val="00F45003"/>
    <w:rsid w:val="00F45016"/>
    <w:rsid w:val="00F4510F"/>
    <w:rsid w:val="00F451C5"/>
    <w:rsid w:val="00F4557C"/>
    <w:rsid w:val="00F4566C"/>
    <w:rsid w:val="00F45902"/>
    <w:rsid w:val="00F45CC4"/>
    <w:rsid w:val="00F45DD8"/>
    <w:rsid w:val="00F45E95"/>
    <w:rsid w:val="00F45ED9"/>
    <w:rsid w:val="00F46014"/>
    <w:rsid w:val="00F461F8"/>
    <w:rsid w:val="00F462B9"/>
    <w:rsid w:val="00F464D9"/>
    <w:rsid w:val="00F465DF"/>
    <w:rsid w:val="00F46A5A"/>
    <w:rsid w:val="00F46A88"/>
    <w:rsid w:val="00F46C7C"/>
    <w:rsid w:val="00F46EFF"/>
    <w:rsid w:val="00F46FB1"/>
    <w:rsid w:val="00F476D9"/>
    <w:rsid w:val="00F476EB"/>
    <w:rsid w:val="00F47879"/>
    <w:rsid w:val="00F478FC"/>
    <w:rsid w:val="00F47A6D"/>
    <w:rsid w:val="00F47AD4"/>
    <w:rsid w:val="00F47B0F"/>
    <w:rsid w:val="00F47B5C"/>
    <w:rsid w:val="00F47CC7"/>
    <w:rsid w:val="00F47D4A"/>
    <w:rsid w:val="00F47E85"/>
    <w:rsid w:val="00F47FDF"/>
    <w:rsid w:val="00F5003D"/>
    <w:rsid w:val="00F50098"/>
    <w:rsid w:val="00F5017F"/>
    <w:rsid w:val="00F50364"/>
    <w:rsid w:val="00F503AD"/>
    <w:rsid w:val="00F504E4"/>
    <w:rsid w:val="00F506EF"/>
    <w:rsid w:val="00F5070D"/>
    <w:rsid w:val="00F50DA6"/>
    <w:rsid w:val="00F50E9C"/>
    <w:rsid w:val="00F5135C"/>
    <w:rsid w:val="00F5140D"/>
    <w:rsid w:val="00F5182D"/>
    <w:rsid w:val="00F5182E"/>
    <w:rsid w:val="00F51C11"/>
    <w:rsid w:val="00F51DED"/>
    <w:rsid w:val="00F51DF4"/>
    <w:rsid w:val="00F52127"/>
    <w:rsid w:val="00F523BD"/>
    <w:rsid w:val="00F5245B"/>
    <w:rsid w:val="00F527E6"/>
    <w:rsid w:val="00F528C2"/>
    <w:rsid w:val="00F528E3"/>
    <w:rsid w:val="00F52CC1"/>
    <w:rsid w:val="00F52D05"/>
    <w:rsid w:val="00F52E89"/>
    <w:rsid w:val="00F536B6"/>
    <w:rsid w:val="00F537C2"/>
    <w:rsid w:val="00F53817"/>
    <w:rsid w:val="00F53B2F"/>
    <w:rsid w:val="00F53F40"/>
    <w:rsid w:val="00F541A1"/>
    <w:rsid w:val="00F54383"/>
    <w:rsid w:val="00F545EE"/>
    <w:rsid w:val="00F5463E"/>
    <w:rsid w:val="00F5497E"/>
    <w:rsid w:val="00F54A63"/>
    <w:rsid w:val="00F54A88"/>
    <w:rsid w:val="00F54CC1"/>
    <w:rsid w:val="00F54CD1"/>
    <w:rsid w:val="00F54D78"/>
    <w:rsid w:val="00F5521A"/>
    <w:rsid w:val="00F5538E"/>
    <w:rsid w:val="00F5543A"/>
    <w:rsid w:val="00F55632"/>
    <w:rsid w:val="00F5567B"/>
    <w:rsid w:val="00F558E2"/>
    <w:rsid w:val="00F55993"/>
    <w:rsid w:val="00F559E4"/>
    <w:rsid w:val="00F55A45"/>
    <w:rsid w:val="00F55C43"/>
    <w:rsid w:val="00F55C6C"/>
    <w:rsid w:val="00F55ED1"/>
    <w:rsid w:val="00F56521"/>
    <w:rsid w:val="00F565A3"/>
    <w:rsid w:val="00F567FA"/>
    <w:rsid w:val="00F56953"/>
    <w:rsid w:val="00F5699A"/>
    <w:rsid w:val="00F56BB0"/>
    <w:rsid w:val="00F56E80"/>
    <w:rsid w:val="00F56F74"/>
    <w:rsid w:val="00F57169"/>
    <w:rsid w:val="00F5718F"/>
    <w:rsid w:val="00F57277"/>
    <w:rsid w:val="00F579B6"/>
    <w:rsid w:val="00F57B85"/>
    <w:rsid w:val="00F57D51"/>
    <w:rsid w:val="00F57DF1"/>
    <w:rsid w:val="00F60049"/>
    <w:rsid w:val="00F6044E"/>
    <w:rsid w:val="00F6049B"/>
    <w:rsid w:val="00F60643"/>
    <w:rsid w:val="00F606CF"/>
    <w:rsid w:val="00F6087A"/>
    <w:rsid w:val="00F60A21"/>
    <w:rsid w:val="00F60AFF"/>
    <w:rsid w:val="00F611BB"/>
    <w:rsid w:val="00F61343"/>
    <w:rsid w:val="00F618C2"/>
    <w:rsid w:val="00F618DA"/>
    <w:rsid w:val="00F61A91"/>
    <w:rsid w:val="00F61EA3"/>
    <w:rsid w:val="00F62569"/>
    <w:rsid w:val="00F6274C"/>
    <w:rsid w:val="00F62988"/>
    <w:rsid w:val="00F629A1"/>
    <w:rsid w:val="00F629A7"/>
    <w:rsid w:val="00F62B25"/>
    <w:rsid w:val="00F62DE4"/>
    <w:rsid w:val="00F6322D"/>
    <w:rsid w:val="00F63349"/>
    <w:rsid w:val="00F634BA"/>
    <w:rsid w:val="00F634DA"/>
    <w:rsid w:val="00F636BC"/>
    <w:rsid w:val="00F638EC"/>
    <w:rsid w:val="00F63D4F"/>
    <w:rsid w:val="00F63EAB"/>
    <w:rsid w:val="00F63EE7"/>
    <w:rsid w:val="00F64334"/>
    <w:rsid w:val="00F645FD"/>
    <w:rsid w:val="00F647B1"/>
    <w:rsid w:val="00F64855"/>
    <w:rsid w:val="00F6496A"/>
    <w:rsid w:val="00F649BB"/>
    <w:rsid w:val="00F64B5A"/>
    <w:rsid w:val="00F64CCE"/>
    <w:rsid w:val="00F64E69"/>
    <w:rsid w:val="00F652AA"/>
    <w:rsid w:val="00F65331"/>
    <w:rsid w:val="00F653C6"/>
    <w:rsid w:val="00F655B7"/>
    <w:rsid w:val="00F655BB"/>
    <w:rsid w:val="00F655BF"/>
    <w:rsid w:val="00F6593D"/>
    <w:rsid w:val="00F659C5"/>
    <w:rsid w:val="00F65BCB"/>
    <w:rsid w:val="00F65DEA"/>
    <w:rsid w:val="00F65F2F"/>
    <w:rsid w:val="00F66035"/>
    <w:rsid w:val="00F660FF"/>
    <w:rsid w:val="00F66149"/>
    <w:rsid w:val="00F66312"/>
    <w:rsid w:val="00F66321"/>
    <w:rsid w:val="00F6655A"/>
    <w:rsid w:val="00F667EE"/>
    <w:rsid w:val="00F66837"/>
    <w:rsid w:val="00F66B5E"/>
    <w:rsid w:val="00F66BCF"/>
    <w:rsid w:val="00F66D60"/>
    <w:rsid w:val="00F66D61"/>
    <w:rsid w:val="00F670DA"/>
    <w:rsid w:val="00F6724E"/>
    <w:rsid w:val="00F67296"/>
    <w:rsid w:val="00F672E0"/>
    <w:rsid w:val="00F673FE"/>
    <w:rsid w:val="00F6771E"/>
    <w:rsid w:val="00F67761"/>
    <w:rsid w:val="00F67865"/>
    <w:rsid w:val="00F67891"/>
    <w:rsid w:val="00F67A73"/>
    <w:rsid w:val="00F67C9C"/>
    <w:rsid w:val="00F67FE8"/>
    <w:rsid w:val="00F7018D"/>
    <w:rsid w:val="00F7047E"/>
    <w:rsid w:val="00F704B4"/>
    <w:rsid w:val="00F705D7"/>
    <w:rsid w:val="00F705E9"/>
    <w:rsid w:val="00F7063B"/>
    <w:rsid w:val="00F70B17"/>
    <w:rsid w:val="00F70DA2"/>
    <w:rsid w:val="00F71055"/>
    <w:rsid w:val="00F711B7"/>
    <w:rsid w:val="00F7122C"/>
    <w:rsid w:val="00F71407"/>
    <w:rsid w:val="00F7145B"/>
    <w:rsid w:val="00F71513"/>
    <w:rsid w:val="00F7152F"/>
    <w:rsid w:val="00F71685"/>
    <w:rsid w:val="00F71AA7"/>
    <w:rsid w:val="00F71E3B"/>
    <w:rsid w:val="00F71E8C"/>
    <w:rsid w:val="00F71ED5"/>
    <w:rsid w:val="00F71F44"/>
    <w:rsid w:val="00F72213"/>
    <w:rsid w:val="00F7238F"/>
    <w:rsid w:val="00F723E1"/>
    <w:rsid w:val="00F72718"/>
    <w:rsid w:val="00F7276E"/>
    <w:rsid w:val="00F7277D"/>
    <w:rsid w:val="00F728BE"/>
    <w:rsid w:val="00F72BE7"/>
    <w:rsid w:val="00F72CFA"/>
    <w:rsid w:val="00F72F8A"/>
    <w:rsid w:val="00F73154"/>
    <w:rsid w:val="00F731B3"/>
    <w:rsid w:val="00F731E9"/>
    <w:rsid w:val="00F7345F"/>
    <w:rsid w:val="00F73679"/>
    <w:rsid w:val="00F73A91"/>
    <w:rsid w:val="00F73B09"/>
    <w:rsid w:val="00F73B42"/>
    <w:rsid w:val="00F73C49"/>
    <w:rsid w:val="00F73F57"/>
    <w:rsid w:val="00F73FDD"/>
    <w:rsid w:val="00F7409F"/>
    <w:rsid w:val="00F7424B"/>
    <w:rsid w:val="00F7425A"/>
    <w:rsid w:val="00F74318"/>
    <w:rsid w:val="00F7434B"/>
    <w:rsid w:val="00F7435C"/>
    <w:rsid w:val="00F7446F"/>
    <w:rsid w:val="00F74502"/>
    <w:rsid w:val="00F745B9"/>
    <w:rsid w:val="00F746E6"/>
    <w:rsid w:val="00F74850"/>
    <w:rsid w:val="00F74922"/>
    <w:rsid w:val="00F74BE7"/>
    <w:rsid w:val="00F74D5B"/>
    <w:rsid w:val="00F74FB3"/>
    <w:rsid w:val="00F74FC1"/>
    <w:rsid w:val="00F75054"/>
    <w:rsid w:val="00F751F9"/>
    <w:rsid w:val="00F75202"/>
    <w:rsid w:val="00F756F7"/>
    <w:rsid w:val="00F75741"/>
    <w:rsid w:val="00F75761"/>
    <w:rsid w:val="00F757A0"/>
    <w:rsid w:val="00F7583D"/>
    <w:rsid w:val="00F75A73"/>
    <w:rsid w:val="00F75AE9"/>
    <w:rsid w:val="00F75BE6"/>
    <w:rsid w:val="00F75C44"/>
    <w:rsid w:val="00F75CDB"/>
    <w:rsid w:val="00F75EC1"/>
    <w:rsid w:val="00F75F79"/>
    <w:rsid w:val="00F7606A"/>
    <w:rsid w:val="00F76455"/>
    <w:rsid w:val="00F764AA"/>
    <w:rsid w:val="00F7684A"/>
    <w:rsid w:val="00F769C7"/>
    <w:rsid w:val="00F76BB3"/>
    <w:rsid w:val="00F76C5B"/>
    <w:rsid w:val="00F76D2B"/>
    <w:rsid w:val="00F76F8E"/>
    <w:rsid w:val="00F77294"/>
    <w:rsid w:val="00F77402"/>
    <w:rsid w:val="00F7744C"/>
    <w:rsid w:val="00F775A6"/>
    <w:rsid w:val="00F775C6"/>
    <w:rsid w:val="00F77618"/>
    <w:rsid w:val="00F777A5"/>
    <w:rsid w:val="00F7787D"/>
    <w:rsid w:val="00F77AE6"/>
    <w:rsid w:val="00F77C62"/>
    <w:rsid w:val="00F77E44"/>
    <w:rsid w:val="00F77EA7"/>
    <w:rsid w:val="00F77F84"/>
    <w:rsid w:val="00F800EC"/>
    <w:rsid w:val="00F801D2"/>
    <w:rsid w:val="00F80271"/>
    <w:rsid w:val="00F80342"/>
    <w:rsid w:val="00F8034E"/>
    <w:rsid w:val="00F80479"/>
    <w:rsid w:val="00F806BE"/>
    <w:rsid w:val="00F80861"/>
    <w:rsid w:val="00F80A0D"/>
    <w:rsid w:val="00F80B82"/>
    <w:rsid w:val="00F80CA9"/>
    <w:rsid w:val="00F80EE3"/>
    <w:rsid w:val="00F80F18"/>
    <w:rsid w:val="00F80FE8"/>
    <w:rsid w:val="00F810D8"/>
    <w:rsid w:val="00F81410"/>
    <w:rsid w:val="00F815E2"/>
    <w:rsid w:val="00F8176E"/>
    <w:rsid w:val="00F81770"/>
    <w:rsid w:val="00F818AF"/>
    <w:rsid w:val="00F8195B"/>
    <w:rsid w:val="00F819BB"/>
    <w:rsid w:val="00F81ABC"/>
    <w:rsid w:val="00F81D5F"/>
    <w:rsid w:val="00F81E8A"/>
    <w:rsid w:val="00F81F42"/>
    <w:rsid w:val="00F8224F"/>
    <w:rsid w:val="00F8227E"/>
    <w:rsid w:val="00F8229F"/>
    <w:rsid w:val="00F824B6"/>
    <w:rsid w:val="00F82510"/>
    <w:rsid w:val="00F82633"/>
    <w:rsid w:val="00F8279C"/>
    <w:rsid w:val="00F828A7"/>
    <w:rsid w:val="00F82927"/>
    <w:rsid w:val="00F82964"/>
    <w:rsid w:val="00F829E5"/>
    <w:rsid w:val="00F82AEE"/>
    <w:rsid w:val="00F82B34"/>
    <w:rsid w:val="00F82C54"/>
    <w:rsid w:val="00F82E4E"/>
    <w:rsid w:val="00F82F6F"/>
    <w:rsid w:val="00F8334B"/>
    <w:rsid w:val="00F8335E"/>
    <w:rsid w:val="00F83384"/>
    <w:rsid w:val="00F83459"/>
    <w:rsid w:val="00F838C7"/>
    <w:rsid w:val="00F839B4"/>
    <w:rsid w:val="00F83C26"/>
    <w:rsid w:val="00F845C1"/>
    <w:rsid w:val="00F8476B"/>
    <w:rsid w:val="00F84842"/>
    <w:rsid w:val="00F84882"/>
    <w:rsid w:val="00F849ED"/>
    <w:rsid w:val="00F84AF9"/>
    <w:rsid w:val="00F84B0A"/>
    <w:rsid w:val="00F84F17"/>
    <w:rsid w:val="00F85012"/>
    <w:rsid w:val="00F85115"/>
    <w:rsid w:val="00F8531E"/>
    <w:rsid w:val="00F85632"/>
    <w:rsid w:val="00F8584D"/>
    <w:rsid w:val="00F85D4E"/>
    <w:rsid w:val="00F861BA"/>
    <w:rsid w:val="00F8666D"/>
    <w:rsid w:val="00F86762"/>
    <w:rsid w:val="00F8677F"/>
    <w:rsid w:val="00F86CC6"/>
    <w:rsid w:val="00F86D42"/>
    <w:rsid w:val="00F86E20"/>
    <w:rsid w:val="00F870E2"/>
    <w:rsid w:val="00F8710A"/>
    <w:rsid w:val="00F871E2"/>
    <w:rsid w:val="00F8720F"/>
    <w:rsid w:val="00F8762A"/>
    <w:rsid w:val="00F8769D"/>
    <w:rsid w:val="00F8782A"/>
    <w:rsid w:val="00F878E2"/>
    <w:rsid w:val="00F87915"/>
    <w:rsid w:val="00F87917"/>
    <w:rsid w:val="00F879FB"/>
    <w:rsid w:val="00F87AE3"/>
    <w:rsid w:val="00F87B36"/>
    <w:rsid w:val="00F87C84"/>
    <w:rsid w:val="00F87C99"/>
    <w:rsid w:val="00F87D23"/>
    <w:rsid w:val="00F87E81"/>
    <w:rsid w:val="00F87F68"/>
    <w:rsid w:val="00F90198"/>
    <w:rsid w:val="00F906A2"/>
    <w:rsid w:val="00F907B7"/>
    <w:rsid w:val="00F907E7"/>
    <w:rsid w:val="00F90984"/>
    <w:rsid w:val="00F90B14"/>
    <w:rsid w:val="00F90BBC"/>
    <w:rsid w:val="00F90D81"/>
    <w:rsid w:val="00F90DC9"/>
    <w:rsid w:val="00F90E8C"/>
    <w:rsid w:val="00F9113D"/>
    <w:rsid w:val="00F9119D"/>
    <w:rsid w:val="00F911F8"/>
    <w:rsid w:val="00F9145C"/>
    <w:rsid w:val="00F91506"/>
    <w:rsid w:val="00F9190B"/>
    <w:rsid w:val="00F91C8D"/>
    <w:rsid w:val="00F92376"/>
    <w:rsid w:val="00F925BC"/>
    <w:rsid w:val="00F9261E"/>
    <w:rsid w:val="00F9272A"/>
    <w:rsid w:val="00F929A8"/>
    <w:rsid w:val="00F92BE4"/>
    <w:rsid w:val="00F92DFE"/>
    <w:rsid w:val="00F92FC9"/>
    <w:rsid w:val="00F92FCA"/>
    <w:rsid w:val="00F93158"/>
    <w:rsid w:val="00F93209"/>
    <w:rsid w:val="00F93341"/>
    <w:rsid w:val="00F93390"/>
    <w:rsid w:val="00F933C7"/>
    <w:rsid w:val="00F93591"/>
    <w:rsid w:val="00F9364F"/>
    <w:rsid w:val="00F93662"/>
    <w:rsid w:val="00F93865"/>
    <w:rsid w:val="00F93B34"/>
    <w:rsid w:val="00F93D68"/>
    <w:rsid w:val="00F93ED3"/>
    <w:rsid w:val="00F94136"/>
    <w:rsid w:val="00F942ED"/>
    <w:rsid w:val="00F945DB"/>
    <w:rsid w:val="00F94B97"/>
    <w:rsid w:val="00F94E43"/>
    <w:rsid w:val="00F94E5D"/>
    <w:rsid w:val="00F95294"/>
    <w:rsid w:val="00F952A8"/>
    <w:rsid w:val="00F9537B"/>
    <w:rsid w:val="00F954D3"/>
    <w:rsid w:val="00F954E4"/>
    <w:rsid w:val="00F955B1"/>
    <w:rsid w:val="00F955F2"/>
    <w:rsid w:val="00F958B5"/>
    <w:rsid w:val="00F95B05"/>
    <w:rsid w:val="00F95BE0"/>
    <w:rsid w:val="00F95C5B"/>
    <w:rsid w:val="00F965C7"/>
    <w:rsid w:val="00F9694B"/>
    <w:rsid w:val="00F96B94"/>
    <w:rsid w:val="00F96C21"/>
    <w:rsid w:val="00F96C39"/>
    <w:rsid w:val="00F96CAB"/>
    <w:rsid w:val="00F96DBA"/>
    <w:rsid w:val="00F9707D"/>
    <w:rsid w:val="00F97122"/>
    <w:rsid w:val="00F9728E"/>
    <w:rsid w:val="00F973D7"/>
    <w:rsid w:val="00F9747C"/>
    <w:rsid w:val="00F97661"/>
    <w:rsid w:val="00F97C39"/>
    <w:rsid w:val="00F97CBD"/>
    <w:rsid w:val="00FA0068"/>
    <w:rsid w:val="00FA0090"/>
    <w:rsid w:val="00FA027E"/>
    <w:rsid w:val="00FA045B"/>
    <w:rsid w:val="00FA0522"/>
    <w:rsid w:val="00FA0647"/>
    <w:rsid w:val="00FA07AC"/>
    <w:rsid w:val="00FA0CC9"/>
    <w:rsid w:val="00FA0E0F"/>
    <w:rsid w:val="00FA0EED"/>
    <w:rsid w:val="00FA1157"/>
    <w:rsid w:val="00FA11D1"/>
    <w:rsid w:val="00FA187C"/>
    <w:rsid w:val="00FA18A2"/>
    <w:rsid w:val="00FA1902"/>
    <w:rsid w:val="00FA197A"/>
    <w:rsid w:val="00FA1B43"/>
    <w:rsid w:val="00FA1BF3"/>
    <w:rsid w:val="00FA1D7A"/>
    <w:rsid w:val="00FA1E20"/>
    <w:rsid w:val="00FA202E"/>
    <w:rsid w:val="00FA2482"/>
    <w:rsid w:val="00FA2574"/>
    <w:rsid w:val="00FA2855"/>
    <w:rsid w:val="00FA2988"/>
    <w:rsid w:val="00FA2B2D"/>
    <w:rsid w:val="00FA2C1E"/>
    <w:rsid w:val="00FA2FAB"/>
    <w:rsid w:val="00FA3139"/>
    <w:rsid w:val="00FA338C"/>
    <w:rsid w:val="00FA3549"/>
    <w:rsid w:val="00FA37E7"/>
    <w:rsid w:val="00FA393C"/>
    <w:rsid w:val="00FA3A22"/>
    <w:rsid w:val="00FA3B44"/>
    <w:rsid w:val="00FA3E07"/>
    <w:rsid w:val="00FA400B"/>
    <w:rsid w:val="00FA40FB"/>
    <w:rsid w:val="00FA45E0"/>
    <w:rsid w:val="00FA47E7"/>
    <w:rsid w:val="00FA4999"/>
    <w:rsid w:val="00FA4B28"/>
    <w:rsid w:val="00FA4C97"/>
    <w:rsid w:val="00FA4CAD"/>
    <w:rsid w:val="00FA519C"/>
    <w:rsid w:val="00FA51CF"/>
    <w:rsid w:val="00FA5238"/>
    <w:rsid w:val="00FA5330"/>
    <w:rsid w:val="00FA5351"/>
    <w:rsid w:val="00FA55B6"/>
    <w:rsid w:val="00FA569A"/>
    <w:rsid w:val="00FA5820"/>
    <w:rsid w:val="00FA58BA"/>
    <w:rsid w:val="00FA5D97"/>
    <w:rsid w:val="00FA60CF"/>
    <w:rsid w:val="00FA611C"/>
    <w:rsid w:val="00FA622F"/>
    <w:rsid w:val="00FA6311"/>
    <w:rsid w:val="00FA6534"/>
    <w:rsid w:val="00FA65EF"/>
    <w:rsid w:val="00FA673D"/>
    <w:rsid w:val="00FA6775"/>
    <w:rsid w:val="00FA69C0"/>
    <w:rsid w:val="00FA69DA"/>
    <w:rsid w:val="00FA6A29"/>
    <w:rsid w:val="00FA6AFA"/>
    <w:rsid w:val="00FA6B21"/>
    <w:rsid w:val="00FA6BC8"/>
    <w:rsid w:val="00FA6D15"/>
    <w:rsid w:val="00FA6EA4"/>
    <w:rsid w:val="00FA6EC4"/>
    <w:rsid w:val="00FA6EFD"/>
    <w:rsid w:val="00FA7103"/>
    <w:rsid w:val="00FA724A"/>
    <w:rsid w:val="00FA72C3"/>
    <w:rsid w:val="00FA72F9"/>
    <w:rsid w:val="00FA73FD"/>
    <w:rsid w:val="00FA74F0"/>
    <w:rsid w:val="00FA7A16"/>
    <w:rsid w:val="00FA7C98"/>
    <w:rsid w:val="00FA7D36"/>
    <w:rsid w:val="00FB025A"/>
    <w:rsid w:val="00FB03E7"/>
    <w:rsid w:val="00FB050D"/>
    <w:rsid w:val="00FB0837"/>
    <w:rsid w:val="00FB09C7"/>
    <w:rsid w:val="00FB09F3"/>
    <w:rsid w:val="00FB14F4"/>
    <w:rsid w:val="00FB1669"/>
    <w:rsid w:val="00FB1730"/>
    <w:rsid w:val="00FB1927"/>
    <w:rsid w:val="00FB19E3"/>
    <w:rsid w:val="00FB1AD6"/>
    <w:rsid w:val="00FB1B4D"/>
    <w:rsid w:val="00FB1C5B"/>
    <w:rsid w:val="00FB1F36"/>
    <w:rsid w:val="00FB232B"/>
    <w:rsid w:val="00FB2459"/>
    <w:rsid w:val="00FB2499"/>
    <w:rsid w:val="00FB25C1"/>
    <w:rsid w:val="00FB28FF"/>
    <w:rsid w:val="00FB2AD5"/>
    <w:rsid w:val="00FB2CCF"/>
    <w:rsid w:val="00FB2E90"/>
    <w:rsid w:val="00FB2FAA"/>
    <w:rsid w:val="00FB30ED"/>
    <w:rsid w:val="00FB310C"/>
    <w:rsid w:val="00FB347C"/>
    <w:rsid w:val="00FB36E0"/>
    <w:rsid w:val="00FB396B"/>
    <w:rsid w:val="00FB3A30"/>
    <w:rsid w:val="00FB3B11"/>
    <w:rsid w:val="00FB3C1C"/>
    <w:rsid w:val="00FB3DF5"/>
    <w:rsid w:val="00FB3E2D"/>
    <w:rsid w:val="00FB3EB2"/>
    <w:rsid w:val="00FB420B"/>
    <w:rsid w:val="00FB42F4"/>
    <w:rsid w:val="00FB4304"/>
    <w:rsid w:val="00FB43C9"/>
    <w:rsid w:val="00FB4528"/>
    <w:rsid w:val="00FB454C"/>
    <w:rsid w:val="00FB45F5"/>
    <w:rsid w:val="00FB461D"/>
    <w:rsid w:val="00FB4769"/>
    <w:rsid w:val="00FB47B6"/>
    <w:rsid w:val="00FB47C7"/>
    <w:rsid w:val="00FB48C7"/>
    <w:rsid w:val="00FB4B4A"/>
    <w:rsid w:val="00FB4B5A"/>
    <w:rsid w:val="00FB4C63"/>
    <w:rsid w:val="00FB4D4F"/>
    <w:rsid w:val="00FB4EAB"/>
    <w:rsid w:val="00FB4FA8"/>
    <w:rsid w:val="00FB50A1"/>
    <w:rsid w:val="00FB520B"/>
    <w:rsid w:val="00FB520F"/>
    <w:rsid w:val="00FB527E"/>
    <w:rsid w:val="00FB535D"/>
    <w:rsid w:val="00FB5492"/>
    <w:rsid w:val="00FB5512"/>
    <w:rsid w:val="00FB5546"/>
    <w:rsid w:val="00FB556F"/>
    <w:rsid w:val="00FB5640"/>
    <w:rsid w:val="00FB56B5"/>
    <w:rsid w:val="00FB5ADA"/>
    <w:rsid w:val="00FB5C35"/>
    <w:rsid w:val="00FB5E87"/>
    <w:rsid w:val="00FB5EE8"/>
    <w:rsid w:val="00FB5FF8"/>
    <w:rsid w:val="00FB6228"/>
    <w:rsid w:val="00FB6793"/>
    <w:rsid w:val="00FB6A22"/>
    <w:rsid w:val="00FB6B64"/>
    <w:rsid w:val="00FB6C38"/>
    <w:rsid w:val="00FB6CCA"/>
    <w:rsid w:val="00FB6DC9"/>
    <w:rsid w:val="00FB701D"/>
    <w:rsid w:val="00FB702C"/>
    <w:rsid w:val="00FB7100"/>
    <w:rsid w:val="00FB72FF"/>
    <w:rsid w:val="00FB734A"/>
    <w:rsid w:val="00FB73B2"/>
    <w:rsid w:val="00FB7443"/>
    <w:rsid w:val="00FB7865"/>
    <w:rsid w:val="00FB7A97"/>
    <w:rsid w:val="00FB7E57"/>
    <w:rsid w:val="00FB7FEA"/>
    <w:rsid w:val="00FC01C8"/>
    <w:rsid w:val="00FC02BD"/>
    <w:rsid w:val="00FC02C8"/>
    <w:rsid w:val="00FC034C"/>
    <w:rsid w:val="00FC05CC"/>
    <w:rsid w:val="00FC0638"/>
    <w:rsid w:val="00FC0727"/>
    <w:rsid w:val="00FC0793"/>
    <w:rsid w:val="00FC0C76"/>
    <w:rsid w:val="00FC0ECD"/>
    <w:rsid w:val="00FC0F94"/>
    <w:rsid w:val="00FC106A"/>
    <w:rsid w:val="00FC1078"/>
    <w:rsid w:val="00FC1253"/>
    <w:rsid w:val="00FC136B"/>
    <w:rsid w:val="00FC1398"/>
    <w:rsid w:val="00FC1516"/>
    <w:rsid w:val="00FC1522"/>
    <w:rsid w:val="00FC1726"/>
    <w:rsid w:val="00FC17BB"/>
    <w:rsid w:val="00FC180E"/>
    <w:rsid w:val="00FC1849"/>
    <w:rsid w:val="00FC1897"/>
    <w:rsid w:val="00FC1F1C"/>
    <w:rsid w:val="00FC2104"/>
    <w:rsid w:val="00FC2116"/>
    <w:rsid w:val="00FC2265"/>
    <w:rsid w:val="00FC228B"/>
    <w:rsid w:val="00FC2340"/>
    <w:rsid w:val="00FC2453"/>
    <w:rsid w:val="00FC24C8"/>
    <w:rsid w:val="00FC25FA"/>
    <w:rsid w:val="00FC2792"/>
    <w:rsid w:val="00FC2B0D"/>
    <w:rsid w:val="00FC2ED9"/>
    <w:rsid w:val="00FC2FCE"/>
    <w:rsid w:val="00FC348D"/>
    <w:rsid w:val="00FC3A87"/>
    <w:rsid w:val="00FC3B2C"/>
    <w:rsid w:val="00FC3DB3"/>
    <w:rsid w:val="00FC3DEE"/>
    <w:rsid w:val="00FC42F5"/>
    <w:rsid w:val="00FC4761"/>
    <w:rsid w:val="00FC47A4"/>
    <w:rsid w:val="00FC48E6"/>
    <w:rsid w:val="00FC4B75"/>
    <w:rsid w:val="00FC4DF2"/>
    <w:rsid w:val="00FC4EED"/>
    <w:rsid w:val="00FC4F69"/>
    <w:rsid w:val="00FC5551"/>
    <w:rsid w:val="00FC5558"/>
    <w:rsid w:val="00FC57D9"/>
    <w:rsid w:val="00FC5804"/>
    <w:rsid w:val="00FC58EC"/>
    <w:rsid w:val="00FC5A49"/>
    <w:rsid w:val="00FC5A64"/>
    <w:rsid w:val="00FC5C06"/>
    <w:rsid w:val="00FC5CF8"/>
    <w:rsid w:val="00FC6195"/>
    <w:rsid w:val="00FC65B9"/>
    <w:rsid w:val="00FC67A0"/>
    <w:rsid w:val="00FC67C0"/>
    <w:rsid w:val="00FC6A03"/>
    <w:rsid w:val="00FC6A40"/>
    <w:rsid w:val="00FC6B88"/>
    <w:rsid w:val="00FC6BC2"/>
    <w:rsid w:val="00FC6C6E"/>
    <w:rsid w:val="00FC6DD8"/>
    <w:rsid w:val="00FC6E86"/>
    <w:rsid w:val="00FC6F0C"/>
    <w:rsid w:val="00FC6F3A"/>
    <w:rsid w:val="00FC6FB4"/>
    <w:rsid w:val="00FC73C5"/>
    <w:rsid w:val="00FC7452"/>
    <w:rsid w:val="00FC7932"/>
    <w:rsid w:val="00FC79CB"/>
    <w:rsid w:val="00FC7D9F"/>
    <w:rsid w:val="00FC7FF3"/>
    <w:rsid w:val="00FD0165"/>
    <w:rsid w:val="00FD0195"/>
    <w:rsid w:val="00FD0564"/>
    <w:rsid w:val="00FD05FA"/>
    <w:rsid w:val="00FD0609"/>
    <w:rsid w:val="00FD0835"/>
    <w:rsid w:val="00FD0D4B"/>
    <w:rsid w:val="00FD0F0D"/>
    <w:rsid w:val="00FD129C"/>
    <w:rsid w:val="00FD1402"/>
    <w:rsid w:val="00FD189E"/>
    <w:rsid w:val="00FD19BC"/>
    <w:rsid w:val="00FD1DDC"/>
    <w:rsid w:val="00FD1EDB"/>
    <w:rsid w:val="00FD1FBF"/>
    <w:rsid w:val="00FD1FC9"/>
    <w:rsid w:val="00FD1FF7"/>
    <w:rsid w:val="00FD22E5"/>
    <w:rsid w:val="00FD2579"/>
    <w:rsid w:val="00FD25CC"/>
    <w:rsid w:val="00FD269B"/>
    <w:rsid w:val="00FD26C8"/>
    <w:rsid w:val="00FD2759"/>
    <w:rsid w:val="00FD2A07"/>
    <w:rsid w:val="00FD2BC4"/>
    <w:rsid w:val="00FD3060"/>
    <w:rsid w:val="00FD3485"/>
    <w:rsid w:val="00FD3660"/>
    <w:rsid w:val="00FD36EB"/>
    <w:rsid w:val="00FD3951"/>
    <w:rsid w:val="00FD3956"/>
    <w:rsid w:val="00FD39A6"/>
    <w:rsid w:val="00FD39B6"/>
    <w:rsid w:val="00FD3B08"/>
    <w:rsid w:val="00FD3BFF"/>
    <w:rsid w:val="00FD3E69"/>
    <w:rsid w:val="00FD3F15"/>
    <w:rsid w:val="00FD4049"/>
    <w:rsid w:val="00FD4110"/>
    <w:rsid w:val="00FD4350"/>
    <w:rsid w:val="00FD43F3"/>
    <w:rsid w:val="00FD4544"/>
    <w:rsid w:val="00FD4655"/>
    <w:rsid w:val="00FD470E"/>
    <w:rsid w:val="00FD4768"/>
    <w:rsid w:val="00FD479F"/>
    <w:rsid w:val="00FD4898"/>
    <w:rsid w:val="00FD4BB0"/>
    <w:rsid w:val="00FD4E8F"/>
    <w:rsid w:val="00FD505C"/>
    <w:rsid w:val="00FD52BF"/>
    <w:rsid w:val="00FD5318"/>
    <w:rsid w:val="00FD5421"/>
    <w:rsid w:val="00FD543D"/>
    <w:rsid w:val="00FD5766"/>
    <w:rsid w:val="00FD589C"/>
    <w:rsid w:val="00FD5930"/>
    <w:rsid w:val="00FD59DD"/>
    <w:rsid w:val="00FD5E31"/>
    <w:rsid w:val="00FD61DC"/>
    <w:rsid w:val="00FD6695"/>
    <w:rsid w:val="00FD6711"/>
    <w:rsid w:val="00FD6877"/>
    <w:rsid w:val="00FD68FD"/>
    <w:rsid w:val="00FD70DC"/>
    <w:rsid w:val="00FD71A3"/>
    <w:rsid w:val="00FD765B"/>
    <w:rsid w:val="00FD777E"/>
    <w:rsid w:val="00FE0063"/>
    <w:rsid w:val="00FE00B9"/>
    <w:rsid w:val="00FE00EA"/>
    <w:rsid w:val="00FE02ED"/>
    <w:rsid w:val="00FE02F8"/>
    <w:rsid w:val="00FE0417"/>
    <w:rsid w:val="00FE0427"/>
    <w:rsid w:val="00FE04B4"/>
    <w:rsid w:val="00FE0737"/>
    <w:rsid w:val="00FE07DE"/>
    <w:rsid w:val="00FE07FE"/>
    <w:rsid w:val="00FE093F"/>
    <w:rsid w:val="00FE0940"/>
    <w:rsid w:val="00FE096F"/>
    <w:rsid w:val="00FE0979"/>
    <w:rsid w:val="00FE09A5"/>
    <w:rsid w:val="00FE0C92"/>
    <w:rsid w:val="00FE0D25"/>
    <w:rsid w:val="00FE102C"/>
    <w:rsid w:val="00FE1258"/>
    <w:rsid w:val="00FE1359"/>
    <w:rsid w:val="00FE1497"/>
    <w:rsid w:val="00FE1681"/>
    <w:rsid w:val="00FE16C7"/>
    <w:rsid w:val="00FE16D4"/>
    <w:rsid w:val="00FE1935"/>
    <w:rsid w:val="00FE19C0"/>
    <w:rsid w:val="00FE19E6"/>
    <w:rsid w:val="00FE1AA9"/>
    <w:rsid w:val="00FE1C5B"/>
    <w:rsid w:val="00FE1CFA"/>
    <w:rsid w:val="00FE213D"/>
    <w:rsid w:val="00FE22BB"/>
    <w:rsid w:val="00FE28B3"/>
    <w:rsid w:val="00FE2932"/>
    <w:rsid w:val="00FE2A39"/>
    <w:rsid w:val="00FE2B10"/>
    <w:rsid w:val="00FE2B8B"/>
    <w:rsid w:val="00FE2BE8"/>
    <w:rsid w:val="00FE2ED3"/>
    <w:rsid w:val="00FE2F67"/>
    <w:rsid w:val="00FE307A"/>
    <w:rsid w:val="00FE329D"/>
    <w:rsid w:val="00FE33C1"/>
    <w:rsid w:val="00FE35F4"/>
    <w:rsid w:val="00FE3A8D"/>
    <w:rsid w:val="00FE3BB4"/>
    <w:rsid w:val="00FE3E22"/>
    <w:rsid w:val="00FE3E3D"/>
    <w:rsid w:val="00FE3F12"/>
    <w:rsid w:val="00FE3FDA"/>
    <w:rsid w:val="00FE402A"/>
    <w:rsid w:val="00FE411D"/>
    <w:rsid w:val="00FE41B3"/>
    <w:rsid w:val="00FE426D"/>
    <w:rsid w:val="00FE4273"/>
    <w:rsid w:val="00FE45EB"/>
    <w:rsid w:val="00FE4684"/>
    <w:rsid w:val="00FE4701"/>
    <w:rsid w:val="00FE490D"/>
    <w:rsid w:val="00FE497A"/>
    <w:rsid w:val="00FE4A68"/>
    <w:rsid w:val="00FE4D15"/>
    <w:rsid w:val="00FE50A0"/>
    <w:rsid w:val="00FE5292"/>
    <w:rsid w:val="00FE56C0"/>
    <w:rsid w:val="00FE5A81"/>
    <w:rsid w:val="00FE5B5D"/>
    <w:rsid w:val="00FE5D42"/>
    <w:rsid w:val="00FE6027"/>
    <w:rsid w:val="00FE6130"/>
    <w:rsid w:val="00FE6145"/>
    <w:rsid w:val="00FE635E"/>
    <w:rsid w:val="00FE67B3"/>
    <w:rsid w:val="00FE6A14"/>
    <w:rsid w:val="00FE6A81"/>
    <w:rsid w:val="00FE6D75"/>
    <w:rsid w:val="00FE6DCC"/>
    <w:rsid w:val="00FE6F3B"/>
    <w:rsid w:val="00FE7191"/>
    <w:rsid w:val="00FE7338"/>
    <w:rsid w:val="00FE7497"/>
    <w:rsid w:val="00FE77F3"/>
    <w:rsid w:val="00FE7B28"/>
    <w:rsid w:val="00FE7B4B"/>
    <w:rsid w:val="00FE7B84"/>
    <w:rsid w:val="00FE7BF4"/>
    <w:rsid w:val="00FE7E6F"/>
    <w:rsid w:val="00FF00AB"/>
    <w:rsid w:val="00FF023F"/>
    <w:rsid w:val="00FF02D5"/>
    <w:rsid w:val="00FF0307"/>
    <w:rsid w:val="00FF0A46"/>
    <w:rsid w:val="00FF0BF4"/>
    <w:rsid w:val="00FF0C34"/>
    <w:rsid w:val="00FF0DF8"/>
    <w:rsid w:val="00FF0F52"/>
    <w:rsid w:val="00FF1047"/>
    <w:rsid w:val="00FF108A"/>
    <w:rsid w:val="00FF10CC"/>
    <w:rsid w:val="00FF110C"/>
    <w:rsid w:val="00FF1391"/>
    <w:rsid w:val="00FF1658"/>
    <w:rsid w:val="00FF1930"/>
    <w:rsid w:val="00FF1A0B"/>
    <w:rsid w:val="00FF1A44"/>
    <w:rsid w:val="00FF1A79"/>
    <w:rsid w:val="00FF1E8D"/>
    <w:rsid w:val="00FF1EB0"/>
    <w:rsid w:val="00FF20BD"/>
    <w:rsid w:val="00FF21EA"/>
    <w:rsid w:val="00FF2208"/>
    <w:rsid w:val="00FF22A3"/>
    <w:rsid w:val="00FF233B"/>
    <w:rsid w:val="00FF2A82"/>
    <w:rsid w:val="00FF2C01"/>
    <w:rsid w:val="00FF2D12"/>
    <w:rsid w:val="00FF2EF8"/>
    <w:rsid w:val="00FF30AC"/>
    <w:rsid w:val="00FF33F0"/>
    <w:rsid w:val="00FF3411"/>
    <w:rsid w:val="00FF36FE"/>
    <w:rsid w:val="00FF3787"/>
    <w:rsid w:val="00FF37E8"/>
    <w:rsid w:val="00FF39F0"/>
    <w:rsid w:val="00FF3C9E"/>
    <w:rsid w:val="00FF4054"/>
    <w:rsid w:val="00FF4289"/>
    <w:rsid w:val="00FF42CF"/>
    <w:rsid w:val="00FF4521"/>
    <w:rsid w:val="00FF462E"/>
    <w:rsid w:val="00FF47A7"/>
    <w:rsid w:val="00FF4813"/>
    <w:rsid w:val="00FF4A8E"/>
    <w:rsid w:val="00FF4BE4"/>
    <w:rsid w:val="00FF519F"/>
    <w:rsid w:val="00FF55D5"/>
    <w:rsid w:val="00FF58E5"/>
    <w:rsid w:val="00FF59AA"/>
    <w:rsid w:val="00FF5BA0"/>
    <w:rsid w:val="00FF5E84"/>
    <w:rsid w:val="00FF60DB"/>
    <w:rsid w:val="00FF62CC"/>
    <w:rsid w:val="00FF638A"/>
    <w:rsid w:val="00FF6496"/>
    <w:rsid w:val="00FF6539"/>
    <w:rsid w:val="00FF6541"/>
    <w:rsid w:val="00FF66B7"/>
    <w:rsid w:val="00FF6761"/>
    <w:rsid w:val="00FF681B"/>
    <w:rsid w:val="00FF6CCE"/>
    <w:rsid w:val="00FF6DC1"/>
    <w:rsid w:val="00FF730E"/>
    <w:rsid w:val="00FF767C"/>
    <w:rsid w:val="00FF76F9"/>
    <w:rsid w:val="00FF78A6"/>
    <w:rsid w:val="00FF7920"/>
    <w:rsid w:val="00FF7AA8"/>
    <w:rsid w:val="00FF7C1B"/>
    <w:rsid w:val="01136BB2"/>
    <w:rsid w:val="0135851A"/>
    <w:rsid w:val="015491E5"/>
    <w:rsid w:val="0195E4A9"/>
    <w:rsid w:val="01CDF757"/>
    <w:rsid w:val="0230EEA0"/>
    <w:rsid w:val="0299E66B"/>
    <w:rsid w:val="02C241C3"/>
    <w:rsid w:val="02FBF046"/>
    <w:rsid w:val="03138FDB"/>
    <w:rsid w:val="03493BD6"/>
    <w:rsid w:val="04446E56"/>
    <w:rsid w:val="046FA1C4"/>
    <w:rsid w:val="0472CD99"/>
    <w:rsid w:val="04C20EF3"/>
    <w:rsid w:val="04D6B5F3"/>
    <w:rsid w:val="0506D311"/>
    <w:rsid w:val="05236670"/>
    <w:rsid w:val="0539CF85"/>
    <w:rsid w:val="055135E0"/>
    <w:rsid w:val="05BD2540"/>
    <w:rsid w:val="06726CD1"/>
    <w:rsid w:val="067BD5B0"/>
    <w:rsid w:val="06B7F35A"/>
    <w:rsid w:val="06BC480F"/>
    <w:rsid w:val="0719F30C"/>
    <w:rsid w:val="0734A925"/>
    <w:rsid w:val="077192BE"/>
    <w:rsid w:val="0794A75A"/>
    <w:rsid w:val="07E3170E"/>
    <w:rsid w:val="080BB2C6"/>
    <w:rsid w:val="082FDEC4"/>
    <w:rsid w:val="084077A4"/>
    <w:rsid w:val="092A0ECA"/>
    <w:rsid w:val="09309517"/>
    <w:rsid w:val="09613388"/>
    <w:rsid w:val="09992810"/>
    <w:rsid w:val="0A055DDE"/>
    <w:rsid w:val="0A0EC978"/>
    <w:rsid w:val="0AA4FD32"/>
    <w:rsid w:val="0AB1D250"/>
    <w:rsid w:val="0AB5A681"/>
    <w:rsid w:val="0ABFEAFC"/>
    <w:rsid w:val="0AF82450"/>
    <w:rsid w:val="0B07F452"/>
    <w:rsid w:val="0B227191"/>
    <w:rsid w:val="0B7FFA59"/>
    <w:rsid w:val="0BA486E1"/>
    <w:rsid w:val="0BD3F943"/>
    <w:rsid w:val="0BD7C625"/>
    <w:rsid w:val="0BE7BB7D"/>
    <w:rsid w:val="0C11D3DC"/>
    <w:rsid w:val="0C3CB136"/>
    <w:rsid w:val="0C84DD7B"/>
    <w:rsid w:val="0CC38923"/>
    <w:rsid w:val="0D72F118"/>
    <w:rsid w:val="0D74472F"/>
    <w:rsid w:val="0D8AAB91"/>
    <w:rsid w:val="0DAA888D"/>
    <w:rsid w:val="0DBD9DB1"/>
    <w:rsid w:val="0DE0C141"/>
    <w:rsid w:val="0DE8777D"/>
    <w:rsid w:val="0DE97815"/>
    <w:rsid w:val="0E34C084"/>
    <w:rsid w:val="0E6222C7"/>
    <w:rsid w:val="0E7A6E1D"/>
    <w:rsid w:val="0EA3436B"/>
    <w:rsid w:val="0EB6695D"/>
    <w:rsid w:val="0EE9C254"/>
    <w:rsid w:val="0F0B8D33"/>
    <w:rsid w:val="0F41BDE0"/>
    <w:rsid w:val="0F95AFAE"/>
    <w:rsid w:val="0F9AB22D"/>
    <w:rsid w:val="0FBCC064"/>
    <w:rsid w:val="101E3073"/>
    <w:rsid w:val="1048B082"/>
    <w:rsid w:val="107C2A43"/>
    <w:rsid w:val="10EA368C"/>
    <w:rsid w:val="11505CD5"/>
    <w:rsid w:val="1168EBC9"/>
    <w:rsid w:val="1186288F"/>
    <w:rsid w:val="119BC29C"/>
    <w:rsid w:val="11BF5353"/>
    <w:rsid w:val="120C3AAE"/>
    <w:rsid w:val="12176707"/>
    <w:rsid w:val="1251A0DF"/>
    <w:rsid w:val="125C655F"/>
    <w:rsid w:val="126E2CA5"/>
    <w:rsid w:val="1285285A"/>
    <w:rsid w:val="12D52FE8"/>
    <w:rsid w:val="12E17076"/>
    <w:rsid w:val="12FBBEAB"/>
    <w:rsid w:val="13200F6A"/>
    <w:rsid w:val="133CC13D"/>
    <w:rsid w:val="136605DF"/>
    <w:rsid w:val="138AB2C1"/>
    <w:rsid w:val="13DDA9AD"/>
    <w:rsid w:val="13F34386"/>
    <w:rsid w:val="14AFD905"/>
    <w:rsid w:val="14C743AA"/>
    <w:rsid w:val="14D19F71"/>
    <w:rsid w:val="150601E0"/>
    <w:rsid w:val="150F0C7F"/>
    <w:rsid w:val="15287347"/>
    <w:rsid w:val="15303E56"/>
    <w:rsid w:val="15786057"/>
    <w:rsid w:val="15947644"/>
    <w:rsid w:val="15E605C6"/>
    <w:rsid w:val="15E7E79F"/>
    <w:rsid w:val="15FA3B43"/>
    <w:rsid w:val="163884CA"/>
    <w:rsid w:val="16A5166E"/>
    <w:rsid w:val="16F5D8F8"/>
    <w:rsid w:val="174ABD52"/>
    <w:rsid w:val="1761C4C9"/>
    <w:rsid w:val="178E2D60"/>
    <w:rsid w:val="17B657A9"/>
    <w:rsid w:val="17C8A929"/>
    <w:rsid w:val="17E4423D"/>
    <w:rsid w:val="180A28A0"/>
    <w:rsid w:val="180EA48F"/>
    <w:rsid w:val="1830DFE5"/>
    <w:rsid w:val="185AC82F"/>
    <w:rsid w:val="1862F8CC"/>
    <w:rsid w:val="188DE029"/>
    <w:rsid w:val="1899242B"/>
    <w:rsid w:val="18C22928"/>
    <w:rsid w:val="1917A629"/>
    <w:rsid w:val="1918895B"/>
    <w:rsid w:val="196CFE5E"/>
    <w:rsid w:val="19931D93"/>
    <w:rsid w:val="1997F312"/>
    <w:rsid w:val="19FD241B"/>
    <w:rsid w:val="1A0C1766"/>
    <w:rsid w:val="1AA8DC0D"/>
    <w:rsid w:val="1AAAB694"/>
    <w:rsid w:val="1AF25505"/>
    <w:rsid w:val="1B22761A"/>
    <w:rsid w:val="1B4CD11C"/>
    <w:rsid w:val="1B67D1CB"/>
    <w:rsid w:val="1B9EC1BC"/>
    <w:rsid w:val="1BBC0300"/>
    <w:rsid w:val="1BBE1BF0"/>
    <w:rsid w:val="1BC0431A"/>
    <w:rsid w:val="1BC70BE7"/>
    <w:rsid w:val="1BCF7139"/>
    <w:rsid w:val="1C362247"/>
    <w:rsid w:val="1C6115F5"/>
    <w:rsid w:val="1CE45D32"/>
    <w:rsid w:val="1CEC9442"/>
    <w:rsid w:val="1CF93316"/>
    <w:rsid w:val="1D05F032"/>
    <w:rsid w:val="1D3ECBB6"/>
    <w:rsid w:val="1DDF397D"/>
    <w:rsid w:val="1E995D09"/>
    <w:rsid w:val="1E99FAE3"/>
    <w:rsid w:val="1EC6D9ED"/>
    <w:rsid w:val="1ECF6A61"/>
    <w:rsid w:val="1EE8B57A"/>
    <w:rsid w:val="1F51CF71"/>
    <w:rsid w:val="1F96F66B"/>
    <w:rsid w:val="1FA49AD5"/>
    <w:rsid w:val="1FA70146"/>
    <w:rsid w:val="1FC284DC"/>
    <w:rsid w:val="1FC2EAF1"/>
    <w:rsid w:val="1FC32501"/>
    <w:rsid w:val="1FCE0822"/>
    <w:rsid w:val="20196D06"/>
    <w:rsid w:val="204032C9"/>
    <w:rsid w:val="204A843E"/>
    <w:rsid w:val="205F3A07"/>
    <w:rsid w:val="20CE3F7C"/>
    <w:rsid w:val="20E2010B"/>
    <w:rsid w:val="20EB5546"/>
    <w:rsid w:val="20FD75EF"/>
    <w:rsid w:val="2114F9C4"/>
    <w:rsid w:val="21244C37"/>
    <w:rsid w:val="2147EEA9"/>
    <w:rsid w:val="216D9B8B"/>
    <w:rsid w:val="218A9CD0"/>
    <w:rsid w:val="21F8A0C4"/>
    <w:rsid w:val="220A0958"/>
    <w:rsid w:val="221863BE"/>
    <w:rsid w:val="2226B950"/>
    <w:rsid w:val="228DEF27"/>
    <w:rsid w:val="22C92FC0"/>
    <w:rsid w:val="22CE4609"/>
    <w:rsid w:val="2319132A"/>
    <w:rsid w:val="231E35A7"/>
    <w:rsid w:val="2370D775"/>
    <w:rsid w:val="23C7CB63"/>
    <w:rsid w:val="23DB03FB"/>
    <w:rsid w:val="23DCD929"/>
    <w:rsid w:val="23E08C93"/>
    <w:rsid w:val="242395EF"/>
    <w:rsid w:val="24669DF8"/>
    <w:rsid w:val="24842763"/>
    <w:rsid w:val="2494E742"/>
    <w:rsid w:val="2540322F"/>
    <w:rsid w:val="2586BEE9"/>
    <w:rsid w:val="25C23B2C"/>
    <w:rsid w:val="25EAE1D4"/>
    <w:rsid w:val="25F103EA"/>
    <w:rsid w:val="2665535A"/>
    <w:rsid w:val="2670B6E6"/>
    <w:rsid w:val="26927F58"/>
    <w:rsid w:val="269CD5C5"/>
    <w:rsid w:val="26AD8B63"/>
    <w:rsid w:val="26BA9B2F"/>
    <w:rsid w:val="26E6AD2F"/>
    <w:rsid w:val="26EFEA20"/>
    <w:rsid w:val="27041578"/>
    <w:rsid w:val="274B674B"/>
    <w:rsid w:val="2799D6D5"/>
    <w:rsid w:val="27D3F123"/>
    <w:rsid w:val="27EBA7E5"/>
    <w:rsid w:val="28041818"/>
    <w:rsid w:val="288ADC79"/>
    <w:rsid w:val="2934C317"/>
    <w:rsid w:val="293CB45D"/>
    <w:rsid w:val="2943331D"/>
    <w:rsid w:val="29737AE8"/>
    <w:rsid w:val="29EF0243"/>
    <w:rsid w:val="2A09C09B"/>
    <w:rsid w:val="2A210D64"/>
    <w:rsid w:val="2A35155A"/>
    <w:rsid w:val="2A4F39CC"/>
    <w:rsid w:val="2A70EC55"/>
    <w:rsid w:val="2AC5910C"/>
    <w:rsid w:val="2AE5BB33"/>
    <w:rsid w:val="2B22859A"/>
    <w:rsid w:val="2B8506E4"/>
    <w:rsid w:val="2B8852C1"/>
    <w:rsid w:val="2BA54DF4"/>
    <w:rsid w:val="2BA6C777"/>
    <w:rsid w:val="2BB4C019"/>
    <w:rsid w:val="2BCF8C7C"/>
    <w:rsid w:val="2C0F1B26"/>
    <w:rsid w:val="2C2CD8FD"/>
    <w:rsid w:val="2C650D3F"/>
    <w:rsid w:val="2C66578C"/>
    <w:rsid w:val="2CC51D2F"/>
    <w:rsid w:val="2CFE1731"/>
    <w:rsid w:val="2D0451A7"/>
    <w:rsid w:val="2D121F27"/>
    <w:rsid w:val="2D796270"/>
    <w:rsid w:val="2D81234C"/>
    <w:rsid w:val="2DA67406"/>
    <w:rsid w:val="2DE08B67"/>
    <w:rsid w:val="2E0383F7"/>
    <w:rsid w:val="2E3AC1A8"/>
    <w:rsid w:val="2E5FF814"/>
    <w:rsid w:val="2E60E265"/>
    <w:rsid w:val="2EB8E98B"/>
    <w:rsid w:val="2EE26D7A"/>
    <w:rsid w:val="2EE2D58D"/>
    <w:rsid w:val="2EF45ED0"/>
    <w:rsid w:val="2EF940CC"/>
    <w:rsid w:val="2F56A6A6"/>
    <w:rsid w:val="2F871F99"/>
    <w:rsid w:val="2FD9B324"/>
    <w:rsid w:val="2FE3EB5C"/>
    <w:rsid w:val="30282514"/>
    <w:rsid w:val="309C7C72"/>
    <w:rsid w:val="31011A47"/>
    <w:rsid w:val="310B04C5"/>
    <w:rsid w:val="310F7555"/>
    <w:rsid w:val="31209330"/>
    <w:rsid w:val="314AD051"/>
    <w:rsid w:val="31AEE44E"/>
    <w:rsid w:val="31D3FDB2"/>
    <w:rsid w:val="31F0850B"/>
    <w:rsid w:val="323EC679"/>
    <w:rsid w:val="32574746"/>
    <w:rsid w:val="3316094D"/>
    <w:rsid w:val="333EAB63"/>
    <w:rsid w:val="33435EA1"/>
    <w:rsid w:val="33735E40"/>
    <w:rsid w:val="339E1F75"/>
    <w:rsid w:val="33A82BBE"/>
    <w:rsid w:val="33F8C426"/>
    <w:rsid w:val="345F762C"/>
    <w:rsid w:val="345F8811"/>
    <w:rsid w:val="347BF8CC"/>
    <w:rsid w:val="34D5384C"/>
    <w:rsid w:val="34FF736F"/>
    <w:rsid w:val="3527BD59"/>
    <w:rsid w:val="353BC7B3"/>
    <w:rsid w:val="3551DA46"/>
    <w:rsid w:val="35DCA06F"/>
    <w:rsid w:val="3621C924"/>
    <w:rsid w:val="365843FF"/>
    <w:rsid w:val="367554D5"/>
    <w:rsid w:val="36964991"/>
    <w:rsid w:val="36968696"/>
    <w:rsid w:val="36A3DE1E"/>
    <w:rsid w:val="36D1DBBB"/>
    <w:rsid w:val="36DDB2DE"/>
    <w:rsid w:val="36EAB647"/>
    <w:rsid w:val="36F34DC3"/>
    <w:rsid w:val="36FEA397"/>
    <w:rsid w:val="3728AEEF"/>
    <w:rsid w:val="37594FEF"/>
    <w:rsid w:val="37E6B5AC"/>
    <w:rsid w:val="37F41601"/>
    <w:rsid w:val="380A8920"/>
    <w:rsid w:val="38346AF6"/>
    <w:rsid w:val="38854E29"/>
    <w:rsid w:val="389785CD"/>
    <w:rsid w:val="38AA27B5"/>
    <w:rsid w:val="38ACFDE6"/>
    <w:rsid w:val="390676F1"/>
    <w:rsid w:val="3920D8D6"/>
    <w:rsid w:val="3934D4DE"/>
    <w:rsid w:val="39A59CA5"/>
    <w:rsid w:val="39B28EC2"/>
    <w:rsid w:val="39DC11D2"/>
    <w:rsid w:val="39F3EAC5"/>
    <w:rsid w:val="3A524D15"/>
    <w:rsid w:val="3A6809F0"/>
    <w:rsid w:val="3A79C5C4"/>
    <w:rsid w:val="3AD0A0FF"/>
    <w:rsid w:val="3AED9F88"/>
    <w:rsid w:val="3B1D47D7"/>
    <w:rsid w:val="3B28094D"/>
    <w:rsid w:val="3B3D23A4"/>
    <w:rsid w:val="3B9162BF"/>
    <w:rsid w:val="3B9F2449"/>
    <w:rsid w:val="3BA6D134"/>
    <w:rsid w:val="3BF9856B"/>
    <w:rsid w:val="3C242E5B"/>
    <w:rsid w:val="3C398FBF"/>
    <w:rsid w:val="3C5DF624"/>
    <w:rsid w:val="3C833D16"/>
    <w:rsid w:val="3CD35CA8"/>
    <w:rsid w:val="3D060148"/>
    <w:rsid w:val="3D483D3C"/>
    <w:rsid w:val="3D60FBB0"/>
    <w:rsid w:val="3D98624A"/>
    <w:rsid w:val="3E1ABBB6"/>
    <w:rsid w:val="3E2C9658"/>
    <w:rsid w:val="3E624853"/>
    <w:rsid w:val="3E740D23"/>
    <w:rsid w:val="3EB2D9F9"/>
    <w:rsid w:val="3ECAB36A"/>
    <w:rsid w:val="3EE54A33"/>
    <w:rsid w:val="3F0413D8"/>
    <w:rsid w:val="3F11C115"/>
    <w:rsid w:val="3F34887F"/>
    <w:rsid w:val="3F8A1A43"/>
    <w:rsid w:val="3F91A56F"/>
    <w:rsid w:val="3FBCF6F0"/>
    <w:rsid w:val="3FC48D1A"/>
    <w:rsid w:val="3FE80A06"/>
    <w:rsid w:val="400E3F61"/>
    <w:rsid w:val="404A1E6E"/>
    <w:rsid w:val="4098FCB9"/>
    <w:rsid w:val="40D05C1A"/>
    <w:rsid w:val="4141E641"/>
    <w:rsid w:val="4165E28E"/>
    <w:rsid w:val="41C65F93"/>
    <w:rsid w:val="421D20A4"/>
    <w:rsid w:val="42446194"/>
    <w:rsid w:val="42DD982C"/>
    <w:rsid w:val="4332F5DC"/>
    <w:rsid w:val="43786E19"/>
    <w:rsid w:val="43A0049B"/>
    <w:rsid w:val="43A37188"/>
    <w:rsid w:val="43A9D2FE"/>
    <w:rsid w:val="441D755A"/>
    <w:rsid w:val="44580613"/>
    <w:rsid w:val="447F2E1C"/>
    <w:rsid w:val="44DF60F2"/>
    <w:rsid w:val="45173C95"/>
    <w:rsid w:val="457231F1"/>
    <w:rsid w:val="458DD63D"/>
    <w:rsid w:val="4614AA0F"/>
    <w:rsid w:val="462CEF18"/>
    <w:rsid w:val="466062DF"/>
    <w:rsid w:val="466E6A3B"/>
    <w:rsid w:val="467D92DF"/>
    <w:rsid w:val="4693D2C8"/>
    <w:rsid w:val="46C8B85D"/>
    <w:rsid w:val="46D02E6F"/>
    <w:rsid w:val="46D6A65D"/>
    <w:rsid w:val="46F8B78D"/>
    <w:rsid w:val="4706B7F3"/>
    <w:rsid w:val="47E5A05E"/>
    <w:rsid w:val="47FD80C8"/>
    <w:rsid w:val="4838651F"/>
    <w:rsid w:val="4857F459"/>
    <w:rsid w:val="48C74455"/>
    <w:rsid w:val="48F3CE75"/>
    <w:rsid w:val="497F450C"/>
    <w:rsid w:val="49830F78"/>
    <w:rsid w:val="4992FBBA"/>
    <w:rsid w:val="49D7D683"/>
    <w:rsid w:val="4A0DAD3A"/>
    <w:rsid w:val="4A369B0A"/>
    <w:rsid w:val="4A6F4478"/>
    <w:rsid w:val="4AA5E8D8"/>
    <w:rsid w:val="4B262EED"/>
    <w:rsid w:val="4B4F8271"/>
    <w:rsid w:val="4B587D49"/>
    <w:rsid w:val="4B8DA156"/>
    <w:rsid w:val="4BC11B8C"/>
    <w:rsid w:val="4BF61D2C"/>
    <w:rsid w:val="4C43FCC5"/>
    <w:rsid w:val="4C51EB79"/>
    <w:rsid w:val="4C55F807"/>
    <w:rsid w:val="4D2B5BB8"/>
    <w:rsid w:val="4D7E4D41"/>
    <w:rsid w:val="4D970572"/>
    <w:rsid w:val="4DBE2E27"/>
    <w:rsid w:val="4DC01227"/>
    <w:rsid w:val="4DF697A3"/>
    <w:rsid w:val="4E6C5552"/>
    <w:rsid w:val="4E8378FC"/>
    <w:rsid w:val="4EACBDBF"/>
    <w:rsid w:val="4ED6B62C"/>
    <w:rsid w:val="4F6D680A"/>
    <w:rsid w:val="4F72458E"/>
    <w:rsid w:val="4FA0EFB5"/>
    <w:rsid w:val="5059B705"/>
    <w:rsid w:val="50679338"/>
    <w:rsid w:val="50C0A0B1"/>
    <w:rsid w:val="50E80AFF"/>
    <w:rsid w:val="51121AE9"/>
    <w:rsid w:val="511269BA"/>
    <w:rsid w:val="517BDACD"/>
    <w:rsid w:val="522D090F"/>
    <w:rsid w:val="5242637E"/>
    <w:rsid w:val="525FA5F4"/>
    <w:rsid w:val="530E1111"/>
    <w:rsid w:val="53473409"/>
    <w:rsid w:val="5362222F"/>
    <w:rsid w:val="53BFC221"/>
    <w:rsid w:val="53E8B722"/>
    <w:rsid w:val="53ED4CC1"/>
    <w:rsid w:val="5414DE40"/>
    <w:rsid w:val="5438DBA5"/>
    <w:rsid w:val="543ABDCA"/>
    <w:rsid w:val="546DB46E"/>
    <w:rsid w:val="546FD487"/>
    <w:rsid w:val="552E7165"/>
    <w:rsid w:val="55BDDA02"/>
    <w:rsid w:val="55D1119E"/>
    <w:rsid w:val="55E1F02D"/>
    <w:rsid w:val="55EFCCA9"/>
    <w:rsid w:val="55FA7EB9"/>
    <w:rsid w:val="5610ED22"/>
    <w:rsid w:val="5631D8D0"/>
    <w:rsid w:val="5664CD80"/>
    <w:rsid w:val="56BB22CC"/>
    <w:rsid w:val="56F7CC71"/>
    <w:rsid w:val="5730B077"/>
    <w:rsid w:val="57327DA8"/>
    <w:rsid w:val="57636D8E"/>
    <w:rsid w:val="578ACB32"/>
    <w:rsid w:val="57954DCD"/>
    <w:rsid w:val="58633432"/>
    <w:rsid w:val="58BA36C8"/>
    <w:rsid w:val="58F41D0B"/>
    <w:rsid w:val="59123895"/>
    <w:rsid w:val="59820296"/>
    <w:rsid w:val="59976BC5"/>
    <w:rsid w:val="59A1D9D7"/>
    <w:rsid w:val="59B227E3"/>
    <w:rsid w:val="59BCAF7C"/>
    <w:rsid w:val="59DB8737"/>
    <w:rsid w:val="5A2A0F94"/>
    <w:rsid w:val="5A2B65EB"/>
    <w:rsid w:val="5A3A6B78"/>
    <w:rsid w:val="5A6E12B5"/>
    <w:rsid w:val="5A7436EC"/>
    <w:rsid w:val="5AB9309D"/>
    <w:rsid w:val="5AFC82F6"/>
    <w:rsid w:val="5B08A3F2"/>
    <w:rsid w:val="5B1FB7D2"/>
    <w:rsid w:val="5B3FDFDF"/>
    <w:rsid w:val="5B408714"/>
    <w:rsid w:val="5B9EE4FF"/>
    <w:rsid w:val="5BAB1A33"/>
    <w:rsid w:val="5BE6845F"/>
    <w:rsid w:val="5BECF17B"/>
    <w:rsid w:val="5BF8D7CF"/>
    <w:rsid w:val="5C0D9327"/>
    <w:rsid w:val="5C482BBF"/>
    <w:rsid w:val="5C4D9AA8"/>
    <w:rsid w:val="5C9341CF"/>
    <w:rsid w:val="5CB557C7"/>
    <w:rsid w:val="5CB970E1"/>
    <w:rsid w:val="5CBC0750"/>
    <w:rsid w:val="5CC789CC"/>
    <w:rsid w:val="5D3181D8"/>
    <w:rsid w:val="5D39D30A"/>
    <w:rsid w:val="5D3CDA81"/>
    <w:rsid w:val="5D5789A9"/>
    <w:rsid w:val="5D58814F"/>
    <w:rsid w:val="5D7D9B09"/>
    <w:rsid w:val="5D9C3461"/>
    <w:rsid w:val="5DBBE260"/>
    <w:rsid w:val="5DDDF4B9"/>
    <w:rsid w:val="5DEC03A5"/>
    <w:rsid w:val="5DFE0FD1"/>
    <w:rsid w:val="5E84A567"/>
    <w:rsid w:val="5E93579F"/>
    <w:rsid w:val="5EB6E50A"/>
    <w:rsid w:val="5ED6FA32"/>
    <w:rsid w:val="5EDFC0B1"/>
    <w:rsid w:val="5F188265"/>
    <w:rsid w:val="5F976FEF"/>
    <w:rsid w:val="5FAB23D7"/>
    <w:rsid w:val="5FB95A77"/>
    <w:rsid w:val="60050F01"/>
    <w:rsid w:val="601D6D15"/>
    <w:rsid w:val="60216924"/>
    <w:rsid w:val="602E3ECC"/>
    <w:rsid w:val="604BFBA3"/>
    <w:rsid w:val="607DBF21"/>
    <w:rsid w:val="608A3782"/>
    <w:rsid w:val="6096BF02"/>
    <w:rsid w:val="60F716BB"/>
    <w:rsid w:val="612CD2FC"/>
    <w:rsid w:val="612F045A"/>
    <w:rsid w:val="615ABA7E"/>
    <w:rsid w:val="615DC94D"/>
    <w:rsid w:val="619BA937"/>
    <w:rsid w:val="61AD4177"/>
    <w:rsid w:val="61BA1AEC"/>
    <w:rsid w:val="61C20286"/>
    <w:rsid w:val="621666D2"/>
    <w:rsid w:val="62167995"/>
    <w:rsid w:val="628CE175"/>
    <w:rsid w:val="636AB1D0"/>
    <w:rsid w:val="63BD328A"/>
    <w:rsid w:val="643EFE20"/>
    <w:rsid w:val="6453352A"/>
    <w:rsid w:val="64683F95"/>
    <w:rsid w:val="649F14AF"/>
    <w:rsid w:val="64A5BC69"/>
    <w:rsid w:val="6528494D"/>
    <w:rsid w:val="658494BC"/>
    <w:rsid w:val="65DA256E"/>
    <w:rsid w:val="661B5C38"/>
    <w:rsid w:val="664B4A99"/>
    <w:rsid w:val="6682C9D0"/>
    <w:rsid w:val="66DD2D3D"/>
    <w:rsid w:val="671C30ED"/>
    <w:rsid w:val="6742E085"/>
    <w:rsid w:val="6773CDA9"/>
    <w:rsid w:val="67C750AB"/>
    <w:rsid w:val="67E1657E"/>
    <w:rsid w:val="6821D4EB"/>
    <w:rsid w:val="6843B797"/>
    <w:rsid w:val="689DDAAB"/>
    <w:rsid w:val="68D1B6DB"/>
    <w:rsid w:val="68D2B3F9"/>
    <w:rsid w:val="69257082"/>
    <w:rsid w:val="692985F1"/>
    <w:rsid w:val="69350805"/>
    <w:rsid w:val="69438758"/>
    <w:rsid w:val="69A4FAE3"/>
    <w:rsid w:val="69A7EFBF"/>
    <w:rsid w:val="6A9787C0"/>
    <w:rsid w:val="6A9B8748"/>
    <w:rsid w:val="6AD8B8F8"/>
    <w:rsid w:val="6B048CA6"/>
    <w:rsid w:val="6B23619A"/>
    <w:rsid w:val="6B90DA3F"/>
    <w:rsid w:val="6BAACDBA"/>
    <w:rsid w:val="6BF1776F"/>
    <w:rsid w:val="6C4C74CE"/>
    <w:rsid w:val="6C73BD1A"/>
    <w:rsid w:val="6CEABFDE"/>
    <w:rsid w:val="6D11C1C1"/>
    <w:rsid w:val="6D45EF14"/>
    <w:rsid w:val="6E741F8C"/>
    <w:rsid w:val="6E914CB6"/>
    <w:rsid w:val="6EA668B1"/>
    <w:rsid w:val="6EC507DD"/>
    <w:rsid w:val="6EF5D07F"/>
    <w:rsid w:val="6F1E25AE"/>
    <w:rsid w:val="6F3FD80F"/>
    <w:rsid w:val="6F64E5B5"/>
    <w:rsid w:val="6FA9A1F6"/>
    <w:rsid w:val="700113EA"/>
    <w:rsid w:val="7085F55F"/>
    <w:rsid w:val="70927DB8"/>
    <w:rsid w:val="7093CE56"/>
    <w:rsid w:val="709B8BC6"/>
    <w:rsid w:val="70C31787"/>
    <w:rsid w:val="70E37914"/>
    <w:rsid w:val="714C76E8"/>
    <w:rsid w:val="71692985"/>
    <w:rsid w:val="71708B2D"/>
    <w:rsid w:val="71857DB6"/>
    <w:rsid w:val="719856BC"/>
    <w:rsid w:val="723DC62C"/>
    <w:rsid w:val="7263838A"/>
    <w:rsid w:val="729B1A66"/>
    <w:rsid w:val="72F3E9C7"/>
    <w:rsid w:val="7332ED95"/>
    <w:rsid w:val="7344C05F"/>
    <w:rsid w:val="734900E3"/>
    <w:rsid w:val="734A21EC"/>
    <w:rsid w:val="73731F27"/>
    <w:rsid w:val="738C7B71"/>
    <w:rsid w:val="73B857C6"/>
    <w:rsid w:val="74297DA7"/>
    <w:rsid w:val="7447520C"/>
    <w:rsid w:val="745BD2D2"/>
    <w:rsid w:val="74863ECD"/>
    <w:rsid w:val="74C33E6A"/>
    <w:rsid w:val="751209CF"/>
    <w:rsid w:val="7512B7B6"/>
    <w:rsid w:val="7545040C"/>
    <w:rsid w:val="7547AF06"/>
    <w:rsid w:val="75B4ADD0"/>
    <w:rsid w:val="75DA1BA8"/>
    <w:rsid w:val="75E1FDC1"/>
    <w:rsid w:val="75E75C99"/>
    <w:rsid w:val="7610D0BC"/>
    <w:rsid w:val="76147268"/>
    <w:rsid w:val="761750C5"/>
    <w:rsid w:val="762999B0"/>
    <w:rsid w:val="763C6A70"/>
    <w:rsid w:val="76BA819B"/>
    <w:rsid w:val="76C358B9"/>
    <w:rsid w:val="77DF8854"/>
    <w:rsid w:val="77FDDDDC"/>
    <w:rsid w:val="78093BB1"/>
    <w:rsid w:val="7829EC4B"/>
    <w:rsid w:val="783AABC1"/>
    <w:rsid w:val="7864FBFD"/>
    <w:rsid w:val="78652014"/>
    <w:rsid w:val="787D9180"/>
    <w:rsid w:val="78B3E9D8"/>
    <w:rsid w:val="78CC59E0"/>
    <w:rsid w:val="790D1E71"/>
    <w:rsid w:val="790E68EF"/>
    <w:rsid w:val="79262CC6"/>
    <w:rsid w:val="79A540C8"/>
    <w:rsid w:val="79B4C8E8"/>
    <w:rsid w:val="7A0C491E"/>
    <w:rsid w:val="7A7113E6"/>
    <w:rsid w:val="7AA16918"/>
    <w:rsid w:val="7AD89AF5"/>
    <w:rsid w:val="7B0707CD"/>
    <w:rsid w:val="7B26AD5F"/>
    <w:rsid w:val="7B396B65"/>
    <w:rsid w:val="7BBC1975"/>
    <w:rsid w:val="7BD6A311"/>
    <w:rsid w:val="7C208796"/>
    <w:rsid w:val="7C252B8D"/>
    <w:rsid w:val="7DB91294"/>
    <w:rsid w:val="7DE67E47"/>
    <w:rsid w:val="7DF06E0B"/>
    <w:rsid w:val="7DF0B983"/>
    <w:rsid w:val="7E317E2E"/>
    <w:rsid w:val="7E41E0A6"/>
    <w:rsid w:val="7EA26BE8"/>
    <w:rsid w:val="7EBEFF68"/>
    <w:rsid w:val="7F358760"/>
    <w:rsid w:val="7FAD7CC2"/>
    <w:rsid w:val="7FE876B1"/>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6674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18"/>
        <w:szCs w:val="18"/>
        <w:lang w:val="en-GB" w:eastAsia="en-US" w:bidi="ar-SA"/>
      </w:rPr>
    </w:rPrDefault>
    <w:pPrDefault>
      <w:pPr>
        <w:spacing w:line="240" w:lineRule="atLeast"/>
      </w:pPr>
    </w:pPrDefault>
  </w:docDefaults>
  <w:latentStyles w:defLockedState="0" w:defUIPriority="99" w:defSemiHidden="0" w:defUnhideWhenUsed="0" w:defQFormat="0" w:count="371">
    <w:lsdException w:name="Normal" w:uiPriority="0"/>
    <w:lsdException w:name="heading 1" w:uiPriority="1" w:qFormat="1"/>
    <w:lsdException w:name="heading 2" w:uiPriority="1" w:qFormat="1"/>
    <w:lsdException w:name="heading 3" w:semiHidden="1" w:uiPriority="1" w:qFormat="1"/>
    <w:lsdException w:name="heading 4" w:uiPriority="1" w:qFormat="1"/>
    <w:lsdException w:name="heading 5" w:semiHidden="1" w:uiPriority="1" w:qFormat="1"/>
    <w:lsdException w:name="heading 6" w:semiHidden="1" w:uiPriority="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iPriority="10" w:unhideWhenUsed="1"/>
    <w:lsdException w:name="footer" w:unhideWhenUsed="1" w:qFormat="1"/>
    <w:lsdException w:name="index heading" w:semiHidden="1" w:unhideWhenUsed="1"/>
    <w:lsdException w:name="caption" w:uiPriority="3"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semiHidden="1" w:uiPriority="1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unhideWhenUsed="1"/>
    <w:lsdException w:name="List Number" w:uiPriority="3"/>
    <w:lsdException w:name="List 2" w:semiHidden="1" w:unhideWhenUsed="1"/>
    <w:lsdException w:name="List 3" w:semiHidden="1" w:unhideWhenUsed="1"/>
    <w:lsdException w:name="List 4" w:semiHidden="1"/>
    <w:lsdException w:name="List 5" w:semiHidden="1"/>
    <w:lsdException w:name="List Bullet 2" w:uiPriority="3" w:unhideWhenUsed="1" w:qFormat="1"/>
    <w:lsdException w:name="List Bullet 3" w:semiHidden="1" w:uiPriority="3" w:unhideWhenUsed="1"/>
    <w:lsdException w:name="List Bullet 4" w:semiHidden="1" w:unhideWhenUsed="1"/>
    <w:lsdException w:name="List Bullet 5" w:semiHidden="1" w:unhideWhenUsed="1"/>
    <w:lsdException w:name="List Number 2" w:uiPriority="3"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D677D"/>
    <w:pPr>
      <w:spacing w:after="170"/>
    </w:pPr>
    <w:rPr>
      <w:lang w:val="en-AU"/>
    </w:rPr>
  </w:style>
  <w:style w:type="paragraph" w:styleId="Heading1">
    <w:name w:val="heading 1"/>
    <w:basedOn w:val="Normal"/>
    <w:next w:val="Normal"/>
    <w:link w:val="Heading1Char"/>
    <w:uiPriority w:val="1"/>
    <w:qFormat/>
    <w:rsid w:val="0027287B"/>
    <w:pPr>
      <w:keepNext/>
      <w:keepLines/>
      <w:pageBreakBefore/>
      <w:numPr>
        <w:numId w:val="3"/>
      </w:numPr>
      <w:spacing w:after="600" w:line="240" w:lineRule="auto"/>
      <w:ind w:right="83"/>
      <w:contextualSpacing/>
      <w:outlineLvl w:val="0"/>
    </w:pPr>
    <w:rPr>
      <w:rFonts w:ascii="Calibri Light" w:eastAsiaTheme="majorEastAsia" w:hAnsi="Calibri Light" w:cs="Calibri Light"/>
      <w:bCs/>
      <w:sz w:val="52"/>
      <w:szCs w:val="22"/>
    </w:rPr>
  </w:style>
  <w:style w:type="paragraph" w:styleId="Heading2">
    <w:name w:val="heading 2"/>
    <w:basedOn w:val="Normal"/>
    <w:next w:val="Normal"/>
    <w:link w:val="Heading2Char"/>
    <w:uiPriority w:val="1"/>
    <w:qFormat/>
    <w:rsid w:val="00AE2D6E"/>
    <w:pPr>
      <w:keepNext/>
      <w:keepLines/>
      <w:numPr>
        <w:ilvl w:val="1"/>
        <w:numId w:val="3"/>
      </w:numPr>
      <w:spacing w:after="120"/>
      <w:contextualSpacing/>
      <w:outlineLvl w:val="1"/>
    </w:pPr>
    <w:rPr>
      <w:rFonts w:ascii="Calibri" w:eastAsiaTheme="majorEastAsia" w:hAnsi="Calibri" w:cs="Calibri"/>
      <w:b/>
      <w:bCs/>
      <w:color w:val="007680"/>
      <w:sz w:val="24"/>
      <w:szCs w:val="24"/>
    </w:rPr>
  </w:style>
  <w:style w:type="paragraph" w:styleId="Heading3">
    <w:name w:val="heading 3"/>
    <w:basedOn w:val="Normal"/>
    <w:next w:val="Normal"/>
    <w:link w:val="Heading3Char"/>
    <w:uiPriority w:val="1"/>
    <w:qFormat/>
    <w:rsid w:val="00784E0E"/>
    <w:pPr>
      <w:keepNext/>
      <w:keepLines/>
      <w:numPr>
        <w:ilvl w:val="2"/>
        <w:numId w:val="3"/>
      </w:numPr>
      <w:spacing w:before="120" w:after="120"/>
      <w:outlineLvl w:val="2"/>
    </w:pPr>
    <w:rPr>
      <w:rFonts w:ascii="Calibri" w:eastAsiaTheme="majorEastAsia" w:hAnsi="Calibri" w:cs="Calibri"/>
      <w:b/>
      <w:bCs/>
      <w:color w:val="00ABAB"/>
      <w:sz w:val="22"/>
      <w:szCs w:val="32"/>
    </w:rPr>
  </w:style>
  <w:style w:type="paragraph" w:styleId="Heading4">
    <w:name w:val="heading 4"/>
    <w:basedOn w:val="Normal"/>
    <w:next w:val="Normal"/>
    <w:link w:val="Heading4Char"/>
    <w:uiPriority w:val="1"/>
    <w:qFormat/>
    <w:rsid w:val="00BA4D90"/>
    <w:pPr>
      <w:keepNext/>
      <w:keepLines/>
      <w:numPr>
        <w:ilvl w:val="3"/>
        <w:numId w:val="3"/>
      </w:numPr>
      <w:tabs>
        <w:tab w:val="left" w:pos="340"/>
      </w:tabs>
      <w:spacing w:before="120" w:after="120"/>
      <w:outlineLvl w:val="3"/>
    </w:pPr>
    <w:rPr>
      <w:rFonts w:ascii="Calibri" w:eastAsiaTheme="majorEastAsia" w:hAnsi="Calibri" w:cs="Calibri"/>
      <w:b/>
      <w:bCs/>
      <w:iCs/>
      <w:color w:val="6FC2B4"/>
      <w:sz w:val="20"/>
      <w:szCs w:val="24"/>
    </w:rPr>
  </w:style>
  <w:style w:type="paragraph" w:styleId="Heading5">
    <w:name w:val="heading 5"/>
    <w:basedOn w:val="Normal"/>
    <w:next w:val="Normal"/>
    <w:link w:val="Heading5Char"/>
    <w:uiPriority w:val="1"/>
    <w:qFormat/>
    <w:rsid w:val="007967E2"/>
    <w:pPr>
      <w:keepNext/>
      <w:keepLines/>
      <w:numPr>
        <w:ilvl w:val="4"/>
        <w:numId w:val="3"/>
      </w:numPr>
      <w:spacing w:after="0"/>
      <w:outlineLvl w:val="4"/>
    </w:pPr>
    <w:rPr>
      <w:rFonts w:ascii="Calibri" w:eastAsiaTheme="majorEastAsia" w:hAnsi="Calibri" w:cstheme="majorBidi"/>
      <w:b/>
      <w:color w:val="6FC2B4"/>
      <w:sz w:val="19"/>
    </w:rPr>
  </w:style>
  <w:style w:type="paragraph" w:styleId="Heading6">
    <w:name w:val="heading 6"/>
    <w:basedOn w:val="Normal"/>
    <w:next w:val="Normal"/>
    <w:link w:val="Heading6Char"/>
    <w:uiPriority w:val="1"/>
    <w:semiHidden/>
    <w:qFormat/>
    <w:rsid w:val="00F9113D"/>
    <w:pPr>
      <w:keepNext/>
      <w:keepLines/>
      <w:numPr>
        <w:ilvl w:val="5"/>
        <w:numId w:val="3"/>
      </w:numPr>
      <w:spacing w:after="0"/>
      <w:outlineLvl w:val="5"/>
    </w:pPr>
    <w:rPr>
      <w:rFonts w:eastAsiaTheme="majorEastAsia" w:cstheme="majorBidi"/>
      <w:b/>
      <w:iCs/>
    </w:rPr>
  </w:style>
  <w:style w:type="paragraph" w:styleId="Heading7">
    <w:name w:val="heading 7"/>
    <w:basedOn w:val="Normal"/>
    <w:next w:val="Normal"/>
    <w:link w:val="Heading7Char"/>
    <w:uiPriority w:val="1"/>
    <w:semiHidden/>
    <w:qFormat/>
    <w:rsid w:val="00F9113D"/>
    <w:pPr>
      <w:keepNext/>
      <w:keepLines/>
      <w:spacing w:after="0"/>
      <w:outlineLvl w:val="6"/>
    </w:pPr>
    <w:rPr>
      <w:rFonts w:eastAsiaTheme="majorEastAsia" w:cstheme="majorBidi"/>
      <w:b/>
      <w:iCs/>
    </w:rPr>
  </w:style>
  <w:style w:type="paragraph" w:styleId="Heading8">
    <w:name w:val="heading 8"/>
    <w:basedOn w:val="Normal"/>
    <w:next w:val="Normal"/>
    <w:link w:val="Heading8Char"/>
    <w:uiPriority w:val="1"/>
    <w:semiHidden/>
    <w:qFormat/>
    <w:rsid w:val="00F9113D"/>
    <w:pPr>
      <w:keepNext/>
      <w:keepLines/>
      <w:spacing w:after="0"/>
      <w:outlineLvl w:val="7"/>
    </w:pPr>
    <w:rPr>
      <w:rFonts w:eastAsiaTheme="majorEastAsia" w:cstheme="majorBidi"/>
      <w:b/>
      <w:szCs w:val="20"/>
    </w:rPr>
  </w:style>
  <w:style w:type="paragraph" w:styleId="Heading9">
    <w:name w:val="heading 9"/>
    <w:basedOn w:val="Normal"/>
    <w:next w:val="Normal"/>
    <w:link w:val="Heading9Char"/>
    <w:uiPriority w:val="1"/>
    <w:semiHidden/>
    <w:qFormat/>
    <w:rsid w:val="00F9113D"/>
    <w:pPr>
      <w:keepNext/>
      <w:keepLines/>
      <w:spacing w:after="0"/>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7287B"/>
    <w:rPr>
      <w:rFonts w:ascii="Calibri Light" w:eastAsiaTheme="majorEastAsia" w:hAnsi="Calibri Light" w:cs="Calibri Light"/>
      <w:bCs/>
      <w:sz w:val="52"/>
      <w:szCs w:val="22"/>
      <w:lang w:val="en-AU"/>
    </w:rPr>
  </w:style>
  <w:style w:type="character" w:customStyle="1" w:styleId="Heading2Char">
    <w:name w:val="Heading 2 Char"/>
    <w:basedOn w:val="DefaultParagraphFont"/>
    <w:link w:val="Heading2"/>
    <w:uiPriority w:val="1"/>
    <w:rsid w:val="00AE2D6E"/>
    <w:rPr>
      <w:rFonts w:ascii="Calibri" w:eastAsiaTheme="majorEastAsia" w:hAnsi="Calibri" w:cs="Calibri"/>
      <w:b/>
      <w:bCs/>
      <w:color w:val="007680"/>
      <w:sz w:val="24"/>
      <w:szCs w:val="24"/>
      <w:lang w:val="en-AU"/>
    </w:rPr>
  </w:style>
  <w:style w:type="table" w:styleId="TableGrid">
    <w:name w:val="Table Grid"/>
    <w:aliases w:val="Table Gray"/>
    <w:basedOn w:val="TableNormal"/>
    <w:uiPriority w:val="59"/>
    <w:rsid w:val="00D93FF0"/>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styleId="Header">
    <w:name w:val="header"/>
    <w:link w:val="HeaderChar"/>
    <w:uiPriority w:val="10"/>
    <w:semiHidden/>
    <w:rsid w:val="000116B0"/>
    <w:pPr>
      <w:tabs>
        <w:tab w:val="center" w:pos="4513"/>
        <w:tab w:val="right" w:pos="9026"/>
      </w:tabs>
      <w:spacing w:line="240" w:lineRule="auto"/>
    </w:pPr>
    <w:rPr>
      <w:sz w:val="14"/>
      <w:lang w:val="en-AU"/>
    </w:rPr>
  </w:style>
  <w:style w:type="character" w:customStyle="1" w:styleId="HeaderChar">
    <w:name w:val="Header Char"/>
    <w:basedOn w:val="DefaultParagraphFont"/>
    <w:link w:val="Header"/>
    <w:uiPriority w:val="10"/>
    <w:semiHidden/>
    <w:rsid w:val="000116B0"/>
    <w:rPr>
      <w:sz w:val="14"/>
      <w:lang w:val="en-AU"/>
    </w:rPr>
  </w:style>
  <w:style w:type="paragraph" w:styleId="Footer">
    <w:name w:val="footer"/>
    <w:basedOn w:val="Normal"/>
    <w:link w:val="FooterChar"/>
    <w:uiPriority w:val="99"/>
    <w:qFormat/>
    <w:rsid w:val="00F9113D"/>
    <w:pPr>
      <w:tabs>
        <w:tab w:val="right" w:pos="7371"/>
      </w:tabs>
      <w:spacing w:after="0" w:line="200" w:lineRule="atLeast"/>
    </w:pPr>
    <w:rPr>
      <w:sz w:val="16"/>
    </w:rPr>
  </w:style>
  <w:style w:type="character" w:customStyle="1" w:styleId="FooterChar">
    <w:name w:val="Footer Char"/>
    <w:basedOn w:val="DefaultParagraphFont"/>
    <w:link w:val="Footer"/>
    <w:uiPriority w:val="99"/>
    <w:rsid w:val="00F9113D"/>
    <w:rPr>
      <w:sz w:val="16"/>
      <w:lang w:val="en-AU"/>
    </w:rPr>
  </w:style>
  <w:style w:type="paragraph" w:styleId="BalloonText">
    <w:name w:val="Balloon Text"/>
    <w:basedOn w:val="Normal"/>
    <w:link w:val="BalloonTextChar"/>
    <w:uiPriority w:val="99"/>
    <w:semiHidden/>
    <w:rsid w:val="00F911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113D"/>
    <w:rPr>
      <w:rFonts w:ascii="Tahoma" w:hAnsi="Tahoma" w:cs="Tahoma"/>
      <w:sz w:val="16"/>
      <w:szCs w:val="16"/>
      <w:lang w:val="en-AU"/>
    </w:rPr>
  </w:style>
  <w:style w:type="paragraph" w:customStyle="1" w:styleId="Subject">
    <w:name w:val="Subject"/>
    <w:basedOn w:val="Normal"/>
    <w:uiPriority w:val="6"/>
    <w:semiHidden/>
    <w:qFormat/>
    <w:rsid w:val="00F9113D"/>
    <w:pPr>
      <w:spacing w:after="0"/>
    </w:pPr>
    <w:rPr>
      <w:b/>
    </w:rPr>
  </w:style>
  <w:style w:type="character" w:styleId="PlaceholderText">
    <w:name w:val="Placeholder Text"/>
    <w:basedOn w:val="DefaultParagraphFont"/>
    <w:uiPriority w:val="99"/>
    <w:semiHidden/>
    <w:rsid w:val="00F9113D"/>
    <w:rPr>
      <w:color w:val="808080"/>
      <w:lang w:val="en-AU"/>
    </w:rPr>
  </w:style>
  <w:style w:type="paragraph" w:styleId="ListBullet">
    <w:name w:val="List Bullet"/>
    <w:basedOn w:val="Normal"/>
    <w:uiPriority w:val="3"/>
    <w:rsid w:val="002649F5"/>
    <w:pPr>
      <w:numPr>
        <w:numId w:val="13"/>
      </w:numPr>
      <w:spacing w:after="0"/>
      <w:contextualSpacing/>
    </w:pPr>
    <w:rPr>
      <w:szCs w:val="17"/>
    </w:rPr>
  </w:style>
  <w:style w:type="paragraph" w:styleId="ListBullet2">
    <w:name w:val="List Bullet 2"/>
    <w:basedOn w:val="Normal"/>
    <w:uiPriority w:val="3"/>
    <w:rsid w:val="002649F5"/>
    <w:pPr>
      <w:numPr>
        <w:ilvl w:val="1"/>
        <w:numId w:val="13"/>
      </w:numPr>
      <w:spacing w:after="0"/>
      <w:contextualSpacing/>
    </w:pPr>
    <w:rPr>
      <w:szCs w:val="17"/>
    </w:rPr>
  </w:style>
  <w:style w:type="paragraph" w:styleId="ListNumber">
    <w:name w:val="List Number"/>
    <w:basedOn w:val="Normal"/>
    <w:uiPriority w:val="3"/>
    <w:rsid w:val="002649F5"/>
    <w:pPr>
      <w:numPr>
        <w:numId w:val="14"/>
      </w:numPr>
      <w:spacing w:after="0"/>
      <w:contextualSpacing/>
    </w:pPr>
    <w:rPr>
      <w:szCs w:val="17"/>
    </w:rPr>
  </w:style>
  <w:style w:type="paragraph" w:styleId="ListNumber2">
    <w:name w:val="List Number 2"/>
    <w:basedOn w:val="Normal"/>
    <w:uiPriority w:val="3"/>
    <w:rsid w:val="002649F5"/>
    <w:pPr>
      <w:numPr>
        <w:ilvl w:val="1"/>
        <w:numId w:val="14"/>
      </w:numPr>
      <w:spacing w:after="0"/>
      <w:contextualSpacing/>
    </w:pPr>
  </w:style>
  <w:style w:type="character" w:customStyle="1" w:styleId="Heading3Char">
    <w:name w:val="Heading 3 Char"/>
    <w:basedOn w:val="DefaultParagraphFont"/>
    <w:link w:val="Heading3"/>
    <w:uiPriority w:val="1"/>
    <w:rsid w:val="00784E0E"/>
    <w:rPr>
      <w:rFonts w:ascii="Calibri" w:eastAsiaTheme="majorEastAsia" w:hAnsi="Calibri" w:cs="Calibri"/>
      <w:b/>
      <w:bCs/>
      <w:color w:val="00ABAB"/>
      <w:sz w:val="22"/>
      <w:szCs w:val="32"/>
      <w:lang w:val="en-AU"/>
    </w:rPr>
  </w:style>
  <w:style w:type="character" w:customStyle="1" w:styleId="Heading4Char">
    <w:name w:val="Heading 4 Char"/>
    <w:basedOn w:val="DefaultParagraphFont"/>
    <w:link w:val="Heading4"/>
    <w:uiPriority w:val="1"/>
    <w:rsid w:val="00BA4D90"/>
    <w:rPr>
      <w:rFonts w:ascii="Calibri" w:eastAsiaTheme="majorEastAsia" w:hAnsi="Calibri" w:cs="Calibri"/>
      <w:b/>
      <w:bCs/>
      <w:iCs/>
      <w:color w:val="6FC2B4"/>
      <w:sz w:val="20"/>
      <w:szCs w:val="24"/>
      <w:lang w:val="en-AU"/>
    </w:rPr>
  </w:style>
  <w:style w:type="paragraph" w:styleId="FootnoteText">
    <w:name w:val="footnote text"/>
    <w:basedOn w:val="Normal"/>
    <w:link w:val="FootnoteTextChar"/>
    <w:uiPriority w:val="99"/>
    <w:qFormat/>
    <w:rsid w:val="00815FC2"/>
    <w:pPr>
      <w:spacing w:after="0" w:line="240" w:lineRule="auto"/>
    </w:pPr>
    <w:rPr>
      <w:rFonts w:ascii="Calibri Light" w:hAnsi="Calibri Light" w:cs="Calibri Light"/>
      <w:sz w:val="16"/>
      <w:szCs w:val="20"/>
    </w:rPr>
  </w:style>
  <w:style w:type="character" w:customStyle="1" w:styleId="FootnoteTextChar">
    <w:name w:val="Footnote Text Char"/>
    <w:basedOn w:val="DefaultParagraphFont"/>
    <w:link w:val="FootnoteText"/>
    <w:uiPriority w:val="99"/>
    <w:rsid w:val="00815FC2"/>
    <w:rPr>
      <w:rFonts w:ascii="Calibri Light" w:hAnsi="Calibri Light" w:cs="Calibri Light"/>
      <w:sz w:val="16"/>
      <w:szCs w:val="20"/>
      <w:lang w:val="en-AU"/>
    </w:rPr>
  </w:style>
  <w:style w:type="paragraph" w:customStyle="1" w:styleId="Documenttitle">
    <w:name w:val="Document title"/>
    <w:next w:val="Documentsubtitle"/>
    <w:uiPriority w:val="7"/>
    <w:rsid w:val="00EA4B90"/>
    <w:pPr>
      <w:spacing w:line="440" w:lineRule="atLeast"/>
    </w:pPr>
    <w:rPr>
      <w:rFonts w:eastAsiaTheme="majorEastAsia" w:cstheme="majorBidi"/>
      <w:b/>
      <w:bCs/>
      <w:color w:val="000000" w:themeColor="text1"/>
      <w:sz w:val="36"/>
      <w:szCs w:val="28"/>
      <w:lang w:val="en-AU"/>
    </w:rPr>
  </w:style>
  <w:style w:type="paragraph" w:customStyle="1" w:styleId="Subheading">
    <w:name w:val="Subheading"/>
    <w:basedOn w:val="Normal"/>
    <w:next w:val="Normal"/>
    <w:uiPriority w:val="6"/>
    <w:semiHidden/>
    <w:qFormat/>
    <w:rsid w:val="00F9113D"/>
    <w:pPr>
      <w:spacing w:after="0"/>
    </w:pPr>
    <w:rPr>
      <w:rFonts w:eastAsiaTheme="majorEastAsia" w:cstheme="majorBidi"/>
      <w:b/>
      <w:bCs/>
      <w:iCs/>
      <w:color w:val="000000" w:themeColor="text1"/>
    </w:rPr>
  </w:style>
  <w:style w:type="character" w:styleId="FootnoteReference">
    <w:name w:val="footnote reference"/>
    <w:basedOn w:val="DefaultParagraphFont"/>
    <w:uiPriority w:val="99"/>
    <w:semiHidden/>
    <w:rsid w:val="000D677D"/>
    <w:rPr>
      <w:rFonts w:ascii="Calibri Light" w:hAnsi="Calibri Light"/>
      <w:b w:val="0"/>
      <w:i w:val="0"/>
      <w:caps w:val="0"/>
      <w:smallCaps w:val="0"/>
      <w:strike w:val="0"/>
      <w:dstrike w:val="0"/>
      <w:vanish w:val="0"/>
      <w:sz w:val="20"/>
      <w:vertAlign w:val="superscript"/>
      <w:lang w:val="en-AU"/>
    </w:rPr>
  </w:style>
  <w:style w:type="paragraph" w:customStyle="1" w:styleId="Sectionintro">
    <w:name w:val="Section intro"/>
    <w:basedOn w:val="Normal"/>
    <w:next w:val="Normal"/>
    <w:uiPriority w:val="2"/>
    <w:rsid w:val="00F9113D"/>
    <w:pPr>
      <w:spacing w:after="360" w:line="360" w:lineRule="atLeast"/>
      <w:contextualSpacing/>
    </w:pPr>
    <w:rPr>
      <w:sz w:val="28"/>
    </w:rPr>
  </w:style>
  <w:style w:type="paragraph" w:customStyle="1" w:styleId="Documentdate">
    <w:name w:val="Document date"/>
    <w:uiPriority w:val="7"/>
    <w:rsid w:val="00B34F07"/>
    <w:pPr>
      <w:spacing w:line="240" w:lineRule="auto"/>
    </w:pPr>
    <w:rPr>
      <w:rFonts w:ascii="Calibri Light" w:hAnsi="Calibri Light" w:cs="Calibri Light"/>
      <w:lang w:val="en-AU"/>
    </w:rPr>
  </w:style>
  <w:style w:type="paragraph" w:customStyle="1" w:styleId="Heading1un-numbered">
    <w:name w:val="Heading 1 (un-numbered)"/>
    <w:basedOn w:val="Normal"/>
    <w:next w:val="Normal"/>
    <w:uiPriority w:val="2"/>
    <w:rsid w:val="00E32540"/>
    <w:pPr>
      <w:keepNext/>
      <w:keepLines/>
      <w:pageBreakBefore/>
      <w:spacing w:after="480" w:line="720" w:lineRule="atLeast"/>
      <w:outlineLvl w:val="0"/>
    </w:pPr>
    <w:rPr>
      <w:rFonts w:ascii="Calibri" w:hAnsi="Calibri" w:cs="Calibri"/>
      <w:b/>
      <w:bCs/>
      <w:sz w:val="60"/>
    </w:rPr>
  </w:style>
  <w:style w:type="paragraph" w:customStyle="1" w:styleId="PulloutBlue">
    <w:name w:val="Pullout Blue"/>
    <w:basedOn w:val="Normal"/>
    <w:next w:val="Normal"/>
    <w:uiPriority w:val="6"/>
    <w:rsid w:val="00F9113D"/>
    <w:pPr>
      <w:spacing w:after="0" w:line="360" w:lineRule="atLeast"/>
    </w:pPr>
    <w:rPr>
      <w:color w:val="62B5E5" w:themeColor="accent3"/>
      <w:sz w:val="28"/>
    </w:rPr>
  </w:style>
  <w:style w:type="paragraph" w:customStyle="1" w:styleId="Contacttext">
    <w:name w:val="Contact text"/>
    <w:basedOn w:val="Normal"/>
    <w:uiPriority w:val="7"/>
    <w:semiHidden/>
    <w:rsid w:val="00F9113D"/>
    <w:pPr>
      <w:spacing w:after="0"/>
    </w:pPr>
  </w:style>
  <w:style w:type="paragraph" w:customStyle="1" w:styleId="Contactus">
    <w:name w:val="Contact us"/>
    <w:basedOn w:val="Contacttext"/>
    <w:next w:val="Contacttext"/>
    <w:uiPriority w:val="7"/>
    <w:semiHidden/>
    <w:rsid w:val="00F9113D"/>
    <w:pPr>
      <w:spacing w:after="240" w:line="340" w:lineRule="atLeast"/>
    </w:pPr>
    <w:rPr>
      <w:sz w:val="28"/>
    </w:rPr>
  </w:style>
  <w:style w:type="paragraph" w:styleId="Caption">
    <w:name w:val="caption"/>
    <w:basedOn w:val="Normal"/>
    <w:next w:val="Normal"/>
    <w:uiPriority w:val="3"/>
    <w:qFormat/>
    <w:rsid w:val="00D160FE"/>
    <w:pPr>
      <w:keepLines/>
      <w:spacing w:before="120" w:after="120"/>
    </w:pPr>
    <w:rPr>
      <w:rFonts w:ascii="Calibri" w:hAnsi="Calibri" w:cs="Calibri Light"/>
      <w:b/>
      <w:iCs/>
    </w:rPr>
  </w:style>
  <w:style w:type="character" w:styleId="Hyperlink">
    <w:name w:val="Hyperlink"/>
    <w:basedOn w:val="DefaultParagraphFont"/>
    <w:uiPriority w:val="99"/>
    <w:rsid w:val="00F9113D"/>
    <w:rPr>
      <w:color w:val="00A3E0" w:themeColor="hyperlink"/>
      <w:u w:val="single"/>
      <w:lang w:val="en-AU"/>
    </w:rPr>
  </w:style>
  <w:style w:type="paragraph" w:customStyle="1" w:styleId="PulloutGreen">
    <w:name w:val="Pullout Green"/>
    <w:basedOn w:val="PulloutBlue"/>
    <w:next w:val="Normal"/>
    <w:uiPriority w:val="6"/>
    <w:rsid w:val="00F9113D"/>
    <w:rPr>
      <w:color w:val="86BC25" w:themeColor="accent1"/>
    </w:rPr>
  </w:style>
  <w:style w:type="paragraph" w:customStyle="1" w:styleId="QuotesourceBlue">
    <w:name w:val="Quote source Blue"/>
    <w:basedOn w:val="Normal"/>
    <w:next w:val="Normal"/>
    <w:uiPriority w:val="6"/>
    <w:rsid w:val="00F9113D"/>
    <w:pPr>
      <w:spacing w:after="0" w:line="200" w:lineRule="atLeast"/>
      <w:contextualSpacing/>
    </w:pPr>
    <w:rPr>
      <w:b/>
      <w:color w:val="62B5E5" w:themeColor="accent3"/>
      <w:sz w:val="17"/>
    </w:rPr>
  </w:style>
  <w:style w:type="paragraph" w:customStyle="1" w:styleId="QuotesourceGreen">
    <w:name w:val="Quote source Green"/>
    <w:basedOn w:val="QuotesourceBlue"/>
    <w:next w:val="Normal"/>
    <w:uiPriority w:val="6"/>
    <w:rsid w:val="00F9113D"/>
    <w:rPr>
      <w:color w:val="86BC25" w:themeColor="accent1"/>
    </w:rPr>
  </w:style>
  <w:style w:type="paragraph" w:customStyle="1" w:styleId="Paneltext">
    <w:name w:val="Panel text"/>
    <w:basedOn w:val="Normal"/>
    <w:uiPriority w:val="6"/>
    <w:rsid w:val="00F9113D"/>
    <w:pPr>
      <w:spacing w:after="0"/>
    </w:pPr>
    <w:rPr>
      <w:color w:val="FFFFFF"/>
      <w:sz w:val="17"/>
    </w:rPr>
  </w:style>
  <w:style w:type="paragraph" w:customStyle="1" w:styleId="Paneltitle">
    <w:name w:val="Panel title"/>
    <w:basedOn w:val="Paneltext"/>
    <w:next w:val="Paneltext"/>
    <w:uiPriority w:val="6"/>
    <w:rsid w:val="00F9113D"/>
    <w:pPr>
      <w:spacing w:line="360" w:lineRule="atLeast"/>
    </w:pPr>
    <w:rPr>
      <w:b/>
      <w:sz w:val="28"/>
    </w:rPr>
  </w:style>
  <w:style w:type="paragraph" w:customStyle="1" w:styleId="Formoreinfocalloutwhite8512ptPullOutStyles">
    <w:name w:val="For more info call out (white 8.5/12pt) (Pull Out Styles)"/>
    <w:basedOn w:val="Normal"/>
    <w:uiPriority w:val="99"/>
    <w:semiHidden/>
    <w:rsid w:val="00F9113D"/>
    <w:pPr>
      <w:tabs>
        <w:tab w:val="left" w:pos="283"/>
        <w:tab w:val="left" w:pos="567"/>
      </w:tabs>
      <w:suppressAutoHyphens/>
      <w:autoSpaceDE w:val="0"/>
      <w:autoSpaceDN w:val="0"/>
      <w:adjustRightInd w:val="0"/>
      <w:textAlignment w:val="center"/>
    </w:pPr>
    <w:rPr>
      <w:rFonts w:ascii="OpenSans-Bold" w:hAnsi="OpenSans-Bold" w:cs="OpenSans-Bold"/>
      <w:b/>
      <w:bCs/>
      <w:color w:val="FFFFFF"/>
      <w:spacing w:val="-2"/>
      <w:sz w:val="17"/>
      <w:szCs w:val="17"/>
    </w:rPr>
  </w:style>
  <w:style w:type="paragraph" w:customStyle="1" w:styleId="Documentsubtitle">
    <w:name w:val="Document subtitle"/>
    <w:basedOn w:val="Normal"/>
    <w:uiPriority w:val="7"/>
    <w:rsid w:val="00B34F07"/>
    <w:pPr>
      <w:spacing w:after="120" w:line="440" w:lineRule="atLeast"/>
    </w:pPr>
    <w:rPr>
      <w:rFonts w:ascii="Calibri Light" w:eastAsiaTheme="majorEastAsia" w:hAnsi="Calibri Light" w:cs="Calibri Light"/>
      <w:color w:val="000000" w:themeColor="text1"/>
      <w:sz w:val="36"/>
      <w:szCs w:val="28"/>
    </w:rPr>
  </w:style>
  <w:style w:type="paragraph" w:customStyle="1" w:styleId="Contentstitle">
    <w:name w:val="Contents title"/>
    <w:basedOn w:val="Heading1un-numbered"/>
    <w:next w:val="Normal"/>
    <w:uiPriority w:val="7"/>
    <w:semiHidden/>
    <w:rsid w:val="00F9113D"/>
  </w:style>
  <w:style w:type="paragraph" w:styleId="TOC1">
    <w:name w:val="toc 1"/>
    <w:basedOn w:val="Normal"/>
    <w:next w:val="Normal"/>
    <w:uiPriority w:val="39"/>
    <w:rsid w:val="00B67924"/>
    <w:pPr>
      <w:tabs>
        <w:tab w:val="left" w:pos="567"/>
        <w:tab w:val="right" w:pos="8505"/>
      </w:tabs>
      <w:spacing w:after="120" w:line="240" w:lineRule="auto"/>
      <w:ind w:left="567" w:right="567" w:hanging="567"/>
    </w:pPr>
    <w:rPr>
      <w:rFonts w:ascii="Calibri" w:hAnsi="Calibri"/>
      <w:b/>
      <w:sz w:val="20"/>
    </w:rPr>
  </w:style>
  <w:style w:type="paragraph" w:customStyle="1" w:styleId="Quotetext">
    <w:name w:val="Quote text"/>
    <w:basedOn w:val="PulloutBlue"/>
    <w:uiPriority w:val="6"/>
    <w:rsid w:val="00F9113D"/>
    <w:pPr>
      <w:spacing w:line="720" w:lineRule="atLeast"/>
    </w:pPr>
    <w:rPr>
      <w:color w:val="FFFFFF"/>
      <w:sz w:val="60"/>
    </w:rPr>
  </w:style>
  <w:style w:type="paragraph" w:customStyle="1" w:styleId="Legaltext">
    <w:name w:val="Legal text"/>
    <w:basedOn w:val="Normal"/>
    <w:uiPriority w:val="7"/>
    <w:semiHidden/>
    <w:qFormat/>
    <w:rsid w:val="00F9113D"/>
    <w:pPr>
      <w:spacing w:after="0" w:line="180" w:lineRule="atLeast"/>
    </w:pPr>
    <w:rPr>
      <w:sz w:val="14"/>
    </w:rPr>
  </w:style>
  <w:style w:type="table" w:customStyle="1" w:styleId="Deloittetable">
    <w:name w:val="Deloitte table"/>
    <w:basedOn w:val="TableNormal"/>
    <w:uiPriority w:val="99"/>
    <w:rsid w:val="00D93FF0"/>
    <w:rPr>
      <w:sz w:val="17"/>
      <w:lang w:val="en-AU"/>
    </w:rPr>
    <w:tblPr>
      <w:tblBorders>
        <w:top w:val="single" w:sz="4" w:space="0" w:color="62B5E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62B5E5" w:themeColor="accent3"/>
        </w:tcBorders>
      </w:tcPr>
    </w:tblStylePr>
  </w:style>
  <w:style w:type="paragraph" w:customStyle="1" w:styleId="TabletextLeft">
    <w:name w:val="Table text Left"/>
    <w:basedOn w:val="Normal"/>
    <w:uiPriority w:val="5"/>
    <w:rsid w:val="00A2745D"/>
    <w:pPr>
      <w:spacing w:after="60"/>
      <w:ind w:right="57"/>
    </w:pPr>
    <w:rPr>
      <w:rFonts w:ascii="Calibri" w:hAnsi="Calibri" w:cs="Calibri"/>
      <w:sz w:val="20"/>
      <w:szCs w:val="22"/>
    </w:rPr>
  </w:style>
  <w:style w:type="paragraph" w:customStyle="1" w:styleId="TableHeadingLeft">
    <w:name w:val="Table Heading Left"/>
    <w:basedOn w:val="TabletextLeft"/>
    <w:uiPriority w:val="5"/>
    <w:rsid w:val="00053250"/>
    <w:pPr>
      <w:spacing w:before="80" w:after="80" w:line="240" w:lineRule="auto"/>
      <w:contextualSpacing/>
    </w:pPr>
    <w:rPr>
      <w:b/>
      <w:color w:val="FFFFFF" w:themeColor="background1"/>
      <w:szCs w:val="20"/>
    </w:rPr>
  </w:style>
  <w:style w:type="paragraph" w:customStyle="1" w:styleId="Source">
    <w:name w:val="Source"/>
    <w:basedOn w:val="Caption"/>
    <w:next w:val="Normal"/>
    <w:uiPriority w:val="6"/>
    <w:rsid w:val="00F9113D"/>
    <w:rPr>
      <w:sz w:val="14"/>
    </w:rPr>
  </w:style>
  <w:style w:type="paragraph" w:customStyle="1" w:styleId="Tablebullets">
    <w:name w:val="Table bullets"/>
    <w:basedOn w:val="TabletextLeft"/>
    <w:uiPriority w:val="5"/>
    <w:rsid w:val="00F9113D"/>
    <w:pPr>
      <w:framePr w:hSpace="180" w:wrap="around" w:vAnchor="text" w:hAnchor="text" w:y="1"/>
      <w:numPr>
        <w:numId w:val="9"/>
      </w:numPr>
      <w:suppressOverlap/>
    </w:pPr>
  </w:style>
  <w:style w:type="paragraph" w:customStyle="1" w:styleId="Tablenumbered">
    <w:name w:val="Table numbered"/>
    <w:basedOn w:val="TabletextLeft"/>
    <w:uiPriority w:val="5"/>
    <w:rsid w:val="00F9113D"/>
    <w:pPr>
      <w:framePr w:hSpace="180" w:wrap="around" w:vAnchor="text" w:hAnchor="text" w:y="1"/>
      <w:numPr>
        <w:numId w:val="10"/>
      </w:numPr>
      <w:suppressOverlap/>
    </w:pPr>
  </w:style>
  <w:style w:type="paragraph" w:customStyle="1" w:styleId="Charttitle">
    <w:name w:val="Chart title"/>
    <w:uiPriority w:val="7"/>
    <w:rsid w:val="00F9113D"/>
    <w:pPr>
      <w:spacing w:before="120" w:after="120"/>
    </w:pPr>
    <w:rPr>
      <w:rFonts w:eastAsiaTheme="majorEastAsia" w:cstheme="majorBidi"/>
      <w:b/>
      <w:bCs/>
      <w:color w:val="62B5E5" w:themeColor="accent3"/>
      <w:szCs w:val="26"/>
      <w:lang w:val="en-AU"/>
    </w:rPr>
  </w:style>
  <w:style w:type="paragraph" w:styleId="Bibliography">
    <w:name w:val="Bibliography"/>
    <w:basedOn w:val="Normal"/>
    <w:next w:val="Normal"/>
    <w:uiPriority w:val="99"/>
    <w:semiHidden/>
    <w:rsid w:val="00F9113D"/>
  </w:style>
  <w:style w:type="paragraph" w:styleId="BlockText">
    <w:name w:val="Block Text"/>
    <w:basedOn w:val="Normal"/>
    <w:uiPriority w:val="99"/>
    <w:semiHidden/>
    <w:rsid w:val="00F9113D"/>
    <w:pPr>
      <w:pBdr>
        <w:top w:val="single" w:sz="2" w:space="10" w:color="86BC25" w:themeColor="accent1" w:frame="1"/>
        <w:left w:val="single" w:sz="2" w:space="10" w:color="86BC25" w:themeColor="accent1" w:frame="1"/>
        <w:bottom w:val="single" w:sz="2" w:space="10" w:color="86BC25" w:themeColor="accent1" w:frame="1"/>
        <w:right w:val="single" w:sz="2" w:space="10" w:color="86BC25" w:themeColor="accent1" w:frame="1"/>
      </w:pBdr>
      <w:ind w:left="1152" w:right="1152"/>
    </w:pPr>
    <w:rPr>
      <w:rFonts w:eastAsiaTheme="minorEastAsia"/>
      <w:i/>
      <w:iCs/>
      <w:color w:val="86BC25" w:themeColor="accent1"/>
    </w:rPr>
  </w:style>
  <w:style w:type="paragraph" w:styleId="BodyText">
    <w:name w:val="Body Text"/>
    <w:basedOn w:val="Normal"/>
    <w:link w:val="BodyTextChar"/>
    <w:semiHidden/>
    <w:rsid w:val="00F9113D"/>
    <w:pPr>
      <w:spacing w:after="240"/>
    </w:pPr>
  </w:style>
  <w:style w:type="character" w:customStyle="1" w:styleId="BodyTextChar">
    <w:name w:val="Body Text Char"/>
    <w:basedOn w:val="DefaultParagraphFont"/>
    <w:link w:val="BodyText"/>
    <w:semiHidden/>
    <w:rsid w:val="00D24870"/>
    <w:rPr>
      <w:lang w:val="en-AU"/>
    </w:rPr>
  </w:style>
  <w:style w:type="paragraph" w:styleId="BodyText2">
    <w:name w:val="Body Text 2"/>
    <w:basedOn w:val="Normal"/>
    <w:link w:val="BodyText2Char"/>
    <w:uiPriority w:val="99"/>
    <w:semiHidden/>
    <w:rsid w:val="00F9113D"/>
    <w:pPr>
      <w:spacing w:after="120" w:line="480" w:lineRule="auto"/>
    </w:pPr>
  </w:style>
  <w:style w:type="character" w:customStyle="1" w:styleId="BodyText2Char">
    <w:name w:val="Body Text 2 Char"/>
    <w:basedOn w:val="DefaultParagraphFont"/>
    <w:link w:val="BodyText2"/>
    <w:uiPriority w:val="99"/>
    <w:semiHidden/>
    <w:rsid w:val="00F9113D"/>
    <w:rPr>
      <w:lang w:val="en-AU"/>
    </w:rPr>
  </w:style>
  <w:style w:type="paragraph" w:styleId="BodyText3">
    <w:name w:val="Body Text 3"/>
    <w:basedOn w:val="Normal"/>
    <w:link w:val="BodyText3Char"/>
    <w:uiPriority w:val="99"/>
    <w:semiHidden/>
    <w:rsid w:val="00F9113D"/>
    <w:pPr>
      <w:spacing w:after="120"/>
    </w:pPr>
    <w:rPr>
      <w:sz w:val="16"/>
      <w:szCs w:val="16"/>
    </w:rPr>
  </w:style>
  <w:style w:type="character" w:customStyle="1" w:styleId="BodyText3Char">
    <w:name w:val="Body Text 3 Char"/>
    <w:basedOn w:val="DefaultParagraphFont"/>
    <w:link w:val="BodyText3"/>
    <w:uiPriority w:val="99"/>
    <w:semiHidden/>
    <w:rsid w:val="00F9113D"/>
    <w:rPr>
      <w:sz w:val="16"/>
      <w:szCs w:val="16"/>
      <w:lang w:val="en-AU"/>
    </w:rPr>
  </w:style>
  <w:style w:type="paragraph" w:styleId="BodyTextFirstIndent">
    <w:name w:val="Body Text First Indent"/>
    <w:basedOn w:val="BodyText"/>
    <w:link w:val="BodyTextFirstIndentChar"/>
    <w:uiPriority w:val="99"/>
    <w:semiHidden/>
    <w:rsid w:val="00F9113D"/>
    <w:pPr>
      <w:ind w:firstLine="360"/>
    </w:pPr>
  </w:style>
  <w:style w:type="character" w:customStyle="1" w:styleId="BodyTextFirstIndentChar">
    <w:name w:val="Body Text First Indent Char"/>
    <w:basedOn w:val="BodyTextChar"/>
    <w:link w:val="BodyTextFirstIndent"/>
    <w:uiPriority w:val="99"/>
    <w:semiHidden/>
    <w:rsid w:val="00F9113D"/>
    <w:rPr>
      <w:lang w:val="en-AU"/>
    </w:rPr>
  </w:style>
  <w:style w:type="paragraph" w:styleId="BodyTextIndent">
    <w:name w:val="Body Text Indent"/>
    <w:basedOn w:val="Normal"/>
    <w:link w:val="BodyTextIndentChar"/>
    <w:uiPriority w:val="99"/>
    <w:semiHidden/>
    <w:rsid w:val="00F9113D"/>
    <w:pPr>
      <w:spacing w:after="120"/>
      <w:ind w:left="283"/>
    </w:pPr>
  </w:style>
  <w:style w:type="character" w:customStyle="1" w:styleId="BodyTextIndentChar">
    <w:name w:val="Body Text Indent Char"/>
    <w:basedOn w:val="DefaultParagraphFont"/>
    <w:link w:val="BodyTextIndent"/>
    <w:uiPriority w:val="99"/>
    <w:semiHidden/>
    <w:rsid w:val="00F9113D"/>
    <w:rPr>
      <w:lang w:val="en-AU"/>
    </w:rPr>
  </w:style>
  <w:style w:type="paragraph" w:styleId="BodyTextFirstIndent2">
    <w:name w:val="Body Text First Indent 2"/>
    <w:basedOn w:val="BodyTextIndent"/>
    <w:link w:val="BodyTextFirstIndent2Char"/>
    <w:uiPriority w:val="99"/>
    <w:semiHidden/>
    <w:rsid w:val="00F9113D"/>
    <w:pPr>
      <w:spacing w:after="240"/>
      <w:ind w:left="360" w:firstLine="360"/>
    </w:pPr>
  </w:style>
  <w:style w:type="character" w:customStyle="1" w:styleId="BodyTextFirstIndent2Char">
    <w:name w:val="Body Text First Indent 2 Char"/>
    <w:basedOn w:val="BodyTextIndentChar"/>
    <w:link w:val="BodyTextFirstIndent2"/>
    <w:uiPriority w:val="99"/>
    <w:semiHidden/>
    <w:rsid w:val="00F9113D"/>
    <w:rPr>
      <w:lang w:val="en-AU"/>
    </w:rPr>
  </w:style>
  <w:style w:type="paragraph" w:styleId="BodyTextIndent2">
    <w:name w:val="Body Text Indent 2"/>
    <w:basedOn w:val="Normal"/>
    <w:link w:val="BodyTextIndent2Char"/>
    <w:uiPriority w:val="99"/>
    <w:semiHidden/>
    <w:rsid w:val="00F9113D"/>
    <w:pPr>
      <w:spacing w:after="120" w:line="480" w:lineRule="auto"/>
      <w:ind w:left="283"/>
    </w:pPr>
  </w:style>
  <w:style w:type="character" w:customStyle="1" w:styleId="BodyTextIndent2Char">
    <w:name w:val="Body Text Indent 2 Char"/>
    <w:basedOn w:val="DefaultParagraphFont"/>
    <w:link w:val="BodyTextIndent2"/>
    <w:uiPriority w:val="99"/>
    <w:semiHidden/>
    <w:rsid w:val="00F9113D"/>
    <w:rPr>
      <w:lang w:val="en-AU"/>
    </w:rPr>
  </w:style>
  <w:style w:type="paragraph" w:styleId="BodyTextIndent3">
    <w:name w:val="Body Text Indent 3"/>
    <w:basedOn w:val="Normal"/>
    <w:link w:val="BodyTextIndent3Char"/>
    <w:uiPriority w:val="99"/>
    <w:semiHidden/>
    <w:rsid w:val="00F9113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9113D"/>
    <w:rPr>
      <w:sz w:val="16"/>
      <w:szCs w:val="16"/>
      <w:lang w:val="en-AU"/>
    </w:rPr>
  </w:style>
  <w:style w:type="character" w:styleId="BookTitle">
    <w:name w:val="Book Title"/>
    <w:basedOn w:val="DefaultParagraphFont"/>
    <w:uiPriority w:val="99"/>
    <w:qFormat/>
    <w:rsid w:val="00F9113D"/>
    <w:rPr>
      <w:b/>
      <w:bCs/>
      <w:smallCaps/>
      <w:spacing w:val="5"/>
      <w:lang w:val="en-AU"/>
    </w:rPr>
  </w:style>
  <w:style w:type="paragraph" w:styleId="Closing">
    <w:name w:val="Closing"/>
    <w:basedOn w:val="Normal"/>
    <w:link w:val="ClosingChar"/>
    <w:uiPriority w:val="99"/>
    <w:semiHidden/>
    <w:rsid w:val="00F9113D"/>
    <w:pPr>
      <w:spacing w:line="240" w:lineRule="auto"/>
      <w:ind w:left="4252"/>
    </w:pPr>
  </w:style>
  <w:style w:type="character" w:customStyle="1" w:styleId="ClosingChar">
    <w:name w:val="Closing Char"/>
    <w:basedOn w:val="DefaultParagraphFont"/>
    <w:link w:val="Closing"/>
    <w:uiPriority w:val="99"/>
    <w:semiHidden/>
    <w:rsid w:val="00F9113D"/>
    <w:rPr>
      <w:lang w:val="en-AU"/>
    </w:rPr>
  </w:style>
  <w:style w:type="table" w:styleId="ColorfulGrid">
    <w:name w:val="Colorful Grid"/>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7F5CF" w:themeFill="accent1" w:themeFillTint="33"/>
    </w:tcPr>
    <w:tblStylePr w:type="firstRow">
      <w:rPr>
        <w:b/>
        <w:bCs/>
      </w:rPr>
      <w:tblPr/>
      <w:tcPr>
        <w:shd w:val="clear" w:color="auto" w:fill="D0EC9F" w:themeFill="accent1" w:themeFillTint="66"/>
      </w:tcPr>
    </w:tblStylePr>
    <w:tblStylePr w:type="lastRow">
      <w:rPr>
        <w:b/>
        <w:bCs/>
        <w:color w:val="000000" w:themeColor="text1"/>
      </w:rPr>
      <w:tblPr/>
      <w:tcPr>
        <w:shd w:val="clear" w:color="auto" w:fill="D0EC9F" w:themeFill="accent1" w:themeFillTint="66"/>
      </w:tcPr>
    </w:tblStylePr>
    <w:tblStylePr w:type="firstCol">
      <w:rPr>
        <w:color w:val="FFFFFF" w:themeColor="background1"/>
      </w:rPr>
      <w:tblPr/>
      <w:tcPr>
        <w:shd w:val="clear" w:color="auto" w:fill="638C1B" w:themeFill="accent1" w:themeFillShade="BF"/>
      </w:tcPr>
    </w:tblStylePr>
    <w:tblStylePr w:type="lastCol">
      <w:rPr>
        <w:color w:val="FFFFFF" w:themeColor="background1"/>
      </w:rPr>
      <w:tblPr/>
      <w:tcPr>
        <w:shd w:val="clear" w:color="auto" w:fill="638C1B" w:themeFill="accent1" w:themeFillShade="BF"/>
      </w:tc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ColorfulGrid-Accent2">
    <w:name w:val="Colorful Grid Accent 2"/>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1FCD7" w:themeFill="accent2" w:themeFillTint="33"/>
    </w:tcPr>
    <w:tblStylePr w:type="firstRow">
      <w:rPr>
        <w:b/>
        <w:bCs/>
      </w:rPr>
      <w:tblPr/>
      <w:tcPr>
        <w:shd w:val="clear" w:color="auto" w:fill="64F9B0" w:themeFill="accent2" w:themeFillTint="66"/>
      </w:tcPr>
    </w:tblStylePr>
    <w:tblStylePr w:type="lastRow">
      <w:rPr>
        <w:b/>
        <w:bCs/>
        <w:color w:val="000000" w:themeColor="text1"/>
      </w:rPr>
      <w:tblPr/>
      <w:tcPr>
        <w:shd w:val="clear" w:color="auto" w:fill="64F9B0" w:themeFill="accent2" w:themeFillTint="66"/>
      </w:tcPr>
    </w:tblStylePr>
    <w:tblStylePr w:type="firstCol">
      <w:rPr>
        <w:color w:val="FFFFFF" w:themeColor="background1"/>
      </w:rPr>
      <w:tblPr/>
      <w:tcPr>
        <w:shd w:val="clear" w:color="auto" w:fill="034F29" w:themeFill="accent2" w:themeFillShade="BF"/>
      </w:tcPr>
    </w:tblStylePr>
    <w:tblStylePr w:type="lastCol">
      <w:rPr>
        <w:color w:val="FFFFFF" w:themeColor="background1"/>
      </w:rPr>
      <w:tblPr/>
      <w:tcPr>
        <w:shd w:val="clear" w:color="auto" w:fill="034F29" w:themeFill="accent2" w:themeFillShade="BF"/>
      </w:tc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ColorfulGrid-Accent3">
    <w:name w:val="Colorful Grid Accent 3"/>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DFF0F9" w:themeFill="accent3" w:themeFillTint="33"/>
    </w:tcPr>
    <w:tblStylePr w:type="firstRow">
      <w:rPr>
        <w:b/>
        <w:bCs/>
      </w:rPr>
      <w:tblPr/>
      <w:tcPr>
        <w:shd w:val="clear" w:color="auto" w:fill="C0E1F4" w:themeFill="accent3" w:themeFillTint="66"/>
      </w:tcPr>
    </w:tblStylePr>
    <w:tblStylePr w:type="lastRow">
      <w:rPr>
        <w:b/>
        <w:bCs/>
        <w:color w:val="000000" w:themeColor="text1"/>
      </w:rPr>
      <w:tblPr/>
      <w:tcPr>
        <w:shd w:val="clear" w:color="auto" w:fill="C0E1F4" w:themeFill="accent3" w:themeFillTint="66"/>
      </w:tcPr>
    </w:tblStylePr>
    <w:tblStylePr w:type="firstCol">
      <w:rPr>
        <w:color w:val="FFFFFF" w:themeColor="background1"/>
      </w:rPr>
      <w:tblPr/>
      <w:tcPr>
        <w:shd w:val="clear" w:color="auto" w:fill="2291D1" w:themeFill="accent3" w:themeFillShade="BF"/>
      </w:tcPr>
    </w:tblStylePr>
    <w:tblStylePr w:type="lastCol">
      <w:rPr>
        <w:color w:val="FFFFFF" w:themeColor="background1"/>
      </w:rPr>
      <w:tblPr/>
      <w:tcPr>
        <w:shd w:val="clear" w:color="auto" w:fill="2291D1" w:themeFill="accent3" w:themeFillShade="BF"/>
      </w:tc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ColorfulGrid-Accent4">
    <w:name w:val="Colorful Grid Accent 4"/>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AEC7FE" w:themeFill="accent4" w:themeFillTint="33"/>
    </w:tcPr>
    <w:tblStylePr w:type="firstRow">
      <w:rPr>
        <w:b/>
        <w:bCs/>
      </w:rPr>
      <w:tblPr/>
      <w:tcPr>
        <w:shd w:val="clear" w:color="auto" w:fill="5E8FFD" w:themeFill="accent4" w:themeFillTint="66"/>
      </w:tcPr>
    </w:tblStylePr>
    <w:tblStylePr w:type="lastRow">
      <w:rPr>
        <w:b/>
        <w:bCs/>
        <w:color w:val="000000" w:themeColor="text1"/>
      </w:rPr>
      <w:tblPr/>
      <w:tcPr>
        <w:shd w:val="clear" w:color="auto" w:fill="5E8FFD" w:themeFill="accent4" w:themeFillTint="66"/>
      </w:tcPr>
    </w:tblStylePr>
    <w:tblStylePr w:type="firstCol">
      <w:rPr>
        <w:color w:val="FFFFFF" w:themeColor="background1"/>
      </w:rPr>
      <w:tblPr/>
      <w:tcPr>
        <w:shd w:val="clear" w:color="auto" w:fill="00184E" w:themeFill="accent4" w:themeFillShade="BF"/>
      </w:tcPr>
    </w:tblStylePr>
    <w:tblStylePr w:type="lastCol">
      <w:rPr>
        <w:color w:val="FFFFFF" w:themeColor="background1"/>
      </w:rPr>
      <w:tblPr/>
      <w:tcPr>
        <w:shd w:val="clear" w:color="auto" w:fill="00184E" w:themeFill="accent4" w:themeFillShade="BF"/>
      </w:tc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ColorfulGrid-Accent5">
    <w:name w:val="Colorful Grid Accent 5"/>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BAF7FF" w:themeFill="accent5" w:themeFillTint="33"/>
    </w:tcPr>
    <w:tblStylePr w:type="firstRow">
      <w:rPr>
        <w:b/>
        <w:bCs/>
      </w:rPr>
      <w:tblPr/>
      <w:tcPr>
        <w:shd w:val="clear" w:color="auto" w:fill="76EFFF" w:themeFill="accent5" w:themeFillTint="66"/>
      </w:tcPr>
    </w:tblStylePr>
    <w:tblStylePr w:type="lastRow">
      <w:rPr>
        <w:b/>
        <w:bCs/>
        <w:color w:val="000000" w:themeColor="text1"/>
      </w:rPr>
      <w:tblPr/>
      <w:tcPr>
        <w:shd w:val="clear" w:color="auto" w:fill="76EFFF" w:themeFill="accent5" w:themeFillTint="66"/>
      </w:tcPr>
    </w:tblStylePr>
    <w:tblStylePr w:type="firstCol">
      <w:rPr>
        <w:color w:val="FFFFFF" w:themeColor="background1"/>
      </w:rPr>
      <w:tblPr/>
      <w:tcPr>
        <w:shd w:val="clear" w:color="auto" w:fill="00707E" w:themeFill="accent5" w:themeFillShade="BF"/>
      </w:tcPr>
    </w:tblStylePr>
    <w:tblStylePr w:type="lastCol">
      <w:rPr>
        <w:color w:val="FFFFFF" w:themeColor="background1"/>
      </w:rPr>
      <w:tblPr/>
      <w:tcPr>
        <w:shd w:val="clear" w:color="auto" w:fill="00707E" w:themeFill="accent5" w:themeFillShade="BF"/>
      </w:tc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ColorfulGrid-Accent6">
    <w:name w:val="Colorful Grid Accent 6"/>
    <w:basedOn w:val="TableNormal"/>
    <w:uiPriority w:val="73"/>
    <w:rsid w:val="00F9113D"/>
    <w:pPr>
      <w:spacing w:line="240" w:lineRule="auto"/>
    </w:pPr>
    <w:rPr>
      <w:color w:val="000000" w:themeColor="text1"/>
      <w:lang w:val="en-AU"/>
    </w:rPr>
    <w:tblPr>
      <w:tblStyleRowBandSize w:val="1"/>
      <w:tblStyleColBandSize w:val="1"/>
      <w:tblBorders>
        <w:insideH w:val="single" w:sz="4" w:space="0" w:color="FFFFFF" w:themeColor="background1"/>
      </w:tblBorders>
    </w:tblPr>
    <w:tcPr>
      <w:shd w:val="clear" w:color="auto" w:fill="E3E3E4" w:themeFill="accent6" w:themeFillTint="33"/>
    </w:tcPr>
    <w:tblStylePr w:type="firstRow">
      <w:rPr>
        <w:b/>
        <w:bCs/>
      </w:rPr>
      <w:tblPr/>
      <w:tcPr>
        <w:shd w:val="clear" w:color="auto" w:fill="C7C8CA" w:themeFill="accent6" w:themeFillTint="66"/>
      </w:tcPr>
    </w:tblStylePr>
    <w:tblStylePr w:type="lastRow">
      <w:rPr>
        <w:b/>
        <w:bCs/>
        <w:color w:val="000000" w:themeColor="text1"/>
      </w:rPr>
      <w:tblPr/>
      <w:tcPr>
        <w:shd w:val="clear" w:color="auto" w:fill="C7C8CA" w:themeFill="accent6" w:themeFillTint="66"/>
      </w:tcPr>
    </w:tblStylePr>
    <w:tblStylePr w:type="firstCol">
      <w:rPr>
        <w:color w:val="FFFFFF" w:themeColor="background1"/>
      </w:rPr>
      <w:tblPr/>
      <w:tcPr>
        <w:shd w:val="clear" w:color="auto" w:fill="57595C" w:themeFill="accent6" w:themeFillShade="BF"/>
      </w:tcPr>
    </w:tblStylePr>
    <w:tblStylePr w:type="lastCol">
      <w:rPr>
        <w:color w:val="FFFFFF" w:themeColor="background1"/>
      </w:rPr>
      <w:tblPr/>
      <w:tcPr>
        <w:shd w:val="clear" w:color="auto" w:fill="57595C" w:themeFill="accent6" w:themeFillShade="BF"/>
      </w:tc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ColorfulList">
    <w:name w:val="Colorful List"/>
    <w:basedOn w:val="TableNormal"/>
    <w:uiPriority w:val="72"/>
    <w:rsid w:val="00F9113D"/>
    <w:pPr>
      <w:spacing w:line="240" w:lineRule="auto"/>
    </w:pPr>
    <w:rPr>
      <w:color w:val="000000" w:themeColor="text1"/>
      <w:lang w:val="en-AU"/>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F9113D"/>
    <w:pPr>
      <w:spacing w:line="240" w:lineRule="auto"/>
    </w:pPr>
    <w:rPr>
      <w:color w:val="000000" w:themeColor="text1"/>
      <w:lang w:val="en-AU"/>
    </w:rPr>
    <w:tblPr>
      <w:tblStyleRowBandSize w:val="1"/>
      <w:tblStyleColBandSize w:val="1"/>
    </w:tblPr>
    <w:tcPr>
      <w:shd w:val="clear" w:color="auto" w:fill="F3FAE7" w:themeFill="accent1"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F3C3" w:themeFill="accent1" w:themeFillTint="3F"/>
      </w:tcPr>
    </w:tblStylePr>
    <w:tblStylePr w:type="band1Horz">
      <w:tblPr/>
      <w:tcPr>
        <w:shd w:val="clear" w:color="auto" w:fill="E7F5CF" w:themeFill="accent1" w:themeFillTint="33"/>
      </w:tcPr>
    </w:tblStylePr>
  </w:style>
  <w:style w:type="table" w:styleId="ColorfulList-Accent2">
    <w:name w:val="Colorful List Accent 2"/>
    <w:basedOn w:val="TableNormal"/>
    <w:uiPriority w:val="72"/>
    <w:rsid w:val="00F9113D"/>
    <w:pPr>
      <w:spacing w:line="240" w:lineRule="auto"/>
    </w:pPr>
    <w:rPr>
      <w:color w:val="000000" w:themeColor="text1"/>
      <w:lang w:val="en-AU"/>
    </w:rPr>
    <w:tblPr>
      <w:tblStyleRowBandSize w:val="1"/>
      <w:tblStyleColBandSize w:val="1"/>
    </w:tblPr>
    <w:tcPr>
      <w:shd w:val="clear" w:color="auto" w:fill="D9FDEB" w:themeFill="accent2" w:themeFillTint="19"/>
    </w:tcPr>
    <w:tblStylePr w:type="firstRow">
      <w:rPr>
        <w:b/>
        <w:bCs/>
        <w:color w:val="FFFFFF" w:themeColor="background1"/>
      </w:rPr>
      <w:tblPr/>
      <w:tcPr>
        <w:tcBorders>
          <w:bottom w:val="single" w:sz="12" w:space="0" w:color="FFFFFF" w:themeColor="background1"/>
        </w:tcBorders>
        <w:shd w:val="clear" w:color="auto" w:fill="03542C" w:themeFill="accent2" w:themeFillShade="CC"/>
      </w:tcPr>
    </w:tblStylePr>
    <w:tblStylePr w:type="lastRow">
      <w:rPr>
        <w:b/>
        <w:bCs/>
        <w:color w:val="03542C"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BCE" w:themeFill="accent2" w:themeFillTint="3F"/>
      </w:tcPr>
    </w:tblStylePr>
    <w:tblStylePr w:type="band1Horz">
      <w:tblPr/>
      <w:tcPr>
        <w:shd w:val="clear" w:color="auto" w:fill="B1FCD7" w:themeFill="accent2" w:themeFillTint="33"/>
      </w:tcPr>
    </w:tblStylePr>
  </w:style>
  <w:style w:type="table" w:styleId="ColorfulList-Accent3">
    <w:name w:val="Colorful List Accent 3"/>
    <w:basedOn w:val="TableNormal"/>
    <w:uiPriority w:val="72"/>
    <w:rsid w:val="00F9113D"/>
    <w:pPr>
      <w:spacing w:line="240" w:lineRule="auto"/>
    </w:pPr>
    <w:rPr>
      <w:color w:val="000000" w:themeColor="text1"/>
      <w:lang w:val="en-AU"/>
    </w:rPr>
    <w:tblPr>
      <w:tblStyleRowBandSize w:val="1"/>
      <w:tblStyleColBandSize w:val="1"/>
    </w:tblPr>
    <w:tcPr>
      <w:shd w:val="clear" w:color="auto" w:fill="EFF7FC" w:themeFill="accent3" w:themeFillTint="19"/>
    </w:tcPr>
    <w:tblStylePr w:type="firstRow">
      <w:rPr>
        <w:b/>
        <w:bCs/>
        <w:color w:val="FFFFFF" w:themeColor="background1"/>
      </w:rPr>
      <w:tblPr/>
      <w:tcPr>
        <w:tcBorders>
          <w:bottom w:val="single" w:sz="12" w:space="0" w:color="FFFFFF" w:themeColor="background1"/>
        </w:tcBorders>
        <w:shd w:val="clear" w:color="auto" w:fill="001A53" w:themeFill="accent4" w:themeFillShade="CC"/>
      </w:tcPr>
    </w:tblStylePr>
    <w:tblStylePr w:type="lastRow">
      <w:rPr>
        <w:b/>
        <w:bCs/>
        <w:color w:val="001A5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CF8" w:themeFill="accent3" w:themeFillTint="3F"/>
      </w:tcPr>
    </w:tblStylePr>
    <w:tblStylePr w:type="band1Horz">
      <w:tblPr/>
      <w:tcPr>
        <w:shd w:val="clear" w:color="auto" w:fill="DFF0F9" w:themeFill="accent3" w:themeFillTint="33"/>
      </w:tcPr>
    </w:tblStylePr>
  </w:style>
  <w:style w:type="table" w:styleId="ColorfulList-Accent4">
    <w:name w:val="Colorful List Accent 4"/>
    <w:basedOn w:val="TableNormal"/>
    <w:uiPriority w:val="72"/>
    <w:rsid w:val="00F9113D"/>
    <w:pPr>
      <w:spacing w:line="240" w:lineRule="auto"/>
    </w:pPr>
    <w:rPr>
      <w:color w:val="000000" w:themeColor="text1"/>
      <w:lang w:val="en-AU"/>
    </w:rPr>
    <w:tblPr>
      <w:tblStyleRowBandSize w:val="1"/>
      <w:tblStyleColBandSize w:val="1"/>
    </w:tblPr>
    <w:tcPr>
      <w:shd w:val="clear" w:color="auto" w:fill="D7E3FE" w:themeFill="accent4" w:themeFillTint="19"/>
    </w:tcPr>
    <w:tblStylePr w:type="firstRow">
      <w:rPr>
        <w:b/>
        <w:bCs/>
        <w:color w:val="FFFFFF" w:themeColor="background1"/>
      </w:rPr>
      <w:tblPr/>
      <w:tcPr>
        <w:tcBorders>
          <w:bottom w:val="single" w:sz="12" w:space="0" w:color="FFFFFF" w:themeColor="background1"/>
        </w:tcBorders>
        <w:shd w:val="clear" w:color="auto" w:fill="299ADB" w:themeFill="accent3" w:themeFillShade="CC"/>
      </w:tcPr>
    </w:tblStylePr>
    <w:tblStylePr w:type="lastRow">
      <w:rPr>
        <w:b/>
        <w:bCs/>
        <w:color w:val="299AD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BB9FE" w:themeFill="accent4" w:themeFillTint="3F"/>
      </w:tcPr>
    </w:tblStylePr>
    <w:tblStylePr w:type="band1Horz">
      <w:tblPr/>
      <w:tcPr>
        <w:shd w:val="clear" w:color="auto" w:fill="AEC7FE" w:themeFill="accent4" w:themeFillTint="33"/>
      </w:tcPr>
    </w:tblStylePr>
  </w:style>
  <w:style w:type="table" w:styleId="ColorfulList-Accent5">
    <w:name w:val="Colorful List Accent 5"/>
    <w:basedOn w:val="TableNormal"/>
    <w:uiPriority w:val="72"/>
    <w:rsid w:val="00F9113D"/>
    <w:pPr>
      <w:spacing w:line="240" w:lineRule="auto"/>
    </w:pPr>
    <w:rPr>
      <w:color w:val="000000" w:themeColor="text1"/>
      <w:lang w:val="en-AU"/>
    </w:rPr>
    <w:tblPr>
      <w:tblStyleRowBandSize w:val="1"/>
      <w:tblStyleColBandSize w:val="1"/>
    </w:tblPr>
    <w:tcPr>
      <w:shd w:val="clear" w:color="auto" w:fill="DDFBFF" w:themeFill="accent5" w:themeFillTint="19"/>
    </w:tcPr>
    <w:tblStylePr w:type="firstRow">
      <w:rPr>
        <w:b/>
        <w:bCs/>
        <w:color w:val="FFFFFF" w:themeColor="background1"/>
      </w:rPr>
      <w:tblPr/>
      <w:tcPr>
        <w:tcBorders>
          <w:bottom w:val="single" w:sz="12" w:space="0" w:color="FFFFFF" w:themeColor="background1"/>
        </w:tcBorders>
        <w:shd w:val="clear" w:color="auto" w:fill="5D5F62" w:themeFill="accent6" w:themeFillShade="CC"/>
      </w:tcPr>
    </w:tblStylePr>
    <w:tblStylePr w:type="lastRow">
      <w:rPr>
        <w:b/>
        <w:bCs/>
        <w:color w:val="5D5F6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5FF" w:themeFill="accent5" w:themeFillTint="3F"/>
      </w:tcPr>
    </w:tblStylePr>
    <w:tblStylePr w:type="band1Horz">
      <w:tblPr/>
      <w:tcPr>
        <w:shd w:val="clear" w:color="auto" w:fill="BAF7FF" w:themeFill="accent5" w:themeFillTint="33"/>
      </w:tcPr>
    </w:tblStylePr>
  </w:style>
  <w:style w:type="table" w:styleId="ColorfulList-Accent6">
    <w:name w:val="Colorful List Accent 6"/>
    <w:basedOn w:val="TableNormal"/>
    <w:uiPriority w:val="72"/>
    <w:rsid w:val="00F9113D"/>
    <w:pPr>
      <w:spacing w:line="240" w:lineRule="auto"/>
    </w:pPr>
    <w:rPr>
      <w:color w:val="000000" w:themeColor="text1"/>
      <w:lang w:val="en-AU"/>
    </w:rPr>
    <w:tblPr>
      <w:tblStyleRowBandSize w:val="1"/>
      <w:tblStyleColBandSize w:val="1"/>
    </w:tblPr>
    <w:tcPr>
      <w:shd w:val="clear" w:color="auto" w:fill="F1F1F2" w:themeFill="accent6" w:themeFillTint="19"/>
    </w:tcPr>
    <w:tblStylePr w:type="firstRow">
      <w:rPr>
        <w:b/>
        <w:bCs/>
        <w:color w:val="FFFFFF" w:themeColor="background1"/>
      </w:rPr>
      <w:tblPr/>
      <w:tcPr>
        <w:tcBorders>
          <w:bottom w:val="single" w:sz="12" w:space="0" w:color="FFFFFF" w:themeColor="background1"/>
        </w:tcBorders>
        <w:shd w:val="clear" w:color="auto" w:fill="007887" w:themeFill="accent5" w:themeFillShade="CC"/>
      </w:tcPr>
    </w:tblStylePr>
    <w:tblStylePr w:type="lastRow">
      <w:rPr>
        <w:b/>
        <w:bCs/>
        <w:color w:val="00788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DDE" w:themeFill="accent6" w:themeFillTint="3F"/>
      </w:tcPr>
    </w:tblStylePr>
    <w:tblStylePr w:type="band1Horz">
      <w:tblPr/>
      <w:tcPr>
        <w:shd w:val="clear" w:color="auto" w:fill="E3E3E4" w:themeFill="accent6" w:themeFillTint="33"/>
      </w:tcPr>
    </w:tblStylePr>
  </w:style>
  <w:style w:type="table" w:styleId="ColorfulShading">
    <w:name w:val="Colorful Shading"/>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86BC25" w:themeColor="accent1"/>
        <w:bottom w:val="single" w:sz="4" w:space="0" w:color="86BC25" w:themeColor="accent1"/>
        <w:right w:val="single" w:sz="4" w:space="0" w:color="86BC25" w:themeColor="accent1"/>
        <w:insideH w:val="single" w:sz="4" w:space="0" w:color="FFFFFF" w:themeColor="background1"/>
        <w:insideV w:val="single" w:sz="4" w:space="0" w:color="FFFFFF" w:themeColor="background1"/>
      </w:tblBorders>
    </w:tblPr>
    <w:tcPr>
      <w:shd w:val="clear" w:color="auto" w:fill="F3FAE7" w:themeFill="accent1"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07016" w:themeFill="accent1" w:themeFillShade="99"/>
      </w:tcPr>
    </w:tblStylePr>
    <w:tblStylePr w:type="firstCol">
      <w:rPr>
        <w:color w:val="FFFFFF" w:themeColor="background1"/>
      </w:rPr>
      <w:tblPr/>
      <w:tcPr>
        <w:tcBorders>
          <w:top w:val="nil"/>
          <w:left w:val="nil"/>
          <w:bottom w:val="nil"/>
          <w:right w:val="nil"/>
          <w:insideH w:val="single" w:sz="4" w:space="0" w:color="507016" w:themeColor="accent1" w:themeShade="99"/>
          <w:insideV w:val="nil"/>
        </w:tcBorders>
        <w:shd w:val="clear" w:color="auto" w:fill="50701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07016" w:themeFill="accent1" w:themeFillShade="99"/>
      </w:tcPr>
    </w:tblStylePr>
    <w:tblStylePr w:type="band1Vert">
      <w:tblPr/>
      <w:tcPr>
        <w:shd w:val="clear" w:color="auto" w:fill="D0EC9F" w:themeFill="accent1" w:themeFillTint="66"/>
      </w:tcPr>
    </w:tblStylePr>
    <w:tblStylePr w:type="band1Horz">
      <w:tblPr/>
      <w:tcPr>
        <w:shd w:val="clear" w:color="auto" w:fill="C5E78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F9113D"/>
    <w:pPr>
      <w:spacing w:line="240" w:lineRule="auto"/>
    </w:pPr>
    <w:rPr>
      <w:color w:val="000000" w:themeColor="text1"/>
      <w:lang w:val="en-AU"/>
    </w:rPr>
    <w:tblPr>
      <w:tblStyleRowBandSize w:val="1"/>
      <w:tblStyleColBandSize w:val="1"/>
      <w:tblBorders>
        <w:top w:val="single" w:sz="24" w:space="0" w:color="046A38" w:themeColor="accent2"/>
        <w:left w:val="single" w:sz="4" w:space="0" w:color="046A38" w:themeColor="accent2"/>
        <w:bottom w:val="single" w:sz="4" w:space="0" w:color="046A38" w:themeColor="accent2"/>
        <w:right w:val="single" w:sz="4" w:space="0" w:color="046A38" w:themeColor="accent2"/>
        <w:insideH w:val="single" w:sz="4" w:space="0" w:color="FFFFFF" w:themeColor="background1"/>
        <w:insideV w:val="single" w:sz="4" w:space="0" w:color="FFFFFF" w:themeColor="background1"/>
      </w:tblBorders>
    </w:tblPr>
    <w:tcPr>
      <w:shd w:val="clear" w:color="auto" w:fill="D9FDEB" w:themeFill="accent2" w:themeFillTint="19"/>
    </w:tcPr>
    <w:tblStylePr w:type="firstRow">
      <w:rPr>
        <w:b/>
        <w:bCs/>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23F21" w:themeFill="accent2" w:themeFillShade="99"/>
      </w:tcPr>
    </w:tblStylePr>
    <w:tblStylePr w:type="firstCol">
      <w:rPr>
        <w:color w:val="FFFFFF" w:themeColor="background1"/>
      </w:rPr>
      <w:tblPr/>
      <w:tcPr>
        <w:tcBorders>
          <w:top w:val="nil"/>
          <w:left w:val="nil"/>
          <w:bottom w:val="nil"/>
          <w:right w:val="nil"/>
          <w:insideH w:val="single" w:sz="4" w:space="0" w:color="023F21" w:themeColor="accent2" w:themeShade="99"/>
          <w:insideV w:val="nil"/>
        </w:tcBorders>
        <w:shd w:val="clear" w:color="auto" w:fill="023F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23F21" w:themeFill="accent2" w:themeFillShade="99"/>
      </w:tcPr>
    </w:tblStylePr>
    <w:tblStylePr w:type="band1Vert">
      <w:tblPr/>
      <w:tcPr>
        <w:shd w:val="clear" w:color="auto" w:fill="64F9B0" w:themeFill="accent2" w:themeFillTint="66"/>
      </w:tcPr>
    </w:tblStylePr>
    <w:tblStylePr w:type="band1Horz">
      <w:tblPr/>
      <w:tcPr>
        <w:shd w:val="clear" w:color="auto" w:fill="3EF79D"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F9113D"/>
    <w:pPr>
      <w:spacing w:line="240" w:lineRule="auto"/>
    </w:pPr>
    <w:rPr>
      <w:color w:val="000000" w:themeColor="text1"/>
      <w:lang w:val="en-AU"/>
    </w:rPr>
    <w:tblPr>
      <w:tblStyleRowBandSize w:val="1"/>
      <w:tblStyleColBandSize w:val="1"/>
      <w:tblBorders>
        <w:top w:val="single" w:sz="24" w:space="0" w:color="012169" w:themeColor="accent4"/>
        <w:left w:val="single" w:sz="4" w:space="0" w:color="62B5E5" w:themeColor="accent3"/>
        <w:bottom w:val="single" w:sz="4" w:space="0" w:color="62B5E5" w:themeColor="accent3"/>
        <w:right w:val="single" w:sz="4" w:space="0" w:color="62B5E5" w:themeColor="accent3"/>
        <w:insideH w:val="single" w:sz="4" w:space="0" w:color="FFFFFF" w:themeColor="background1"/>
        <w:insideV w:val="single" w:sz="4" w:space="0" w:color="FFFFFF" w:themeColor="background1"/>
      </w:tblBorders>
    </w:tblPr>
    <w:tcPr>
      <w:shd w:val="clear" w:color="auto" w:fill="EFF7FC" w:themeFill="accent3" w:themeFillTint="19"/>
    </w:tcPr>
    <w:tblStylePr w:type="firstRow">
      <w:rPr>
        <w:b/>
        <w:bCs/>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C74A8" w:themeFill="accent3" w:themeFillShade="99"/>
      </w:tcPr>
    </w:tblStylePr>
    <w:tblStylePr w:type="firstCol">
      <w:rPr>
        <w:color w:val="FFFFFF" w:themeColor="background1"/>
      </w:rPr>
      <w:tblPr/>
      <w:tcPr>
        <w:tcBorders>
          <w:top w:val="nil"/>
          <w:left w:val="nil"/>
          <w:bottom w:val="nil"/>
          <w:right w:val="nil"/>
          <w:insideH w:val="single" w:sz="4" w:space="0" w:color="1C74A8" w:themeColor="accent3" w:themeShade="99"/>
          <w:insideV w:val="nil"/>
        </w:tcBorders>
        <w:shd w:val="clear" w:color="auto" w:fill="1C74A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C74A8" w:themeFill="accent3" w:themeFillShade="99"/>
      </w:tcPr>
    </w:tblStylePr>
    <w:tblStylePr w:type="band1Vert">
      <w:tblPr/>
      <w:tcPr>
        <w:shd w:val="clear" w:color="auto" w:fill="C0E1F4" w:themeFill="accent3" w:themeFillTint="66"/>
      </w:tcPr>
    </w:tblStylePr>
    <w:tblStylePr w:type="band1Horz">
      <w:tblPr/>
      <w:tcPr>
        <w:shd w:val="clear" w:color="auto" w:fill="B0D9F2" w:themeFill="accent3" w:themeFillTint="7F"/>
      </w:tcPr>
    </w:tblStylePr>
  </w:style>
  <w:style w:type="table" w:styleId="ColorfulShading-Accent4">
    <w:name w:val="Colorful Shading Accent 4"/>
    <w:basedOn w:val="TableNormal"/>
    <w:uiPriority w:val="71"/>
    <w:rsid w:val="00F9113D"/>
    <w:pPr>
      <w:spacing w:line="240" w:lineRule="auto"/>
    </w:pPr>
    <w:rPr>
      <w:color w:val="000000" w:themeColor="text1"/>
      <w:lang w:val="en-AU"/>
    </w:rPr>
    <w:tblPr>
      <w:tblStyleRowBandSize w:val="1"/>
      <w:tblStyleColBandSize w:val="1"/>
      <w:tblBorders>
        <w:top w:val="single" w:sz="24" w:space="0" w:color="62B5E5" w:themeColor="accent3"/>
        <w:left w:val="single" w:sz="4" w:space="0" w:color="012169" w:themeColor="accent4"/>
        <w:bottom w:val="single" w:sz="4" w:space="0" w:color="012169" w:themeColor="accent4"/>
        <w:right w:val="single" w:sz="4" w:space="0" w:color="012169" w:themeColor="accent4"/>
        <w:insideH w:val="single" w:sz="4" w:space="0" w:color="FFFFFF" w:themeColor="background1"/>
        <w:insideV w:val="single" w:sz="4" w:space="0" w:color="FFFFFF" w:themeColor="background1"/>
      </w:tblBorders>
    </w:tblPr>
    <w:tcPr>
      <w:shd w:val="clear" w:color="auto" w:fill="D7E3FE" w:themeFill="accent4" w:themeFillTint="19"/>
    </w:tcPr>
    <w:tblStylePr w:type="firstRow">
      <w:rPr>
        <w:b/>
        <w:bCs/>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33E" w:themeFill="accent4" w:themeFillShade="99"/>
      </w:tcPr>
    </w:tblStylePr>
    <w:tblStylePr w:type="firstCol">
      <w:rPr>
        <w:color w:val="FFFFFF" w:themeColor="background1"/>
      </w:rPr>
      <w:tblPr/>
      <w:tcPr>
        <w:tcBorders>
          <w:top w:val="nil"/>
          <w:left w:val="nil"/>
          <w:bottom w:val="nil"/>
          <w:right w:val="nil"/>
          <w:insideH w:val="single" w:sz="4" w:space="0" w:color="00133E" w:themeColor="accent4" w:themeShade="99"/>
          <w:insideV w:val="nil"/>
        </w:tcBorders>
        <w:shd w:val="clear" w:color="auto" w:fill="00133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133E" w:themeFill="accent4" w:themeFillShade="99"/>
      </w:tcPr>
    </w:tblStylePr>
    <w:tblStylePr w:type="band1Vert">
      <w:tblPr/>
      <w:tcPr>
        <w:shd w:val="clear" w:color="auto" w:fill="5E8FFD" w:themeFill="accent4" w:themeFillTint="66"/>
      </w:tcPr>
    </w:tblStylePr>
    <w:tblStylePr w:type="band1Horz">
      <w:tblPr/>
      <w:tcPr>
        <w:shd w:val="clear" w:color="auto" w:fill="3773F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F9113D"/>
    <w:pPr>
      <w:spacing w:line="240" w:lineRule="auto"/>
    </w:pPr>
    <w:rPr>
      <w:color w:val="000000" w:themeColor="text1"/>
      <w:lang w:val="en-AU"/>
    </w:rPr>
    <w:tblPr>
      <w:tblStyleRowBandSize w:val="1"/>
      <w:tblStyleColBandSize w:val="1"/>
      <w:tblBorders>
        <w:top w:val="single" w:sz="24" w:space="0" w:color="75787B" w:themeColor="accent6"/>
        <w:left w:val="single" w:sz="4" w:space="0" w:color="0097A9" w:themeColor="accent5"/>
        <w:bottom w:val="single" w:sz="4" w:space="0" w:color="0097A9" w:themeColor="accent5"/>
        <w:right w:val="single" w:sz="4" w:space="0" w:color="0097A9" w:themeColor="accent5"/>
        <w:insideH w:val="single" w:sz="4" w:space="0" w:color="FFFFFF" w:themeColor="background1"/>
        <w:insideV w:val="single" w:sz="4" w:space="0" w:color="FFFFFF" w:themeColor="background1"/>
      </w:tblBorders>
    </w:tblPr>
    <w:tcPr>
      <w:shd w:val="clear" w:color="auto" w:fill="DDFBFF" w:themeFill="accent5" w:themeFillTint="19"/>
    </w:tcPr>
    <w:tblStylePr w:type="firstRow">
      <w:rPr>
        <w:b/>
        <w:bCs/>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65" w:themeFill="accent5" w:themeFillShade="99"/>
      </w:tcPr>
    </w:tblStylePr>
    <w:tblStylePr w:type="firstCol">
      <w:rPr>
        <w:color w:val="FFFFFF" w:themeColor="background1"/>
      </w:rPr>
      <w:tblPr/>
      <w:tcPr>
        <w:tcBorders>
          <w:top w:val="nil"/>
          <w:left w:val="nil"/>
          <w:bottom w:val="nil"/>
          <w:right w:val="nil"/>
          <w:insideH w:val="single" w:sz="4" w:space="0" w:color="005A65" w:themeColor="accent5" w:themeShade="99"/>
          <w:insideV w:val="nil"/>
        </w:tcBorders>
        <w:shd w:val="clear" w:color="auto" w:fill="005A65"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5A65" w:themeFill="accent5" w:themeFillShade="99"/>
      </w:tcPr>
    </w:tblStylePr>
    <w:tblStylePr w:type="band1Vert">
      <w:tblPr/>
      <w:tcPr>
        <w:shd w:val="clear" w:color="auto" w:fill="76EFFF" w:themeFill="accent5" w:themeFillTint="66"/>
      </w:tcPr>
    </w:tblStylePr>
    <w:tblStylePr w:type="band1Horz">
      <w:tblPr/>
      <w:tcPr>
        <w:shd w:val="clear" w:color="auto" w:fill="55ECF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F9113D"/>
    <w:pPr>
      <w:spacing w:line="240" w:lineRule="auto"/>
    </w:pPr>
    <w:rPr>
      <w:color w:val="000000" w:themeColor="text1"/>
      <w:lang w:val="en-AU"/>
    </w:rPr>
    <w:tblPr>
      <w:tblStyleRowBandSize w:val="1"/>
      <w:tblStyleColBandSize w:val="1"/>
      <w:tblBorders>
        <w:top w:val="single" w:sz="24" w:space="0" w:color="0097A9" w:themeColor="accent5"/>
        <w:left w:val="single" w:sz="4" w:space="0" w:color="75787B" w:themeColor="accent6"/>
        <w:bottom w:val="single" w:sz="4" w:space="0" w:color="75787B" w:themeColor="accent6"/>
        <w:right w:val="single" w:sz="4" w:space="0" w:color="75787B" w:themeColor="accent6"/>
        <w:insideH w:val="single" w:sz="4" w:space="0" w:color="FFFFFF" w:themeColor="background1"/>
        <w:insideV w:val="single" w:sz="4" w:space="0" w:color="FFFFFF" w:themeColor="background1"/>
      </w:tblBorders>
    </w:tblPr>
    <w:tcPr>
      <w:shd w:val="clear" w:color="auto" w:fill="F1F1F2" w:themeFill="accent6" w:themeFillTint="19"/>
    </w:tcPr>
    <w:tblStylePr w:type="firstRow">
      <w:rPr>
        <w:b/>
        <w:bCs/>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64749" w:themeFill="accent6" w:themeFillShade="99"/>
      </w:tcPr>
    </w:tblStylePr>
    <w:tblStylePr w:type="firstCol">
      <w:rPr>
        <w:color w:val="FFFFFF" w:themeColor="background1"/>
      </w:rPr>
      <w:tblPr/>
      <w:tcPr>
        <w:tcBorders>
          <w:top w:val="nil"/>
          <w:left w:val="nil"/>
          <w:bottom w:val="nil"/>
          <w:right w:val="nil"/>
          <w:insideH w:val="single" w:sz="4" w:space="0" w:color="464749" w:themeColor="accent6" w:themeShade="99"/>
          <w:insideV w:val="nil"/>
        </w:tcBorders>
        <w:shd w:val="clear" w:color="auto" w:fill="46474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64749" w:themeFill="accent6" w:themeFillShade="99"/>
      </w:tcPr>
    </w:tblStylePr>
    <w:tblStylePr w:type="band1Vert">
      <w:tblPr/>
      <w:tcPr>
        <w:shd w:val="clear" w:color="auto" w:fill="C7C8CA" w:themeFill="accent6" w:themeFillTint="66"/>
      </w:tcPr>
    </w:tblStylePr>
    <w:tblStylePr w:type="band1Horz">
      <w:tblPr/>
      <w:tcPr>
        <w:shd w:val="clear" w:color="auto" w:fill="B9BBBD"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F9113D"/>
    <w:rPr>
      <w:sz w:val="16"/>
      <w:szCs w:val="16"/>
      <w:lang w:val="en-AU"/>
    </w:rPr>
  </w:style>
  <w:style w:type="paragraph" w:styleId="CommentText">
    <w:name w:val="annotation text"/>
    <w:basedOn w:val="Normal"/>
    <w:link w:val="CommentTextChar"/>
    <w:uiPriority w:val="99"/>
    <w:rsid w:val="00F9113D"/>
    <w:pPr>
      <w:spacing w:line="240" w:lineRule="auto"/>
    </w:pPr>
    <w:rPr>
      <w:sz w:val="20"/>
      <w:szCs w:val="20"/>
    </w:rPr>
  </w:style>
  <w:style w:type="character" w:customStyle="1" w:styleId="CommentTextChar">
    <w:name w:val="Comment Text Char"/>
    <w:basedOn w:val="DefaultParagraphFont"/>
    <w:link w:val="CommentText"/>
    <w:uiPriority w:val="99"/>
    <w:rsid w:val="00F9113D"/>
    <w:rPr>
      <w:sz w:val="20"/>
      <w:szCs w:val="20"/>
      <w:lang w:val="en-AU"/>
    </w:rPr>
  </w:style>
  <w:style w:type="paragraph" w:styleId="CommentSubject">
    <w:name w:val="annotation subject"/>
    <w:basedOn w:val="CommentText"/>
    <w:next w:val="CommentText"/>
    <w:link w:val="CommentSubjectChar"/>
    <w:uiPriority w:val="99"/>
    <w:semiHidden/>
    <w:rsid w:val="00F9113D"/>
    <w:rPr>
      <w:b/>
      <w:bCs/>
    </w:rPr>
  </w:style>
  <w:style w:type="character" w:customStyle="1" w:styleId="CommentSubjectChar">
    <w:name w:val="Comment Subject Char"/>
    <w:basedOn w:val="CommentTextChar"/>
    <w:link w:val="CommentSubject"/>
    <w:uiPriority w:val="99"/>
    <w:semiHidden/>
    <w:rsid w:val="00F9113D"/>
    <w:rPr>
      <w:b/>
      <w:bCs/>
      <w:sz w:val="20"/>
      <w:szCs w:val="20"/>
      <w:lang w:val="en-AU"/>
    </w:rPr>
  </w:style>
  <w:style w:type="table" w:styleId="DarkList">
    <w:name w:val="Dark List"/>
    <w:basedOn w:val="TableNormal"/>
    <w:uiPriority w:val="70"/>
    <w:rsid w:val="00F9113D"/>
    <w:pPr>
      <w:spacing w:line="240" w:lineRule="auto"/>
    </w:pPr>
    <w:rPr>
      <w:color w:val="FFFFFF" w:themeColor="background1"/>
      <w:lang w:val="en-AU"/>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F9113D"/>
    <w:pPr>
      <w:spacing w:line="240" w:lineRule="auto"/>
    </w:pPr>
    <w:rPr>
      <w:color w:val="FFFFFF" w:themeColor="background1"/>
      <w:lang w:val="en-AU"/>
    </w:rPr>
    <w:tblPr>
      <w:tblStyleRowBandSize w:val="1"/>
      <w:tblStyleColBandSize w:val="1"/>
    </w:tblPr>
    <w:tcPr>
      <w:shd w:val="clear" w:color="auto" w:fill="86BC2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5D1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38C1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38C1B" w:themeFill="accent1" w:themeFillShade="BF"/>
      </w:tcPr>
    </w:tblStylePr>
    <w:tblStylePr w:type="band1Vert">
      <w:tblPr/>
      <w:tcPr>
        <w:tcBorders>
          <w:top w:val="nil"/>
          <w:left w:val="nil"/>
          <w:bottom w:val="nil"/>
          <w:right w:val="nil"/>
          <w:insideH w:val="nil"/>
          <w:insideV w:val="nil"/>
        </w:tcBorders>
        <w:shd w:val="clear" w:color="auto" w:fill="638C1B" w:themeFill="accent1" w:themeFillShade="BF"/>
      </w:tcPr>
    </w:tblStylePr>
    <w:tblStylePr w:type="band1Horz">
      <w:tblPr/>
      <w:tcPr>
        <w:tcBorders>
          <w:top w:val="nil"/>
          <w:left w:val="nil"/>
          <w:bottom w:val="nil"/>
          <w:right w:val="nil"/>
          <w:insideH w:val="nil"/>
          <w:insideV w:val="nil"/>
        </w:tcBorders>
        <w:shd w:val="clear" w:color="auto" w:fill="638C1B" w:themeFill="accent1" w:themeFillShade="BF"/>
      </w:tcPr>
    </w:tblStylePr>
  </w:style>
  <w:style w:type="table" w:styleId="DarkList-Accent2">
    <w:name w:val="Dark List Accent 2"/>
    <w:basedOn w:val="TableNormal"/>
    <w:uiPriority w:val="70"/>
    <w:rsid w:val="00F9113D"/>
    <w:pPr>
      <w:spacing w:line="240" w:lineRule="auto"/>
    </w:pPr>
    <w:rPr>
      <w:color w:val="FFFFFF" w:themeColor="background1"/>
      <w:lang w:val="en-AU"/>
    </w:rPr>
    <w:tblPr>
      <w:tblStyleRowBandSize w:val="1"/>
      <w:tblStyleColBandSize w:val="1"/>
    </w:tblPr>
    <w:tcPr>
      <w:shd w:val="clear" w:color="auto" w:fill="046A38"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234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34F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34F29" w:themeFill="accent2" w:themeFillShade="BF"/>
      </w:tcPr>
    </w:tblStylePr>
    <w:tblStylePr w:type="band1Vert">
      <w:tblPr/>
      <w:tcPr>
        <w:tcBorders>
          <w:top w:val="nil"/>
          <w:left w:val="nil"/>
          <w:bottom w:val="nil"/>
          <w:right w:val="nil"/>
          <w:insideH w:val="nil"/>
          <w:insideV w:val="nil"/>
        </w:tcBorders>
        <w:shd w:val="clear" w:color="auto" w:fill="034F29" w:themeFill="accent2" w:themeFillShade="BF"/>
      </w:tcPr>
    </w:tblStylePr>
    <w:tblStylePr w:type="band1Horz">
      <w:tblPr/>
      <w:tcPr>
        <w:tcBorders>
          <w:top w:val="nil"/>
          <w:left w:val="nil"/>
          <w:bottom w:val="nil"/>
          <w:right w:val="nil"/>
          <w:insideH w:val="nil"/>
          <w:insideV w:val="nil"/>
        </w:tcBorders>
        <w:shd w:val="clear" w:color="auto" w:fill="034F29" w:themeFill="accent2" w:themeFillShade="BF"/>
      </w:tcPr>
    </w:tblStylePr>
  </w:style>
  <w:style w:type="table" w:styleId="DarkList-Accent3">
    <w:name w:val="Dark List Accent 3"/>
    <w:basedOn w:val="TableNormal"/>
    <w:uiPriority w:val="70"/>
    <w:rsid w:val="00F9113D"/>
    <w:pPr>
      <w:spacing w:line="240" w:lineRule="auto"/>
    </w:pPr>
    <w:rPr>
      <w:color w:val="FFFFFF" w:themeColor="background1"/>
      <w:lang w:val="en-AU"/>
    </w:rPr>
    <w:tblPr>
      <w:tblStyleRowBandSize w:val="1"/>
      <w:tblStyleColBandSize w:val="1"/>
    </w:tblPr>
    <w:tcPr>
      <w:shd w:val="clear" w:color="auto" w:fill="62B5E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7608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291D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291D1" w:themeFill="accent3" w:themeFillShade="BF"/>
      </w:tcPr>
    </w:tblStylePr>
    <w:tblStylePr w:type="band1Vert">
      <w:tblPr/>
      <w:tcPr>
        <w:tcBorders>
          <w:top w:val="nil"/>
          <w:left w:val="nil"/>
          <w:bottom w:val="nil"/>
          <w:right w:val="nil"/>
          <w:insideH w:val="nil"/>
          <w:insideV w:val="nil"/>
        </w:tcBorders>
        <w:shd w:val="clear" w:color="auto" w:fill="2291D1" w:themeFill="accent3" w:themeFillShade="BF"/>
      </w:tcPr>
    </w:tblStylePr>
    <w:tblStylePr w:type="band1Horz">
      <w:tblPr/>
      <w:tcPr>
        <w:tcBorders>
          <w:top w:val="nil"/>
          <w:left w:val="nil"/>
          <w:bottom w:val="nil"/>
          <w:right w:val="nil"/>
          <w:insideH w:val="nil"/>
          <w:insideV w:val="nil"/>
        </w:tcBorders>
        <w:shd w:val="clear" w:color="auto" w:fill="2291D1" w:themeFill="accent3" w:themeFillShade="BF"/>
      </w:tcPr>
    </w:tblStylePr>
  </w:style>
  <w:style w:type="table" w:styleId="DarkList-Accent4">
    <w:name w:val="Dark List Accent 4"/>
    <w:basedOn w:val="TableNormal"/>
    <w:uiPriority w:val="70"/>
    <w:rsid w:val="00F9113D"/>
    <w:pPr>
      <w:spacing w:line="240" w:lineRule="auto"/>
    </w:pPr>
    <w:rPr>
      <w:color w:val="FFFFFF" w:themeColor="background1"/>
      <w:lang w:val="en-AU"/>
    </w:rPr>
    <w:tblPr>
      <w:tblStyleRowBandSize w:val="1"/>
      <w:tblStyleColBandSize w:val="1"/>
    </w:tblPr>
    <w:tcPr>
      <w:shd w:val="clear" w:color="auto" w:fill="012169"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103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184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184E" w:themeFill="accent4" w:themeFillShade="BF"/>
      </w:tcPr>
    </w:tblStylePr>
    <w:tblStylePr w:type="band1Vert">
      <w:tblPr/>
      <w:tcPr>
        <w:tcBorders>
          <w:top w:val="nil"/>
          <w:left w:val="nil"/>
          <w:bottom w:val="nil"/>
          <w:right w:val="nil"/>
          <w:insideH w:val="nil"/>
          <w:insideV w:val="nil"/>
        </w:tcBorders>
        <w:shd w:val="clear" w:color="auto" w:fill="00184E" w:themeFill="accent4" w:themeFillShade="BF"/>
      </w:tcPr>
    </w:tblStylePr>
    <w:tblStylePr w:type="band1Horz">
      <w:tblPr/>
      <w:tcPr>
        <w:tcBorders>
          <w:top w:val="nil"/>
          <w:left w:val="nil"/>
          <w:bottom w:val="nil"/>
          <w:right w:val="nil"/>
          <w:insideH w:val="nil"/>
          <w:insideV w:val="nil"/>
        </w:tcBorders>
        <w:shd w:val="clear" w:color="auto" w:fill="00184E" w:themeFill="accent4" w:themeFillShade="BF"/>
      </w:tcPr>
    </w:tblStylePr>
  </w:style>
  <w:style w:type="table" w:styleId="DarkList-Accent5">
    <w:name w:val="Dark List Accent 5"/>
    <w:basedOn w:val="TableNormal"/>
    <w:uiPriority w:val="70"/>
    <w:rsid w:val="00F9113D"/>
    <w:pPr>
      <w:spacing w:line="240" w:lineRule="auto"/>
    </w:pPr>
    <w:rPr>
      <w:color w:val="FFFFFF" w:themeColor="background1"/>
      <w:lang w:val="en-AU"/>
    </w:rPr>
    <w:tblPr>
      <w:tblStyleRowBandSize w:val="1"/>
      <w:tblStyleColBandSize w:val="1"/>
    </w:tblPr>
    <w:tcPr>
      <w:shd w:val="clear" w:color="auto" w:fill="0097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54"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00707E"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00707E" w:themeFill="accent5" w:themeFillShade="BF"/>
      </w:tcPr>
    </w:tblStylePr>
    <w:tblStylePr w:type="band1Vert">
      <w:tblPr/>
      <w:tcPr>
        <w:tcBorders>
          <w:top w:val="nil"/>
          <w:left w:val="nil"/>
          <w:bottom w:val="nil"/>
          <w:right w:val="nil"/>
          <w:insideH w:val="nil"/>
          <w:insideV w:val="nil"/>
        </w:tcBorders>
        <w:shd w:val="clear" w:color="auto" w:fill="00707E" w:themeFill="accent5" w:themeFillShade="BF"/>
      </w:tcPr>
    </w:tblStylePr>
    <w:tblStylePr w:type="band1Horz">
      <w:tblPr/>
      <w:tcPr>
        <w:tcBorders>
          <w:top w:val="nil"/>
          <w:left w:val="nil"/>
          <w:bottom w:val="nil"/>
          <w:right w:val="nil"/>
          <w:insideH w:val="nil"/>
          <w:insideV w:val="nil"/>
        </w:tcBorders>
        <w:shd w:val="clear" w:color="auto" w:fill="00707E" w:themeFill="accent5" w:themeFillShade="BF"/>
      </w:tcPr>
    </w:tblStylePr>
  </w:style>
  <w:style w:type="table" w:styleId="DarkList-Accent6">
    <w:name w:val="Dark List Accent 6"/>
    <w:basedOn w:val="TableNormal"/>
    <w:uiPriority w:val="70"/>
    <w:rsid w:val="00F9113D"/>
    <w:pPr>
      <w:spacing w:line="240" w:lineRule="auto"/>
    </w:pPr>
    <w:rPr>
      <w:color w:val="FFFFFF" w:themeColor="background1"/>
      <w:lang w:val="en-AU"/>
    </w:rPr>
    <w:tblPr>
      <w:tblStyleRowBandSize w:val="1"/>
      <w:tblStyleColBandSize w:val="1"/>
    </w:tblPr>
    <w:tcPr>
      <w:shd w:val="clear" w:color="auto" w:fill="75787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3B3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7595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7595C" w:themeFill="accent6" w:themeFillShade="BF"/>
      </w:tcPr>
    </w:tblStylePr>
    <w:tblStylePr w:type="band1Vert">
      <w:tblPr/>
      <w:tcPr>
        <w:tcBorders>
          <w:top w:val="nil"/>
          <w:left w:val="nil"/>
          <w:bottom w:val="nil"/>
          <w:right w:val="nil"/>
          <w:insideH w:val="nil"/>
          <w:insideV w:val="nil"/>
        </w:tcBorders>
        <w:shd w:val="clear" w:color="auto" w:fill="57595C" w:themeFill="accent6" w:themeFillShade="BF"/>
      </w:tcPr>
    </w:tblStylePr>
    <w:tblStylePr w:type="band1Horz">
      <w:tblPr/>
      <w:tcPr>
        <w:tcBorders>
          <w:top w:val="nil"/>
          <w:left w:val="nil"/>
          <w:bottom w:val="nil"/>
          <w:right w:val="nil"/>
          <w:insideH w:val="nil"/>
          <w:insideV w:val="nil"/>
        </w:tcBorders>
        <w:shd w:val="clear" w:color="auto" w:fill="57595C" w:themeFill="accent6" w:themeFillShade="BF"/>
      </w:tcPr>
    </w:tblStylePr>
  </w:style>
  <w:style w:type="paragraph" w:styleId="Date">
    <w:name w:val="Date"/>
    <w:basedOn w:val="Normal"/>
    <w:next w:val="Normal"/>
    <w:link w:val="DateChar"/>
    <w:uiPriority w:val="99"/>
    <w:semiHidden/>
    <w:rsid w:val="00F9113D"/>
  </w:style>
  <w:style w:type="character" w:customStyle="1" w:styleId="DateChar">
    <w:name w:val="Date Char"/>
    <w:basedOn w:val="DefaultParagraphFont"/>
    <w:link w:val="Date"/>
    <w:uiPriority w:val="99"/>
    <w:semiHidden/>
    <w:rsid w:val="00F9113D"/>
    <w:rPr>
      <w:lang w:val="en-AU"/>
    </w:rPr>
  </w:style>
  <w:style w:type="paragraph" w:styleId="DocumentMap">
    <w:name w:val="Document Map"/>
    <w:basedOn w:val="Normal"/>
    <w:link w:val="DocumentMapChar"/>
    <w:uiPriority w:val="99"/>
    <w:semiHidden/>
    <w:rsid w:val="00F9113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113D"/>
    <w:rPr>
      <w:rFonts w:ascii="Tahoma" w:hAnsi="Tahoma" w:cs="Tahoma"/>
      <w:sz w:val="16"/>
      <w:szCs w:val="16"/>
      <w:lang w:val="en-AU"/>
    </w:rPr>
  </w:style>
  <w:style w:type="paragraph" w:styleId="E-mailSignature">
    <w:name w:val="E-mail Signature"/>
    <w:basedOn w:val="Normal"/>
    <w:link w:val="E-mailSignatureChar"/>
    <w:uiPriority w:val="99"/>
    <w:semiHidden/>
    <w:rsid w:val="00F9113D"/>
    <w:pPr>
      <w:spacing w:line="240" w:lineRule="auto"/>
    </w:pPr>
  </w:style>
  <w:style w:type="character" w:customStyle="1" w:styleId="E-mailSignatureChar">
    <w:name w:val="E-mail Signature Char"/>
    <w:basedOn w:val="DefaultParagraphFont"/>
    <w:link w:val="E-mailSignature"/>
    <w:uiPriority w:val="99"/>
    <w:semiHidden/>
    <w:rsid w:val="00F9113D"/>
    <w:rPr>
      <w:lang w:val="en-AU"/>
    </w:rPr>
  </w:style>
  <w:style w:type="character" w:styleId="Emphasis">
    <w:name w:val="Emphasis"/>
    <w:basedOn w:val="DefaultParagraphFont"/>
    <w:uiPriority w:val="20"/>
    <w:qFormat/>
    <w:rsid w:val="0014533D"/>
    <w:rPr>
      <w:b/>
      <w:i w:val="0"/>
      <w:iCs/>
      <w:color w:val="00ABAB"/>
      <w:lang w:val="en-AU"/>
    </w:rPr>
  </w:style>
  <w:style w:type="character" w:styleId="EndnoteReference">
    <w:name w:val="endnote reference"/>
    <w:basedOn w:val="DefaultParagraphFont"/>
    <w:uiPriority w:val="99"/>
    <w:semiHidden/>
    <w:rsid w:val="00F9113D"/>
    <w:rPr>
      <w:vertAlign w:val="superscript"/>
      <w:lang w:val="en-AU"/>
    </w:rPr>
  </w:style>
  <w:style w:type="paragraph" w:styleId="EndnoteText">
    <w:name w:val="endnote text"/>
    <w:basedOn w:val="Normal"/>
    <w:link w:val="EndnoteTextChar"/>
    <w:uiPriority w:val="99"/>
    <w:rsid w:val="00F9113D"/>
    <w:pPr>
      <w:spacing w:line="240" w:lineRule="auto"/>
    </w:pPr>
    <w:rPr>
      <w:sz w:val="20"/>
      <w:szCs w:val="20"/>
    </w:rPr>
  </w:style>
  <w:style w:type="character" w:customStyle="1" w:styleId="EndnoteTextChar">
    <w:name w:val="Endnote Text Char"/>
    <w:basedOn w:val="DefaultParagraphFont"/>
    <w:link w:val="EndnoteText"/>
    <w:uiPriority w:val="99"/>
    <w:rsid w:val="00F9113D"/>
    <w:rPr>
      <w:sz w:val="20"/>
      <w:szCs w:val="20"/>
      <w:lang w:val="en-AU"/>
    </w:rPr>
  </w:style>
  <w:style w:type="paragraph" w:styleId="EnvelopeAddress">
    <w:name w:val="envelope address"/>
    <w:basedOn w:val="Normal"/>
    <w:uiPriority w:val="99"/>
    <w:semiHidden/>
    <w:rsid w:val="00F9113D"/>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F9113D"/>
    <w:pPr>
      <w:spacing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rsid w:val="00F9113D"/>
    <w:rPr>
      <w:color w:val="53565A"/>
      <w:u w:val="single"/>
      <w:lang w:val="en-AU"/>
    </w:rPr>
  </w:style>
  <w:style w:type="character" w:customStyle="1" w:styleId="Heading5Char">
    <w:name w:val="Heading 5 Char"/>
    <w:basedOn w:val="DefaultParagraphFont"/>
    <w:link w:val="Heading5"/>
    <w:uiPriority w:val="1"/>
    <w:rsid w:val="00C50447"/>
    <w:rPr>
      <w:rFonts w:ascii="Calibri" w:eastAsiaTheme="majorEastAsia" w:hAnsi="Calibri" w:cstheme="majorBidi"/>
      <w:b/>
      <w:color w:val="6FC2B4"/>
      <w:sz w:val="19"/>
      <w:lang w:val="en-AU"/>
    </w:rPr>
  </w:style>
  <w:style w:type="character" w:customStyle="1" w:styleId="Heading6Char">
    <w:name w:val="Heading 6 Char"/>
    <w:basedOn w:val="DefaultParagraphFont"/>
    <w:link w:val="Heading6"/>
    <w:uiPriority w:val="1"/>
    <w:semiHidden/>
    <w:rsid w:val="00F9113D"/>
    <w:rPr>
      <w:rFonts w:eastAsiaTheme="majorEastAsia" w:cstheme="majorBidi"/>
      <w:b/>
      <w:iCs/>
      <w:lang w:val="en-AU"/>
    </w:rPr>
  </w:style>
  <w:style w:type="character" w:customStyle="1" w:styleId="Heading7Char">
    <w:name w:val="Heading 7 Char"/>
    <w:basedOn w:val="DefaultParagraphFont"/>
    <w:link w:val="Heading7"/>
    <w:uiPriority w:val="1"/>
    <w:semiHidden/>
    <w:rsid w:val="00F9113D"/>
    <w:rPr>
      <w:rFonts w:eastAsiaTheme="majorEastAsia" w:cstheme="majorBidi"/>
      <w:b/>
      <w:iCs/>
      <w:lang w:val="en-AU"/>
    </w:rPr>
  </w:style>
  <w:style w:type="character" w:customStyle="1" w:styleId="Heading8Char">
    <w:name w:val="Heading 8 Char"/>
    <w:basedOn w:val="DefaultParagraphFont"/>
    <w:link w:val="Heading8"/>
    <w:uiPriority w:val="1"/>
    <w:semiHidden/>
    <w:rsid w:val="00F9113D"/>
    <w:rPr>
      <w:rFonts w:eastAsiaTheme="majorEastAsia" w:cstheme="majorBidi"/>
      <w:b/>
      <w:szCs w:val="20"/>
      <w:lang w:val="en-AU"/>
    </w:rPr>
  </w:style>
  <w:style w:type="character" w:customStyle="1" w:styleId="Heading9Char">
    <w:name w:val="Heading 9 Char"/>
    <w:basedOn w:val="DefaultParagraphFont"/>
    <w:link w:val="Heading9"/>
    <w:uiPriority w:val="1"/>
    <w:semiHidden/>
    <w:rsid w:val="00F9113D"/>
    <w:rPr>
      <w:rFonts w:eastAsiaTheme="majorEastAsia" w:cstheme="majorBidi"/>
      <w:b/>
      <w:iCs/>
      <w:szCs w:val="20"/>
      <w:lang w:val="en-AU"/>
    </w:rPr>
  </w:style>
  <w:style w:type="character" w:styleId="HTMLAcronym">
    <w:name w:val="HTML Acronym"/>
    <w:basedOn w:val="DefaultParagraphFont"/>
    <w:uiPriority w:val="99"/>
    <w:semiHidden/>
    <w:rsid w:val="00F9113D"/>
    <w:rPr>
      <w:lang w:val="en-AU"/>
    </w:rPr>
  </w:style>
  <w:style w:type="paragraph" w:styleId="HTMLAddress">
    <w:name w:val="HTML Address"/>
    <w:basedOn w:val="Normal"/>
    <w:link w:val="HTMLAddressChar"/>
    <w:uiPriority w:val="99"/>
    <w:semiHidden/>
    <w:rsid w:val="00F9113D"/>
    <w:pPr>
      <w:spacing w:line="240" w:lineRule="auto"/>
    </w:pPr>
    <w:rPr>
      <w:i/>
      <w:iCs/>
    </w:rPr>
  </w:style>
  <w:style w:type="character" w:customStyle="1" w:styleId="HTMLAddressChar">
    <w:name w:val="HTML Address Char"/>
    <w:basedOn w:val="DefaultParagraphFont"/>
    <w:link w:val="HTMLAddress"/>
    <w:uiPriority w:val="99"/>
    <w:semiHidden/>
    <w:rsid w:val="00F9113D"/>
    <w:rPr>
      <w:i/>
      <w:iCs/>
      <w:lang w:val="en-AU"/>
    </w:rPr>
  </w:style>
  <w:style w:type="character" w:styleId="HTMLCite">
    <w:name w:val="HTML Cite"/>
    <w:basedOn w:val="DefaultParagraphFont"/>
    <w:uiPriority w:val="99"/>
    <w:semiHidden/>
    <w:rsid w:val="00F9113D"/>
    <w:rPr>
      <w:i/>
      <w:iCs/>
      <w:lang w:val="en-AU"/>
    </w:rPr>
  </w:style>
  <w:style w:type="character" w:styleId="HTMLCode">
    <w:name w:val="HTML Code"/>
    <w:basedOn w:val="DefaultParagraphFont"/>
    <w:uiPriority w:val="99"/>
    <w:semiHidden/>
    <w:rsid w:val="00F9113D"/>
    <w:rPr>
      <w:rFonts w:ascii="Consolas" w:hAnsi="Consolas"/>
      <w:sz w:val="20"/>
      <w:szCs w:val="20"/>
      <w:lang w:val="en-AU"/>
    </w:rPr>
  </w:style>
  <w:style w:type="character" w:styleId="HTMLDefinition">
    <w:name w:val="HTML Definition"/>
    <w:basedOn w:val="DefaultParagraphFont"/>
    <w:uiPriority w:val="99"/>
    <w:semiHidden/>
    <w:rsid w:val="00F9113D"/>
    <w:rPr>
      <w:i/>
      <w:iCs/>
      <w:lang w:val="en-AU"/>
    </w:rPr>
  </w:style>
  <w:style w:type="character" w:styleId="HTMLKeyboard">
    <w:name w:val="HTML Keyboard"/>
    <w:basedOn w:val="DefaultParagraphFont"/>
    <w:uiPriority w:val="99"/>
    <w:semiHidden/>
    <w:rsid w:val="00F9113D"/>
    <w:rPr>
      <w:rFonts w:ascii="Consolas" w:hAnsi="Consolas"/>
      <w:sz w:val="20"/>
      <w:szCs w:val="20"/>
      <w:lang w:val="en-AU"/>
    </w:rPr>
  </w:style>
  <w:style w:type="paragraph" w:styleId="HTMLPreformatted">
    <w:name w:val="HTML Preformatted"/>
    <w:basedOn w:val="Normal"/>
    <w:link w:val="HTMLPreformattedChar"/>
    <w:uiPriority w:val="99"/>
    <w:semiHidden/>
    <w:rsid w:val="00F9113D"/>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9113D"/>
    <w:rPr>
      <w:rFonts w:ascii="Consolas" w:hAnsi="Consolas"/>
      <w:sz w:val="20"/>
      <w:szCs w:val="20"/>
      <w:lang w:val="en-AU"/>
    </w:rPr>
  </w:style>
  <w:style w:type="character" w:styleId="HTMLSample">
    <w:name w:val="HTML Sample"/>
    <w:basedOn w:val="DefaultParagraphFont"/>
    <w:uiPriority w:val="99"/>
    <w:semiHidden/>
    <w:rsid w:val="00F9113D"/>
    <w:rPr>
      <w:rFonts w:ascii="Consolas" w:hAnsi="Consolas"/>
      <w:sz w:val="24"/>
      <w:szCs w:val="24"/>
      <w:lang w:val="en-AU"/>
    </w:rPr>
  </w:style>
  <w:style w:type="character" w:styleId="HTMLTypewriter">
    <w:name w:val="HTML Typewriter"/>
    <w:basedOn w:val="DefaultParagraphFont"/>
    <w:uiPriority w:val="99"/>
    <w:semiHidden/>
    <w:rsid w:val="00F9113D"/>
    <w:rPr>
      <w:rFonts w:ascii="Consolas" w:hAnsi="Consolas"/>
      <w:sz w:val="20"/>
      <w:szCs w:val="20"/>
      <w:lang w:val="en-AU"/>
    </w:rPr>
  </w:style>
  <w:style w:type="character" w:styleId="HTMLVariable">
    <w:name w:val="HTML Variable"/>
    <w:basedOn w:val="DefaultParagraphFont"/>
    <w:uiPriority w:val="99"/>
    <w:semiHidden/>
    <w:rsid w:val="00F9113D"/>
    <w:rPr>
      <w:i/>
      <w:iCs/>
      <w:lang w:val="en-AU"/>
    </w:rPr>
  </w:style>
  <w:style w:type="paragraph" w:styleId="Index1">
    <w:name w:val="index 1"/>
    <w:basedOn w:val="Normal"/>
    <w:next w:val="Normal"/>
    <w:autoRedefine/>
    <w:uiPriority w:val="99"/>
    <w:semiHidden/>
    <w:rsid w:val="00F9113D"/>
    <w:pPr>
      <w:spacing w:line="240" w:lineRule="auto"/>
      <w:ind w:left="180" w:hanging="180"/>
    </w:pPr>
  </w:style>
  <w:style w:type="paragraph" w:styleId="Index2">
    <w:name w:val="index 2"/>
    <w:basedOn w:val="Normal"/>
    <w:next w:val="Normal"/>
    <w:autoRedefine/>
    <w:uiPriority w:val="99"/>
    <w:semiHidden/>
    <w:rsid w:val="00F9113D"/>
    <w:pPr>
      <w:spacing w:line="240" w:lineRule="auto"/>
      <w:ind w:left="360" w:hanging="180"/>
    </w:pPr>
  </w:style>
  <w:style w:type="paragraph" w:styleId="Index3">
    <w:name w:val="index 3"/>
    <w:basedOn w:val="Normal"/>
    <w:next w:val="Normal"/>
    <w:autoRedefine/>
    <w:uiPriority w:val="99"/>
    <w:semiHidden/>
    <w:rsid w:val="00F9113D"/>
    <w:pPr>
      <w:spacing w:line="240" w:lineRule="auto"/>
      <w:ind w:left="540" w:hanging="180"/>
    </w:pPr>
  </w:style>
  <w:style w:type="paragraph" w:styleId="Index4">
    <w:name w:val="index 4"/>
    <w:basedOn w:val="Normal"/>
    <w:next w:val="Normal"/>
    <w:autoRedefine/>
    <w:uiPriority w:val="99"/>
    <w:semiHidden/>
    <w:rsid w:val="00F9113D"/>
    <w:pPr>
      <w:spacing w:line="240" w:lineRule="auto"/>
      <w:ind w:left="720" w:hanging="180"/>
    </w:pPr>
  </w:style>
  <w:style w:type="paragraph" w:styleId="Index5">
    <w:name w:val="index 5"/>
    <w:basedOn w:val="Normal"/>
    <w:next w:val="Normal"/>
    <w:autoRedefine/>
    <w:uiPriority w:val="99"/>
    <w:semiHidden/>
    <w:rsid w:val="00F9113D"/>
    <w:pPr>
      <w:spacing w:line="240" w:lineRule="auto"/>
      <w:ind w:left="900" w:hanging="180"/>
    </w:pPr>
  </w:style>
  <w:style w:type="paragraph" w:styleId="Index6">
    <w:name w:val="index 6"/>
    <w:basedOn w:val="Normal"/>
    <w:next w:val="Normal"/>
    <w:autoRedefine/>
    <w:uiPriority w:val="99"/>
    <w:semiHidden/>
    <w:rsid w:val="00F9113D"/>
    <w:pPr>
      <w:spacing w:line="240" w:lineRule="auto"/>
      <w:ind w:left="1080" w:hanging="180"/>
    </w:pPr>
  </w:style>
  <w:style w:type="paragraph" w:styleId="Index7">
    <w:name w:val="index 7"/>
    <w:basedOn w:val="Normal"/>
    <w:next w:val="Normal"/>
    <w:autoRedefine/>
    <w:uiPriority w:val="99"/>
    <w:semiHidden/>
    <w:rsid w:val="00F9113D"/>
    <w:pPr>
      <w:spacing w:line="240" w:lineRule="auto"/>
      <w:ind w:left="1260" w:hanging="180"/>
    </w:pPr>
  </w:style>
  <w:style w:type="paragraph" w:styleId="Index8">
    <w:name w:val="index 8"/>
    <w:basedOn w:val="Normal"/>
    <w:next w:val="Normal"/>
    <w:autoRedefine/>
    <w:uiPriority w:val="99"/>
    <w:semiHidden/>
    <w:rsid w:val="00F9113D"/>
    <w:pPr>
      <w:spacing w:line="240" w:lineRule="auto"/>
      <w:ind w:left="1440" w:hanging="180"/>
    </w:pPr>
  </w:style>
  <w:style w:type="paragraph" w:styleId="Index9">
    <w:name w:val="index 9"/>
    <w:basedOn w:val="Normal"/>
    <w:next w:val="Normal"/>
    <w:autoRedefine/>
    <w:uiPriority w:val="99"/>
    <w:semiHidden/>
    <w:rsid w:val="00F9113D"/>
    <w:pPr>
      <w:spacing w:line="240" w:lineRule="auto"/>
      <w:ind w:left="1620" w:hanging="180"/>
    </w:pPr>
  </w:style>
  <w:style w:type="paragraph" w:styleId="IndexHeading">
    <w:name w:val="index heading"/>
    <w:basedOn w:val="Normal"/>
    <w:next w:val="Index1"/>
    <w:uiPriority w:val="99"/>
    <w:semiHidden/>
    <w:rsid w:val="00F9113D"/>
    <w:rPr>
      <w:rFonts w:asciiTheme="majorHAnsi" w:eastAsiaTheme="majorEastAsia" w:hAnsiTheme="majorHAnsi" w:cstheme="majorBidi"/>
      <w:b/>
      <w:bCs/>
    </w:rPr>
  </w:style>
  <w:style w:type="character" w:styleId="IntenseEmphasis">
    <w:name w:val="Intense Emphasis"/>
    <w:basedOn w:val="DefaultParagraphFont"/>
    <w:uiPriority w:val="21"/>
    <w:qFormat/>
    <w:rsid w:val="00F9113D"/>
    <w:rPr>
      <w:b/>
      <w:bCs/>
      <w:i/>
      <w:iCs/>
      <w:color w:val="86BC25" w:themeColor="accent1"/>
      <w:lang w:val="en-AU"/>
    </w:rPr>
  </w:style>
  <w:style w:type="paragraph" w:styleId="IntenseQuote">
    <w:name w:val="Intense Quote"/>
    <w:basedOn w:val="Normal"/>
    <w:next w:val="Normal"/>
    <w:link w:val="IntenseQuoteChar"/>
    <w:uiPriority w:val="30"/>
    <w:qFormat/>
    <w:rsid w:val="00F9113D"/>
    <w:pPr>
      <w:pBdr>
        <w:bottom w:val="single" w:sz="4" w:space="4" w:color="86BC25" w:themeColor="accent1"/>
      </w:pBdr>
      <w:spacing w:before="200" w:after="280"/>
      <w:ind w:left="936" w:right="936"/>
    </w:pPr>
    <w:rPr>
      <w:b/>
      <w:bCs/>
      <w:i/>
      <w:iCs/>
      <w:color w:val="86BC25" w:themeColor="accent1"/>
    </w:rPr>
  </w:style>
  <w:style w:type="character" w:customStyle="1" w:styleId="IntenseQuoteChar">
    <w:name w:val="Intense Quote Char"/>
    <w:basedOn w:val="DefaultParagraphFont"/>
    <w:link w:val="IntenseQuote"/>
    <w:uiPriority w:val="30"/>
    <w:rsid w:val="00F9113D"/>
    <w:rPr>
      <w:b/>
      <w:bCs/>
      <w:i/>
      <w:iCs/>
      <w:color w:val="86BC25" w:themeColor="accent1"/>
      <w:lang w:val="en-AU"/>
    </w:rPr>
  </w:style>
  <w:style w:type="character" w:styleId="IntenseReference">
    <w:name w:val="Intense Reference"/>
    <w:basedOn w:val="DefaultParagraphFont"/>
    <w:uiPriority w:val="99"/>
    <w:qFormat/>
    <w:rsid w:val="00F9113D"/>
    <w:rPr>
      <w:b/>
      <w:bCs/>
      <w:smallCaps/>
      <w:color w:val="046A38" w:themeColor="accent2"/>
      <w:spacing w:val="5"/>
      <w:u w:val="single"/>
      <w:lang w:val="en-AU"/>
    </w:rPr>
  </w:style>
  <w:style w:type="table" w:styleId="LightGrid">
    <w:name w:val="Light Grid"/>
    <w:basedOn w:val="TableNormal"/>
    <w:uiPriority w:val="62"/>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18" w:space="0" w:color="86BC25" w:themeColor="accent1"/>
          <w:right w:val="single" w:sz="8" w:space="0" w:color="86BC25" w:themeColor="accent1"/>
          <w:insideH w:val="nil"/>
          <w:insideV w:val="single" w:sz="8" w:space="0" w:color="86BC2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insideH w:val="nil"/>
          <w:insideV w:val="single" w:sz="8" w:space="0" w:color="86BC2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shd w:val="clear" w:color="auto" w:fill="E2F3C3" w:themeFill="accent1" w:themeFillTint="3F"/>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shd w:val="clear" w:color="auto" w:fill="E2F3C3" w:themeFill="accent1" w:themeFillTint="3F"/>
      </w:tcPr>
    </w:tblStylePr>
    <w:tblStylePr w:type="band2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insideV w:val="single" w:sz="8" w:space="0" w:color="86BC25" w:themeColor="accent1"/>
        </w:tcBorders>
      </w:tcPr>
    </w:tblStylePr>
  </w:style>
  <w:style w:type="table" w:styleId="LightGrid-Accent2">
    <w:name w:val="Light Grid Accent 2"/>
    <w:basedOn w:val="TableNormal"/>
    <w:uiPriority w:val="62"/>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18" w:space="0" w:color="046A38" w:themeColor="accent2"/>
          <w:right w:val="single" w:sz="8" w:space="0" w:color="046A38" w:themeColor="accent2"/>
          <w:insideH w:val="nil"/>
          <w:insideV w:val="single" w:sz="8" w:space="0" w:color="046A38"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insideH w:val="nil"/>
          <w:insideV w:val="single" w:sz="8" w:space="0" w:color="046A38"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shd w:val="clear" w:color="auto" w:fill="9FFBCE" w:themeFill="accent2" w:themeFillTint="3F"/>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shd w:val="clear" w:color="auto" w:fill="9FFBCE" w:themeFill="accent2" w:themeFillTint="3F"/>
      </w:tcPr>
    </w:tblStylePr>
    <w:tblStylePr w:type="band2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insideV w:val="single" w:sz="8" w:space="0" w:color="046A38" w:themeColor="accent2"/>
        </w:tcBorders>
      </w:tcPr>
    </w:tblStylePr>
  </w:style>
  <w:style w:type="table" w:styleId="LightGrid-Accent3">
    <w:name w:val="Light Grid Accent 3"/>
    <w:basedOn w:val="TableNormal"/>
    <w:uiPriority w:val="62"/>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18" w:space="0" w:color="62B5E5" w:themeColor="accent3"/>
          <w:right w:val="single" w:sz="8" w:space="0" w:color="62B5E5" w:themeColor="accent3"/>
          <w:insideH w:val="nil"/>
          <w:insideV w:val="single" w:sz="8" w:space="0" w:color="62B5E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insideH w:val="nil"/>
          <w:insideV w:val="single" w:sz="8" w:space="0" w:color="62B5E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shd w:val="clear" w:color="auto" w:fill="D8ECF8" w:themeFill="accent3" w:themeFillTint="3F"/>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shd w:val="clear" w:color="auto" w:fill="D8ECF8" w:themeFill="accent3" w:themeFillTint="3F"/>
      </w:tcPr>
    </w:tblStylePr>
    <w:tblStylePr w:type="band2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insideV w:val="single" w:sz="8" w:space="0" w:color="62B5E5" w:themeColor="accent3"/>
        </w:tcBorders>
      </w:tcPr>
    </w:tblStylePr>
  </w:style>
  <w:style w:type="table" w:styleId="LightGrid-Accent4">
    <w:name w:val="Light Grid Accent 4"/>
    <w:basedOn w:val="TableNormal"/>
    <w:uiPriority w:val="62"/>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18" w:space="0" w:color="012169" w:themeColor="accent4"/>
          <w:right w:val="single" w:sz="8" w:space="0" w:color="012169" w:themeColor="accent4"/>
          <w:insideH w:val="nil"/>
          <w:insideV w:val="single" w:sz="8" w:space="0" w:color="012169"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insideH w:val="nil"/>
          <w:insideV w:val="single" w:sz="8" w:space="0" w:color="012169"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shd w:val="clear" w:color="auto" w:fill="9BB9FE" w:themeFill="accent4" w:themeFillTint="3F"/>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shd w:val="clear" w:color="auto" w:fill="9BB9FE" w:themeFill="accent4" w:themeFillTint="3F"/>
      </w:tcPr>
    </w:tblStylePr>
    <w:tblStylePr w:type="band2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insideV w:val="single" w:sz="8" w:space="0" w:color="012169" w:themeColor="accent4"/>
        </w:tcBorders>
      </w:tcPr>
    </w:tblStylePr>
  </w:style>
  <w:style w:type="table" w:styleId="LightGrid-Accent5">
    <w:name w:val="Light Grid Accent 5"/>
    <w:basedOn w:val="TableNormal"/>
    <w:uiPriority w:val="62"/>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18" w:space="0" w:color="0097A9" w:themeColor="accent5"/>
          <w:right w:val="single" w:sz="8" w:space="0" w:color="0097A9" w:themeColor="accent5"/>
          <w:insideH w:val="nil"/>
          <w:insideV w:val="single" w:sz="8" w:space="0" w:color="0097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insideH w:val="nil"/>
          <w:insideV w:val="single" w:sz="8" w:space="0" w:color="0097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shd w:val="clear" w:color="auto" w:fill="AAF5FF" w:themeFill="accent5" w:themeFillTint="3F"/>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shd w:val="clear" w:color="auto" w:fill="AAF5FF" w:themeFill="accent5" w:themeFillTint="3F"/>
      </w:tcPr>
    </w:tblStylePr>
    <w:tblStylePr w:type="band2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insideV w:val="single" w:sz="8" w:space="0" w:color="0097A9" w:themeColor="accent5"/>
        </w:tcBorders>
      </w:tcPr>
    </w:tblStylePr>
  </w:style>
  <w:style w:type="table" w:styleId="LightGrid-Accent6">
    <w:name w:val="Light Grid Accent 6"/>
    <w:basedOn w:val="TableNormal"/>
    <w:uiPriority w:val="62"/>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18" w:space="0" w:color="75787B" w:themeColor="accent6"/>
          <w:right w:val="single" w:sz="8" w:space="0" w:color="75787B" w:themeColor="accent6"/>
          <w:insideH w:val="nil"/>
          <w:insideV w:val="single" w:sz="8" w:space="0" w:color="75787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insideH w:val="nil"/>
          <w:insideV w:val="single" w:sz="8" w:space="0" w:color="75787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shd w:val="clear" w:color="auto" w:fill="DCDDDE" w:themeFill="accent6" w:themeFillTint="3F"/>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shd w:val="clear" w:color="auto" w:fill="DCDDDE" w:themeFill="accent6" w:themeFillTint="3F"/>
      </w:tcPr>
    </w:tblStylePr>
    <w:tblStylePr w:type="band2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insideV w:val="single" w:sz="8" w:space="0" w:color="75787B" w:themeColor="accent6"/>
        </w:tcBorders>
      </w:tcPr>
    </w:tblStylePr>
  </w:style>
  <w:style w:type="table" w:styleId="LightList">
    <w:name w:val="Light List"/>
    <w:basedOn w:val="TableNormal"/>
    <w:uiPriority w:val="61"/>
    <w:rsid w:val="00F9113D"/>
    <w:pPr>
      <w:spacing w:line="240" w:lineRule="auto"/>
    </w:pPr>
    <w:rPr>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9113D"/>
    <w:pPr>
      <w:spacing w:line="240" w:lineRule="auto"/>
    </w:pPr>
    <w:rPr>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pPr>
        <w:spacing w:before="0" w:after="0" w:line="240" w:lineRule="auto"/>
      </w:pPr>
      <w:rPr>
        <w:b/>
        <w:bCs/>
        <w:color w:val="FFFFFF" w:themeColor="background1"/>
      </w:rPr>
      <w:tblPr/>
      <w:tcPr>
        <w:shd w:val="clear" w:color="auto" w:fill="86BC25" w:themeFill="accent1"/>
      </w:tcPr>
    </w:tblStylePr>
    <w:tblStylePr w:type="lastRow">
      <w:pPr>
        <w:spacing w:before="0" w:after="0" w:line="240" w:lineRule="auto"/>
      </w:pPr>
      <w:rPr>
        <w:b/>
        <w:bCs/>
      </w:rPr>
      <w:tblPr/>
      <w:tcPr>
        <w:tcBorders>
          <w:top w:val="double" w:sz="6" w:space="0" w:color="86BC25" w:themeColor="accent1"/>
          <w:left w:val="single" w:sz="8" w:space="0" w:color="86BC25" w:themeColor="accent1"/>
          <w:bottom w:val="single" w:sz="8" w:space="0" w:color="86BC25" w:themeColor="accent1"/>
          <w:right w:val="single" w:sz="8" w:space="0" w:color="86BC25" w:themeColor="accent1"/>
        </w:tcBorders>
      </w:tcPr>
    </w:tblStylePr>
    <w:tblStylePr w:type="firstCol">
      <w:rPr>
        <w:b/>
        <w:bCs/>
      </w:rPr>
    </w:tblStylePr>
    <w:tblStylePr w:type="lastCol">
      <w:rPr>
        <w:b/>
        <w:bCs/>
      </w:rPr>
    </w:tblStylePr>
    <w:tblStylePr w:type="band1Vert">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tblStylePr w:type="band1Horz">
      <w:tblPr/>
      <w:tcPr>
        <w:tcBorders>
          <w:top w:val="single" w:sz="8" w:space="0" w:color="86BC25" w:themeColor="accent1"/>
          <w:left w:val="single" w:sz="8" w:space="0" w:color="86BC25" w:themeColor="accent1"/>
          <w:bottom w:val="single" w:sz="8" w:space="0" w:color="86BC25" w:themeColor="accent1"/>
          <w:right w:val="single" w:sz="8" w:space="0" w:color="86BC25" w:themeColor="accent1"/>
        </w:tcBorders>
      </w:tcPr>
    </w:tblStylePr>
  </w:style>
  <w:style w:type="table" w:styleId="LightList-Accent2">
    <w:name w:val="Light List Accent 2"/>
    <w:basedOn w:val="TableNormal"/>
    <w:uiPriority w:val="61"/>
    <w:rsid w:val="00F9113D"/>
    <w:pPr>
      <w:spacing w:line="240" w:lineRule="auto"/>
    </w:pPr>
    <w:rPr>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pPr>
        <w:spacing w:before="0" w:after="0" w:line="240" w:lineRule="auto"/>
      </w:pPr>
      <w:rPr>
        <w:b/>
        <w:bCs/>
        <w:color w:val="FFFFFF" w:themeColor="background1"/>
      </w:rPr>
      <w:tblPr/>
      <w:tcPr>
        <w:shd w:val="clear" w:color="auto" w:fill="046A38" w:themeFill="accent2"/>
      </w:tcPr>
    </w:tblStylePr>
    <w:tblStylePr w:type="lastRow">
      <w:pPr>
        <w:spacing w:before="0" w:after="0" w:line="240" w:lineRule="auto"/>
      </w:pPr>
      <w:rPr>
        <w:b/>
        <w:bCs/>
      </w:rPr>
      <w:tblPr/>
      <w:tcPr>
        <w:tcBorders>
          <w:top w:val="double" w:sz="6" w:space="0" w:color="046A38" w:themeColor="accent2"/>
          <w:left w:val="single" w:sz="8" w:space="0" w:color="046A38" w:themeColor="accent2"/>
          <w:bottom w:val="single" w:sz="8" w:space="0" w:color="046A38" w:themeColor="accent2"/>
          <w:right w:val="single" w:sz="8" w:space="0" w:color="046A38" w:themeColor="accent2"/>
        </w:tcBorders>
      </w:tcPr>
    </w:tblStylePr>
    <w:tblStylePr w:type="firstCol">
      <w:rPr>
        <w:b/>
        <w:bCs/>
      </w:rPr>
    </w:tblStylePr>
    <w:tblStylePr w:type="lastCol">
      <w:rPr>
        <w:b/>
        <w:bCs/>
      </w:rPr>
    </w:tblStylePr>
    <w:tblStylePr w:type="band1Vert">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tblStylePr w:type="band1Horz">
      <w:tblPr/>
      <w:tcPr>
        <w:tcBorders>
          <w:top w:val="single" w:sz="8" w:space="0" w:color="046A38" w:themeColor="accent2"/>
          <w:left w:val="single" w:sz="8" w:space="0" w:color="046A38" w:themeColor="accent2"/>
          <w:bottom w:val="single" w:sz="8" w:space="0" w:color="046A38" w:themeColor="accent2"/>
          <w:right w:val="single" w:sz="8" w:space="0" w:color="046A38" w:themeColor="accent2"/>
        </w:tcBorders>
      </w:tcPr>
    </w:tblStylePr>
  </w:style>
  <w:style w:type="table" w:styleId="LightList-Accent3">
    <w:name w:val="Light List Accent 3"/>
    <w:basedOn w:val="TableNormal"/>
    <w:uiPriority w:val="61"/>
    <w:rsid w:val="00F9113D"/>
    <w:pPr>
      <w:spacing w:line="240" w:lineRule="auto"/>
    </w:pPr>
    <w:rPr>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pPr>
        <w:spacing w:before="0" w:after="0" w:line="240" w:lineRule="auto"/>
      </w:pPr>
      <w:rPr>
        <w:b/>
        <w:bCs/>
        <w:color w:val="FFFFFF" w:themeColor="background1"/>
      </w:rPr>
      <w:tblPr/>
      <w:tcPr>
        <w:shd w:val="clear" w:color="auto" w:fill="62B5E5" w:themeFill="accent3"/>
      </w:tcPr>
    </w:tblStylePr>
    <w:tblStylePr w:type="lastRow">
      <w:pPr>
        <w:spacing w:before="0" w:after="0" w:line="240" w:lineRule="auto"/>
      </w:pPr>
      <w:rPr>
        <w:b/>
        <w:bCs/>
      </w:rPr>
      <w:tblPr/>
      <w:tcPr>
        <w:tcBorders>
          <w:top w:val="double" w:sz="6" w:space="0" w:color="62B5E5" w:themeColor="accent3"/>
          <w:left w:val="single" w:sz="8" w:space="0" w:color="62B5E5" w:themeColor="accent3"/>
          <w:bottom w:val="single" w:sz="8" w:space="0" w:color="62B5E5" w:themeColor="accent3"/>
          <w:right w:val="single" w:sz="8" w:space="0" w:color="62B5E5" w:themeColor="accent3"/>
        </w:tcBorders>
      </w:tcPr>
    </w:tblStylePr>
    <w:tblStylePr w:type="firstCol">
      <w:rPr>
        <w:b/>
        <w:bCs/>
      </w:rPr>
    </w:tblStylePr>
    <w:tblStylePr w:type="lastCol">
      <w:rPr>
        <w:b/>
        <w:bCs/>
      </w:rPr>
    </w:tblStylePr>
    <w:tblStylePr w:type="band1Vert">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tblStylePr w:type="band1Horz">
      <w:tblPr/>
      <w:tcPr>
        <w:tcBorders>
          <w:top w:val="single" w:sz="8" w:space="0" w:color="62B5E5" w:themeColor="accent3"/>
          <w:left w:val="single" w:sz="8" w:space="0" w:color="62B5E5" w:themeColor="accent3"/>
          <w:bottom w:val="single" w:sz="8" w:space="0" w:color="62B5E5" w:themeColor="accent3"/>
          <w:right w:val="single" w:sz="8" w:space="0" w:color="62B5E5" w:themeColor="accent3"/>
        </w:tcBorders>
      </w:tcPr>
    </w:tblStylePr>
  </w:style>
  <w:style w:type="table" w:styleId="LightList-Accent4">
    <w:name w:val="Light List Accent 4"/>
    <w:basedOn w:val="TableNormal"/>
    <w:uiPriority w:val="61"/>
    <w:rsid w:val="00F9113D"/>
    <w:pPr>
      <w:spacing w:line="240" w:lineRule="auto"/>
    </w:pPr>
    <w:rPr>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pPr>
        <w:spacing w:before="0" w:after="0" w:line="240" w:lineRule="auto"/>
      </w:pPr>
      <w:rPr>
        <w:b/>
        <w:bCs/>
        <w:color w:val="FFFFFF" w:themeColor="background1"/>
      </w:rPr>
      <w:tblPr/>
      <w:tcPr>
        <w:shd w:val="clear" w:color="auto" w:fill="012169" w:themeFill="accent4"/>
      </w:tcPr>
    </w:tblStylePr>
    <w:tblStylePr w:type="lastRow">
      <w:pPr>
        <w:spacing w:before="0" w:after="0" w:line="240" w:lineRule="auto"/>
      </w:pPr>
      <w:rPr>
        <w:b/>
        <w:bCs/>
      </w:rPr>
      <w:tblPr/>
      <w:tcPr>
        <w:tcBorders>
          <w:top w:val="double" w:sz="6" w:space="0" w:color="012169" w:themeColor="accent4"/>
          <w:left w:val="single" w:sz="8" w:space="0" w:color="012169" w:themeColor="accent4"/>
          <w:bottom w:val="single" w:sz="8" w:space="0" w:color="012169" w:themeColor="accent4"/>
          <w:right w:val="single" w:sz="8" w:space="0" w:color="012169" w:themeColor="accent4"/>
        </w:tcBorders>
      </w:tcPr>
    </w:tblStylePr>
    <w:tblStylePr w:type="firstCol">
      <w:rPr>
        <w:b/>
        <w:bCs/>
      </w:rPr>
    </w:tblStylePr>
    <w:tblStylePr w:type="lastCol">
      <w:rPr>
        <w:b/>
        <w:bCs/>
      </w:rPr>
    </w:tblStylePr>
    <w:tblStylePr w:type="band1Vert">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tblStylePr w:type="band1Horz">
      <w:tblPr/>
      <w:tcPr>
        <w:tcBorders>
          <w:top w:val="single" w:sz="8" w:space="0" w:color="012169" w:themeColor="accent4"/>
          <w:left w:val="single" w:sz="8" w:space="0" w:color="012169" w:themeColor="accent4"/>
          <w:bottom w:val="single" w:sz="8" w:space="0" w:color="012169" w:themeColor="accent4"/>
          <w:right w:val="single" w:sz="8" w:space="0" w:color="012169" w:themeColor="accent4"/>
        </w:tcBorders>
      </w:tcPr>
    </w:tblStylePr>
  </w:style>
  <w:style w:type="table" w:styleId="LightList-Accent5">
    <w:name w:val="Light List Accent 5"/>
    <w:basedOn w:val="TableNormal"/>
    <w:uiPriority w:val="61"/>
    <w:rsid w:val="00F9113D"/>
    <w:pPr>
      <w:spacing w:line="240" w:lineRule="auto"/>
    </w:pPr>
    <w:rPr>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pPr>
        <w:spacing w:before="0" w:after="0" w:line="240" w:lineRule="auto"/>
      </w:pPr>
      <w:rPr>
        <w:b/>
        <w:bCs/>
        <w:color w:val="FFFFFF" w:themeColor="background1"/>
      </w:rPr>
      <w:tblPr/>
      <w:tcPr>
        <w:shd w:val="clear" w:color="auto" w:fill="0097A9" w:themeFill="accent5"/>
      </w:tcPr>
    </w:tblStylePr>
    <w:tblStylePr w:type="lastRow">
      <w:pPr>
        <w:spacing w:before="0" w:after="0" w:line="240" w:lineRule="auto"/>
      </w:pPr>
      <w:rPr>
        <w:b/>
        <w:bCs/>
      </w:rPr>
      <w:tblPr/>
      <w:tcPr>
        <w:tcBorders>
          <w:top w:val="double" w:sz="6" w:space="0" w:color="0097A9" w:themeColor="accent5"/>
          <w:left w:val="single" w:sz="8" w:space="0" w:color="0097A9" w:themeColor="accent5"/>
          <w:bottom w:val="single" w:sz="8" w:space="0" w:color="0097A9" w:themeColor="accent5"/>
          <w:right w:val="single" w:sz="8" w:space="0" w:color="0097A9" w:themeColor="accent5"/>
        </w:tcBorders>
      </w:tcPr>
    </w:tblStylePr>
    <w:tblStylePr w:type="firstCol">
      <w:rPr>
        <w:b/>
        <w:bCs/>
      </w:rPr>
    </w:tblStylePr>
    <w:tblStylePr w:type="lastCol">
      <w:rPr>
        <w:b/>
        <w:bCs/>
      </w:rPr>
    </w:tblStylePr>
    <w:tblStylePr w:type="band1Vert">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tblStylePr w:type="band1Horz">
      <w:tblPr/>
      <w:tcPr>
        <w:tcBorders>
          <w:top w:val="single" w:sz="8" w:space="0" w:color="0097A9" w:themeColor="accent5"/>
          <w:left w:val="single" w:sz="8" w:space="0" w:color="0097A9" w:themeColor="accent5"/>
          <w:bottom w:val="single" w:sz="8" w:space="0" w:color="0097A9" w:themeColor="accent5"/>
          <w:right w:val="single" w:sz="8" w:space="0" w:color="0097A9" w:themeColor="accent5"/>
        </w:tcBorders>
      </w:tcPr>
    </w:tblStylePr>
  </w:style>
  <w:style w:type="table" w:styleId="LightList-Accent6">
    <w:name w:val="Light List Accent 6"/>
    <w:basedOn w:val="TableNormal"/>
    <w:uiPriority w:val="61"/>
    <w:rsid w:val="00F9113D"/>
    <w:pPr>
      <w:spacing w:line="240" w:lineRule="auto"/>
    </w:pPr>
    <w:rPr>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pPr>
        <w:spacing w:before="0" w:after="0" w:line="240" w:lineRule="auto"/>
      </w:pPr>
      <w:rPr>
        <w:b/>
        <w:bCs/>
        <w:color w:val="FFFFFF" w:themeColor="background1"/>
      </w:rPr>
      <w:tblPr/>
      <w:tcPr>
        <w:shd w:val="clear" w:color="auto" w:fill="75787B" w:themeFill="accent6"/>
      </w:tcPr>
    </w:tblStylePr>
    <w:tblStylePr w:type="lastRow">
      <w:pPr>
        <w:spacing w:before="0" w:after="0" w:line="240" w:lineRule="auto"/>
      </w:pPr>
      <w:rPr>
        <w:b/>
        <w:bCs/>
      </w:rPr>
      <w:tblPr/>
      <w:tcPr>
        <w:tcBorders>
          <w:top w:val="double" w:sz="6" w:space="0" w:color="75787B" w:themeColor="accent6"/>
          <w:left w:val="single" w:sz="8" w:space="0" w:color="75787B" w:themeColor="accent6"/>
          <w:bottom w:val="single" w:sz="8" w:space="0" w:color="75787B" w:themeColor="accent6"/>
          <w:right w:val="single" w:sz="8" w:space="0" w:color="75787B" w:themeColor="accent6"/>
        </w:tcBorders>
      </w:tcPr>
    </w:tblStylePr>
    <w:tblStylePr w:type="firstCol">
      <w:rPr>
        <w:b/>
        <w:bCs/>
      </w:rPr>
    </w:tblStylePr>
    <w:tblStylePr w:type="lastCol">
      <w:rPr>
        <w:b/>
        <w:bCs/>
      </w:rPr>
    </w:tblStylePr>
    <w:tblStylePr w:type="band1Vert">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tblStylePr w:type="band1Horz">
      <w:tblPr/>
      <w:tcPr>
        <w:tcBorders>
          <w:top w:val="single" w:sz="8" w:space="0" w:color="75787B" w:themeColor="accent6"/>
          <w:left w:val="single" w:sz="8" w:space="0" w:color="75787B" w:themeColor="accent6"/>
          <w:bottom w:val="single" w:sz="8" w:space="0" w:color="75787B" w:themeColor="accent6"/>
          <w:right w:val="single" w:sz="8" w:space="0" w:color="75787B" w:themeColor="accent6"/>
        </w:tcBorders>
      </w:tcPr>
    </w:tblStylePr>
  </w:style>
  <w:style w:type="table" w:styleId="LightShading">
    <w:name w:val="Light Shading"/>
    <w:basedOn w:val="TableNormal"/>
    <w:uiPriority w:val="60"/>
    <w:rsid w:val="00F9113D"/>
    <w:pPr>
      <w:spacing w:line="240" w:lineRule="auto"/>
    </w:pPr>
    <w:rPr>
      <w:color w:val="000000" w:themeColor="text1" w:themeShade="BF"/>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9113D"/>
    <w:pPr>
      <w:spacing w:line="240" w:lineRule="auto"/>
    </w:pPr>
    <w:rPr>
      <w:color w:val="638C1B" w:themeColor="accent1" w:themeShade="BF"/>
      <w:lang w:val="en-AU"/>
    </w:rPr>
    <w:tblPr>
      <w:tblStyleRowBandSize w:val="1"/>
      <w:tblStyleColBandSize w:val="1"/>
      <w:tblBorders>
        <w:top w:val="single" w:sz="8" w:space="0" w:color="86BC25" w:themeColor="accent1"/>
        <w:bottom w:val="single" w:sz="8" w:space="0" w:color="86BC25" w:themeColor="accent1"/>
      </w:tblBorders>
    </w:tblPr>
    <w:tblStylePr w:type="fir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lastRow">
      <w:pPr>
        <w:spacing w:before="0" w:after="0" w:line="240" w:lineRule="auto"/>
      </w:pPr>
      <w:rPr>
        <w:b/>
        <w:bCs/>
      </w:rPr>
      <w:tblPr/>
      <w:tcPr>
        <w:tcBorders>
          <w:top w:val="single" w:sz="8" w:space="0" w:color="86BC25" w:themeColor="accent1"/>
          <w:left w:val="nil"/>
          <w:bottom w:val="single" w:sz="8" w:space="0" w:color="86BC2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left w:val="nil"/>
          <w:right w:val="nil"/>
          <w:insideH w:val="nil"/>
          <w:insideV w:val="nil"/>
        </w:tcBorders>
        <w:shd w:val="clear" w:color="auto" w:fill="E2F3C3" w:themeFill="accent1" w:themeFillTint="3F"/>
      </w:tcPr>
    </w:tblStylePr>
  </w:style>
  <w:style w:type="table" w:styleId="LightShading-Accent2">
    <w:name w:val="Light Shading Accent 2"/>
    <w:basedOn w:val="TableNormal"/>
    <w:uiPriority w:val="60"/>
    <w:rsid w:val="00F9113D"/>
    <w:pPr>
      <w:spacing w:line="240" w:lineRule="auto"/>
    </w:pPr>
    <w:rPr>
      <w:color w:val="034F29" w:themeColor="accent2" w:themeShade="BF"/>
      <w:lang w:val="en-AU"/>
    </w:rPr>
    <w:tblPr>
      <w:tblStyleRowBandSize w:val="1"/>
      <w:tblStyleColBandSize w:val="1"/>
      <w:tblBorders>
        <w:top w:val="single" w:sz="8" w:space="0" w:color="046A38" w:themeColor="accent2"/>
        <w:bottom w:val="single" w:sz="8" w:space="0" w:color="046A38" w:themeColor="accent2"/>
      </w:tblBorders>
    </w:tblPr>
    <w:tblStylePr w:type="fir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lastRow">
      <w:pPr>
        <w:spacing w:before="0" w:after="0" w:line="240" w:lineRule="auto"/>
      </w:pPr>
      <w:rPr>
        <w:b/>
        <w:bCs/>
      </w:rPr>
      <w:tblPr/>
      <w:tcPr>
        <w:tcBorders>
          <w:top w:val="single" w:sz="8" w:space="0" w:color="046A38" w:themeColor="accent2"/>
          <w:left w:val="nil"/>
          <w:bottom w:val="single" w:sz="8" w:space="0" w:color="046A38"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left w:val="nil"/>
          <w:right w:val="nil"/>
          <w:insideH w:val="nil"/>
          <w:insideV w:val="nil"/>
        </w:tcBorders>
        <w:shd w:val="clear" w:color="auto" w:fill="9FFBCE" w:themeFill="accent2" w:themeFillTint="3F"/>
      </w:tcPr>
    </w:tblStylePr>
  </w:style>
  <w:style w:type="table" w:styleId="LightShading-Accent3">
    <w:name w:val="Light Shading Accent 3"/>
    <w:basedOn w:val="TableNormal"/>
    <w:uiPriority w:val="60"/>
    <w:rsid w:val="00F9113D"/>
    <w:pPr>
      <w:spacing w:line="240" w:lineRule="auto"/>
    </w:pPr>
    <w:rPr>
      <w:color w:val="2291D1" w:themeColor="accent3" w:themeShade="BF"/>
      <w:lang w:val="en-AU"/>
    </w:rPr>
    <w:tblPr>
      <w:tblStyleRowBandSize w:val="1"/>
      <w:tblStyleColBandSize w:val="1"/>
      <w:tblBorders>
        <w:top w:val="single" w:sz="8" w:space="0" w:color="62B5E5" w:themeColor="accent3"/>
        <w:bottom w:val="single" w:sz="8" w:space="0" w:color="62B5E5" w:themeColor="accent3"/>
      </w:tblBorders>
    </w:tblPr>
    <w:tblStylePr w:type="fir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lastRow">
      <w:pPr>
        <w:spacing w:before="0" w:after="0" w:line="240" w:lineRule="auto"/>
      </w:pPr>
      <w:rPr>
        <w:b/>
        <w:bCs/>
      </w:rPr>
      <w:tblPr/>
      <w:tcPr>
        <w:tcBorders>
          <w:top w:val="single" w:sz="8" w:space="0" w:color="62B5E5" w:themeColor="accent3"/>
          <w:left w:val="nil"/>
          <w:bottom w:val="single" w:sz="8" w:space="0" w:color="62B5E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left w:val="nil"/>
          <w:right w:val="nil"/>
          <w:insideH w:val="nil"/>
          <w:insideV w:val="nil"/>
        </w:tcBorders>
        <w:shd w:val="clear" w:color="auto" w:fill="D8ECF8" w:themeFill="accent3" w:themeFillTint="3F"/>
      </w:tcPr>
    </w:tblStylePr>
  </w:style>
  <w:style w:type="table" w:styleId="LightShading-Accent4">
    <w:name w:val="Light Shading Accent 4"/>
    <w:basedOn w:val="TableNormal"/>
    <w:uiPriority w:val="60"/>
    <w:rsid w:val="00F9113D"/>
    <w:pPr>
      <w:spacing w:line="240" w:lineRule="auto"/>
    </w:pPr>
    <w:rPr>
      <w:color w:val="00184E" w:themeColor="accent4" w:themeShade="BF"/>
      <w:lang w:val="en-AU"/>
    </w:rPr>
    <w:tblPr>
      <w:tblStyleRowBandSize w:val="1"/>
      <w:tblStyleColBandSize w:val="1"/>
      <w:tblBorders>
        <w:top w:val="single" w:sz="8" w:space="0" w:color="012169" w:themeColor="accent4"/>
        <w:bottom w:val="single" w:sz="8" w:space="0" w:color="012169" w:themeColor="accent4"/>
      </w:tblBorders>
    </w:tblPr>
    <w:tblStylePr w:type="fir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lastRow">
      <w:pPr>
        <w:spacing w:before="0" w:after="0" w:line="240" w:lineRule="auto"/>
      </w:pPr>
      <w:rPr>
        <w:b/>
        <w:bCs/>
      </w:rPr>
      <w:tblPr/>
      <w:tcPr>
        <w:tcBorders>
          <w:top w:val="single" w:sz="8" w:space="0" w:color="012169" w:themeColor="accent4"/>
          <w:left w:val="nil"/>
          <w:bottom w:val="single" w:sz="8" w:space="0" w:color="01216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left w:val="nil"/>
          <w:right w:val="nil"/>
          <w:insideH w:val="nil"/>
          <w:insideV w:val="nil"/>
        </w:tcBorders>
        <w:shd w:val="clear" w:color="auto" w:fill="9BB9FE" w:themeFill="accent4" w:themeFillTint="3F"/>
      </w:tcPr>
    </w:tblStylePr>
  </w:style>
  <w:style w:type="table" w:styleId="LightShading-Accent5">
    <w:name w:val="Light Shading Accent 5"/>
    <w:basedOn w:val="TableNormal"/>
    <w:uiPriority w:val="60"/>
    <w:rsid w:val="00F9113D"/>
    <w:pPr>
      <w:spacing w:line="240" w:lineRule="auto"/>
    </w:pPr>
    <w:rPr>
      <w:color w:val="00707E" w:themeColor="accent5" w:themeShade="BF"/>
      <w:lang w:val="en-AU"/>
    </w:rPr>
    <w:tblPr>
      <w:tblStyleRowBandSize w:val="1"/>
      <w:tblStyleColBandSize w:val="1"/>
      <w:tblBorders>
        <w:top w:val="single" w:sz="8" w:space="0" w:color="0097A9" w:themeColor="accent5"/>
        <w:bottom w:val="single" w:sz="8" w:space="0" w:color="0097A9" w:themeColor="accent5"/>
      </w:tblBorders>
    </w:tblPr>
    <w:tblStylePr w:type="fir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lastRow">
      <w:pPr>
        <w:spacing w:before="0" w:after="0" w:line="240" w:lineRule="auto"/>
      </w:pPr>
      <w:rPr>
        <w:b/>
        <w:bCs/>
      </w:rPr>
      <w:tblPr/>
      <w:tcPr>
        <w:tcBorders>
          <w:top w:val="single" w:sz="8" w:space="0" w:color="0097A9" w:themeColor="accent5"/>
          <w:left w:val="nil"/>
          <w:bottom w:val="single" w:sz="8" w:space="0" w:color="009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left w:val="nil"/>
          <w:right w:val="nil"/>
          <w:insideH w:val="nil"/>
          <w:insideV w:val="nil"/>
        </w:tcBorders>
        <w:shd w:val="clear" w:color="auto" w:fill="AAF5FF" w:themeFill="accent5" w:themeFillTint="3F"/>
      </w:tcPr>
    </w:tblStylePr>
  </w:style>
  <w:style w:type="table" w:styleId="LightShading-Accent6">
    <w:name w:val="Light Shading Accent 6"/>
    <w:basedOn w:val="TableNormal"/>
    <w:uiPriority w:val="60"/>
    <w:rsid w:val="00F9113D"/>
    <w:pPr>
      <w:spacing w:line="240" w:lineRule="auto"/>
    </w:pPr>
    <w:rPr>
      <w:color w:val="57595C" w:themeColor="accent6" w:themeShade="BF"/>
      <w:lang w:val="en-AU"/>
    </w:rPr>
    <w:tblPr>
      <w:tblStyleRowBandSize w:val="1"/>
      <w:tblStyleColBandSize w:val="1"/>
      <w:tblBorders>
        <w:top w:val="single" w:sz="8" w:space="0" w:color="75787B" w:themeColor="accent6"/>
        <w:bottom w:val="single" w:sz="8" w:space="0" w:color="75787B" w:themeColor="accent6"/>
      </w:tblBorders>
    </w:tblPr>
    <w:tblStylePr w:type="fir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lastRow">
      <w:pPr>
        <w:spacing w:before="0" w:after="0" w:line="240" w:lineRule="auto"/>
      </w:pPr>
      <w:rPr>
        <w:b/>
        <w:bCs/>
      </w:rPr>
      <w:tblPr/>
      <w:tcPr>
        <w:tcBorders>
          <w:top w:val="single" w:sz="8" w:space="0" w:color="75787B" w:themeColor="accent6"/>
          <w:left w:val="nil"/>
          <w:bottom w:val="single" w:sz="8" w:space="0" w:color="75787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left w:val="nil"/>
          <w:right w:val="nil"/>
          <w:insideH w:val="nil"/>
          <w:insideV w:val="nil"/>
        </w:tcBorders>
        <w:shd w:val="clear" w:color="auto" w:fill="DCDDDE" w:themeFill="accent6" w:themeFillTint="3F"/>
      </w:tcPr>
    </w:tblStylePr>
  </w:style>
  <w:style w:type="character" w:styleId="LineNumber">
    <w:name w:val="line number"/>
    <w:basedOn w:val="DefaultParagraphFont"/>
    <w:uiPriority w:val="99"/>
    <w:semiHidden/>
    <w:rsid w:val="00F9113D"/>
    <w:rPr>
      <w:lang w:val="en-AU"/>
    </w:rPr>
  </w:style>
  <w:style w:type="paragraph" w:styleId="List">
    <w:name w:val="List"/>
    <w:basedOn w:val="Normal"/>
    <w:uiPriority w:val="99"/>
    <w:semiHidden/>
    <w:rsid w:val="00F9113D"/>
    <w:pPr>
      <w:ind w:left="283" w:hanging="283"/>
      <w:contextualSpacing/>
    </w:pPr>
  </w:style>
  <w:style w:type="paragraph" w:styleId="List2">
    <w:name w:val="List 2"/>
    <w:basedOn w:val="Normal"/>
    <w:uiPriority w:val="99"/>
    <w:semiHidden/>
    <w:rsid w:val="00F9113D"/>
    <w:pPr>
      <w:ind w:left="566" w:hanging="283"/>
      <w:contextualSpacing/>
    </w:pPr>
  </w:style>
  <w:style w:type="paragraph" w:styleId="List3">
    <w:name w:val="List 3"/>
    <w:basedOn w:val="Normal"/>
    <w:uiPriority w:val="99"/>
    <w:semiHidden/>
    <w:rsid w:val="00F9113D"/>
    <w:pPr>
      <w:ind w:left="849" w:hanging="283"/>
      <w:contextualSpacing/>
    </w:pPr>
  </w:style>
  <w:style w:type="paragraph" w:styleId="List4">
    <w:name w:val="List 4"/>
    <w:basedOn w:val="Normal"/>
    <w:uiPriority w:val="99"/>
    <w:semiHidden/>
    <w:rsid w:val="00F9113D"/>
    <w:pPr>
      <w:ind w:left="1132" w:hanging="283"/>
      <w:contextualSpacing/>
    </w:pPr>
  </w:style>
  <w:style w:type="paragraph" w:styleId="List5">
    <w:name w:val="List 5"/>
    <w:basedOn w:val="Normal"/>
    <w:uiPriority w:val="99"/>
    <w:semiHidden/>
    <w:rsid w:val="00F9113D"/>
    <w:pPr>
      <w:ind w:left="1415" w:hanging="283"/>
      <w:contextualSpacing/>
    </w:pPr>
  </w:style>
  <w:style w:type="paragraph" w:styleId="ListBullet3">
    <w:name w:val="List Bullet 3"/>
    <w:basedOn w:val="Normal"/>
    <w:uiPriority w:val="3"/>
    <w:rsid w:val="002649F5"/>
    <w:pPr>
      <w:numPr>
        <w:ilvl w:val="2"/>
        <w:numId w:val="13"/>
      </w:numPr>
      <w:spacing w:after="0"/>
      <w:contextualSpacing/>
    </w:pPr>
  </w:style>
  <w:style w:type="paragraph" w:styleId="ListBullet4">
    <w:name w:val="List Bullet 4"/>
    <w:basedOn w:val="Normal"/>
    <w:uiPriority w:val="99"/>
    <w:semiHidden/>
    <w:rsid w:val="00F9113D"/>
    <w:pPr>
      <w:numPr>
        <w:numId w:val="4"/>
      </w:numPr>
      <w:contextualSpacing/>
    </w:pPr>
  </w:style>
  <w:style w:type="paragraph" w:styleId="ListBullet5">
    <w:name w:val="List Bullet 5"/>
    <w:basedOn w:val="Normal"/>
    <w:uiPriority w:val="99"/>
    <w:semiHidden/>
    <w:rsid w:val="00F9113D"/>
    <w:pPr>
      <w:numPr>
        <w:numId w:val="5"/>
      </w:numPr>
      <w:contextualSpacing/>
    </w:pPr>
  </w:style>
  <w:style w:type="paragraph" w:styleId="ListContinue">
    <w:name w:val="List Continue"/>
    <w:basedOn w:val="Normal"/>
    <w:uiPriority w:val="99"/>
    <w:semiHidden/>
    <w:rsid w:val="00F9113D"/>
    <w:pPr>
      <w:spacing w:after="120"/>
      <w:ind w:left="283"/>
      <w:contextualSpacing/>
    </w:pPr>
  </w:style>
  <w:style w:type="paragraph" w:styleId="ListContinue2">
    <w:name w:val="List Continue 2"/>
    <w:basedOn w:val="Normal"/>
    <w:uiPriority w:val="99"/>
    <w:semiHidden/>
    <w:rsid w:val="00F9113D"/>
    <w:pPr>
      <w:spacing w:after="120"/>
      <w:ind w:left="566"/>
      <w:contextualSpacing/>
    </w:pPr>
  </w:style>
  <w:style w:type="paragraph" w:styleId="ListContinue3">
    <w:name w:val="List Continue 3"/>
    <w:basedOn w:val="Normal"/>
    <w:uiPriority w:val="99"/>
    <w:semiHidden/>
    <w:rsid w:val="00F9113D"/>
    <w:pPr>
      <w:spacing w:after="120"/>
      <w:ind w:left="849"/>
      <w:contextualSpacing/>
    </w:pPr>
  </w:style>
  <w:style w:type="paragraph" w:styleId="ListContinue4">
    <w:name w:val="List Continue 4"/>
    <w:basedOn w:val="Normal"/>
    <w:uiPriority w:val="99"/>
    <w:semiHidden/>
    <w:rsid w:val="00F9113D"/>
    <w:pPr>
      <w:spacing w:after="120"/>
      <w:ind w:left="1132"/>
      <w:contextualSpacing/>
    </w:pPr>
  </w:style>
  <w:style w:type="paragraph" w:styleId="ListContinue5">
    <w:name w:val="List Continue 5"/>
    <w:basedOn w:val="Normal"/>
    <w:uiPriority w:val="99"/>
    <w:semiHidden/>
    <w:rsid w:val="00F9113D"/>
    <w:pPr>
      <w:spacing w:after="120"/>
      <w:ind w:left="1415"/>
      <w:contextualSpacing/>
    </w:pPr>
  </w:style>
  <w:style w:type="paragraph" w:styleId="ListNumber3">
    <w:name w:val="List Number 3"/>
    <w:basedOn w:val="Normal"/>
    <w:uiPriority w:val="99"/>
    <w:semiHidden/>
    <w:rsid w:val="00F9113D"/>
    <w:pPr>
      <w:numPr>
        <w:ilvl w:val="2"/>
        <w:numId w:val="14"/>
      </w:numPr>
      <w:contextualSpacing/>
    </w:pPr>
  </w:style>
  <w:style w:type="paragraph" w:styleId="ListNumber4">
    <w:name w:val="List Number 4"/>
    <w:basedOn w:val="Normal"/>
    <w:uiPriority w:val="99"/>
    <w:semiHidden/>
    <w:rsid w:val="00F9113D"/>
    <w:pPr>
      <w:numPr>
        <w:numId w:val="6"/>
      </w:numPr>
      <w:contextualSpacing/>
    </w:pPr>
  </w:style>
  <w:style w:type="paragraph" w:styleId="ListNumber5">
    <w:name w:val="List Number 5"/>
    <w:basedOn w:val="Normal"/>
    <w:uiPriority w:val="99"/>
    <w:semiHidden/>
    <w:rsid w:val="00F9113D"/>
    <w:pPr>
      <w:numPr>
        <w:numId w:val="7"/>
      </w:numPr>
      <w:contextualSpacing/>
    </w:pPr>
  </w:style>
  <w:style w:type="paragraph" w:styleId="ListParagraph">
    <w:name w:val="List Paragraph"/>
    <w:aliases w:val="Recommendation,L,List Paragraph1,List Paragraph11,List Paragraph2,Bullet point,NFP GP Bulleted List,bullet point list,1 heading,AR bullet 1,Bullet Point,Bullet points,Content descriptions,Bullet Points,Bulleted Para,Bulletr List Paragraph"/>
    <w:basedOn w:val="Normal"/>
    <w:link w:val="ListParagraphChar"/>
    <w:uiPriority w:val="34"/>
    <w:qFormat/>
    <w:rsid w:val="00F9113D"/>
    <w:pPr>
      <w:ind w:left="720"/>
      <w:contextualSpacing/>
    </w:pPr>
  </w:style>
  <w:style w:type="paragraph" w:styleId="MacroText">
    <w:name w:val="macro"/>
    <w:link w:val="MacroTextChar"/>
    <w:uiPriority w:val="99"/>
    <w:semiHidden/>
    <w:rsid w:val="00F9113D"/>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F9113D"/>
    <w:rPr>
      <w:rFonts w:ascii="Consolas" w:hAnsi="Consolas"/>
      <w:sz w:val="20"/>
      <w:szCs w:val="20"/>
      <w:lang w:val="en-AU"/>
    </w:rPr>
  </w:style>
  <w:style w:type="table" w:styleId="MediumGrid1">
    <w:name w:val="Medium Grid 1"/>
    <w:basedOn w:val="TableNormal"/>
    <w:uiPriority w:val="67"/>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insideV w:val="single" w:sz="8" w:space="0" w:color="A8DB4C" w:themeColor="accent1" w:themeTint="BF"/>
      </w:tblBorders>
    </w:tblPr>
    <w:tcPr>
      <w:shd w:val="clear" w:color="auto" w:fill="E2F3C3" w:themeFill="accent1" w:themeFillTint="3F"/>
    </w:tcPr>
    <w:tblStylePr w:type="firstRow">
      <w:rPr>
        <w:b/>
        <w:bCs/>
      </w:rPr>
    </w:tblStylePr>
    <w:tblStylePr w:type="lastRow">
      <w:rPr>
        <w:b/>
        <w:bCs/>
      </w:rPr>
      <w:tblPr/>
      <w:tcPr>
        <w:tcBorders>
          <w:top w:val="single" w:sz="18" w:space="0" w:color="A8DB4C" w:themeColor="accent1" w:themeTint="BF"/>
        </w:tcBorders>
      </w:tcPr>
    </w:tblStylePr>
    <w:tblStylePr w:type="firstCol">
      <w:rPr>
        <w:b/>
        <w:bCs/>
      </w:rPr>
    </w:tblStylePr>
    <w:tblStylePr w:type="lastCol">
      <w:rPr>
        <w:b/>
        <w:bCs/>
      </w:rPr>
    </w:tblStylePr>
    <w:tblStylePr w:type="band1Vert">
      <w:tblPr/>
      <w:tcPr>
        <w:shd w:val="clear" w:color="auto" w:fill="C5E788" w:themeFill="accent1" w:themeFillTint="7F"/>
      </w:tcPr>
    </w:tblStylePr>
    <w:tblStylePr w:type="band1Horz">
      <w:tblPr/>
      <w:tcPr>
        <w:shd w:val="clear" w:color="auto" w:fill="C5E788" w:themeFill="accent1" w:themeFillTint="7F"/>
      </w:tcPr>
    </w:tblStylePr>
  </w:style>
  <w:style w:type="table" w:styleId="MediumGrid1-Accent2">
    <w:name w:val="Medium Grid 1 Accent 2"/>
    <w:basedOn w:val="TableNormal"/>
    <w:uiPriority w:val="67"/>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insideV w:val="single" w:sz="8" w:space="0" w:color="07CA6B" w:themeColor="accent2" w:themeTint="BF"/>
      </w:tblBorders>
    </w:tblPr>
    <w:tcPr>
      <w:shd w:val="clear" w:color="auto" w:fill="9FFBCE" w:themeFill="accent2" w:themeFillTint="3F"/>
    </w:tcPr>
    <w:tblStylePr w:type="firstRow">
      <w:rPr>
        <w:b/>
        <w:bCs/>
      </w:rPr>
    </w:tblStylePr>
    <w:tblStylePr w:type="lastRow">
      <w:rPr>
        <w:b/>
        <w:bCs/>
      </w:rPr>
      <w:tblPr/>
      <w:tcPr>
        <w:tcBorders>
          <w:top w:val="single" w:sz="18" w:space="0" w:color="07CA6B" w:themeColor="accent2" w:themeTint="BF"/>
        </w:tcBorders>
      </w:tcPr>
    </w:tblStylePr>
    <w:tblStylePr w:type="firstCol">
      <w:rPr>
        <w:b/>
        <w:bCs/>
      </w:rPr>
    </w:tblStylePr>
    <w:tblStylePr w:type="lastCol">
      <w:rPr>
        <w:b/>
        <w:bCs/>
      </w:rPr>
    </w:tblStylePr>
    <w:tblStylePr w:type="band1Vert">
      <w:tblPr/>
      <w:tcPr>
        <w:shd w:val="clear" w:color="auto" w:fill="3EF79D" w:themeFill="accent2" w:themeFillTint="7F"/>
      </w:tcPr>
    </w:tblStylePr>
    <w:tblStylePr w:type="band1Horz">
      <w:tblPr/>
      <w:tcPr>
        <w:shd w:val="clear" w:color="auto" w:fill="3EF79D" w:themeFill="accent2" w:themeFillTint="7F"/>
      </w:tcPr>
    </w:tblStylePr>
  </w:style>
  <w:style w:type="table" w:styleId="MediumGrid1-Accent3">
    <w:name w:val="Medium Grid 1 Accent 3"/>
    <w:basedOn w:val="TableNormal"/>
    <w:uiPriority w:val="67"/>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insideV w:val="single" w:sz="8" w:space="0" w:color="89C7EB" w:themeColor="accent3" w:themeTint="BF"/>
      </w:tblBorders>
    </w:tblPr>
    <w:tcPr>
      <w:shd w:val="clear" w:color="auto" w:fill="D8ECF8" w:themeFill="accent3" w:themeFillTint="3F"/>
    </w:tcPr>
    <w:tblStylePr w:type="firstRow">
      <w:rPr>
        <w:b/>
        <w:bCs/>
      </w:rPr>
    </w:tblStylePr>
    <w:tblStylePr w:type="lastRow">
      <w:rPr>
        <w:b/>
        <w:bCs/>
      </w:rPr>
      <w:tblPr/>
      <w:tcPr>
        <w:tcBorders>
          <w:top w:val="single" w:sz="18" w:space="0" w:color="89C7EB" w:themeColor="accent3" w:themeTint="BF"/>
        </w:tcBorders>
      </w:tcPr>
    </w:tblStylePr>
    <w:tblStylePr w:type="firstCol">
      <w:rPr>
        <w:b/>
        <w:bCs/>
      </w:rPr>
    </w:tblStylePr>
    <w:tblStylePr w:type="lastCol">
      <w:rPr>
        <w:b/>
        <w:bCs/>
      </w:rPr>
    </w:tblStylePr>
    <w:tblStylePr w:type="band1Vert">
      <w:tblPr/>
      <w:tcPr>
        <w:shd w:val="clear" w:color="auto" w:fill="B0D9F2" w:themeFill="accent3" w:themeFillTint="7F"/>
      </w:tcPr>
    </w:tblStylePr>
    <w:tblStylePr w:type="band1Horz">
      <w:tblPr/>
      <w:tcPr>
        <w:shd w:val="clear" w:color="auto" w:fill="B0D9F2" w:themeFill="accent3" w:themeFillTint="7F"/>
      </w:tcPr>
    </w:tblStylePr>
  </w:style>
  <w:style w:type="table" w:styleId="MediumGrid1-Accent4">
    <w:name w:val="Medium Grid 1 Accent 4"/>
    <w:basedOn w:val="TableNormal"/>
    <w:uiPriority w:val="67"/>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insideV w:val="single" w:sz="8" w:space="0" w:color="0240CD" w:themeColor="accent4" w:themeTint="BF"/>
      </w:tblBorders>
    </w:tblPr>
    <w:tcPr>
      <w:shd w:val="clear" w:color="auto" w:fill="9BB9FE" w:themeFill="accent4" w:themeFillTint="3F"/>
    </w:tcPr>
    <w:tblStylePr w:type="firstRow">
      <w:rPr>
        <w:b/>
        <w:bCs/>
      </w:rPr>
    </w:tblStylePr>
    <w:tblStylePr w:type="lastRow">
      <w:rPr>
        <w:b/>
        <w:bCs/>
      </w:rPr>
      <w:tblPr/>
      <w:tcPr>
        <w:tcBorders>
          <w:top w:val="single" w:sz="18" w:space="0" w:color="0240CD" w:themeColor="accent4" w:themeTint="BF"/>
        </w:tcBorders>
      </w:tcPr>
    </w:tblStylePr>
    <w:tblStylePr w:type="firstCol">
      <w:rPr>
        <w:b/>
        <w:bCs/>
      </w:rPr>
    </w:tblStylePr>
    <w:tblStylePr w:type="lastCol">
      <w:rPr>
        <w:b/>
        <w:bCs/>
      </w:rPr>
    </w:tblStylePr>
    <w:tblStylePr w:type="band1Vert">
      <w:tblPr/>
      <w:tcPr>
        <w:shd w:val="clear" w:color="auto" w:fill="3773FD" w:themeFill="accent4" w:themeFillTint="7F"/>
      </w:tcPr>
    </w:tblStylePr>
    <w:tblStylePr w:type="band1Horz">
      <w:tblPr/>
      <w:tcPr>
        <w:shd w:val="clear" w:color="auto" w:fill="3773FD" w:themeFill="accent4" w:themeFillTint="7F"/>
      </w:tcPr>
    </w:tblStylePr>
  </w:style>
  <w:style w:type="table" w:styleId="MediumGrid1-Accent5">
    <w:name w:val="Medium Grid 1 Accent 5"/>
    <w:basedOn w:val="TableNormal"/>
    <w:uiPriority w:val="67"/>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insideV w:val="single" w:sz="8" w:space="0" w:color="00E2FE" w:themeColor="accent5" w:themeTint="BF"/>
      </w:tblBorders>
    </w:tblPr>
    <w:tcPr>
      <w:shd w:val="clear" w:color="auto" w:fill="AAF5FF" w:themeFill="accent5" w:themeFillTint="3F"/>
    </w:tcPr>
    <w:tblStylePr w:type="firstRow">
      <w:rPr>
        <w:b/>
        <w:bCs/>
      </w:rPr>
    </w:tblStylePr>
    <w:tblStylePr w:type="lastRow">
      <w:rPr>
        <w:b/>
        <w:bCs/>
      </w:rPr>
      <w:tblPr/>
      <w:tcPr>
        <w:tcBorders>
          <w:top w:val="single" w:sz="18" w:space="0" w:color="00E2FE" w:themeColor="accent5" w:themeTint="BF"/>
        </w:tcBorders>
      </w:tcPr>
    </w:tblStylePr>
    <w:tblStylePr w:type="firstCol">
      <w:rPr>
        <w:b/>
        <w:bCs/>
      </w:rPr>
    </w:tblStylePr>
    <w:tblStylePr w:type="lastCol">
      <w:rPr>
        <w:b/>
        <w:bCs/>
      </w:rPr>
    </w:tblStylePr>
    <w:tblStylePr w:type="band1Vert">
      <w:tblPr/>
      <w:tcPr>
        <w:shd w:val="clear" w:color="auto" w:fill="55ECFF" w:themeFill="accent5" w:themeFillTint="7F"/>
      </w:tcPr>
    </w:tblStylePr>
    <w:tblStylePr w:type="band1Horz">
      <w:tblPr/>
      <w:tcPr>
        <w:shd w:val="clear" w:color="auto" w:fill="55ECFF" w:themeFill="accent5" w:themeFillTint="7F"/>
      </w:tcPr>
    </w:tblStylePr>
  </w:style>
  <w:style w:type="table" w:styleId="MediumGrid1-Accent6">
    <w:name w:val="Medium Grid 1 Accent 6"/>
    <w:basedOn w:val="TableNormal"/>
    <w:uiPriority w:val="67"/>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insideV w:val="single" w:sz="8" w:space="0" w:color="97999C" w:themeColor="accent6" w:themeTint="BF"/>
      </w:tblBorders>
    </w:tblPr>
    <w:tcPr>
      <w:shd w:val="clear" w:color="auto" w:fill="DCDDDE" w:themeFill="accent6" w:themeFillTint="3F"/>
    </w:tcPr>
    <w:tblStylePr w:type="firstRow">
      <w:rPr>
        <w:b/>
        <w:bCs/>
      </w:rPr>
    </w:tblStylePr>
    <w:tblStylePr w:type="lastRow">
      <w:rPr>
        <w:b/>
        <w:bCs/>
      </w:rPr>
      <w:tblPr/>
      <w:tcPr>
        <w:tcBorders>
          <w:top w:val="single" w:sz="18" w:space="0" w:color="97999C" w:themeColor="accent6" w:themeTint="BF"/>
        </w:tcBorders>
      </w:tcPr>
    </w:tblStylePr>
    <w:tblStylePr w:type="firstCol">
      <w:rPr>
        <w:b/>
        <w:bCs/>
      </w:rPr>
    </w:tblStylePr>
    <w:tblStylePr w:type="lastCol">
      <w:rPr>
        <w:b/>
        <w:bCs/>
      </w:rPr>
    </w:tblStylePr>
    <w:tblStylePr w:type="band1Vert">
      <w:tblPr/>
      <w:tcPr>
        <w:shd w:val="clear" w:color="auto" w:fill="B9BBBD" w:themeFill="accent6" w:themeFillTint="7F"/>
      </w:tcPr>
    </w:tblStylePr>
    <w:tblStylePr w:type="band1Horz">
      <w:tblPr/>
      <w:tcPr>
        <w:shd w:val="clear" w:color="auto" w:fill="B9BBBD" w:themeFill="accent6" w:themeFillTint="7F"/>
      </w:tcPr>
    </w:tblStylePr>
  </w:style>
  <w:style w:type="table" w:styleId="MediumGrid2">
    <w:name w:val="Medium Grid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insideH w:val="single" w:sz="8" w:space="0" w:color="86BC25" w:themeColor="accent1"/>
        <w:insideV w:val="single" w:sz="8" w:space="0" w:color="86BC25" w:themeColor="accent1"/>
      </w:tblBorders>
    </w:tblPr>
    <w:tcPr>
      <w:shd w:val="clear" w:color="auto" w:fill="E2F3C3" w:themeFill="accent1" w:themeFillTint="3F"/>
    </w:tcPr>
    <w:tblStylePr w:type="firstRow">
      <w:rPr>
        <w:b/>
        <w:bCs/>
        <w:color w:val="000000" w:themeColor="text1"/>
      </w:rPr>
      <w:tblPr/>
      <w:tcPr>
        <w:shd w:val="clear" w:color="auto" w:fill="F3FAE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F5CF" w:themeFill="accent1" w:themeFillTint="33"/>
      </w:tcPr>
    </w:tblStylePr>
    <w:tblStylePr w:type="band1Vert">
      <w:tblPr/>
      <w:tcPr>
        <w:shd w:val="clear" w:color="auto" w:fill="C5E788" w:themeFill="accent1" w:themeFillTint="7F"/>
      </w:tcPr>
    </w:tblStylePr>
    <w:tblStylePr w:type="band1Horz">
      <w:tblPr/>
      <w:tcPr>
        <w:tcBorders>
          <w:insideH w:val="single" w:sz="6" w:space="0" w:color="86BC25" w:themeColor="accent1"/>
          <w:insideV w:val="single" w:sz="6" w:space="0" w:color="86BC25" w:themeColor="accent1"/>
        </w:tcBorders>
        <w:shd w:val="clear" w:color="auto" w:fill="C5E78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insideH w:val="single" w:sz="8" w:space="0" w:color="046A38" w:themeColor="accent2"/>
        <w:insideV w:val="single" w:sz="8" w:space="0" w:color="046A38" w:themeColor="accent2"/>
      </w:tblBorders>
    </w:tblPr>
    <w:tcPr>
      <w:shd w:val="clear" w:color="auto" w:fill="9FFBCE" w:themeFill="accent2" w:themeFillTint="3F"/>
    </w:tcPr>
    <w:tblStylePr w:type="firstRow">
      <w:rPr>
        <w:b/>
        <w:bCs/>
        <w:color w:val="000000" w:themeColor="text1"/>
      </w:rPr>
      <w:tblPr/>
      <w:tcPr>
        <w:shd w:val="clear" w:color="auto" w:fill="D9FDEB"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CD7" w:themeFill="accent2" w:themeFillTint="33"/>
      </w:tcPr>
    </w:tblStylePr>
    <w:tblStylePr w:type="band1Vert">
      <w:tblPr/>
      <w:tcPr>
        <w:shd w:val="clear" w:color="auto" w:fill="3EF79D" w:themeFill="accent2" w:themeFillTint="7F"/>
      </w:tcPr>
    </w:tblStylePr>
    <w:tblStylePr w:type="band1Horz">
      <w:tblPr/>
      <w:tcPr>
        <w:tcBorders>
          <w:insideH w:val="single" w:sz="6" w:space="0" w:color="046A38" w:themeColor="accent2"/>
          <w:insideV w:val="single" w:sz="6" w:space="0" w:color="046A38" w:themeColor="accent2"/>
        </w:tcBorders>
        <w:shd w:val="clear" w:color="auto" w:fill="3EF79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insideH w:val="single" w:sz="8" w:space="0" w:color="62B5E5" w:themeColor="accent3"/>
        <w:insideV w:val="single" w:sz="8" w:space="0" w:color="62B5E5" w:themeColor="accent3"/>
      </w:tblBorders>
    </w:tblPr>
    <w:tcPr>
      <w:shd w:val="clear" w:color="auto" w:fill="D8ECF8" w:themeFill="accent3" w:themeFillTint="3F"/>
    </w:tcPr>
    <w:tblStylePr w:type="firstRow">
      <w:rPr>
        <w:b/>
        <w:bCs/>
        <w:color w:val="000000" w:themeColor="text1"/>
      </w:rPr>
      <w:tblPr/>
      <w:tcPr>
        <w:shd w:val="clear" w:color="auto" w:fill="EFF7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9" w:themeFill="accent3" w:themeFillTint="33"/>
      </w:tcPr>
    </w:tblStylePr>
    <w:tblStylePr w:type="band1Vert">
      <w:tblPr/>
      <w:tcPr>
        <w:shd w:val="clear" w:color="auto" w:fill="B0D9F2" w:themeFill="accent3" w:themeFillTint="7F"/>
      </w:tcPr>
    </w:tblStylePr>
    <w:tblStylePr w:type="band1Horz">
      <w:tblPr/>
      <w:tcPr>
        <w:tcBorders>
          <w:insideH w:val="single" w:sz="6" w:space="0" w:color="62B5E5" w:themeColor="accent3"/>
          <w:insideV w:val="single" w:sz="6" w:space="0" w:color="62B5E5" w:themeColor="accent3"/>
        </w:tcBorders>
        <w:shd w:val="clear" w:color="auto" w:fill="B0D9F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insideH w:val="single" w:sz="8" w:space="0" w:color="012169" w:themeColor="accent4"/>
        <w:insideV w:val="single" w:sz="8" w:space="0" w:color="012169" w:themeColor="accent4"/>
      </w:tblBorders>
    </w:tblPr>
    <w:tcPr>
      <w:shd w:val="clear" w:color="auto" w:fill="9BB9FE" w:themeFill="accent4" w:themeFillTint="3F"/>
    </w:tcPr>
    <w:tblStylePr w:type="firstRow">
      <w:rPr>
        <w:b/>
        <w:bCs/>
        <w:color w:val="000000" w:themeColor="text1"/>
      </w:rPr>
      <w:tblPr/>
      <w:tcPr>
        <w:shd w:val="clear" w:color="auto" w:fill="D7E3FE"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EC7FE" w:themeFill="accent4" w:themeFillTint="33"/>
      </w:tcPr>
    </w:tblStylePr>
    <w:tblStylePr w:type="band1Vert">
      <w:tblPr/>
      <w:tcPr>
        <w:shd w:val="clear" w:color="auto" w:fill="3773FD" w:themeFill="accent4" w:themeFillTint="7F"/>
      </w:tcPr>
    </w:tblStylePr>
    <w:tblStylePr w:type="band1Horz">
      <w:tblPr/>
      <w:tcPr>
        <w:tcBorders>
          <w:insideH w:val="single" w:sz="6" w:space="0" w:color="012169" w:themeColor="accent4"/>
          <w:insideV w:val="single" w:sz="6" w:space="0" w:color="012169" w:themeColor="accent4"/>
        </w:tcBorders>
        <w:shd w:val="clear" w:color="auto" w:fill="3773F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insideH w:val="single" w:sz="8" w:space="0" w:color="0097A9" w:themeColor="accent5"/>
        <w:insideV w:val="single" w:sz="8" w:space="0" w:color="0097A9" w:themeColor="accent5"/>
      </w:tblBorders>
    </w:tblPr>
    <w:tcPr>
      <w:shd w:val="clear" w:color="auto" w:fill="AAF5FF" w:themeFill="accent5" w:themeFillTint="3F"/>
    </w:tcPr>
    <w:tblStylePr w:type="firstRow">
      <w:rPr>
        <w:b/>
        <w:bCs/>
        <w:color w:val="000000" w:themeColor="text1"/>
      </w:rPr>
      <w:tblPr/>
      <w:tcPr>
        <w:shd w:val="clear" w:color="auto" w:fill="DDFBF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F7FF" w:themeFill="accent5" w:themeFillTint="33"/>
      </w:tcPr>
    </w:tblStylePr>
    <w:tblStylePr w:type="band1Vert">
      <w:tblPr/>
      <w:tcPr>
        <w:shd w:val="clear" w:color="auto" w:fill="55ECFF" w:themeFill="accent5" w:themeFillTint="7F"/>
      </w:tcPr>
    </w:tblStylePr>
    <w:tblStylePr w:type="band1Horz">
      <w:tblPr/>
      <w:tcPr>
        <w:tcBorders>
          <w:insideH w:val="single" w:sz="6" w:space="0" w:color="0097A9" w:themeColor="accent5"/>
          <w:insideV w:val="single" w:sz="6" w:space="0" w:color="0097A9" w:themeColor="accent5"/>
        </w:tcBorders>
        <w:shd w:val="clear" w:color="auto" w:fill="55EC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insideH w:val="single" w:sz="8" w:space="0" w:color="75787B" w:themeColor="accent6"/>
        <w:insideV w:val="single" w:sz="8" w:space="0" w:color="75787B" w:themeColor="accent6"/>
      </w:tblBorders>
    </w:tblPr>
    <w:tcPr>
      <w:shd w:val="clear" w:color="auto" w:fill="DCDDDE" w:themeFill="accent6" w:themeFillTint="3F"/>
    </w:tcPr>
    <w:tblStylePr w:type="firstRow">
      <w:rPr>
        <w:b/>
        <w:bCs/>
        <w:color w:val="000000" w:themeColor="text1"/>
      </w:rPr>
      <w:tblPr/>
      <w:tcPr>
        <w:shd w:val="clear" w:color="auto" w:fill="F1F1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4" w:themeFill="accent6" w:themeFillTint="33"/>
      </w:tcPr>
    </w:tblStylePr>
    <w:tblStylePr w:type="band1Vert">
      <w:tblPr/>
      <w:tcPr>
        <w:shd w:val="clear" w:color="auto" w:fill="B9BBBD" w:themeFill="accent6" w:themeFillTint="7F"/>
      </w:tcPr>
    </w:tblStylePr>
    <w:tblStylePr w:type="band1Horz">
      <w:tblPr/>
      <w:tcPr>
        <w:tcBorders>
          <w:insideH w:val="single" w:sz="6" w:space="0" w:color="75787B" w:themeColor="accent6"/>
          <w:insideV w:val="single" w:sz="6" w:space="0" w:color="75787B" w:themeColor="accent6"/>
        </w:tcBorders>
        <w:shd w:val="clear" w:color="auto" w:fill="B9BBB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F3C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C2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C2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C2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5E78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5E788" w:themeFill="accent1" w:themeFillTint="7F"/>
      </w:tcPr>
    </w:tblStylePr>
  </w:style>
  <w:style w:type="table" w:styleId="MediumGrid3-Accent2">
    <w:name w:val="Medium Grid 3 Accent 2"/>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BC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46A3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46A3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46A3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79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79D" w:themeFill="accent2" w:themeFillTint="7F"/>
      </w:tcPr>
    </w:tblStylePr>
  </w:style>
  <w:style w:type="table" w:styleId="MediumGrid3-Accent3">
    <w:name w:val="Medium Grid 3 Accent 3"/>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CF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2B5E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2B5E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2B5E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0D9F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0D9F2" w:themeFill="accent3" w:themeFillTint="7F"/>
      </w:tcPr>
    </w:tblStylePr>
  </w:style>
  <w:style w:type="table" w:styleId="MediumGrid3-Accent4">
    <w:name w:val="Medium Grid 3 Accent 4"/>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BB9F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12169"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12169"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12169"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773F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773FD" w:themeFill="accent4" w:themeFillTint="7F"/>
      </w:tcPr>
    </w:tblStylePr>
  </w:style>
  <w:style w:type="table" w:styleId="MediumGrid3-Accent5">
    <w:name w:val="Medium Grid 3 Accent 5"/>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AF5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7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7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7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5EC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5ECFF" w:themeFill="accent5" w:themeFillTint="7F"/>
      </w:tcPr>
    </w:tblStylePr>
  </w:style>
  <w:style w:type="table" w:styleId="MediumGrid3-Accent6">
    <w:name w:val="Medium Grid 3 Accent 6"/>
    <w:basedOn w:val="TableNormal"/>
    <w:uiPriority w:val="69"/>
    <w:rsid w:val="00F9113D"/>
    <w:pPr>
      <w:spacing w:line="240" w:lineRule="auto"/>
    </w:pPr>
    <w:rPr>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DDE"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5787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5787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5787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BB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BBD" w:themeFill="accent6" w:themeFillTint="7F"/>
      </w:tcPr>
    </w:tblStylePr>
  </w:style>
  <w:style w:type="table" w:styleId="MediumList1">
    <w:name w:val="Medium List 1"/>
    <w:basedOn w:val="TableNormal"/>
    <w:uiPriority w:val="65"/>
    <w:rsid w:val="00F9113D"/>
    <w:pPr>
      <w:spacing w:line="240" w:lineRule="auto"/>
    </w:pPr>
    <w:rPr>
      <w:color w:val="000000" w:themeColor="text1"/>
      <w:lang w:val="en-AU"/>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F9113D"/>
    <w:pPr>
      <w:spacing w:line="240" w:lineRule="auto"/>
    </w:pPr>
    <w:rPr>
      <w:color w:val="000000" w:themeColor="text1"/>
      <w:lang w:val="en-AU"/>
    </w:rPr>
    <w:tblPr>
      <w:tblStyleRowBandSize w:val="1"/>
      <w:tblStyleColBandSize w:val="1"/>
      <w:tblBorders>
        <w:top w:val="single" w:sz="8" w:space="0" w:color="86BC25" w:themeColor="accent1"/>
        <w:bottom w:val="single" w:sz="8" w:space="0" w:color="86BC25" w:themeColor="accent1"/>
      </w:tblBorders>
    </w:tblPr>
    <w:tblStylePr w:type="firstRow">
      <w:rPr>
        <w:rFonts w:asciiTheme="majorHAnsi" w:eastAsiaTheme="majorEastAsia" w:hAnsiTheme="majorHAnsi" w:cstheme="majorBidi"/>
      </w:rPr>
      <w:tblPr/>
      <w:tcPr>
        <w:tcBorders>
          <w:top w:val="nil"/>
          <w:bottom w:val="single" w:sz="8" w:space="0" w:color="86BC25" w:themeColor="accent1"/>
        </w:tcBorders>
      </w:tcPr>
    </w:tblStylePr>
    <w:tblStylePr w:type="lastRow">
      <w:rPr>
        <w:b/>
        <w:bCs/>
        <w:color w:val="44546A" w:themeColor="text2"/>
      </w:rPr>
      <w:tblPr/>
      <w:tcPr>
        <w:tcBorders>
          <w:top w:val="single" w:sz="8" w:space="0" w:color="86BC25" w:themeColor="accent1"/>
          <w:bottom w:val="single" w:sz="8" w:space="0" w:color="86BC25" w:themeColor="accent1"/>
        </w:tcBorders>
      </w:tcPr>
    </w:tblStylePr>
    <w:tblStylePr w:type="firstCol">
      <w:rPr>
        <w:b/>
        <w:bCs/>
      </w:rPr>
    </w:tblStylePr>
    <w:tblStylePr w:type="lastCol">
      <w:rPr>
        <w:b/>
        <w:bCs/>
      </w:rPr>
      <w:tblPr/>
      <w:tcPr>
        <w:tcBorders>
          <w:top w:val="single" w:sz="8" w:space="0" w:color="86BC25" w:themeColor="accent1"/>
          <w:bottom w:val="single" w:sz="8" w:space="0" w:color="86BC25" w:themeColor="accent1"/>
        </w:tcBorders>
      </w:tcPr>
    </w:tblStylePr>
    <w:tblStylePr w:type="band1Vert">
      <w:tblPr/>
      <w:tcPr>
        <w:shd w:val="clear" w:color="auto" w:fill="E2F3C3" w:themeFill="accent1" w:themeFillTint="3F"/>
      </w:tcPr>
    </w:tblStylePr>
    <w:tblStylePr w:type="band1Horz">
      <w:tblPr/>
      <w:tcPr>
        <w:shd w:val="clear" w:color="auto" w:fill="E2F3C3" w:themeFill="accent1" w:themeFillTint="3F"/>
      </w:tcPr>
    </w:tblStylePr>
  </w:style>
  <w:style w:type="table" w:styleId="MediumList1-Accent2">
    <w:name w:val="Medium List 1 Accent 2"/>
    <w:basedOn w:val="TableNormal"/>
    <w:uiPriority w:val="65"/>
    <w:rsid w:val="00F9113D"/>
    <w:pPr>
      <w:spacing w:line="240" w:lineRule="auto"/>
    </w:pPr>
    <w:rPr>
      <w:color w:val="000000" w:themeColor="text1"/>
      <w:lang w:val="en-AU"/>
    </w:rPr>
    <w:tblPr>
      <w:tblStyleRowBandSize w:val="1"/>
      <w:tblStyleColBandSize w:val="1"/>
      <w:tblBorders>
        <w:top w:val="single" w:sz="8" w:space="0" w:color="046A38" w:themeColor="accent2"/>
        <w:bottom w:val="single" w:sz="8" w:space="0" w:color="046A38" w:themeColor="accent2"/>
      </w:tblBorders>
    </w:tblPr>
    <w:tblStylePr w:type="firstRow">
      <w:rPr>
        <w:rFonts w:asciiTheme="majorHAnsi" w:eastAsiaTheme="majorEastAsia" w:hAnsiTheme="majorHAnsi" w:cstheme="majorBidi"/>
      </w:rPr>
      <w:tblPr/>
      <w:tcPr>
        <w:tcBorders>
          <w:top w:val="nil"/>
          <w:bottom w:val="single" w:sz="8" w:space="0" w:color="046A38" w:themeColor="accent2"/>
        </w:tcBorders>
      </w:tcPr>
    </w:tblStylePr>
    <w:tblStylePr w:type="lastRow">
      <w:rPr>
        <w:b/>
        <w:bCs/>
        <w:color w:val="44546A" w:themeColor="text2"/>
      </w:rPr>
      <w:tblPr/>
      <w:tcPr>
        <w:tcBorders>
          <w:top w:val="single" w:sz="8" w:space="0" w:color="046A38" w:themeColor="accent2"/>
          <w:bottom w:val="single" w:sz="8" w:space="0" w:color="046A38" w:themeColor="accent2"/>
        </w:tcBorders>
      </w:tcPr>
    </w:tblStylePr>
    <w:tblStylePr w:type="firstCol">
      <w:rPr>
        <w:b/>
        <w:bCs/>
      </w:rPr>
    </w:tblStylePr>
    <w:tblStylePr w:type="lastCol">
      <w:rPr>
        <w:b/>
        <w:bCs/>
      </w:rPr>
      <w:tblPr/>
      <w:tcPr>
        <w:tcBorders>
          <w:top w:val="single" w:sz="8" w:space="0" w:color="046A38" w:themeColor="accent2"/>
          <w:bottom w:val="single" w:sz="8" w:space="0" w:color="046A38" w:themeColor="accent2"/>
        </w:tcBorders>
      </w:tcPr>
    </w:tblStylePr>
    <w:tblStylePr w:type="band1Vert">
      <w:tblPr/>
      <w:tcPr>
        <w:shd w:val="clear" w:color="auto" w:fill="9FFBCE" w:themeFill="accent2" w:themeFillTint="3F"/>
      </w:tcPr>
    </w:tblStylePr>
    <w:tblStylePr w:type="band1Horz">
      <w:tblPr/>
      <w:tcPr>
        <w:shd w:val="clear" w:color="auto" w:fill="9FFBCE" w:themeFill="accent2" w:themeFillTint="3F"/>
      </w:tcPr>
    </w:tblStylePr>
  </w:style>
  <w:style w:type="table" w:styleId="MediumList1-Accent3">
    <w:name w:val="Medium List 1 Accent 3"/>
    <w:basedOn w:val="TableNormal"/>
    <w:uiPriority w:val="65"/>
    <w:rsid w:val="00F9113D"/>
    <w:pPr>
      <w:spacing w:line="240" w:lineRule="auto"/>
    </w:pPr>
    <w:rPr>
      <w:color w:val="000000" w:themeColor="text1"/>
      <w:lang w:val="en-AU"/>
    </w:rPr>
    <w:tblPr>
      <w:tblStyleRowBandSize w:val="1"/>
      <w:tblStyleColBandSize w:val="1"/>
      <w:tblBorders>
        <w:top w:val="single" w:sz="8" w:space="0" w:color="62B5E5" w:themeColor="accent3"/>
        <w:bottom w:val="single" w:sz="8" w:space="0" w:color="62B5E5" w:themeColor="accent3"/>
      </w:tblBorders>
    </w:tblPr>
    <w:tblStylePr w:type="firstRow">
      <w:rPr>
        <w:rFonts w:asciiTheme="majorHAnsi" w:eastAsiaTheme="majorEastAsia" w:hAnsiTheme="majorHAnsi" w:cstheme="majorBidi"/>
      </w:rPr>
      <w:tblPr/>
      <w:tcPr>
        <w:tcBorders>
          <w:top w:val="nil"/>
          <w:bottom w:val="single" w:sz="8" w:space="0" w:color="62B5E5" w:themeColor="accent3"/>
        </w:tcBorders>
      </w:tcPr>
    </w:tblStylePr>
    <w:tblStylePr w:type="lastRow">
      <w:rPr>
        <w:b/>
        <w:bCs/>
        <w:color w:val="44546A" w:themeColor="text2"/>
      </w:rPr>
      <w:tblPr/>
      <w:tcPr>
        <w:tcBorders>
          <w:top w:val="single" w:sz="8" w:space="0" w:color="62B5E5" w:themeColor="accent3"/>
          <w:bottom w:val="single" w:sz="8" w:space="0" w:color="62B5E5" w:themeColor="accent3"/>
        </w:tcBorders>
      </w:tcPr>
    </w:tblStylePr>
    <w:tblStylePr w:type="firstCol">
      <w:rPr>
        <w:b/>
        <w:bCs/>
      </w:rPr>
    </w:tblStylePr>
    <w:tblStylePr w:type="lastCol">
      <w:rPr>
        <w:b/>
        <w:bCs/>
      </w:rPr>
      <w:tblPr/>
      <w:tcPr>
        <w:tcBorders>
          <w:top w:val="single" w:sz="8" w:space="0" w:color="62B5E5" w:themeColor="accent3"/>
          <w:bottom w:val="single" w:sz="8" w:space="0" w:color="62B5E5" w:themeColor="accent3"/>
        </w:tcBorders>
      </w:tcPr>
    </w:tblStylePr>
    <w:tblStylePr w:type="band1Vert">
      <w:tblPr/>
      <w:tcPr>
        <w:shd w:val="clear" w:color="auto" w:fill="D8ECF8" w:themeFill="accent3" w:themeFillTint="3F"/>
      </w:tcPr>
    </w:tblStylePr>
    <w:tblStylePr w:type="band1Horz">
      <w:tblPr/>
      <w:tcPr>
        <w:shd w:val="clear" w:color="auto" w:fill="D8ECF8" w:themeFill="accent3" w:themeFillTint="3F"/>
      </w:tcPr>
    </w:tblStylePr>
  </w:style>
  <w:style w:type="table" w:styleId="MediumList1-Accent4">
    <w:name w:val="Medium List 1 Accent 4"/>
    <w:basedOn w:val="TableNormal"/>
    <w:uiPriority w:val="65"/>
    <w:rsid w:val="00F9113D"/>
    <w:pPr>
      <w:spacing w:line="240" w:lineRule="auto"/>
    </w:pPr>
    <w:rPr>
      <w:color w:val="000000" w:themeColor="text1"/>
      <w:lang w:val="en-AU"/>
    </w:rPr>
    <w:tblPr>
      <w:tblStyleRowBandSize w:val="1"/>
      <w:tblStyleColBandSize w:val="1"/>
      <w:tblBorders>
        <w:top w:val="single" w:sz="8" w:space="0" w:color="012169" w:themeColor="accent4"/>
        <w:bottom w:val="single" w:sz="8" w:space="0" w:color="012169" w:themeColor="accent4"/>
      </w:tblBorders>
    </w:tblPr>
    <w:tblStylePr w:type="firstRow">
      <w:rPr>
        <w:rFonts w:asciiTheme="majorHAnsi" w:eastAsiaTheme="majorEastAsia" w:hAnsiTheme="majorHAnsi" w:cstheme="majorBidi"/>
      </w:rPr>
      <w:tblPr/>
      <w:tcPr>
        <w:tcBorders>
          <w:top w:val="nil"/>
          <w:bottom w:val="single" w:sz="8" w:space="0" w:color="012169" w:themeColor="accent4"/>
        </w:tcBorders>
      </w:tcPr>
    </w:tblStylePr>
    <w:tblStylePr w:type="lastRow">
      <w:rPr>
        <w:b/>
        <w:bCs/>
        <w:color w:val="44546A" w:themeColor="text2"/>
      </w:rPr>
      <w:tblPr/>
      <w:tcPr>
        <w:tcBorders>
          <w:top w:val="single" w:sz="8" w:space="0" w:color="012169" w:themeColor="accent4"/>
          <w:bottom w:val="single" w:sz="8" w:space="0" w:color="012169" w:themeColor="accent4"/>
        </w:tcBorders>
      </w:tcPr>
    </w:tblStylePr>
    <w:tblStylePr w:type="firstCol">
      <w:rPr>
        <w:b/>
        <w:bCs/>
      </w:rPr>
    </w:tblStylePr>
    <w:tblStylePr w:type="lastCol">
      <w:rPr>
        <w:b/>
        <w:bCs/>
      </w:rPr>
      <w:tblPr/>
      <w:tcPr>
        <w:tcBorders>
          <w:top w:val="single" w:sz="8" w:space="0" w:color="012169" w:themeColor="accent4"/>
          <w:bottom w:val="single" w:sz="8" w:space="0" w:color="012169" w:themeColor="accent4"/>
        </w:tcBorders>
      </w:tcPr>
    </w:tblStylePr>
    <w:tblStylePr w:type="band1Vert">
      <w:tblPr/>
      <w:tcPr>
        <w:shd w:val="clear" w:color="auto" w:fill="9BB9FE" w:themeFill="accent4" w:themeFillTint="3F"/>
      </w:tcPr>
    </w:tblStylePr>
    <w:tblStylePr w:type="band1Horz">
      <w:tblPr/>
      <w:tcPr>
        <w:shd w:val="clear" w:color="auto" w:fill="9BB9FE" w:themeFill="accent4" w:themeFillTint="3F"/>
      </w:tcPr>
    </w:tblStylePr>
  </w:style>
  <w:style w:type="table" w:styleId="MediumList1-Accent5">
    <w:name w:val="Medium List 1 Accent 5"/>
    <w:basedOn w:val="TableNormal"/>
    <w:uiPriority w:val="65"/>
    <w:rsid w:val="00F9113D"/>
    <w:pPr>
      <w:spacing w:line="240" w:lineRule="auto"/>
    </w:pPr>
    <w:rPr>
      <w:color w:val="000000" w:themeColor="text1"/>
      <w:lang w:val="en-AU"/>
    </w:rPr>
    <w:tblPr>
      <w:tblStyleRowBandSize w:val="1"/>
      <w:tblStyleColBandSize w:val="1"/>
      <w:tblBorders>
        <w:top w:val="single" w:sz="8" w:space="0" w:color="0097A9" w:themeColor="accent5"/>
        <w:bottom w:val="single" w:sz="8" w:space="0" w:color="0097A9" w:themeColor="accent5"/>
      </w:tblBorders>
    </w:tblPr>
    <w:tblStylePr w:type="firstRow">
      <w:rPr>
        <w:rFonts w:asciiTheme="majorHAnsi" w:eastAsiaTheme="majorEastAsia" w:hAnsiTheme="majorHAnsi" w:cstheme="majorBidi"/>
      </w:rPr>
      <w:tblPr/>
      <w:tcPr>
        <w:tcBorders>
          <w:top w:val="nil"/>
          <w:bottom w:val="single" w:sz="8" w:space="0" w:color="0097A9" w:themeColor="accent5"/>
        </w:tcBorders>
      </w:tcPr>
    </w:tblStylePr>
    <w:tblStylePr w:type="lastRow">
      <w:rPr>
        <w:b/>
        <w:bCs/>
        <w:color w:val="44546A" w:themeColor="text2"/>
      </w:rPr>
      <w:tblPr/>
      <w:tcPr>
        <w:tcBorders>
          <w:top w:val="single" w:sz="8" w:space="0" w:color="0097A9" w:themeColor="accent5"/>
          <w:bottom w:val="single" w:sz="8" w:space="0" w:color="0097A9" w:themeColor="accent5"/>
        </w:tcBorders>
      </w:tcPr>
    </w:tblStylePr>
    <w:tblStylePr w:type="firstCol">
      <w:rPr>
        <w:b/>
        <w:bCs/>
      </w:rPr>
    </w:tblStylePr>
    <w:tblStylePr w:type="lastCol">
      <w:rPr>
        <w:b/>
        <w:bCs/>
      </w:rPr>
      <w:tblPr/>
      <w:tcPr>
        <w:tcBorders>
          <w:top w:val="single" w:sz="8" w:space="0" w:color="0097A9" w:themeColor="accent5"/>
          <w:bottom w:val="single" w:sz="8" w:space="0" w:color="0097A9" w:themeColor="accent5"/>
        </w:tcBorders>
      </w:tcPr>
    </w:tblStylePr>
    <w:tblStylePr w:type="band1Vert">
      <w:tblPr/>
      <w:tcPr>
        <w:shd w:val="clear" w:color="auto" w:fill="AAF5FF" w:themeFill="accent5" w:themeFillTint="3F"/>
      </w:tcPr>
    </w:tblStylePr>
    <w:tblStylePr w:type="band1Horz">
      <w:tblPr/>
      <w:tcPr>
        <w:shd w:val="clear" w:color="auto" w:fill="AAF5FF" w:themeFill="accent5" w:themeFillTint="3F"/>
      </w:tcPr>
    </w:tblStylePr>
  </w:style>
  <w:style w:type="table" w:styleId="MediumList1-Accent6">
    <w:name w:val="Medium List 1 Accent 6"/>
    <w:basedOn w:val="TableNormal"/>
    <w:uiPriority w:val="65"/>
    <w:rsid w:val="00F9113D"/>
    <w:pPr>
      <w:spacing w:line="240" w:lineRule="auto"/>
    </w:pPr>
    <w:rPr>
      <w:color w:val="000000" w:themeColor="text1"/>
      <w:lang w:val="en-AU"/>
    </w:rPr>
    <w:tblPr>
      <w:tblStyleRowBandSize w:val="1"/>
      <w:tblStyleColBandSize w:val="1"/>
      <w:tblBorders>
        <w:top w:val="single" w:sz="8" w:space="0" w:color="75787B" w:themeColor="accent6"/>
        <w:bottom w:val="single" w:sz="8" w:space="0" w:color="75787B" w:themeColor="accent6"/>
      </w:tblBorders>
    </w:tblPr>
    <w:tblStylePr w:type="firstRow">
      <w:rPr>
        <w:rFonts w:asciiTheme="majorHAnsi" w:eastAsiaTheme="majorEastAsia" w:hAnsiTheme="majorHAnsi" w:cstheme="majorBidi"/>
      </w:rPr>
      <w:tblPr/>
      <w:tcPr>
        <w:tcBorders>
          <w:top w:val="nil"/>
          <w:bottom w:val="single" w:sz="8" w:space="0" w:color="75787B" w:themeColor="accent6"/>
        </w:tcBorders>
      </w:tcPr>
    </w:tblStylePr>
    <w:tblStylePr w:type="lastRow">
      <w:rPr>
        <w:b/>
        <w:bCs/>
        <w:color w:val="44546A" w:themeColor="text2"/>
      </w:rPr>
      <w:tblPr/>
      <w:tcPr>
        <w:tcBorders>
          <w:top w:val="single" w:sz="8" w:space="0" w:color="75787B" w:themeColor="accent6"/>
          <w:bottom w:val="single" w:sz="8" w:space="0" w:color="75787B" w:themeColor="accent6"/>
        </w:tcBorders>
      </w:tcPr>
    </w:tblStylePr>
    <w:tblStylePr w:type="firstCol">
      <w:rPr>
        <w:b/>
        <w:bCs/>
      </w:rPr>
    </w:tblStylePr>
    <w:tblStylePr w:type="lastCol">
      <w:rPr>
        <w:b/>
        <w:bCs/>
      </w:rPr>
      <w:tblPr/>
      <w:tcPr>
        <w:tcBorders>
          <w:top w:val="single" w:sz="8" w:space="0" w:color="75787B" w:themeColor="accent6"/>
          <w:bottom w:val="single" w:sz="8" w:space="0" w:color="75787B" w:themeColor="accent6"/>
        </w:tcBorders>
      </w:tcPr>
    </w:tblStylePr>
    <w:tblStylePr w:type="band1Vert">
      <w:tblPr/>
      <w:tcPr>
        <w:shd w:val="clear" w:color="auto" w:fill="DCDDDE" w:themeFill="accent6" w:themeFillTint="3F"/>
      </w:tcPr>
    </w:tblStylePr>
    <w:tblStylePr w:type="band1Horz">
      <w:tblPr/>
      <w:tcPr>
        <w:shd w:val="clear" w:color="auto" w:fill="DCDDDE" w:themeFill="accent6" w:themeFillTint="3F"/>
      </w:tcPr>
    </w:tblStylePr>
  </w:style>
  <w:style w:type="table" w:styleId="MediumList2">
    <w:name w:val="Medium Lis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86BC25" w:themeColor="accent1"/>
        <w:left w:val="single" w:sz="8" w:space="0" w:color="86BC25" w:themeColor="accent1"/>
        <w:bottom w:val="single" w:sz="8" w:space="0" w:color="86BC25" w:themeColor="accent1"/>
        <w:right w:val="single" w:sz="8" w:space="0" w:color="86BC25" w:themeColor="accent1"/>
      </w:tblBorders>
    </w:tblPr>
    <w:tblStylePr w:type="firstRow">
      <w:rPr>
        <w:sz w:val="24"/>
        <w:szCs w:val="24"/>
      </w:rPr>
      <w:tblPr/>
      <w:tcPr>
        <w:tcBorders>
          <w:top w:val="nil"/>
          <w:left w:val="nil"/>
          <w:bottom w:val="single" w:sz="24" w:space="0" w:color="86BC25" w:themeColor="accent1"/>
          <w:right w:val="nil"/>
          <w:insideH w:val="nil"/>
          <w:insideV w:val="nil"/>
        </w:tcBorders>
        <w:shd w:val="clear" w:color="auto" w:fill="FFFFFF" w:themeFill="background1"/>
      </w:tcPr>
    </w:tblStylePr>
    <w:tblStylePr w:type="lastRow">
      <w:tblPr/>
      <w:tcPr>
        <w:tcBorders>
          <w:top w:val="single" w:sz="8" w:space="0" w:color="86BC2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C25" w:themeColor="accent1"/>
          <w:insideH w:val="nil"/>
          <w:insideV w:val="nil"/>
        </w:tcBorders>
        <w:shd w:val="clear" w:color="auto" w:fill="FFFFFF" w:themeFill="background1"/>
      </w:tcPr>
    </w:tblStylePr>
    <w:tblStylePr w:type="lastCol">
      <w:tblPr/>
      <w:tcPr>
        <w:tcBorders>
          <w:top w:val="nil"/>
          <w:left w:val="single" w:sz="8" w:space="0" w:color="86BC2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F3C3" w:themeFill="accent1" w:themeFillTint="3F"/>
      </w:tcPr>
    </w:tblStylePr>
    <w:tblStylePr w:type="band1Horz">
      <w:tblPr/>
      <w:tcPr>
        <w:tcBorders>
          <w:top w:val="nil"/>
          <w:bottom w:val="nil"/>
          <w:insideH w:val="nil"/>
          <w:insideV w:val="nil"/>
        </w:tcBorders>
        <w:shd w:val="clear" w:color="auto" w:fill="E2F3C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46A38" w:themeColor="accent2"/>
        <w:left w:val="single" w:sz="8" w:space="0" w:color="046A38" w:themeColor="accent2"/>
        <w:bottom w:val="single" w:sz="8" w:space="0" w:color="046A38" w:themeColor="accent2"/>
        <w:right w:val="single" w:sz="8" w:space="0" w:color="046A38" w:themeColor="accent2"/>
      </w:tblBorders>
    </w:tblPr>
    <w:tblStylePr w:type="firstRow">
      <w:rPr>
        <w:sz w:val="24"/>
        <w:szCs w:val="24"/>
      </w:rPr>
      <w:tblPr/>
      <w:tcPr>
        <w:tcBorders>
          <w:top w:val="nil"/>
          <w:left w:val="nil"/>
          <w:bottom w:val="single" w:sz="24" w:space="0" w:color="046A38" w:themeColor="accent2"/>
          <w:right w:val="nil"/>
          <w:insideH w:val="nil"/>
          <w:insideV w:val="nil"/>
        </w:tcBorders>
        <w:shd w:val="clear" w:color="auto" w:fill="FFFFFF" w:themeFill="background1"/>
      </w:tcPr>
    </w:tblStylePr>
    <w:tblStylePr w:type="lastRow">
      <w:tblPr/>
      <w:tcPr>
        <w:tcBorders>
          <w:top w:val="single" w:sz="8" w:space="0" w:color="046A38"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46A38" w:themeColor="accent2"/>
          <w:insideH w:val="nil"/>
          <w:insideV w:val="nil"/>
        </w:tcBorders>
        <w:shd w:val="clear" w:color="auto" w:fill="FFFFFF" w:themeFill="background1"/>
      </w:tcPr>
    </w:tblStylePr>
    <w:tblStylePr w:type="lastCol">
      <w:tblPr/>
      <w:tcPr>
        <w:tcBorders>
          <w:top w:val="nil"/>
          <w:left w:val="single" w:sz="8" w:space="0" w:color="046A38"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BCE" w:themeFill="accent2" w:themeFillTint="3F"/>
      </w:tcPr>
    </w:tblStylePr>
    <w:tblStylePr w:type="band1Horz">
      <w:tblPr/>
      <w:tcPr>
        <w:tcBorders>
          <w:top w:val="nil"/>
          <w:bottom w:val="nil"/>
          <w:insideH w:val="nil"/>
          <w:insideV w:val="nil"/>
        </w:tcBorders>
        <w:shd w:val="clear" w:color="auto" w:fill="9FFBC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62B5E5" w:themeColor="accent3"/>
        <w:left w:val="single" w:sz="8" w:space="0" w:color="62B5E5" w:themeColor="accent3"/>
        <w:bottom w:val="single" w:sz="8" w:space="0" w:color="62B5E5" w:themeColor="accent3"/>
        <w:right w:val="single" w:sz="8" w:space="0" w:color="62B5E5" w:themeColor="accent3"/>
      </w:tblBorders>
    </w:tblPr>
    <w:tblStylePr w:type="firstRow">
      <w:rPr>
        <w:sz w:val="24"/>
        <w:szCs w:val="24"/>
      </w:rPr>
      <w:tblPr/>
      <w:tcPr>
        <w:tcBorders>
          <w:top w:val="nil"/>
          <w:left w:val="nil"/>
          <w:bottom w:val="single" w:sz="24" w:space="0" w:color="62B5E5" w:themeColor="accent3"/>
          <w:right w:val="nil"/>
          <w:insideH w:val="nil"/>
          <w:insideV w:val="nil"/>
        </w:tcBorders>
        <w:shd w:val="clear" w:color="auto" w:fill="FFFFFF" w:themeFill="background1"/>
      </w:tcPr>
    </w:tblStylePr>
    <w:tblStylePr w:type="lastRow">
      <w:tblPr/>
      <w:tcPr>
        <w:tcBorders>
          <w:top w:val="single" w:sz="8" w:space="0" w:color="62B5E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2B5E5" w:themeColor="accent3"/>
          <w:insideH w:val="nil"/>
          <w:insideV w:val="nil"/>
        </w:tcBorders>
        <w:shd w:val="clear" w:color="auto" w:fill="FFFFFF" w:themeFill="background1"/>
      </w:tcPr>
    </w:tblStylePr>
    <w:tblStylePr w:type="lastCol">
      <w:tblPr/>
      <w:tcPr>
        <w:tcBorders>
          <w:top w:val="nil"/>
          <w:left w:val="single" w:sz="8" w:space="0" w:color="62B5E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CF8" w:themeFill="accent3" w:themeFillTint="3F"/>
      </w:tcPr>
    </w:tblStylePr>
    <w:tblStylePr w:type="band1Horz">
      <w:tblPr/>
      <w:tcPr>
        <w:tcBorders>
          <w:top w:val="nil"/>
          <w:bottom w:val="nil"/>
          <w:insideH w:val="nil"/>
          <w:insideV w:val="nil"/>
        </w:tcBorders>
        <w:shd w:val="clear" w:color="auto" w:fill="D8ECF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12169" w:themeColor="accent4"/>
        <w:left w:val="single" w:sz="8" w:space="0" w:color="012169" w:themeColor="accent4"/>
        <w:bottom w:val="single" w:sz="8" w:space="0" w:color="012169" w:themeColor="accent4"/>
        <w:right w:val="single" w:sz="8" w:space="0" w:color="012169" w:themeColor="accent4"/>
      </w:tblBorders>
    </w:tblPr>
    <w:tblStylePr w:type="firstRow">
      <w:rPr>
        <w:sz w:val="24"/>
        <w:szCs w:val="24"/>
      </w:rPr>
      <w:tblPr/>
      <w:tcPr>
        <w:tcBorders>
          <w:top w:val="nil"/>
          <w:left w:val="nil"/>
          <w:bottom w:val="single" w:sz="24" w:space="0" w:color="012169" w:themeColor="accent4"/>
          <w:right w:val="nil"/>
          <w:insideH w:val="nil"/>
          <w:insideV w:val="nil"/>
        </w:tcBorders>
        <w:shd w:val="clear" w:color="auto" w:fill="FFFFFF" w:themeFill="background1"/>
      </w:tcPr>
    </w:tblStylePr>
    <w:tblStylePr w:type="lastRow">
      <w:tblPr/>
      <w:tcPr>
        <w:tcBorders>
          <w:top w:val="single" w:sz="8" w:space="0" w:color="012169"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12169" w:themeColor="accent4"/>
          <w:insideH w:val="nil"/>
          <w:insideV w:val="nil"/>
        </w:tcBorders>
        <w:shd w:val="clear" w:color="auto" w:fill="FFFFFF" w:themeFill="background1"/>
      </w:tcPr>
    </w:tblStylePr>
    <w:tblStylePr w:type="lastCol">
      <w:tblPr/>
      <w:tcPr>
        <w:tcBorders>
          <w:top w:val="nil"/>
          <w:left w:val="single" w:sz="8" w:space="0" w:color="012169"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BB9FE" w:themeFill="accent4" w:themeFillTint="3F"/>
      </w:tcPr>
    </w:tblStylePr>
    <w:tblStylePr w:type="band1Horz">
      <w:tblPr/>
      <w:tcPr>
        <w:tcBorders>
          <w:top w:val="nil"/>
          <w:bottom w:val="nil"/>
          <w:insideH w:val="nil"/>
          <w:insideV w:val="nil"/>
        </w:tcBorders>
        <w:shd w:val="clear" w:color="auto" w:fill="9BB9F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0097A9" w:themeColor="accent5"/>
        <w:left w:val="single" w:sz="8" w:space="0" w:color="0097A9" w:themeColor="accent5"/>
        <w:bottom w:val="single" w:sz="8" w:space="0" w:color="0097A9" w:themeColor="accent5"/>
        <w:right w:val="single" w:sz="8" w:space="0" w:color="0097A9" w:themeColor="accent5"/>
      </w:tblBorders>
    </w:tblPr>
    <w:tblStylePr w:type="firstRow">
      <w:rPr>
        <w:sz w:val="24"/>
        <w:szCs w:val="24"/>
      </w:rPr>
      <w:tblPr/>
      <w:tcPr>
        <w:tcBorders>
          <w:top w:val="nil"/>
          <w:left w:val="nil"/>
          <w:bottom w:val="single" w:sz="24" w:space="0" w:color="0097A9" w:themeColor="accent5"/>
          <w:right w:val="nil"/>
          <w:insideH w:val="nil"/>
          <w:insideV w:val="nil"/>
        </w:tcBorders>
        <w:shd w:val="clear" w:color="auto" w:fill="FFFFFF" w:themeFill="background1"/>
      </w:tcPr>
    </w:tblStylePr>
    <w:tblStylePr w:type="lastRow">
      <w:tblPr/>
      <w:tcPr>
        <w:tcBorders>
          <w:top w:val="single" w:sz="8" w:space="0" w:color="0097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7A9" w:themeColor="accent5"/>
          <w:insideH w:val="nil"/>
          <w:insideV w:val="nil"/>
        </w:tcBorders>
        <w:shd w:val="clear" w:color="auto" w:fill="FFFFFF" w:themeFill="background1"/>
      </w:tcPr>
    </w:tblStylePr>
    <w:tblStylePr w:type="lastCol">
      <w:tblPr/>
      <w:tcPr>
        <w:tcBorders>
          <w:top w:val="nil"/>
          <w:left w:val="single" w:sz="8" w:space="0" w:color="0097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F5FF" w:themeFill="accent5" w:themeFillTint="3F"/>
      </w:tcPr>
    </w:tblStylePr>
    <w:tblStylePr w:type="band1Horz">
      <w:tblPr/>
      <w:tcPr>
        <w:tcBorders>
          <w:top w:val="nil"/>
          <w:bottom w:val="nil"/>
          <w:insideH w:val="nil"/>
          <w:insideV w:val="nil"/>
        </w:tcBorders>
        <w:shd w:val="clear" w:color="auto" w:fill="AAF5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F9113D"/>
    <w:pPr>
      <w:spacing w:line="240" w:lineRule="auto"/>
    </w:pPr>
    <w:rPr>
      <w:rFonts w:asciiTheme="majorHAnsi" w:eastAsiaTheme="majorEastAsia" w:hAnsiTheme="majorHAnsi" w:cstheme="majorBidi"/>
      <w:color w:val="000000" w:themeColor="text1"/>
      <w:lang w:val="en-AU"/>
    </w:rPr>
    <w:tblPr>
      <w:tblStyleRowBandSize w:val="1"/>
      <w:tblStyleColBandSize w:val="1"/>
      <w:tblBorders>
        <w:top w:val="single" w:sz="8" w:space="0" w:color="75787B" w:themeColor="accent6"/>
        <w:left w:val="single" w:sz="8" w:space="0" w:color="75787B" w:themeColor="accent6"/>
        <w:bottom w:val="single" w:sz="8" w:space="0" w:color="75787B" w:themeColor="accent6"/>
        <w:right w:val="single" w:sz="8" w:space="0" w:color="75787B" w:themeColor="accent6"/>
      </w:tblBorders>
    </w:tblPr>
    <w:tblStylePr w:type="firstRow">
      <w:rPr>
        <w:sz w:val="24"/>
        <w:szCs w:val="24"/>
      </w:rPr>
      <w:tblPr/>
      <w:tcPr>
        <w:tcBorders>
          <w:top w:val="nil"/>
          <w:left w:val="nil"/>
          <w:bottom w:val="single" w:sz="24" w:space="0" w:color="75787B" w:themeColor="accent6"/>
          <w:right w:val="nil"/>
          <w:insideH w:val="nil"/>
          <w:insideV w:val="nil"/>
        </w:tcBorders>
        <w:shd w:val="clear" w:color="auto" w:fill="FFFFFF" w:themeFill="background1"/>
      </w:tcPr>
    </w:tblStylePr>
    <w:tblStylePr w:type="lastRow">
      <w:tblPr/>
      <w:tcPr>
        <w:tcBorders>
          <w:top w:val="single" w:sz="8" w:space="0" w:color="75787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5787B" w:themeColor="accent6"/>
          <w:insideH w:val="nil"/>
          <w:insideV w:val="nil"/>
        </w:tcBorders>
        <w:shd w:val="clear" w:color="auto" w:fill="FFFFFF" w:themeFill="background1"/>
      </w:tcPr>
    </w:tblStylePr>
    <w:tblStylePr w:type="lastCol">
      <w:tblPr/>
      <w:tcPr>
        <w:tcBorders>
          <w:top w:val="nil"/>
          <w:left w:val="single" w:sz="8" w:space="0" w:color="75787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DDE" w:themeFill="accent6" w:themeFillTint="3F"/>
      </w:tcPr>
    </w:tblStylePr>
    <w:tblStylePr w:type="band1Horz">
      <w:tblPr/>
      <w:tcPr>
        <w:tcBorders>
          <w:top w:val="nil"/>
          <w:bottom w:val="nil"/>
          <w:insideH w:val="nil"/>
          <w:insideV w:val="nil"/>
        </w:tcBorders>
        <w:shd w:val="clear" w:color="auto" w:fill="DCDDDE"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F9113D"/>
    <w:pPr>
      <w:spacing w:line="240" w:lineRule="auto"/>
    </w:pPr>
    <w:rPr>
      <w:lang w:val="en-AU"/>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F9113D"/>
    <w:pPr>
      <w:spacing w:line="240" w:lineRule="auto"/>
    </w:pPr>
    <w:rPr>
      <w:lang w:val="en-AU"/>
    </w:rPr>
    <w:tblPr>
      <w:tblStyleRowBandSize w:val="1"/>
      <w:tblStyleColBandSize w:val="1"/>
      <w:tbl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single" w:sz="8" w:space="0" w:color="A8DB4C" w:themeColor="accent1" w:themeTint="BF"/>
      </w:tblBorders>
    </w:tblPr>
    <w:tblStylePr w:type="firstRow">
      <w:pPr>
        <w:spacing w:before="0" w:after="0" w:line="240" w:lineRule="auto"/>
      </w:pPr>
      <w:rPr>
        <w:b/>
        <w:bCs/>
        <w:color w:val="FFFFFF" w:themeColor="background1"/>
      </w:rPr>
      <w:tblPr/>
      <w:tcPr>
        <w:tcBorders>
          <w:top w:val="single" w:sz="8"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shd w:val="clear" w:color="auto" w:fill="86BC25" w:themeFill="accent1"/>
      </w:tcPr>
    </w:tblStylePr>
    <w:tblStylePr w:type="lastRow">
      <w:pPr>
        <w:spacing w:before="0" w:after="0" w:line="240" w:lineRule="auto"/>
      </w:pPr>
      <w:rPr>
        <w:b/>
        <w:bCs/>
      </w:rPr>
      <w:tblPr/>
      <w:tcPr>
        <w:tcBorders>
          <w:top w:val="double" w:sz="6" w:space="0" w:color="A8DB4C" w:themeColor="accent1" w:themeTint="BF"/>
          <w:left w:val="single" w:sz="8" w:space="0" w:color="A8DB4C" w:themeColor="accent1" w:themeTint="BF"/>
          <w:bottom w:val="single" w:sz="8" w:space="0" w:color="A8DB4C" w:themeColor="accent1" w:themeTint="BF"/>
          <w:right w:val="single" w:sz="8" w:space="0" w:color="A8DB4C" w:themeColor="accent1" w:themeTint="BF"/>
          <w:insideH w:val="nil"/>
          <w:insideV w:val="nil"/>
        </w:tcBorders>
      </w:tcPr>
    </w:tblStylePr>
    <w:tblStylePr w:type="firstCol">
      <w:rPr>
        <w:b/>
        <w:bCs/>
      </w:rPr>
    </w:tblStylePr>
    <w:tblStylePr w:type="lastCol">
      <w:rPr>
        <w:b/>
        <w:bCs/>
      </w:rPr>
    </w:tblStylePr>
    <w:tblStylePr w:type="band1Vert">
      <w:tblPr/>
      <w:tcPr>
        <w:shd w:val="clear" w:color="auto" w:fill="E2F3C3" w:themeFill="accent1" w:themeFillTint="3F"/>
      </w:tcPr>
    </w:tblStylePr>
    <w:tblStylePr w:type="band1Horz">
      <w:tblPr/>
      <w:tcPr>
        <w:tcBorders>
          <w:insideH w:val="nil"/>
          <w:insideV w:val="nil"/>
        </w:tcBorders>
        <w:shd w:val="clear" w:color="auto" w:fill="E2F3C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F9113D"/>
    <w:pPr>
      <w:spacing w:line="240" w:lineRule="auto"/>
    </w:pPr>
    <w:rPr>
      <w:lang w:val="en-AU"/>
    </w:rPr>
    <w:tblPr>
      <w:tblStyleRowBandSize w:val="1"/>
      <w:tblStyleColBandSize w:val="1"/>
      <w:tbl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single" w:sz="8" w:space="0" w:color="07CA6B" w:themeColor="accent2" w:themeTint="BF"/>
      </w:tblBorders>
    </w:tblPr>
    <w:tblStylePr w:type="firstRow">
      <w:pPr>
        <w:spacing w:before="0" w:after="0" w:line="240" w:lineRule="auto"/>
      </w:pPr>
      <w:rPr>
        <w:b/>
        <w:bCs/>
        <w:color w:val="FFFFFF" w:themeColor="background1"/>
      </w:rPr>
      <w:tblPr/>
      <w:tcPr>
        <w:tcBorders>
          <w:top w:val="single" w:sz="8"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shd w:val="clear" w:color="auto" w:fill="046A38" w:themeFill="accent2"/>
      </w:tcPr>
    </w:tblStylePr>
    <w:tblStylePr w:type="lastRow">
      <w:pPr>
        <w:spacing w:before="0" w:after="0" w:line="240" w:lineRule="auto"/>
      </w:pPr>
      <w:rPr>
        <w:b/>
        <w:bCs/>
      </w:rPr>
      <w:tblPr/>
      <w:tcPr>
        <w:tcBorders>
          <w:top w:val="double" w:sz="6" w:space="0" w:color="07CA6B" w:themeColor="accent2" w:themeTint="BF"/>
          <w:left w:val="single" w:sz="8" w:space="0" w:color="07CA6B" w:themeColor="accent2" w:themeTint="BF"/>
          <w:bottom w:val="single" w:sz="8" w:space="0" w:color="07CA6B" w:themeColor="accent2" w:themeTint="BF"/>
          <w:right w:val="single" w:sz="8" w:space="0" w:color="07CA6B" w:themeColor="accent2" w:themeTint="BF"/>
          <w:insideH w:val="nil"/>
          <w:insideV w:val="nil"/>
        </w:tcBorders>
      </w:tcPr>
    </w:tblStylePr>
    <w:tblStylePr w:type="firstCol">
      <w:rPr>
        <w:b/>
        <w:bCs/>
      </w:rPr>
    </w:tblStylePr>
    <w:tblStylePr w:type="lastCol">
      <w:rPr>
        <w:b/>
        <w:bCs/>
      </w:rPr>
    </w:tblStylePr>
    <w:tblStylePr w:type="band1Vert">
      <w:tblPr/>
      <w:tcPr>
        <w:shd w:val="clear" w:color="auto" w:fill="9FFBCE" w:themeFill="accent2" w:themeFillTint="3F"/>
      </w:tcPr>
    </w:tblStylePr>
    <w:tblStylePr w:type="band1Horz">
      <w:tblPr/>
      <w:tcPr>
        <w:tcBorders>
          <w:insideH w:val="nil"/>
          <w:insideV w:val="nil"/>
        </w:tcBorders>
        <w:shd w:val="clear" w:color="auto" w:fill="9FFBC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F9113D"/>
    <w:pPr>
      <w:spacing w:line="240" w:lineRule="auto"/>
    </w:pPr>
    <w:rPr>
      <w:lang w:val="en-AU"/>
    </w:rPr>
    <w:tblPr>
      <w:tblStyleRowBandSize w:val="1"/>
      <w:tblStyleColBandSize w:val="1"/>
      <w:tbl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single" w:sz="8" w:space="0" w:color="89C7EB" w:themeColor="accent3" w:themeTint="BF"/>
      </w:tblBorders>
    </w:tblPr>
    <w:tblStylePr w:type="firstRow">
      <w:pPr>
        <w:spacing w:before="0" w:after="0" w:line="240" w:lineRule="auto"/>
      </w:pPr>
      <w:rPr>
        <w:b/>
        <w:bCs/>
        <w:color w:val="FFFFFF" w:themeColor="background1"/>
      </w:rPr>
      <w:tblPr/>
      <w:tcPr>
        <w:tcBorders>
          <w:top w:val="single" w:sz="8"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shd w:val="clear" w:color="auto" w:fill="62B5E5" w:themeFill="accent3"/>
      </w:tcPr>
    </w:tblStylePr>
    <w:tblStylePr w:type="lastRow">
      <w:pPr>
        <w:spacing w:before="0" w:after="0" w:line="240" w:lineRule="auto"/>
      </w:pPr>
      <w:rPr>
        <w:b/>
        <w:bCs/>
      </w:rPr>
      <w:tblPr/>
      <w:tcPr>
        <w:tcBorders>
          <w:top w:val="double" w:sz="6" w:space="0" w:color="89C7EB" w:themeColor="accent3" w:themeTint="BF"/>
          <w:left w:val="single" w:sz="8" w:space="0" w:color="89C7EB" w:themeColor="accent3" w:themeTint="BF"/>
          <w:bottom w:val="single" w:sz="8" w:space="0" w:color="89C7EB" w:themeColor="accent3" w:themeTint="BF"/>
          <w:right w:val="single" w:sz="8" w:space="0" w:color="89C7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D8ECF8" w:themeFill="accent3" w:themeFillTint="3F"/>
      </w:tcPr>
    </w:tblStylePr>
    <w:tblStylePr w:type="band1Horz">
      <w:tblPr/>
      <w:tcPr>
        <w:tcBorders>
          <w:insideH w:val="nil"/>
          <w:insideV w:val="nil"/>
        </w:tcBorders>
        <w:shd w:val="clear" w:color="auto" w:fill="D8ECF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F9113D"/>
    <w:pPr>
      <w:spacing w:line="240" w:lineRule="auto"/>
    </w:pPr>
    <w:rPr>
      <w:lang w:val="en-AU"/>
    </w:rPr>
    <w:tblPr>
      <w:tblStyleRowBandSize w:val="1"/>
      <w:tblStyleColBandSize w:val="1"/>
      <w:tbl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single" w:sz="8" w:space="0" w:color="0240CD" w:themeColor="accent4" w:themeTint="BF"/>
      </w:tblBorders>
    </w:tblPr>
    <w:tblStylePr w:type="firstRow">
      <w:pPr>
        <w:spacing w:before="0" w:after="0" w:line="240" w:lineRule="auto"/>
      </w:pPr>
      <w:rPr>
        <w:b/>
        <w:bCs/>
        <w:color w:val="FFFFFF" w:themeColor="background1"/>
      </w:rPr>
      <w:tblPr/>
      <w:tcPr>
        <w:tcBorders>
          <w:top w:val="single" w:sz="8"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shd w:val="clear" w:color="auto" w:fill="012169" w:themeFill="accent4"/>
      </w:tcPr>
    </w:tblStylePr>
    <w:tblStylePr w:type="lastRow">
      <w:pPr>
        <w:spacing w:before="0" w:after="0" w:line="240" w:lineRule="auto"/>
      </w:pPr>
      <w:rPr>
        <w:b/>
        <w:bCs/>
      </w:rPr>
      <w:tblPr/>
      <w:tcPr>
        <w:tcBorders>
          <w:top w:val="double" w:sz="6" w:space="0" w:color="0240CD" w:themeColor="accent4" w:themeTint="BF"/>
          <w:left w:val="single" w:sz="8" w:space="0" w:color="0240CD" w:themeColor="accent4" w:themeTint="BF"/>
          <w:bottom w:val="single" w:sz="8" w:space="0" w:color="0240CD" w:themeColor="accent4" w:themeTint="BF"/>
          <w:right w:val="single" w:sz="8" w:space="0" w:color="0240CD" w:themeColor="accent4" w:themeTint="BF"/>
          <w:insideH w:val="nil"/>
          <w:insideV w:val="nil"/>
        </w:tcBorders>
      </w:tcPr>
    </w:tblStylePr>
    <w:tblStylePr w:type="firstCol">
      <w:rPr>
        <w:b/>
        <w:bCs/>
      </w:rPr>
    </w:tblStylePr>
    <w:tblStylePr w:type="lastCol">
      <w:rPr>
        <w:b/>
        <w:bCs/>
      </w:rPr>
    </w:tblStylePr>
    <w:tblStylePr w:type="band1Vert">
      <w:tblPr/>
      <w:tcPr>
        <w:shd w:val="clear" w:color="auto" w:fill="9BB9FE" w:themeFill="accent4" w:themeFillTint="3F"/>
      </w:tcPr>
    </w:tblStylePr>
    <w:tblStylePr w:type="band1Horz">
      <w:tblPr/>
      <w:tcPr>
        <w:tcBorders>
          <w:insideH w:val="nil"/>
          <w:insideV w:val="nil"/>
        </w:tcBorders>
        <w:shd w:val="clear" w:color="auto" w:fill="9BB9FE"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F9113D"/>
    <w:pPr>
      <w:spacing w:line="240" w:lineRule="auto"/>
    </w:pPr>
    <w:rPr>
      <w:lang w:val="en-AU"/>
    </w:rPr>
    <w:tblPr>
      <w:tblStyleRowBandSize w:val="1"/>
      <w:tblStyleColBandSize w:val="1"/>
      <w:tbl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single" w:sz="8" w:space="0" w:color="00E2FE" w:themeColor="accent5" w:themeTint="BF"/>
      </w:tblBorders>
    </w:tblPr>
    <w:tblStylePr w:type="firstRow">
      <w:pPr>
        <w:spacing w:before="0" w:after="0" w:line="240" w:lineRule="auto"/>
      </w:pPr>
      <w:rPr>
        <w:b/>
        <w:bCs/>
        <w:color w:val="FFFFFF" w:themeColor="background1"/>
      </w:rPr>
      <w:tblPr/>
      <w:tcPr>
        <w:tcBorders>
          <w:top w:val="single" w:sz="8"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shd w:val="clear" w:color="auto" w:fill="0097A9" w:themeFill="accent5"/>
      </w:tcPr>
    </w:tblStylePr>
    <w:tblStylePr w:type="lastRow">
      <w:pPr>
        <w:spacing w:before="0" w:after="0" w:line="240" w:lineRule="auto"/>
      </w:pPr>
      <w:rPr>
        <w:b/>
        <w:bCs/>
      </w:rPr>
      <w:tblPr/>
      <w:tcPr>
        <w:tcBorders>
          <w:top w:val="double" w:sz="6" w:space="0" w:color="00E2FE" w:themeColor="accent5" w:themeTint="BF"/>
          <w:left w:val="single" w:sz="8" w:space="0" w:color="00E2FE" w:themeColor="accent5" w:themeTint="BF"/>
          <w:bottom w:val="single" w:sz="8" w:space="0" w:color="00E2FE" w:themeColor="accent5" w:themeTint="BF"/>
          <w:right w:val="single" w:sz="8" w:space="0" w:color="00E2FE" w:themeColor="accent5" w:themeTint="BF"/>
          <w:insideH w:val="nil"/>
          <w:insideV w:val="nil"/>
        </w:tcBorders>
      </w:tcPr>
    </w:tblStylePr>
    <w:tblStylePr w:type="firstCol">
      <w:rPr>
        <w:b/>
        <w:bCs/>
      </w:rPr>
    </w:tblStylePr>
    <w:tblStylePr w:type="lastCol">
      <w:rPr>
        <w:b/>
        <w:bCs/>
      </w:rPr>
    </w:tblStylePr>
    <w:tblStylePr w:type="band1Vert">
      <w:tblPr/>
      <w:tcPr>
        <w:shd w:val="clear" w:color="auto" w:fill="AAF5FF" w:themeFill="accent5" w:themeFillTint="3F"/>
      </w:tcPr>
    </w:tblStylePr>
    <w:tblStylePr w:type="band1Horz">
      <w:tblPr/>
      <w:tcPr>
        <w:tcBorders>
          <w:insideH w:val="nil"/>
          <w:insideV w:val="nil"/>
        </w:tcBorders>
        <w:shd w:val="clear" w:color="auto" w:fill="AAF5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F9113D"/>
    <w:pPr>
      <w:spacing w:line="240" w:lineRule="auto"/>
    </w:pPr>
    <w:rPr>
      <w:lang w:val="en-AU"/>
    </w:rPr>
    <w:tblPr>
      <w:tblStyleRowBandSize w:val="1"/>
      <w:tblStyleColBandSize w:val="1"/>
      <w:tbl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single" w:sz="8" w:space="0" w:color="97999C" w:themeColor="accent6" w:themeTint="BF"/>
      </w:tblBorders>
    </w:tblPr>
    <w:tblStylePr w:type="firstRow">
      <w:pPr>
        <w:spacing w:before="0" w:after="0" w:line="240" w:lineRule="auto"/>
      </w:pPr>
      <w:rPr>
        <w:b/>
        <w:bCs/>
        <w:color w:val="FFFFFF" w:themeColor="background1"/>
      </w:rPr>
      <w:tblPr/>
      <w:tcPr>
        <w:tcBorders>
          <w:top w:val="single" w:sz="8"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shd w:val="clear" w:color="auto" w:fill="75787B" w:themeFill="accent6"/>
      </w:tcPr>
    </w:tblStylePr>
    <w:tblStylePr w:type="lastRow">
      <w:pPr>
        <w:spacing w:before="0" w:after="0" w:line="240" w:lineRule="auto"/>
      </w:pPr>
      <w:rPr>
        <w:b/>
        <w:bCs/>
      </w:rPr>
      <w:tblPr/>
      <w:tcPr>
        <w:tcBorders>
          <w:top w:val="double" w:sz="6" w:space="0" w:color="97999C" w:themeColor="accent6" w:themeTint="BF"/>
          <w:left w:val="single" w:sz="8" w:space="0" w:color="97999C" w:themeColor="accent6" w:themeTint="BF"/>
          <w:bottom w:val="single" w:sz="8" w:space="0" w:color="97999C" w:themeColor="accent6" w:themeTint="BF"/>
          <w:right w:val="single" w:sz="8" w:space="0" w:color="97999C" w:themeColor="accent6" w:themeTint="BF"/>
          <w:insideH w:val="nil"/>
          <w:insideV w:val="nil"/>
        </w:tcBorders>
      </w:tcPr>
    </w:tblStylePr>
    <w:tblStylePr w:type="firstCol">
      <w:rPr>
        <w:b/>
        <w:bCs/>
      </w:rPr>
    </w:tblStylePr>
    <w:tblStylePr w:type="lastCol">
      <w:rPr>
        <w:b/>
        <w:bCs/>
      </w:rPr>
    </w:tblStylePr>
    <w:tblStylePr w:type="band1Vert">
      <w:tblPr/>
      <w:tcPr>
        <w:shd w:val="clear" w:color="auto" w:fill="DCDDDE" w:themeFill="accent6" w:themeFillTint="3F"/>
      </w:tcPr>
    </w:tblStylePr>
    <w:tblStylePr w:type="band1Horz">
      <w:tblPr/>
      <w:tcPr>
        <w:tcBorders>
          <w:insideH w:val="nil"/>
          <w:insideV w:val="nil"/>
        </w:tcBorders>
        <w:shd w:val="clear" w:color="auto" w:fill="DCDDDE"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C2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C25" w:themeFill="accent1"/>
      </w:tcPr>
    </w:tblStylePr>
    <w:tblStylePr w:type="lastCol">
      <w:rPr>
        <w:b/>
        <w:bCs/>
        <w:color w:val="FFFFFF" w:themeColor="background1"/>
      </w:rPr>
      <w:tblPr/>
      <w:tcPr>
        <w:tcBorders>
          <w:left w:val="nil"/>
          <w:right w:val="nil"/>
          <w:insideH w:val="nil"/>
          <w:insideV w:val="nil"/>
        </w:tcBorders>
        <w:shd w:val="clear" w:color="auto" w:fill="86BC2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46A38"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46A38" w:themeFill="accent2"/>
      </w:tcPr>
    </w:tblStylePr>
    <w:tblStylePr w:type="lastCol">
      <w:rPr>
        <w:b/>
        <w:bCs/>
        <w:color w:val="FFFFFF" w:themeColor="background1"/>
      </w:rPr>
      <w:tblPr/>
      <w:tcPr>
        <w:tcBorders>
          <w:left w:val="nil"/>
          <w:right w:val="nil"/>
          <w:insideH w:val="nil"/>
          <w:insideV w:val="nil"/>
        </w:tcBorders>
        <w:shd w:val="clear" w:color="auto" w:fill="046A38"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2B5E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2B5E5" w:themeFill="accent3"/>
      </w:tcPr>
    </w:tblStylePr>
    <w:tblStylePr w:type="lastCol">
      <w:rPr>
        <w:b/>
        <w:bCs/>
        <w:color w:val="FFFFFF" w:themeColor="background1"/>
      </w:rPr>
      <w:tblPr/>
      <w:tcPr>
        <w:tcBorders>
          <w:left w:val="nil"/>
          <w:right w:val="nil"/>
          <w:insideH w:val="nil"/>
          <w:insideV w:val="nil"/>
        </w:tcBorders>
        <w:shd w:val="clear" w:color="auto" w:fill="62B5E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12169"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12169" w:themeFill="accent4"/>
      </w:tcPr>
    </w:tblStylePr>
    <w:tblStylePr w:type="lastCol">
      <w:rPr>
        <w:b/>
        <w:bCs/>
        <w:color w:val="FFFFFF" w:themeColor="background1"/>
      </w:rPr>
      <w:tblPr/>
      <w:tcPr>
        <w:tcBorders>
          <w:left w:val="nil"/>
          <w:right w:val="nil"/>
          <w:insideH w:val="nil"/>
          <w:insideV w:val="nil"/>
        </w:tcBorders>
        <w:shd w:val="clear" w:color="auto" w:fill="012169"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7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7A9" w:themeFill="accent5"/>
      </w:tcPr>
    </w:tblStylePr>
    <w:tblStylePr w:type="lastCol">
      <w:rPr>
        <w:b/>
        <w:bCs/>
        <w:color w:val="FFFFFF" w:themeColor="background1"/>
      </w:rPr>
      <w:tblPr/>
      <w:tcPr>
        <w:tcBorders>
          <w:left w:val="nil"/>
          <w:right w:val="nil"/>
          <w:insideH w:val="nil"/>
          <w:insideV w:val="nil"/>
        </w:tcBorders>
        <w:shd w:val="clear" w:color="auto" w:fill="0097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F9113D"/>
    <w:pPr>
      <w:spacing w:line="240" w:lineRule="auto"/>
    </w:pPr>
    <w:rPr>
      <w:lang w:val="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5787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5787B" w:themeFill="accent6"/>
      </w:tcPr>
    </w:tblStylePr>
    <w:tblStylePr w:type="lastCol">
      <w:rPr>
        <w:b/>
        <w:bCs/>
        <w:color w:val="FFFFFF" w:themeColor="background1"/>
      </w:rPr>
      <w:tblPr/>
      <w:tcPr>
        <w:tcBorders>
          <w:left w:val="nil"/>
          <w:right w:val="nil"/>
          <w:insideH w:val="nil"/>
          <w:insideV w:val="nil"/>
        </w:tcBorders>
        <w:shd w:val="clear" w:color="auto" w:fill="75787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F9113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F9113D"/>
    <w:rPr>
      <w:rFonts w:asciiTheme="majorHAnsi" w:eastAsiaTheme="majorEastAsia" w:hAnsiTheme="majorHAnsi" w:cstheme="majorBidi"/>
      <w:sz w:val="24"/>
      <w:szCs w:val="24"/>
      <w:shd w:val="pct20" w:color="auto" w:fill="auto"/>
      <w:lang w:val="en-AU"/>
    </w:rPr>
  </w:style>
  <w:style w:type="paragraph" w:styleId="NoSpacing">
    <w:name w:val="No Spacing"/>
    <w:uiPriority w:val="99"/>
    <w:qFormat/>
    <w:rsid w:val="00DA30BF"/>
    <w:rPr>
      <w:lang w:val="en-AU"/>
    </w:rPr>
  </w:style>
  <w:style w:type="paragraph" w:styleId="NormalWeb">
    <w:name w:val="Normal (Web)"/>
    <w:basedOn w:val="Normal"/>
    <w:uiPriority w:val="99"/>
    <w:semiHidden/>
    <w:rsid w:val="00F9113D"/>
    <w:rPr>
      <w:rFonts w:ascii="Times New Roman" w:hAnsi="Times New Roman" w:cs="Times New Roman"/>
      <w:sz w:val="24"/>
      <w:szCs w:val="24"/>
    </w:rPr>
  </w:style>
  <w:style w:type="paragraph" w:styleId="NormalIndent">
    <w:name w:val="Normal Indent"/>
    <w:basedOn w:val="Normal"/>
    <w:uiPriority w:val="99"/>
    <w:semiHidden/>
    <w:rsid w:val="00F9113D"/>
    <w:pPr>
      <w:ind w:left="1304"/>
    </w:pPr>
  </w:style>
  <w:style w:type="paragraph" w:styleId="NoteHeading">
    <w:name w:val="Note Heading"/>
    <w:basedOn w:val="Normal"/>
    <w:next w:val="Normal"/>
    <w:link w:val="NoteHeadingChar"/>
    <w:uiPriority w:val="99"/>
    <w:semiHidden/>
    <w:rsid w:val="00F9113D"/>
    <w:pPr>
      <w:spacing w:line="240" w:lineRule="auto"/>
    </w:pPr>
  </w:style>
  <w:style w:type="character" w:customStyle="1" w:styleId="NoteHeadingChar">
    <w:name w:val="Note Heading Char"/>
    <w:basedOn w:val="DefaultParagraphFont"/>
    <w:link w:val="NoteHeading"/>
    <w:uiPriority w:val="99"/>
    <w:semiHidden/>
    <w:rsid w:val="00F9113D"/>
    <w:rPr>
      <w:lang w:val="en-AU"/>
    </w:rPr>
  </w:style>
  <w:style w:type="character" w:styleId="PageNumber">
    <w:name w:val="page number"/>
    <w:basedOn w:val="DefaultParagraphFont"/>
    <w:uiPriority w:val="10"/>
    <w:semiHidden/>
    <w:rsid w:val="00F9113D"/>
    <w:rPr>
      <w:lang w:val="en-AU"/>
    </w:rPr>
  </w:style>
  <w:style w:type="paragraph" w:styleId="PlainText">
    <w:name w:val="Plain Text"/>
    <w:basedOn w:val="Normal"/>
    <w:link w:val="PlainTextChar"/>
    <w:uiPriority w:val="99"/>
    <w:semiHidden/>
    <w:rsid w:val="00F9113D"/>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9113D"/>
    <w:rPr>
      <w:rFonts w:ascii="Consolas" w:hAnsi="Consolas"/>
      <w:sz w:val="21"/>
      <w:szCs w:val="21"/>
      <w:lang w:val="en-AU"/>
    </w:rPr>
  </w:style>
  <w:style w:type="paragraph" w:styleId="Quote">
    <w:name w:val="Quote"/>
    <w:basedOn w:val="Normal"/>
    <w:next w:val="Normal"/>
    <w:link w:val="QuoteChar"/>
    <w:uiPriority w:val="29"/>
    <w:qFormat/>
    <w:rsid w:val="00F9113D"/>
    <w:pPr>
      <w:spacing w:after="0"/>
    </w:pPr>
    <w:rPr>
      <w:i/>
      <w:iCs/>
      <w:color w:val="000000" w:themeColor="text1"/>
    </w:rPr>
  </w:style>
  <w:style w:type="character" w:customStyle="1" w:styleId="QuoteChar">
    <w:name w:val="Quote Char"/>
    <w:basedOn w:val="DefaultParagraphFont"/>
    <w:link w:val="Quote"/>
    <w:uiPriority w:val="29"/>
    <w:rsid w:val="00F9113D"/>
    <w:rPr>
      <w:i/>
      <w:iCs/>
      <w:color w:val="000000" w:themeColor="text1"/>
      <w:lang w:val="en-AU"/>
    </w:rPr>
  </w:style>
  <w:style w:type="paragraph" w:styleId="Salutation">
    <w:name w:val="Salutation"/>
    <w:basedOn w:val="Normal"/>
    <w:next w:val="Normal"/>
    <w:link w:val="SalutationChar"/>
    <w:uiPriority w:val="99"/>
    <w:semiHidden/>
    <w:rsid w:val="00F9113D"/>
  </w:style>
  <w:style w:type="character" w:customStyle="1" w:styleId="SalutationChar">
    <w:name w:val="Salutation Char"/>
    <w:basedOn w:val="DefaultParagraphFont"/>
    <w:link w:val="Salutation"/>
    <w:uiPriority w:val="99"/>
    <w:semiHidden/>
    <w:rsid w:val="00F9113D"/>
    <w:rPr>
      <w:lang w:val="en-AU"/>
    </w:rPr>
  </w:style>
  <w:style w:type="paragraph" w:styleId="Signature">
    <w:name w:val="Signature"/>
    <w:basedOn w:val="Normal"/>
    <w:link w:val="SignatureChar"/>
    <w:uiPriority w:val="99"/>
    <w:semiHidden/>
    <w:rsid w:val="00F9113D"/>
    <w:pPr>
      <w:keepNext/>
      <w:keepLines/>
    </w:pPr>
  </w:style>
  <w:style w:type="character" w:customStyle="1" w:styleId="SignatureChar">
    <w:name w:val="Signature Char"/>
    <w:basedOn w:val="DefaultParagraphFont"/>
    <w:link w:val="Signature"/>
    <w:uiPriority w:val="99"/>
    <w:semiHidden/>
    <w:rsid w:val="00F9113D"/>
    <w:rPr>
      <w:lang w:val="en-AU"/>
    </w:rPr>
  </w:style>
  <w:style w:type="character" w:styleId="Strong">
    <w:name w:val="Strong"/>
    <w:basedOn w:val="DefaultParagraphFont"/>
    <w:uiPriority w:val="22"/>
    <w:qFormat/>
    <w:rsid w:val="00F9113D"/>
    <w:rPr>
      <w:b/>
      <w:bCs/>
      <w:lang w:val="en-AU"/>
    </w:rPr>
  </w:style>
  <w:style w:type="paragraph" w:styleId="Subtitle">
    <w:name w:val="Subtitle"/>
    <w:basedOn w:val="Normal"/>
    <w:next w:val="Normal"/>
    <w:link w:val="SubtitleChar"/>
    <w:uiPriority w:val="11"/>
    <w:qFormat/>
    <w:rsid w:val="00F9113D"/>
    <w:pPr>
      <w:numPr>
        <w:ilvl w:val="1"/>
      </w:numPr>
      <w:spacing w:after="0"/>
    </w:pPr>
    <w:rPr>
      <w:rFonts w:eastAsiaTheme="majorEastAsia" w:cstheme="majorBidi"/>
      <w:i/>
      <w:iCs/>
      <w:color w:val="86BC25" w:themeColor="accent1"/>
      <w:spacing w:val="15"/>
      <w:sz w:val="24"/>
      <w:szCs w:val="24"/>
    </w:rPr>
  </w:style>
  <w:style w:type="character" w:customStyle="1" w:styleId="SubtitleChar">
    <w:name w:val="Subtitle Char"/>
    <w:basedOn w:val="DefaultParagraphFont"/>
    <w:link w:val="Subtitle"/>
    <w:uiPriority w:val="11"/>
    <w:rsid w:val="00F9113D"/>
    <w:rPr>
      <w:rFonts w:eastAsiaTheme="majorEastAsia" w:cstheme="majorBidi"/>
      <w:i/>
      <w:iCs/>
      <w:color w:val="86BC25" w:themeColor="accent1"/>
      <w:spacing w:val="15"/>
      <w:sz w:val="24"/>
      <w:szCs w:val="24"/>
      <w:lang w:val="en-AU"/>
    </w:rPr>
  </w:style>
  <w:style w:type="character" w:styleId="SubtleEmphasis">
    <w:name w:val="Subtle Emphasis"/>
    <w:basedOn w:val="DefaultParagraphFont"/>
    <w:uiPriority w:val="99"/>
    <w:qFormat/>
    <w:rsid w:val="00F9113D"/>
    <w:rPr>
      <w:i/>
      <w:iCs/>
      <w:color w:val="808080" w:themeColor="text1" w:themeTint="7F"/>
      <w:lang w:val="en-AU"/>
    </w:rPr>
  </w:style>
  <w:style w:type="character" w:styleId="SubtleReference">
    <w:name w:val="Subtle Reference"/>
    <w:basedOn w:val="DefaultParagraphFont"/>
    <w:uiPriority w:val="99"/>
    <w:qFormat/>
    <w:rsid w:val="00F9113D"/>
    <w:rPr>
      <w:smallCaps/>
      <w:color w:val="046A38" w:themeColor="accent2"/>
      <w:u w:val="single"/>
      <w:lang w:val="en-AU"/>
    </w:rPr>
  </w:style>
  <w:style w:type="table" w:styleId="Table3Deffects1">
    <w:name w:val="Table 3D effects 1"/>
    <w:basedOn w:val="TableNormal"/>
    <w:uiPriority w:val="99"/>
    <w:semiHidden/>
    <w:unhideWhenUsed/>
    <w:rsid w:val="00F9113D"/>
    <w:pPr>
      <w:spacing w:after="240"/>
    </w:pPr>
    <w:rPr>
      <w:lang w:val="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9113D"/>
    <w:pPr>
      <w:spacing w:after="240"/>
    </w:pPr>
    <w:rPr>
      <w:lang w:val="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9113D"/>
    <w:pPr>
      <w:spacing w:after="240"/>
    </w:pPr>
    <w:rPr>
      <w:lang w:val="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9113D"/>
    <w:pPr>
      <w:spacing w:after="240"/>
    </w:pPr>
    <w:rPr>
      <w:lang w:val="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9113D"/>
    <w:pPr>
      <w:spacing w:after="240"/>
    </w:pPr>
    <w:rPr>
      <w:color w:val="000080"/>
      <w:lang w:val="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9113D"/>
    <w:pPr>
      <w:spacing w:after="240"/>
    </w:pPr>
    <w:rPr>
      <w:lang w:val="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9113D"/>
    <w:pPr>
      <w:spacing w:after="240"/>
    </w:pPr>
    <w:rPr>
      <w:color w:val="FFFFFF"/>
      <w:lang w:val="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9113D"/>
    <w:pPr>
      <w:spacing w:after="240"/>
    </w:pPr>
    <w:rPr>
      <w:lang w:val="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9113D"/>
    <w:pPr>
      <w:spacing w:after="240"/>
    </w:pPr>
    <w:rPr>
      <w:lang w:val="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9113D"/>
    <w:pPr>
      <w:spacing w:after="240"/>
    </w:pPr>
    <w:rPr>
      <w:b/>
      <w:bCs/>
      <w:lang w:val="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9113D"/>
    <w:pPr>
      <w:spacing w:after="240"/>
    </w:pPr>
    <w:rPr>
      <w:b/>
      <w:bCs/>
      <w:lang w:val="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9113D"/>
    <w:pPr>
      <w:spacing w:after="240"/>
    </w:pPr>
    <w:rPr>
      <w:b/>
      <w:bCs/>
      <w:lang w:val="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9113D"/>
    <w:pPr>
      <w:spacing w:after="240"/>
    </w:pPr>
    <w:rPr>
      <w:lang w:val="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9113D"/>
    <w:pPr>
      <w:spacing w:after="240"/>
    </w:pPr>
    <w:rPr>
      <w:lang w:val="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9113D"/>
    <w:pPr>
      <w:spacing w:after="240"/>
    </w:pPr>
    <w:rPr>
      <w:lang w:val="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9113D"/>
    <w:pPr>
      <w:spacing w:after="240"/>
    </w:pPr>
    <w:rPr>
      <w:lang w:val="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9113D"/>
    <w:pPr>
      <w:spacing w:after="240"/>
    </w:pPr>
    <w:rPr>
      <w:lang w:val="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9113D"/>
    <w:pPr>
      <w:spacing w:after="240"/>
    </w:pPr>
    <w:rPr>
      <w:lang w:val="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9113D"/>
    <w:pPr>
      <w:spacing w:after="240"/>
    </w:pPr>
    <w:rPr>
      <w:lang w:val="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9113D"/>
    <w:pPr>
      <w:spacing w:after="240"/>
    </w:pPr>
    <w:rPr>
      <w:b/>
      <w:bCs/>
      <w:lang w:val="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9113D"/>
    <w:pPr>
      <w:spacing w:after="240"/>
    </w:pPr>
    <w:rPr>
      <w:lang w:val="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F9113D"/>
    <w:pPr>
      <w:spacing w:after="240"/>
    </w:pPr>
    <w:rPr>
      <w:lang w:val="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9113D"/>
    <w:pPr>
      <w:spacing w:after="240"/>
    </w:pPr>
    <w:rPr>
      <w:lang w:val="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9113D"/>
    <w:pPr>
      <w:spacing w:after="240"/>
    </w:pPr>
    <w:rPr>
      <w:lang w:val="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9113D"/>
    <w:pPr>
      <w:spacing w:after="240"/>
    </w:pPr>
    <w:rPr>
      <w:lang w:val="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9113D"/>
    <w:pPr>
      <w:spacing w:after="240"/>
    </w:pPr>
    <w:rPr>
      <w:lang w:val="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F9113D"/>
    <w:pPr>
      <w:ind w:left="180" w:hanging="180"/>
    </w:pPr>
  </w:style>
  <w:style w:type="paragraph" w:styleId="TableofFigures">
    <w:name w:val="table of figures"/>
    <w:basedOn w:val="Normal"/>
    <w:next w:val="Normal"/>
    <w:uiPriority w:val="99"/>
    <w:semiHidden/>
    <w:rsid w:val="00F9113D"/>
  </w:style>
  <w:style w:type="table" w:styleId="TableProfessional">
    <w:name w:val="Table Professional"/>
    <w:basedOn w:val="TableNormal"/>
    <w:uiPriority w:val="99"/>
    <w:semiHidden/>
    <w:unhideWhenUsed/>
    <w:rsid w:val="00F9113D"/>
    <w:pPr>
      <w:spacing w:after="240"/>
    </w:pPr>
    <w:rPr>
      <w:lang w:val="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9113D"/>
    <w:pPr>
      <w:spacing w:after="240"/>
    </w:pPr>
    <w:rPr>
      <w:lang w:val="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9113D"/>
    <w:pPr>
      <w:spacing w:after="240"/>
    </w:pPr>
    <w:rPr>
      <w:lang w:val="en-A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9113D"/>
    <w:pPr>
      <w:spacing w:after="240"/>
    </w:pPr>
    <w:rPr>
      <w:lang w:val="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9113D"/>
    <w:pPr>
      <w:spacing w:after="240"/>
    </w:pPr>
    <w:rPr>
      <w:lang w:val="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9113D"/>
    <w:pPr>
      <w:spacing w:after="240"/>
    </w:pPr>
    <w:rPr>
      <w:lang w:val="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9113D"/>
    <w:pPr>
      <w:spacing w:after="240"/>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9113D"/>
    <w:pPr>
      <w:spacing w:after="240"/>
    </w:pPr>
    <w:rPr>
      <w:lang w:val="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9113D"/>
    <w:pPr>
      <w:spacing w:after="240"/>
    </w:pPr>
    <w:rPr>
      <w:lang w:val="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9113D"/>
    <w:pPr>
      <w:spacing w:after="240"/>
    </w:pPr>
    <w:rPr>
      <w:lang w:val="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10"/>
    <w:qFormat/>
    <w:rsid w:val="00F9113D"/>
    <w:pPr>
      <w:pBdr>
        <w:bottom w:val="single" w:sz="8" w:space="4" w:color="86BC25" w:themeColor="accent1"/>
      </w:pBdr>
      <w:spacing w:after="300" w:line="240" w:lineRule="auto"/>
      <w:contextualSpacing/>
    </w:pPr>
    <w:rPr>
      <w:rFonts w:eastAsiaTheme="majorEastAsia"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9113D"/>
    <w:rPr>
      <w:rFonts w:eastAsiaTheme="majorEastAsia" w:cstheme="majorBidi"/>
      <w:color w:val="323E4F" w:themeColor="text2" w:themeShade="BF"/>
      <w:spacing w:val="5"/>
      <w:kern w:val="28"/>
      <w:sz w:val="52"/>
      <w:szCs w:val="52"/>
      <w:lang w:val="en-AU"/>
    </w:rPr>
  </w:style>
  <w:style w:type="paragraph" w:styleId="TOAHeading">
    <w:name w:val="toa heading"/>
    <w:basedOn w:val="Normal"/>
    <w:next w:val="Normal"/>
    <w:uiPriority w:val="99"/>
    <w:semiHidden/>
    <w:rsid w:val="00F9113D"/>
    <w:pPr>
      <w:spacing w:before="120"/>
    </w:pPr>
    <w:rPr>
      <w:rFonts w:asciiTheme="majorHAnsi" w:eastAsiaTheme="majorEastAsia" w:hAnsiTheme="majorHAnsi" w:cstheme="majorBidi"/>
      <w:b/>
      <w:bCs/>
      <w:sz w:val="24"/>
      <w:szCs w:val="24"/>
    </w:rPr>
  </w:style>
  <w:style w:type="paragraph" w:styleId="TOC2">
    <w:name w:val="toc 2"/>
    <w:basedOn w:val="Normal"/>
    <w:next w:val="Normal"/>
    <w:uiPriority w:val="39"/>
    <w:rsid w:val="00B67924"/>
    <w:pPr>
      <w:tabs>
        <w:tab w:val="left" w:pos="567"/>
        <w:tab w:val="right" w:pos="8505"/>
      </w:tabs>
      <w:spacing w:after="120" w:line="240" w:lineRule="auto"/>
      <w:ind w:left="1134" w:right="567" w:hanging="567"/>
    </w:pPr>
    <w:rPr>
      <w:rFonts w:ascii="Calibri Light" w:hAnsi="Calibri Light"/>
      <w:sz w:val="20"/>
    </w:rPr>
  </w:style>
  <w:style w:type="paragraph" w:styleId="TOC3">
    <w:name w:val="toc 3"/>
    <w:basedOn w:val="Normal"/>
    <w:next w:val="Normal"/>
    <w:uiPriority w:val="39"/>
    <w:rsid w:val="005221BB"/>
    <w:pPr>
      <w:spacing w:after="100"/>
      <w:ind w:left="567" w:right="567"/>
      <w:contextualSpacing/>
    </w:pPr>
  </w:style>
  <w:style w:type="paragraph" w:styleId="TOC4">
    <w:name w:val="toc 4"/>
    <w:basedOn w:val="Normal"/>
    <w:next w:val="Normal"/>
    <w:uiPriority w:val="39"/>
    <w:rsid w:val="00F0232D"/>
    <w:pPr>
      <w:spacing w:after="100"/>
      <w:ind w:right="567"/>
      <w:contextualSpacing/>
    </w:pPr>
  </w:style>
  <w:style w:type="paragraph" w:styleId="TOC5">
    <w:name w:val="toc 5"/>
    <w:basedOn w:val="Normal"/>
    <w:next w:val="Normal"/>
    <w:uiPriority w:val="39"/>
    <w:semiHidden/>
    <w:rsid w:val="00F9113D"/>
    <w:pPr>
      <w:spacing w:after="100"/>
      <w:ind w:left="567" w:right="567"/>
      <w:contextualSpacing/>
    </w:pPr>
  </w:style>
  <w:style w:type="paragraph" w:styleId="TOC6">
    <w:name w:val="toc 6"/>
    <w:basedOn w:val="Normal"/>
    <w:next w:val="Normal"/>
    <w:uiPriority w:val="39"/>
    <w:rsid w:val="00F0232D"/>
    <w:pPr>
      <w:spacing w:after="100"/>
      <w:ind w:right="567"/>
      <w:contextualSpacing/>
    </w:pPr>
  </w:style>
  <w:style w:type="paragraph" w:styleId="TOC7">
    <w:name w:val="toc 7"/>
    <w:basedOn w:val="Normal"/>
    <w:next w:val="Normal"/>
    <w:uiPriority w:val="39"/>
    <w:rsid w:val="00F0232D"/>
    <w:pPr>
      <w:spacing w:after="100"/>
      <w:ind w:right="567"/>
      <w:contextualSpacing/>
    </w:pPr>
  </w:style>
  <w:style w:type="paragraph" w:styleId="TOC8">
    <w:name w:val="toc 8"/>
    <w:basedOn w:val="Normal"/>
    <w:next w:val="Normal"/>
    <w:uiPriority w:val="39"/>
    <w:rsid w:val="00F0232D"/>
    <w:pPr>
      <w:spacing w:after="100"/>
      <w:ind w:right="567"/>
      <w:contextualSpacing/>
    </w:pPr>
  </w:style>
  <w:style w:type="paragraph" w:styleId="TOC9">
    <w:name w:val="toc 9"/>
    <w:basedOn w:val="Normal"/>
    <w:next w:val="Normal"/>
    <w:uiPriority w:val="39"/>
    <w:semiHidden/>
    <w:rsid w:val="00F9113D"/>
    <w:pPr>
      <w:spacing w:after="100"/>
      <w:ind w:left="567" w:right="567"/>
      <w:contextualSpacing/>
    </w:pPr>
  </w:style>
  <w:style w:type="paragraph" w:styleId="TOCHeading">
    <w:name w:val="TOC Heading"/>
    <w:next w:val="Normal"/>
    <w:uiPriority w:val="39"/>
    <w:semiHidden/>
    <w:qFormat/>
    <w:rsid w:val="00F9113D"/>
    <w:pPr>
      <w:spacing w:after="480" w:line="720" w:lineRule="atLeast"/>
    </w:pPr>
    <w:rPr>
      <w:rFonts w:eastAsiaTheme="majorEastAsia" w:cstheme="majorBidi"/>
      <w:bCs/>
      <w:sz w:val="60"/>
      <w:szCs w:val="28"/>
      <w:lang w:val="en-AU"/>
    </w:rPr>
  </w:style>
  <w:style w:type="paragraph" w:customStyle="1" w:styleId="Template-Adresse">
    <w:name w:val="Template - Adresse"/>
    <w:basedOn w:val="Normal"/>
    <w:uiPriority w:val="9"/>
    <w:semiHidden/>
    <w:rsid w:val="00F9113D"/>
    <w:pPr>
      <w:tabs>
        <w:tab w:val="left" w:pos="567"/>
      </w:tabs>
      <w:spacing w:after="0" w:line="280" w:lineRule="atLeast"/>
    </w:pPr>
    <w:rPr>
      <w:noProof/>
      <w:sz w:val="16"/>
    </w:rPr>
  </w:style>
  <w:style w:type="paragraph" w:customStyle="1" w:styleId="Template-Dato">
    <w:name w:val="Template - Dato"/>
    <w:basedOn w:val="Normal"/>
    <w:uiPriority w:val="9"/>
    <w:semiHidden/>
    <w:rsid w:val="00F9113D"/>
    <w:pPr>
      <w:spacing w:after="0" w:line="280" w:lineRule="atLeast"/>
    </w:pPr>
    <w:rPr>
      <w:noProof/>
      <w:sz w:val="16"/>
    </w:rPr>
  </w:style>
  <w:style w:type="paragraph" w:customStyle="1" w:styleId="Letterheadaddressnospacing">
    <w:name w:val="Letterhead address (no spacing)"/>
    <w:uiPriority w:val="99"/>
    <w:semiHidden/>
    <w:qFormat/>
    <w:rsid w:val="001D0641"/>
    <w:pPr>
      <w:framePr w:wrap="around" w:vAnchor="page" w:hAnchor="page" w:x="1" w:y="1"/>
      <w:spacing w:line="240" w:lineRule="auto"/>
      <w:suppressOverlap/>
    </w:pPr>
    <w:rPr>
      <w:rFonts w:eastAsia="Times New Roman" w:cs="Times New Roman"/>
      <w:noProof/>
      <w:color w:val="7F7F7F" w:themeColor="text1" w:themeTint="80"/>
      <w:sz w:val="14"/>
      <w:lang w:val="en-AU"/>
    </w:rPr>
  </w:style>
  <w:style w:type="paragraph" w:customStyle="1" w:styleId="DocumentHeading">
    <w:name w:val="Document Heading"/>
    <w:basedOn w:val="Normal"/>
    <w:next w:val="BodyText"/>
    <w:uiPriority w:val="99"/>
    <w:semiHidden/>
    <w:rsid w:val="00F9113D"/>
    <w:pPr>
      <w:suppressAutoHyphens/>
      <w:spacing w:before="240" w:after="240"/>
    </w:pPr>
    <w:rPr>
      <w:b/>
    </w:rPr>
  </w:style>
  <w:style w:type="paragraph" w:customStyle="1" w:styleId="Disclaimer">
    <w:name w:val="Disclaimer"/>
    <w:basedOn w:val="Footer"/>
    <w:uiPriority w:val="11"/>
    <w:semiHidden/>
    <w:rsid w:val="00F9113D"/>
    <w:pPr>
      <w:tabs>
        <w:tab w:val="clear" w:pos="7371"/>
      </w:tabs>
      <w:spacing w:line="130" w:lineRule="atLeast"/>
      <w:suppressOverlap/>
    </w:pPr>
    <w:rPr>
      <w:rFonts w:eastAsia="Times New Roman" w:cs="Arial"/>
      <w:sz w:val="11"/>
      <w:szCs w:val="17"/>
    </w:rPr>
  </w:style>
  <w:style w:type="paragraph" w:customStyle="1" w:styleId="SenderName">
    <w:name w:val="Sender Name"/>
    <w:basedOn w:val="Normal"/>
    <w:uiPriority w:val="8"/>
    <w:rsid w:val="00F9113D"/>
    <w:pPr>
      <w:keepNext/>
      <w:keepLines/>
      <w:spacing w:after="0"/>
    </w:pPr>
    <w:rPr>
      <w:b/>
      <w:szCs w:val="17"/>
    </w:rPr>
  </w:style>
  <w:style w:type="paragraph" w:customStyle="1" w:styleId="SignatureName">
    <w:name w:val="Signature Name"/>
    <w:basedOn w:val="Normal"/>
    <w:next w:val="SignatureTitle"/>
    <w:uiPriority w:val="7"/>
    <w:semiHidden/>
    <w:rsid w:val="00F9113D"/>
    <w:pPr>
      <w:keepNext/>
      <w:keepLines/>
      <w:spacing w:after="0"/>
    </w:pPr>
    <w:rPr>
      <w:b/>
      <w:color w:val="62B5E5" w:themeColor="accent3"/>
    </w:rPr>
  </w:style>
  <w:style w:type="paragraph" w:customStyle="1" w:styleId="SignatureTitle">
    <w:name w:val="Signature Title"/>
    <w:basedOn w:val="Normal"/>
    <w:next w:val="BodyText"/>
    <w:uiPriority w:val="7"/>
    <w:semiHidden/>
    <w:rsid w:val="00F9113D"/>
    <w:pPr>
      <w:spacing w:after="0"/>
    </w:pPr>
    <w:rPr>
      <w:b/>
    </w:rPr>
  </w:style>
  <w:style w:type="paragraph" w:customStyle="1" w:styleId="Heading2un-numbered">
    <w:name w:val="Heading 2 (un-numbered)"/>
    <w:basedOn w:val="Heading2"/>
    <w:next w:val="Normal"/>
    <w:uiPriority w:val="2"/>
    <w:rsid w:val="00CF23CD"/>
    <w:pPr>
      <w:numPr>
        <w:ilvl w:val="0"/>
        <w:numId w:val="0"/>
      </w:numPr>
    </w:pPr>
  </w:style>
  <w:style w:type="paragraph" w:customStyle="1" w:styleId="Heading3un-numbered">
    <w:name w:val="Heading 3 (un-numbered)"/>
    <w:basedOn w:val="Heading3"/>
    <w:next w:val="Normal"/>
    <w:uiPriority w:val="2"/>
    <w:qFormat/>
    <w:rsid w:val="00F9113D"/>
    <w:pPr>
      <w:numPr>
        <w:ilvl w:val="0"/>
        <w:numId w:val="0"/>
      </w:numPr>
    </w:pPr>
  </w:style>
  <w:style w:type="paragraph" w:customStyle="1" w:styleId="Heading4un-numbered">
    <w:name w:val="Heading 4 (un-numbered)"/>
    <w:basedOn w:val="Heading4"/>
    <w:next w:val="Normal"/>
    <w:uiPriority w:val="2"/>
    <w:rsid w:val="00F9113D"/>
    <w:pPr>
      <w:numPr>
        <w:ilvl w:val="0"/>
        <w:numId w:val="0"/>
      </w:numPr>
    </w:pPr>
  </w:style>
  <w:style w:type="paragraph" w:customStyle="1" w:styleId="BulletedText1">
    <w:name w:val="Bulleted Text 1"/>
    <w:basedOn w:val="Normal"/>
    <w:uiPriority w:val="4"/>
    <w:semiHidden/>
    <w:qFormat/>
    <w:rsid w:val="00F9113D"/>
    <w:pPr>
      <w:numPr>
        <w:numId w:val="2"/>
      </w:numPr>
      <w:suppressAutoHyphens/>
      <w:spacing w:after="0" w:line="250" w:lineRule="atLeast"/>
    </w:pPr>
  </w:style>
  <w:style w:type="paragraph" w:customStyle="1" w:styleId="BulletedText2">
    <w:name w:val="Bulleted Text 2"/>
    <w:basedOn w:val="Normal"/>
    <w:uiPriority w:val="4"/>
    <w:semiHidden/>
    <w:rsid w:val="00F9113D"/>
    <w:pPr>
      <w:numPr>
        <w:ilvl w:val="1"/>
        <w:numId w:val="2"/>
      </w:numPr>
      <w:suppressAutoHyphens/>
      <w:spacing w:after="0" w:line="250" w:lineRule="atLeast"/>
    </w:pPr>
  </w:style>
  <w:style w:type="paragraph" w:customStyle="1" w:styleId="Numberslevel1">
    <w:name w:val="Numbers level 1"/>
    <w:basedOn w:val="Normal"/>
    <w:uiPriority w:val="4"/>
    <w:semiHidden/>
    <w:qFormat/>
    <w:rsid w:val="00F9113D"/>
    <w:pPr>
      <w:numPr>
        <w:numId w:val="8"/>
      </w:numPr>
      <w:suppressAutoHyphens/>
      <w:spacing w:after="0" w:line="250" w:lineRule="atLeast"/>
    </w:pPr>
  </w:style>
  <w:style w:type="paragraph" w:customStyle="1" w:styleId="Numberslevel2">
    <w:name w:val="Numbers level 2"/>
    <w:basedOn w:val="Normal"/>
    <w:uiPriority w:val="4"/>
    <w:semiHidden/>
    <w:rsid w:val="00F9113D"/>
    <w:pPr>
      <w:numPr>
        <w:ilvl w:val="1"/>
        <w:numId w:val="8"/>
      </w:numPr>
      <w:suppressAutoHyphens/>
      <w:spacing w:after="0" w:line="250" w:lineRule="atLeast"/>
    </w:pPr>
  </w:style>
  <w:style w:type="paragraph" w:customStyle="1" w:styleId="Numberslevel3">
    <w:name w:val="Numbers level 3"/>
    <w:basedOn w:val="Normal"/>
    <w:uiPriority w:val="4"/>
    <w:semiHidden/>
    <w:rsid w:val="00F9113D"/>
    <w:pPr>
      <w:numPr>
        <w:ilvl w:val="2"/>
        <w:numId w:val="8"/>
      </w:numPr>
      <w:suppressAutoHyphens/>
      <w:spacing w:after="0" w:line="250" w:lineRule="atLeast"/>
    </w:pPr>
  </w:style>
  <w:style w:type="paragraph" w:customStyle="1" w:styleId="TabletextLeftTotal">
    <w:name w:val="Table text Left Total"/>
    <w:basedOn w:val="TabletextLeft"/>
    <w:uiPriority w:val="5"/>
    <w:rsid w:val="002E67BC"/>
    <w:rPr>
      <w:b/>
    </w:rPr>
  </w:style>
  <w:style w:type="paragraph" w:customStyle="1" w:styleId="TabletextRightTotal">
    <w:name w:val="Table text Right Total"/>
    <w:basedOn w:val="TabletextRight"/>
    <w:uiPriority w:val="5"/>
    <w:rsid w:val="002C7E6E"/>
    <w:rPr>
      <w:b/>
    </w:rPr>
  </w:style>
  <w:style w:type="table" w:customStyle="1" w:styleId="DeloitteBandedrows">
    <w:name w:val="Deloitte Banded rows"/>
    <w:basedOn w:val="TableNormal"/>
    <w:uiPriority w:val="99"/>
    <w:rsid w:val="00464FD2"/>
    <w:pPr>
      <w:spacing w:line="200" w:lineRule="atLeast"/>
    </w:pPr>
    <w:rPr>
      <w:sz w:val="17"/>
      <w:lang w:val="en-AU"/>
    </w:rPr>
    <w:tblPr>
      <w:tblStyleRowBandSize w:val="1"/>
      <w:tblBorders>
        <w:bottom w:val="single" w:sz="4" w:space="0" w:color="62B5E5" w:themeColor="accent3"/>
      </w:tblBorders>
      <w:tblCellMar>
        <w:top w:w="85" w:type="dxa"/>
        <w:left w:w="0" w:type="dxa"/>
        <w:bottom w:w="85" w:type="dxa"/>
        <w:right w:w="0" w:type="dxa"/>
      </w:tblCellMar>
    </w:tblPr>
    <w:tblStylePr w:type="firstRow">
      <w:tblPr/>
      <w:tcPr>
        <w:tcBorders>
          <w:top w:val="single" w:sz="24" w:space="0" w:color="62B5E5" w:themeColor="accent3"/>
          <w:bottom w:val="single" w:sz="4" w:space="0" w:color="62B5E5" w:themeColor="accent3"/>
        </w:tcBorders>
      </w:tcPr>
    </w:tblStylePr>
    <w:tblStylePr w:type="lastRow">
      <w:tblPr/>
      <w:tcPr>
        <w:tcBorders>
          <w:top w:val="nil"/>
          <w:left w:val="nil"/>
          <w:bottom w:val="nil"/>
          <w:right w:val="nil"/>
          <w:insideH w:val="nil"/>
          <w:insideV w:val="nil"/>
          <w:tl2br w:val="nil"/>
          <w:tr2bl w:val="nil"/>
        </w:tcBorders>
      </w:tcPr>
    </w:tblStylePr>
    <w:tblStylePr w:type="band2Horz">
      <w:tblPr/>
      <w:tcPr>
        <w:shd w:val="clear" w:color="auto" w:fill="62B5E5" w:themeFill="accent3"/>
      </w:tcPr>
    </w:tblStylePr>
  </w:style>
  <w:style w:type="paragraph" w:customStyle="1" w:styleId="FPPicture">
    <w:name w:val="FP Picture"/>
    <w:basedOn w:val="Normal"/>
    <w:uiPriority w:val="9"/>
    <w:semiHidden/>
    <w:rsid w:val="00F9113D"/>
    <w:pPr>
      <w:spacing w:after="0"/>
      <w:ind w:left="-57"/>
    </w:pPr>
    <w:rPr>
      <w:color w:val="FF0000"/>
      <w:sz w:val="36"/>
    </w:rPr>
  </w:style>
  <w:style w:type="paragraph" w:customStyle="1" w:styleId="CV-Name">
    <w:name w:val="CV - Name"/>
    <w:basedOn w:val="Normal"/>
    <w:uiPriority w:val="7"/>
    <w:rsid w:val="005B00B8"/>
    <w:pPr>
      <w:spacing w:after="240"/>
      <w:contextualSpacing/>
    </w:pPr>
    <w:rPr>
      <w:b/>
      <w:color w:val="62B5E5" w:themeColor="accent3"/>
    </w:rPr>
  </w:style>
  <w:style w:type="paragraph" w:customStyle="1" w:styleId="HeadingA">
    <w:name w:val="Heading A"/>
    <w:next w:val="Normal"/>
    <w:uiPriority w:val="3"/>
    <w:rsid w:val="005E5001"/>
    <w:pPr>
      <w:keepNext/>
      <w:keepLines/>
      <w:spacing w:before="240"/>
    </w:pPr>
    <w:rPr>
      <w:rFonts w:eastAsia="Times New Roman" w:cs="Times New Roman"/>
      <w:b/>
      <w:color w:val="62B5E5" w:themeColor="accent3"/>
      <w:szCs w:val="28"/>
      <w:lang w:val="en-AU"/>
    </w:rPr>
  </w:style>
  <w:style w:type="paragraph" w:customStyle="1" w:styleId="HeadingB">
    <w:name w:val="Heading B"/>
    <w:basedOn w:val="HeadingA"/>
    <w:next w:val="Normal"/>
    <w:uiPriority w:val="3"/>
    <w:rsid w:val="005E5001"/>
    <w:pPr>
      <w:spacing w:before="0"/>
    </w:pPr>
    <w:rPr>
      <w:color w:val="auto"/>
      <w:szCs w:val="26"/>
    </w:rPr>
  </w:style>
  <w:style w:type="paragraph" w:customStyle="1" w:styleId="HeadingC">
    <w:name w:val="Heading C"/>
    <w:basedOn w:val="Normal"/>
    <w:next w:val="Normal"/>
    <w:uiPriority w:val="3"/>
    <w:rsid w:val="00B131B5"/>
    <w:pPr>
      <w:keepNext/>
      <w:keepLines/>
      <w:spacing w:after="0"/>
    </w:pPr>
    <w:rPr>
      <w:rFonts w:eastAsia="Times New Roman" w:cs="Times New Roman"/>
      <w:b/>
      <w:color w:val="75787B" w:themeColor="accent6"/>
      <w:szCs w:val="28"/>
    </w:rPr>
  </w:style>
  <w:style w:type="paragraph" w:customStyle="1" w:styleId="CaptionTable">
    <w:name w:val="Caption_Table"/>
    <w:basedOn w:val="Normal"/>
    <w:next w:val="Normal"/>
    <w:uiPriority w:val="4"/>
    <w:rsid w:val="00E4608F"/>
    <w:pPr>
      <w:keepNext/>
      <w:keepLines/>
      <w:numPr>
        <w:ilvl w:val="6"/>
        <w:numId w:val="3"/>
      </w:numPr>
      <w:spacing w:before="240" w:after="240"/>
      <w:outlineLvl w:val="7"/>
    </w:pPr>
    <w:rPr>
      <w:rFonts w:ascii="Calibri" w:eastAsia="Times New Roman" w:hAnsi="Calibri" w:cs="Calibri"/>
      <w:b/>
      <w:szCs w:val="20"/>
    </w:rPr>
  </w:style>
  <w:style w:type="paragraph" w:customStyle="1" w:styleId="CaptionFigure">
    <w:name w:val="Caption_Figure"/>
    <w:basedOn w:val="Normal"/>
    <w:next w:val="Normal"/>
    <w:uiPriority w:val="4"/>
    <w:qFormat/>
    <w:rsid w:val="00E4608F"/>
    <w:pPr>
      <w:keepNext/>
      <w:keepLines/>
      <w:numPr>
        <w:ilvl w:val="8"/>
        <w:numId w:val="3"/>
      </w:numPr>
      <w:outlineLvl w:val="6"/>
    </w:pPr>
    <w:rPr>
      <w:rFonts w:ascii="Calibri" w:hAnsi="Calibri" w:cs="Calibri"/>
      <w:b/>
      <w:bCs/>
      <w:szCs w:val="22"/>
    </w:rPr>
  </w:style>
  <w:style w:type="paragraph" w:customStyle="1" w:styleId="CaptionChart">
    <w:name w:val="Caption_Chart"/>
    <w:basedOn w:val="Normal"/>
    <w:next w:val="Normal"/>
    <w:uiPriority w:val="4"/>
    <w:rsid w:val="00CA0756"/>
    <w:pPr>
      <w:keepNext/>
      <w:keepLines/>
      <w:numPr>
        <w:ilvl w:val="7"/>
        <w:numId w:val="3"/>
      </w:numPr>
      <w:outlineLvl w:val="5"/>
    </w:pPr>
    <w:rPr>
      <w:color w:val="75787B" w:themeColor="accent6"/>
      <w:sz w:val="17"/>
    </w:rPr>
  </w:style>
  <w:style w:type="paragraph" w:customStyle="1" w:styleId="ExecutiveHeading">
    <w:name w:val="Executive Heading"/>
    <w:basedOn w:val="Heading1un-numbered"/>
    <w:next w:val="Normal"/>
    <w:uiPriority w:val="3"/>
    <w:rsid w:val="005E5001"/>
    <w:pPr>
      <w:numPr>
        <w:numId w:val="11"/>
      </w:numPr>
    </w:pPr>
  </w:style>
  <w:style w:type="paragraph" w:customStyle="1" w:styleId="Reference">
    <w:name w:val="Reference"/>
    <w:basedOn w:val="Normal"/>
    <w:uiPriority w:val="4"/>
    <w:rsid w:val="002C1140"/>
    <w:pPr>
      <w:spacing w:before="240" w:after="240"/>
      <w:ind w:left="567" w:hanging="567"/>
    </w:pPr>
    <w:rPr>
      <w:rFonts w:eastAsia="Times New Roman" w:cs="Times New Roman"/>
      <w:szCs w:val="20"/>
    </w:rPr>
  </w:style>
  <w:style w:type="paragraph" w:customStyle="1" w:styleId="ExecChartCaption">
    <w:name w:val="Exec Chart Caption"/>
    <w:basedOn w:val="Caption"/>
    <w:next w:val="Normal"/>
    <w:uiPriority w:val="4"/>
    <w:rsid w:val="00CA0756"/>
    <w:pPr>
      <w:numPr>
        <w:ilvl w:val="2"/>
        <w:numId w:val="11"/>
      </w:numPr>
    </w:pPr>
    <w:rPr>
      <w:rFonts w:eastAsia="Times New Roman" w:cs="Times New Roman"/>
      <w:szCs w:val="20"/>
    </w:rPr>
  </w:style>
  <w:style w:type="paragraph" w:customStyle="1" w:styleId="ExecFigureCaption">
    <w:name w:val="Exec Figure Caption"/>
    <w:basedOn w:val="Caption"/>
    <w:next w:val="Normal"/>
    <w:uiPriority w:val="4"/>
    <w:rsid w:val="00CA0756"/>
    <w:pPr>
      <w:numPr>
        <w:ilvl w:val="3"/>
        <w:numId w:val="11"/>
      </w:numPr>
    </w:pPr>
    <w:rPr>
      <w:rFonts w:eastAsia="Times New Roman" w:cs="Times New Roman"/>
      <w:szCs w:val="20"/>
    </w:rPr>
  </w:style>
  <w:style w:type="paragraph" w:customStyle="1" w:styleId="ExecTableCaption">
    <w:name w:val="Exec Table Caption"/>
    <w:basedOn w:val="Caption"/>
    <w:next w:val="Normal"/>
    <w:uiPriority w:val="4"/>
    <w:rsid w:val="005D6648"/>
    <w:pPr>
      <w:numPr>
        <w:ilvl w:val="1"/>
        <w:numId w:val="11"/>
      </w:numPr>
    </w:pPr>
    <w:rPr>
      <w:rFonts w:eastAsia="Times New Roman" w:cs="Times New Roman"/>
      <w:szCs w:val="20"/>
    </w:rPr>
  </w:style>
  <w:style w:type="paragraph" w:customStyle="1" w:styleId="Appendixhead2">
    <w:name w:val="Appendix_head_2"/>
    <w:basedOn w:val="Heading2"/>
    <w:next w:val="Normal"/>
    <w:link w:val="Appendixhead2Char"/>
    <w:uiPriority w:val="3"/>
    <w:rsid w:val="00B131B5"/>
    <w:pPr>
      <w:numPr>
        <w:numId w:val="38"/>
      </w:numPr>
      <w:tabs>
        <w:tab w:val="left" w:pos="851"/>
      </w:tabs>
      <w:outlineLvl w:val="9"/>
    </w:pPr>
    <w:rPr>
      <w:rFonts w:eastAsia="Times New Roman" w:cs="Times New Roman"/>
      <w:bCs w:val="0"/>
      <w:szCs w:val="28"/>
    </w:rPr>
  </w:style>
  <w:style w:type="paragraph" w:customStyle="1" w:styleId="Appendixhead3">
    <w:name w:val="Appendix_head_3"/>
    <w:basedOn w:val="Heading3"/>
    <w:next w:val="Normal"/>
    <w:link w:val="Appendixhead3Char"/>
    <w:uiPriority w:val="3"/>
    <w:rsid w:val="00B131B5"/>
    <w:pPr>
      <w:numPr>
        <w:numId w:val="38"/>
      </w:numPr>
      <w:spacing w:before="240"/>
      <w:outlineLvl w:val="9"/>
    </w:pPr>
    <w:rPr>
      <w:rFonts w:eastAsia="Times New Roman" w:cs="Times New Roman"/>
      <w:bCs w:val="0"/>
      <w:szCs w:val="20"/>
    </w:rPr>
  </w:style>
  <w:style w:type="paragraph" w:customStyle="1" w:styleId="Appendixhead4">
    <w:name w:val="Appendix_head_4"/>
    <w:basedOn w:val="Heading4"/>
    <w:next w:val="Normal"/>
    <w:uiPriority w:val="3"/>
    <w:rsid w:val="00B131B5"/>
    <w:pPr>
      <w:numPr>
        <w:numId w:val="38"/>
      </w:numPr>
      <w:tabs>
        <w:tab w:val="clear" w:pos="340"/>
      </w:tabs>
      <w:spacing w:before="240"/>
      <w:outlineLvl w:val="9"/>
    </w:pPr>
    <w:rPr>
      <w:rFonts w:eastAsia="Times New Roman" w:cs="Times New Roman"/>
      <w:bCs w:val="0"/>
      <w:iCs w:val="0"/>
    </w:rPr>
  </w:style>
  <w:style w:type="paragraph" w:customStyle="1" w:styleId="Appendixhead1">
    <w:name w:val="Appendix_head_1"/>
    <w:basedOn w:val="Normal"/>
    <w:next w:val="Normal"/>
    <w:link w:val="Appendixhead1Char"/>
    <w:uiPriority w:val="3"/>
    <w:rsid w:val="00520882"/>
    <w:pPr>
      <w:keepNext/>
      <w:keepLines/>
      <w:pageBreakBefore/>
      <w:numPr>
        <w:numId w:val="38"/>
      </w:numPr>
      <w:spacing w:after="600" w:line="720" w:lineRule="atLeast"/>
      <w:contextualSpacing/>
    </w:pPr>
    <w:rPr>
      <w:rFonts w:ascii="Calibri Light" w:eastAsia="Times New Roman" w:hAnsi="Calibri Light" w:cs="Calibri Light"/>
      <w:sz w:val="52"/>
      <w:szCs w:val="52"/>
    </w:rPr>
  </w:style>
  <w:style w:type="character" w:customStyle="1" w:styleId="Appendixhead1Char">
    <w:name w:val="Appendix_head_1 Char"/>
    <w:basedOn w:val="DefaultParagraphFont"/>
    <w:link w:val="Appendixhead1"/>
    <w:uiPriority w:val="3"/>
    <w:rsid w:val="00520882"/>
    <w:rPr>
      <w:rFonts w:ascii="Calibri Light" w:eastAsia="Times New Roman" w:hAnsi="Calibri Light" w:cs="Calibri Light"/>
      <w:sz w:val="52"/>
      <w:szCs w:val="52"/>
      <w:lang w:val="en-AU"/>
    </w:rPr>
  </w:style>
  <w:style w:type="paragraph" w:customStyle="1" w:styleId="AppendixTableCaption">
    <w:name w:val="Appendix Table Caption"/>
    <w:basedOn w:val="Appendixhead4"/>
    <w:next w:val="Normal"/>
    <w:link w:val="AppendixTableCaptionChar"/>
    <w:uiPriority w:val="4"/>
    <w:rsid w:val="00CA0756"/>
    <w:pPr>
      <w:numPr>
        <w:ilvl w:val="6"/>
      </w:numPr>
      <w:spacing w:after="240"/>
      <w:outlineLvl w:val="7"/>
    </w:pPr>
    <w:rPr>
      <w:b w:val="0"/>
      <w:sz w:val="17"/>
      <w:szCs w:val="22"/>
    </w:rPr>
  </w:style>
  <w:style w:type="paragraph" w:customStyle="1" w:styleId="AppendixChartCaption">
    <w:name w:val="Appendix Chart Caption"/>
    <w:basedOn w:val="AppendixTableCaption"/>
    <w:next w:val="Normal"/>
    <w:link w:val="AppendixChartCaptionChar"/>
    <w:uiPriority w:val="4"/>
    <w:rsid w:val="00CA0756"/>
    <w:pPr>
      <w:numPr>
        <w:ilvl w:val="7"/>
      </w:numPr>
      <w:outlineLvl w:val="5"/>
    </w:pPr>
  </w:style>
  <w:style w:type="paragraph" w:customStyle="1" w:styleId="AppendixFigureCaption">
    <w:name w:val="Appendix Figure Caption"/>
    <w:basedOn w:val="AppendixChartCaption"/>
    <w:next w:val="Normal"/>
    <w:link w:val="AppendixFigureCaptionChar"/>
    <w:uiPriority w:val="4"/>
    <w:rsid w:val="00CA0756"/>
    <w:pPr>
      <w:numPr>
        <w:ilvl w:val="8"/>
      </w:numPr>
      <w:outlineLvl w:val="6"/>
    </w:pPr>
  </w:style>
  <w:style w:type="character" w:customStyle="1" w:styleId="Appendixhead2Char">
    <w:name w:val="Appendix_head_2 Char"/>
    <w:basedOn w:val="DefaultParagraphFont"/>
    <w:link w:val="Appendixhead2"/>
    <w:uiPriority w:val="3"/>
    <w:rsid w:val="00B131B5"/>
    <w:rPr>
      <w:rFonts w:ascii="Calibri" w:eastAsia="Times New Roman" w:hAnsi="Calibri" w:cs="Times New Roman"/>
      <w:b/>
      <w:color w:val="007680"/>
      <w:sz w:val="24"/>
      <w:szCs w:val="28"/>
      <w:lang w:val="en-AU"/>
    </w:rPr>
  </w:style>
  <w:style w:type="character" w:customStyle="1" w:styleId="AppendixTableCaptionChar">
    <w:name w:val="Appendix Table Caption Char"/>
    <w:basedOn w:val="DefaultParagraphFont"/>
    <w:link w:val="AppendixTableCaption"/>
    <w:uiPriority w:val="4"/>
    <w:rsid w:val="00CA0756"/>
    <w:rPr>
      <w:rFonts w:ascii="Calibri" w:eastAsia="Times New Roman" w:hAnsi="Calibri" w:cs="Times New Roman"/>
      <w:color w:val="6FC2B4"/>
      <w:sz w:val="17"/>
      <w:szCs w:val="22"/>
      <w:lang w:val="en-AU"/>
    </w:rPr>
  </w:style>
  <w:style w:type="character" w:customStyle="1" w:styleId="Appendixhead3Char">
    <w:name w:val="Appendix_head_3 Char"/>
    <w:basedOn w:val="DefaultParagraphFont"/>
    <w:link w:val="Appendixhead3"/>
    <w:uiPriority w:val="3"/>
    <w:rsid w:val="00B131B5"/>
    <w:rPr>
      <w:rFonts w:ascii="Calibri" w:eastAsia="Times New Roman" w:hAnsi="Calibri" w:cs="Times New Roman"/>
      <w:b/>
      <w:color w:val="00ABAB"/>
      <w:sz w:val="22"/>
      <w:szCs w:val="20"/>
      <w:lang w:val="en-AU"/>
    </w:rPr>
  </w:style>
  <w:style w:type="character" w:customStyle="1" w:styleId="AppendixFigureCaptionChar">
    <w:name w:val="Appendix Figure Caption Char"/>
    <w:basedOn w:val="DefaultParagraphFont"/>
    <w:link w:val="AppendixFigureCaption"/>
    <w:uiPriority w:val="4"/>
    <w:rsid w:val="00CA0756"/>
    <w:rPr>
      <w:rFonts w:ascii="Calibri" w:eastAsia="Times New Roman" w:hAnsi="Calibri" w:cs="Times New Roman"/>
      <w:color w:val="6FC2B4"/>
      <w:sz w:val="17"/>
      <w:szCs w:val="22"/>
      <w:lang w:val="en-AU"/>
    </w:rPr>
  </w:style>
  <w:style w:type="character" w:customStyle="1" w:styleId="AppendixChartCaptionChar">
    <w:name w:val="Appendix Chart Caption Char"/>
    <w:basedOn w:val="AppendixTableCaptionChar"/>
    <w:link w:val="AppendixChartCaption"/>
    <w:uiPriority w:val="4"/>
    <w:rsid w:val="00CA0756"/>
    <w:rPr>
      <w:rFonts w:ascii="Calibri" w:eastAsia="Times New Roman" w:hAnsi="Calibri" w:cs="Times New Roman"/>
      <w:color w:val="6FC2B4"/>
      <w:sz w:val="17"/>
      <w:szCs w:val="22"/>
      <w:lang w:val="en-AU"/>
    </w:rPr>
  </w:style>
  <w:style w:type="paragraph" w:customStyle="1" w:styleId="SourcetextTableorChart">
    <w:name w:val="Source text Table or Chart"/>
    <w:basedOn w:val="Caption"/>
    <w:next w:val="Normal"/>
    <w:uiPriority w:val="6"/>
    <w:rsid w:val="00372238"/>
    <w:rPr>
      <w:sz w:val="14"/>
    </w:rPr>
  </w:style>
  <w:style w:type="paragraph" w:customStyle="1" w:styleId="AlphabeticList">
    <w:name w:val="Alphabetic List"/>
    <w:basedOn w:val="Normal"/>
    <w:uiPriority w:val="4"/>
    <w:rsid w:val="002649F5"/>
    <w:pPr>
      <w:numPr>
        <w:numId w:val="12"/>
      </w:numPr>
      <w:spacing w:after="0"/>
      <w:contextualSpacing/>
    </w:pPr>
    <w:rPr>
      <w:rFonts w:eastAsia="Times New Roman" w:cs="Times New Roman"/>
      <w:szCs w:val="20"/>
    </w:rPr>
  </w:style>
  <w:style w:type="paragraph" w:customStyle="1" w:styleId="CV-Heading">
    <w:name w:val="CV - Heading"/>
    <w:basedOn w:val="Normal"/>
    <w:uiPriority w:val="7"/>
    <w:rsid w:val="005B00B8"/>
    <w:pPr>
      <w:spacing w:before="240" w:after="0"/>
      <w:contextualSpacing/>
    </w:pPr>
    <w:rPr>
      <w:b/>
    </w:rPr>
  </w:style>
  <w:style w:type="paragraph" w:customStyle="1" w:styleId="TableHeadingCentre">
    <w:name w:val="Table Heading Centre"/>
    <w:basedOn w:val="TableHeadingLeft"/>
    <w:uiPriority w:val="5"/>
    <w:rsid w:val="002E67BC"/>
    <w:pPr>
      <w:jc w:val="center"/>
    </w:pPr>
  </w:style>
  <w:style w:type="paragraph" w:customStyle="1" w:styleId="TableHeadingRight">
    <w:name w:val="Table Heading Right"/>
    <w:basedOn w:val="TableHeadingCentre"/>
    <w:uiPriority w:val="5"/>
    <w:rsid w:val="002E67BC"/>
    <w:pPr>
      <w:jc w:val="right"/>
    </w:pPr>
  </w:style>
  <w:style w:type="paragraph" w:customStyle="1" w:styleId="TabletextRight">
    <w:name w:val="Table text Right"/>
    <w:basedOn w:val="TabletextLeft"/>
    <w:uiPriority w:val="5"/>
    <w:rsid w:val="002E67BC"/>
    <w:pPr>
      <w:jc w:val="right"/>
    </w:pPr>
  </w:style>
  <w:style w:type="paragraph" w:customStyle="1" w:styleId="TabletextCentre">
    <w:name w:val="Table text Centre"/>
    <w:basedOn w:val="TabletextRight"/>
    <w:uiPriority w:val="5"/>
    <w:rsid w:val="002E67BC"/>
    <w:pPr>
      <w:jc w:val="center"/>
    </w:pPr>
  </w:style>
  <w:style w:type="paragraph" w:customStyle="1" w:styleId="TableNote">
    <w:name w:val="Table Note"/>
    <w:basedOn w:val="TabletextLeft"/>
    <w:uiPriority w:val="5"/>
    <w:rsid w:val="002E67BC"/>
    <w:rPr>
      <w:sz w:val="15"/>
    </w:rPr>
  </w:style>
  <w:style w:type="paragraph" w:customStyle="1" w:styleId="TabletextCentreTotal">
    <w:name w:val="Table text Centre Total"/>
    <w:basedOn w:val="TabletextCentre"/>
    <w:uiPriority w:val="5"/>
    <w:rsid w:val="002C7E6E"/>
    <w:rPr>
      <w:b/>
    </w:rPr>
  </w:style>
  <w:style w:type="paragraph" w:customStyle="1" w:styleId="AlphabeticList2">
    <w:name w:val="Alphabetic List 2"/>
    <w:basedOn w:val="AlphabeticList"/>
    <w:uiPriority w:val="4"/>
    <w:rsid w:val="002649F5"/>
    <w:pPr>
      <w:numPr>
        <w:ilvl w:val="1"/>
      </w:numPr>
    </w:pPr>
  </w:style>
  <w:style w:type="table" w:styleId="GridTable1Light">
    <w:name w:val="Grid Table 1 Light"/>
    <w:basedOn w:val="TableNormal"/>
    <w:uiPriority w:val="46"/>
    <w:rsid w:val="000116B0"/>
    <w:pPr>
      <w:spacing w:line="240" w:lineRule="auto"/>
    </w:pPr>
    <w:rPr>
      <w:lang w:val="en-AU"/>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116B0"/>
    <w:pPr>
      <w:spacing w:line="240" w:lineRule="auto"/>
    </w:pPr>
    <w:rPr>
      <w:lang w:val="en-AU"/>
    </w:rPr>
    <w:tblPr>
      <w:tblStyleRowBandSize w:val="1"/>
      <w:tblStyleColBandSize w:val="1"/>
      <w:tblBorders>
        <w:top w:val="single" w:sz="4" w:space="0" w:color="D0EC9F" w:themeColor="accent1" w:themeTint="66"/>
        <w:left w:val="single" w:sz="4" w:space="0" w:color="D0EC9F" w:themeColor="accent1" w:themeTint="66"/>
        <w:bottom w:val="single" w:sz="4" w:space="0" w:color="D0EC9F" w:themeColor="accent1" w:themeTint="66"/>
        <w:right w:val="single" w:sz="4" w:space="0" w:color="D0EC9F" w:themeColor="accent1" w:themeTint="66"/>
        <w:insideH w:val="single" w:sz="4" w:space="0" w:color="D0EC9F" w:themeColor="accent1" w:themeTint="66"/>
        <w:insideV w:val="single" w:sz="4" w:space="0" w:color="D0EC9F" w:themeColor="accent1" w:themeTint="66"/>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2" w:space="0" w:color="B9E37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116B0"/>
    <w:pPr>
      <w:spacing w:line="240" w:lineRule="auto"/>
    </w:pPr>
    <w:rPr>
      <w:lang w:val="en-AU"/>
    </w:rPr>
    <w:tblPr>
      <w:tblStyleRowBandSize w:val="1"/>
      <w:tblStyleColBandSize w:val="1"/>
      <w:tblBorders>
        <w:top w:val="single" w:sz="4" w:space="0" w:color="64F9B0" w:themeColor="accent2" w:themeTint="66"/>
        <w:left w:val="single" w:sz="4" w:space="0" w:color="64F9B0" w:themeColor="accent2" w:themeTint="66"/>
        <w:bottom w:val="single" w:sz="4" w:space="0" w:color="64F9B0" w:themeColor="accent2" w:themeTint="66"/>
        <w:right w:val="single" w:sz="4" w:space="0" w:color="64F9B0" w:themeColor="accent2" w:themeTint="66"/>
        <w:insideH w:val="single" w:sz="4" w:space="0" w:color="64F9B0" w:themeColor="accent2" w:themeTint="66"/>
        <w:insideV w:val="single" w:sz="4" w:space="0" w:color="64F9B0" w:themeColor="accent2" w:themeTint="66"/>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2" w:space="0" w:color="17F689"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116B0"/>
    <w:pPr>
      <w:spacing w:line="240" w:lineRule="auto"/>
    </w:pPr>
    <w:rPr>
      <w:lang w:val="en-AU"/>
    </w:rPr>
    <w:tblPr>
      <w:tblStyleRowBandSize w:val="1"/>
      <w:tblStyleColBandSize w:val="1"/>
      <w:tblBorders>
        <w:top w:val="single" w:sz="4" w:space="0" w:color="C0E1F4" w:themeColor="accent3" w:themeTint="66"/>
        <w:left w:val="single" w:sz="4" w:space="0" w:color="C0E1F4" w:themeColor="accent3" w:themeTint="66"/>
        <w:bottom w:val="single" w:sz="4" w:space="0" w:color="C0E1F4" w:themeColor="accent3" w:themeTint="66"/>
        <w:right w:val="single" w:sz="4" w:space="0" w:color="C0E1F4" w:themeColor="accent3" w:themeTint="66"/>
        <w:insideH w:val="single" w:sz="4" w:space="0" w:color="C0E1F4" w:themeColor="accent3" w:themeTint="66"/>
        <w:insideV w:val="single" w:sz="4" w:space="0" w:color="C0E1F4" w:themeColor="accent3" w:themeTint="66"/>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2" w:space="0" w:color="A0D2E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116B0"/>
    <w:pPr>
      <w:spacing w:line="240" w:lineRule="auto"/>
    </w:pPr>
    <w:rPr>
      <w:lang w:val="en-AU"/>
    </w:rPr>
    <w:tblPr>
      <w:tblStyleRowBandSize w:val="1"/>
      <w:tblStyleColBandSize w:val="1"/>
      <w:tblBorders>
        <w:top w:val="single" w:sz="4" w:space="0" w:color="5E8FFD" w:themeColor="accent4" w:themeTint="66"/>
        <w:left w:val="single" w:sz="4" w:space="0" w:color="5E8FFD" w:themeColor="accent4" w:themeTint="66"/>
        <w:bottom w:val="single" w:sz="4" w:space="0" w:color="5E8FFD" w:themeColor="accent4" w:themeTint="66"/>
        <w:right w:val="single" w:sz="4" w:space="0" w:color="5E8FFD" w:themeColor="accent4" w:themeTint="66"/>
        <w:insideH w:val="single" w:sz="4" w:space="0" w:color="5E8FFD" w:themeColor="accent4" w:themeTint="66"/>
        <w:insideV w:val="single" w:sz="4" w:space="0" w:color="5E8FFD" w:themeColor="accent4" w:themeTint="66"/>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2" w:space="0" w:color="0E57F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116B0"/>
    <w:pPr>
      <w:spacing w:line="240" w:lineRule="auto"/>
    </w:pPr>
    <w:rPr>
      <w:lang w:val="en-AU"/>
    </w:rPr>
    <w:tblPr>
      <w:tblStyleRowBandSize w:val="1"/>
      <w:tblStyleColBandSize w:val="1"/>
      <w:tblBorders>
        <w:top w:val="single" w:sz="4" w:space="0" w:color="76EFFF" w:themeColor="accent5" w:themeTint="66"/>
        <w:left w:val="single" w:sz="4" w:space="0" w:color="76EFFF" w:themeColor="accent5" w:themeTint="66"/>
        <w:bottom w:val="single" w:sz="4" w:space="0" w:color="76EFFF" w:themeColor="accent5" w:themeTint="66"/>
        <w:right w:val="single" w:sz="4" w:space="0" w:color="76EFFF" w:themeColor="accent5" w:themeTint="66"/>
        <w:insideH w:val="single" w:sz="4" w:space="0" w:color="76EFFF" w:themeColor="accent5" w:themeTint="66"/>
        <w:insideV w:val="single" w:sz="4" w:space="0" w:color="76EFFF" w:themeColor="accent5" w:themeTint="66"/>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2" w:space="0" w:color="32E8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116B0"/>
    <w:pPr>
      <w:spacing w:line="240" w:lineRule="auto"/>
    </w:pPr>
    <w:rPr>
      <w:lang w:val="en-AU"/>
    </w:rPr>
    <w:tblPr>
      <w:tblStyleRowBandSize w:val="1"/>
      <w:tblStyleColBandSize w:val="1"/>
      <w:tblBorders>
        <w:top w:val="single" w:sz="4" w:space="0" w:color="C7C8CA" w:themeColor="accent6" w:themeTint="66"/>
        <w:left w:val="single" w:sz="4" w:space="0" w:color="C7C8CA" w:themeColor="accent6" w:themeTint="66"/>
        <w:bottom w:val="single" w:sz="4" w:space="0" w:color="C7C8CA" w:themeColor="accent6" w:themeTint="66"/>
        <w:right w:val="single" w:sz="4" w:space="0" w:color="C7C8CA" w:themeColor="accent6" w:themeTint="66"/>
        <w:insideH w:val="single" w:sz="4" w:space="0" w:color="C7C8CA" w:themeColor="accent6" w:themeTint="66"/>
        <w:insideV w:val="single" w:sz="4" w:space="0" w:color="C7C8CA" w:themeColor="accent6" w:themeTint="66"/>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2" w:space="0" w:color="ABADB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116B0"/>
    <w:pPr>
      <w:spacing w:line="240" w:lineRule="auto"/>
    </w:pPr>
    <w:rPr>
      <w:lang w:val="en-AU"/>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116B0"/>
    <w:pPr>
      <w:spacing w:line="240" w:lineRule="auto"/>
    </w:pPr>
    <w:rPr>
      <w:lang w:val="en-AU"/>
    </w:rPr>
    <w:tblPr>
      <w:tblStyleRowBandSize w:val="1"/>
      <w:tblStyleColBandSize w:val="1"/>
      <w:tblBorders>
        <w:top w:val="single" w:sz="2" w:space="0" w:color="B9E370" w:themeColor="accent1" w:themeTint="99"/>
        <w:bottom w:val="single" w:sz="2" w:space="0" w:color="B9E370" w:themeColor="accent1" w:themeTint="99"/>
        <w:insideH w:val="single" w:sz="2" w:space="0" w:color="B9E370" w:themeColor="accent1" w:themeTint="99"/>
        <w:insideV w:val="single" w:sz="2" w:space="0" w:color="B9E370" w:themeColor="accent1" w:themeTint="99"/>
      </w:tblBorders>
    </w:tblPr>
    <w:tblStylePr w:type="firstRow">
      <w:rPr>
        <w:b/>
        <w:bCs/>
      </w:rPr>
      <w:tblPr/>
      <w:tcPr>
        <w:tcBorders>
          <w:top w:val="nil"/>
          <w:bottom w:val="single" w:sz="12" w:space="0" w:color="B9E370" w:themeColor="accent1" w:themeTint="99"/>
          <w:insideH w:val="nil"/>
          <w:insideV w:val="nil"/>
        </w:tcBorders>
        <w:shd w:val="clear" w:color="auto" w:fill="FFFFFF" w:themeFill="background1"/>
      </w:tcPr>
    </w:tblStylePr>
    <w:tblStylePr w:type="lastRow">
      <w:rPr>
        <w:b/>
        <w:bCs/>
      </w:rPr>
      <w:tblPr/>
      <w:tcPr>
        <w:tcBorders>
          <w:top w:val="double" w:sz="2" w:space="0" w:color="B9E37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2-Accent2">
    <w:name w:val="Grid Table 2 Accent 2"/>
    <w:basedOn w:val="TableNormal"/>
    <w:uiPriority w:val="47"/>
    <w:rsid w:val="000116B0"/>
    <w:pPr>
      <w:spacing w:line="240" w:lineRule="auto"/>
    </w:pPr>
    <w:rPr>
      <w:lang w:val="en-AU"/>
    </w:rPr>
    <w:tblPr>
      <w:tblStyleRowBandSize w:val="1"/>
      <w:tblStyleColBandSize w:val="1"/>
      <w:tblBorders>
        <w:top w:val="single" w:sz="2" w:space="0" w:color="17F689" w:themeColor="accent2" w:themeTint="99"/>
        <w:bottom w:val="single" w:sz="2" w:space="0" w:color="17F689" w:themeColor="accent2" w:themeTint="99"/>
        <w:insideH w:val="single" w:sz="2" w:space="0" w:color="17F689" w:themeColor="accent2" w:themeTint="99"/>
        <w:insideV w:val="single" w:sz="2" w:space="0" w:color="17F689" w:themeColor="accent2" w:themeTint="99"/>
      </w:tblBorders>
    </w:tblPr>
    <w:tblStylePr w:type="firstRow">
      <w:rPr>
        <w:b/>
        <w:bCs/>
      </w:rPr>
      <w:tblPr/>
      <w:tcPr>
        <w:tcBorders>
          <w:top w:val="nil"/>
          <w:bottom w:val="single" w:sz="12" w:space="0" w:color="17F689" w:themeColor="accent2" w:themeTint="99"/>
          <w:insideH w:val="nil"/>
          <w:insideV w:val="nil"/>
        </w:tcBorders>
        <w:shd w:val="clear" w:color="auto" w:fill="FFFFFF" w:themeFill="background1"/>
      </w:tcPr>
    </w:tblStylePr>
    <w:tblStylePr w:type="lastRow">
      <w:rPr>
        <w:b/>
        <w:bCs/>
      </w:rPr>
      <w:tblPr/>
      <w:tcPr>
        <w:tcBorders>
          <w:top w:val="double" w:sz="2" w:space="0" w:color="17F689"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2-Accent3">
    <w:name w:val="Grid Table 2 Accent 3"/>
    <w:basedOn w:val="TableNormal"/>
    <w:uiPriority w:val="47"/>
    <w:rsid w:val="000116B0"/>
    <w:pPr>
      <w:spacing w:line="240" w:lineRule="auto"/>
    </w:pPr>
    <w:rPr>
      <w:lang w:val="en-AU"/>
    </w:rPr>
    <w:tblPr>
      <w:tblStyleRowBandSize w:val="1"/>
      <w:tblStyleColBandSize w:val="1"/>
      <w:tblBorders>
        <w:top w:val="single" w:sz="2" w:space="0" w:color="A0D2EF" w:themeColor="accent3" w:themeTint="99"/>
        <w:bottom w:val="single" w:sz="2" w:space="0" w:color="A0D2EF" w:themeColor="accent3" w:themeTint="99"/>
        <w:insideH w:val="single" w:sz="2" w:space="0" w:color="A0D2EF" w:themeColor="accent3" w:themeTint="99"/>
        <w:insideV w:val="single" w:sz="2" w:space="0" w:color="A0D2EF" w:themeColor="accent3" w:themeTint="99"/>
      </w:tblBorders>
    </w:tblPr>
    <w:tblStylePr w:type="firstRow">
      <w:rPr>
        <w:b/>
        <w:bCs/>
      </w:rPr>
      <w:tblPr/>
      <w:tcPr>
        <w:tcBorders>
          <w:top w:val="nil"/>
          <w:bottom w:val="single" w:sz="12" w:space="0" w:color="A0D2EF" w:themeColor="accent3" w:themeTint="99"/>
          <w:insideH w:val="nil"/>
          <w:insideV w:val="nil"/>
        </w:tcBorders>
        <w:shd w:val="clear" w:color="auto" w:fill="FFFFFF" w:themeFill="background1"/>
      </w:tcPr>
    </w:tblStylePr>
    <w:tblStylePr w:type="lastRow">
      <w:rPr>
        <w:b/>
        <w:bCs/>
      </w:rPr>
      <w:tblPr/>
      <w:tcPr>
        <w:tcBorders>
          <w:top w:val="double" w:sz="2" w:space="0" w:color="A0D2E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2-Accent4">
    <w:name w:val="Grid Table 2 Accent 4"/>
    <w:basedOn w:val="TableNormal"/>
    <w:uiPriority w:val="47"/>
    <w:rsid w:val="000116B0"/>
    <w:pPr>
      <w:spacing w:line="240" w:lineRule="auto"/>
    </w:pPr>
    <w:rPr>
      <w:lang w:val="en-AU"/>
    </w:rPr>
    <w:tblPr>
      <w:tblStyleRowBandSize w:val="1"/>
      <w:tblStyleColBandSize w:val="1"/>
      <w:tblBorders>
        <w:top w:val="single" w:sz="2" w:space="0" w:color="0E57FC" w:themeColor="accent4" w:themeTint="99"/>
        <w:bottom w:val="single" w:sz="2" w:space="0" w:color="0E57FC" w:themeColor="accent4" w:themeTint="99"/>
        <w:insideH w:val="single" w:sz="2" w:space="0" w:color="0E57FC" w:themeColor="accent4" w:themeTint="99"/>
        <w:insideV w:val="single" w:sz="2" w:space="0" w:color="0E57FC" w:themeColor="accent4" w:themeTint="99"/>
      </w:tblBorders>
    </w:tblPr>
    <w:tblStylePr w:type="firstRow">
      <w:rPr>
        <w:b/>
        <w:bCs/>
      </w:rPr>
      <w:tblPr/>
      <w:tcPr>
        <w:tcBorders>
          <w:top w:val="nil"/>
          <w:bottom w:val="single" w:sz="12" w:space="0" w:color="0E57FC" w:themeColor="accent4" w:themeTint="99"/>
          <w:insideH w:val="nil"/>
          <w:insideV w:val="nil"/>
        </w:tcBorders>
        <w:shd w:val="clear" w:color="auto" w:fill="FFFFFF" w:themeFill="background1"/>
      </w:tcPr>
    </w:tblStylePr>
    <w:tblStylePr w:type="lastRow">
      <w:rPr>
        <w:b/>
        <w:bCs/>
      </w:rPr>
      <w:tblPr/>
      <w:tcPr>
        <w:tcBorders>
          <w:top w:val="double" w:sz="2" w:space="0" w:color="0E57F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2-Accent5">
    <w:name w:val="Grid Table 2 Accent 5"/>
    <w:basedOn w:val="TableNormal"/>
    <w:uiPriority w:val="47"/>
    <w:rsid w:val="000116B0"/>
    <w:pPr>
      <w:spacing w:line="240" w:lineRule="auto"/>
    </w:pPr>
    <w:rPr>
      <w:lang w:val="en-AU"/>
    </w:rPr>
    <w:tblPr>
      <w:tblStyleRowBandSize w:val="1"/>
      <w:tblStyleColBandSize w:val="1"/>
      <w:tblBorders>
        <w:top w:val="single" w:sz="2" w:space="0" w:color="32E8FF" w:themeColor="accent5" w:themeTint="99"/>
        <w:bottom w:val="single" w:sz="2" w:space="0" w:color="32E8FF" w:themeColor="accent5" w:themeTint="99"/>
        <w:insideH w:val="single" w:sz="2" w:space="0" w:color="32E8FF" w:themeColor="accent5" w:themeTint="99"/>
        <w:insideV w:val="single" w:sz="2" w:space="0" w:color="32E8FF" w:themeColor="accent5" w:themeTint="99"/>
      </w:tblBorders>
    </w:tblPr>
    <w:tblStylePr w:type="firstRow">
      <w:rPr>
        <w:b/>
        <w:bCs/>
      </w:rPr>
      <w:tblPr/>
      <w:tcPr>
        <w:tcBorders>
          <w:top w:val="nil"/>
          <w:bottom w:val="single" w:sz="12" w:space="0" w:color="32E8FF" w:themeColor="accent5" w:themeTint="99"/>
          <w:insideH w:val="nil"/>
          <w:insideV w:val="nil"/>
        </w:tcBorders>
        <w:shd w:val="clear" w:color="auto" w:fill="FFFFFF" w:themeFill="background1"/>
      </w:tcPr>
    </w:tblStylePr>
    <w:tblStylePr w:type="lastRow">
      <w:rPr>
        <w:b/>
        <w:bCs/>
      </w:rPr>
      <w:tblPr/>
      <w:tcPr>
        <w:tcBorders>
          <w:top w:val="double" w:sz="2" w:space="0" w:color="32E8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2-Accent6">
    <w:name w:val="Grid Table 2 Accent 6"/>
    <w:basedOn w:val="TableNormal"/>
    <w:uiPriority w:val="47"/>
    <w:rsid w:val="000116B0"/>
    <w:pPr>
      <w:spacing w:line="240" w:lineRule="auto"/>
    </w:pPr>
    <w:rPr>
      <w:lang w:val="en-AU"/>
    </w:rPr>
    <w:tblPr>
      <w:tblStyleRowBandSize w:val="1"/>
      <w:tblStyleColBandSize w:val="1"/>
      <w:tblBorders>
        <w:top w:val="single" w:sz="2" w:space="0" w:color="ABADB0" w:themeColor="accent6" w:themeTint="99"/>
        <w:bottom w:val="single" w:sz="2" w:space="0" w:color="ABADB0" w:themeColor="accent6" w:themeTint="99"/>
        <w:insideH w:val="single" w:sz="2" w:space="0" w:color="ABADB0" w:themeColor="accent6" w:themeTint="99"/>
        <w:insideV w:val="single" w:sz="2" w:space="0" w:color="ABADB0" w:themeColor="accent6" w:themeTint="99"/>
      </w:tblBorders>
    </w:tblPr>
    <w:tblStylePr w:type="firstRow">
      <w:rPr>
        <w:b/>
        <w:bCs/>
      </w:rPr>
      <w:tblPr/>
      <w:tcPr>
        <w:tcBorders>
          <w:top w:val="nil"/>
          <w:bottom w:val="single" w:sz="12" w:space="0" w:color="ABADB0" w:themeColor="accent6" w:themeTint="99"/>
          <w:insideH w:val="nil"/>
          <w:insideV w:val="nil"/>
        </w:tcBorders>
        <w:shd w:val="clear" w:color="auto" w:fill="FFFFFF" w:themeFill="background1"/>
      </w:tcPr>
    </w:tblStylePr>
    <w:tblStylePr w:type="lastRow">
      <w:rPr>
        <w:b/>
        <w:bCs/>
      </w:rPr>
      <w:tblPr/>
      <w:tcPr>
        <w:tcBorders>
          <w:top w:val="double" w:sz="2" w:space="0" w:color="ABADB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3">
    <w:name w:val="Grid Table 3"/>
    <w:basedOn w:val="TableNormal"/>
    <w:uiPriority w:val="48"/>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3-Accent2">
    <w:name w:val="Grid Table 3 Accent 2"/>
    <w:basedOn w:val="TableNormal"/>
    <w:uiPriority w:val="48"/>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3-Accent3">
    <w:name w:val="Grid Table 3 Accent 3"/>
    <w:basedOn w:val="TableNormal"/>
    <w:uiPriority w:val="48"/>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3-Accent4">
    <w:name w:val="Grid Table 3 Accent 4"/>
    <w:basedOn w:val="TableNormal"/>
    <w:uiPriority w:val="48"/>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3-Accent5">
    <w:name w:val="Grid Table 3 Accent 5"/>
    <w:basedOn w:val="TableNormal"/>
    <w:uiPriority w:val="48"/>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3-Accent6">
    <w:name w:val="Grid Table 3 Accent 6"/>
    <w:basedOn w:val="TableNormal"/>
    <w:uiPriority w:val="48"/>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GridTable4">
    <w:name w:val="Grid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insideV w:val="nil"/>
        </w:tcBorders>
        <w:shd w:val="clear" w:color="auto" w:fill="86BC25" w:themeFill="accent1"/>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4-Accent2">
    <w:name w:val="Grid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insideV w:val="nil"/>
        </w:tcBorders>
        <w:shd w:val="clear" w:color="auto" w:fill="046A38" w:themeFill="accent2"/>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4-Accent3">
    <w:name w:val="Grid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insideV w:val="nil"/>
        </w:tcBorders>
        <w:shd w:val="clear" w:color="auto" w:fill="62B5E5" w:themeFill="accent3"/>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4-Accent4">
    <w:name w:val="Grid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insideV w:val="nil"/>
        </w:tcBorders>
        <w:shd w:val="clear" w:color="auto" w:fill="012169" w:themeFill="accent4"/>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4-Accent5">
    <w:name w:val="Grid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insideV w:val="nil"/>
        </w:tcBorders>
        <w:shd w:val="clear" w:color="auto" w:fill="0097A9" w:themeFill="accent5"/>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4-Accent6">
    <w:name w:val="Grid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insideV w:val="nil"/>
        </w:tcBorders>
        <w:shd w:val="clear" w:color="auto" w:fill="75787B" w:themeFill="accent6"/>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5Dark">
    <w:name w:val="Grid Table 5 Dark"/>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C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C2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C2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C2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C25" w:themeFill="accent1"/>
      </w:tcPr>
    </w:tblStylePr>
    <w:tblStylePr w:type="band1Vert">
      <w:tblPr/>
      <w:tcPr>
        <w:shd w:val="clear" w:color="auto" w:fill="D0EC9F" w:themeFill="accent1" w:themeFillTint="66"/>
      </w:tcPr>
    </w:tblStylePr>
    <w:tblStylePr w:type="band1Horz">
      <w:tblPr/>
      <w:tcPr>
        <w:shd w:val="clear" w:color="auto" w:fill="D0EC9F" w:themeFill="accent1" w:themeFillTint="66"/>
      </w:tcPr>
    </w:tblStylePr>
  </w:style>
  <w:style w:type="table" w:styleId="GridTable5Dark-Accent2">
    <w:name w:val="Grid Table 5 Dark Accent 2"/>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CD7"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46A38"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46A38"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46A38"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46A38" w:themeFill="accent2"/>
      </w:tcPr>
    </w:tblStylePr>
    <w:tblStylePr w:type="band1Vert">
      <w:tblPr/>
      <w:tcPr>
        <w:shd w:val="clear" w:color="auto" w:fill="64F9B0" w:themeFill="accent2" w:themeFillTint="66"/>
      </w:tcPr>
    </w:tblStylePr>
    <w:tblStylePr w:type="band1Horz">
      <w:tblPr/>
      <w:tcPr>
        <w:shd w:val="clear" w:color="auto" w:fill="64F9B0" w:themeFill="accent2" w:themeFillTint="66"/>
      </w:tcPr>
    </w:tblStylePr>
  </w:style>
  <w:style w:type="table" w:styleId="GridTable5Dark-Accent3">
    <w:name w:val="Grid Table 5 Dark Accent 3"/>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F0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B5E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B5E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B5E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B5E5" w:themeFill="accent3"/>
      </w:tcPr>
    </w:tblStylePr>
    <w:tblStylePr w:type="band1Vert">
      <w:tblPr/>
      <w:tcPr>
        <w:shd w:val="clear" w:color="auto" w:fill="C0E1F4" w:themeFill="accent3" w:themeFillTint="66"/>
      </w:tcPr>
    </w:tblStylePr>
    <w:tblStylePr w:type="band1Horz">
      <w:tblPr/>
      <w:tcPr>
        <w:shd w:val="clear" w:color="auto" w:fill="C0E1F4" w:themeFill="accent3" w:themeFillTint="66"/>
      </w:tcPr>
    </w:tblStylePr>
  </w:style>
  <w:style w:type="table" w:styleId="GridTable5Dark-Accent4">
    <w:name w:val="Grid Table 5 Dark Accent 4"/>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EC7F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12169"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12169"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12169"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12169" w:themeFill="accent4"/>
      </w:tcPr>
    </w:tblStylePr>
    <w:tblStylePr w:type="band1Vert">
      <w:tblPr/>
      <w:tcPr>
        <w:shd w:val="clear" w:color="auto" w:fill="5E8FFD" w:themeFill="accent4" w:themeFillTint="66"/>
      </w:tcPr>
    </w:tblStylePr>
    <w:tblStylePr w:type="band1Horz">
      <w:tblPr/>
      <w:tcPr>
        <w:shd w:val="clear" w:color="auto" w:fill="5E8FFD" w:themeFill="accent4" w:themeFillTint="66"/>
      </w:tcPr>
    </w:tblStylePr>
  </w:style>
  <w:style w:type="table" w:styleId="GridTable5Dark-Accent5">
    <w:name w:val="Grid Table 5 Dark Accent 5"/>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F7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7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7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7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7A9" w:themeFill="accent5"/>
      </w:tcPr>
    </w:tblStylePr>
    <w:tblStylePr w:type="band1Vert">
      <w:tblPr/>
      <w:tcPr>
        <w:shd w:val="clear" w:color="auto" w:fill="76EFFF" w:themeFill="accent5" w:themeFillTint="66"/>
      </w:tcPr>
    </w:tblStylePr>
    <w:tblStylePr w:type="band1Horz">
      <w:tblPr/>
      <w:tcPr>
        <w:shd w:val="clear" w:color="auto" w:fill="76EFFF" w:themeFill="accent5" w:themeFillTint="66"/>
      </w:tcPr>
    </w:tblStylePr>
  </w:style>
  <w:style w:type="table" w:styleId="GridTable5Dark-Accent6">
    <w:name w:val="Grid Table 5 Dark Accent 6"/>
    <w:basedOn w:val="TableNormal"/>
    <w:uiPriority w:val="50"/>
    <w:rsid w:val="000116B0"/>
    <w:pPr>
      <w:spacing w:line="240" w:lineRule="auto"/>
    </w:pPr>
    <w:rPr>
      <w:lang w:val="en-AU"/>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3E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5787B"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5787B"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5787B"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5787B" w:themeFill="accent6"/>
      </w:tcPr>
    </w:tblStylePr>
    <w:tblStylePr w:type="band1Vert">
      <w:tblPr/>
      <w:tcPr>
        <w:shd w:val="clear" w:color="auto" w:fill="C7C8CA" w:themeFill="accent6" w:themeFillTint="66"/>
      </w:tcPr>
    </w:tblStylePr>
    <w:tblStylePr w:type="band1Horz">
      <w:tblPr/>
      <w:tcPr>
        <w:shd w:val="clear" w:color="auto" w:fill="C7C8CA" w:themeFill="accent6" w:themeFillTint="66"/>
      </w:tcPr>
    </w:tblStylePr>
  </w:style>
  <w:style w:type="table" w:styleId="GridTable6Colorful">
    <w:name w:val="Grid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bottom w:val="single" w:sz="12" w:space="0" w:color="B9E370" w:themeColor="accent1" w:themeTint="99"/>
        </w:tcBorders>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GridTable6Colorful-Accent2">
    <w:name w:val="Grid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bottom w:val="single" w:sz="12" w:space="0" w:color="17F689" w:themeColor="accent2" w:themeTint="99"/>
        </w:tcBorders>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GridTable6Colorful-Accent3">
    <w:name w:val="Grid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bottom w:val="single" w:sz="12" w:space="0" w:color="A0D2EF" w:themeColor="accent3" w:themeTint="99"/>
        </w:tcBorders>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GridTable6Colorful-Accent4">
    <w:name w:val="Grid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bottom w:val="single" w:sz="12" w:space="0" w:color="0E57FC" w:themeColor="accent4" w:themeTint="99"/>
        </w:tcBorders>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GridTable6Colorful-Accent5">
    <w:name w:val="Grid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bottom w:val="single" w:sz="12" w:space="0" w:color="32E8FF" w:themeColor="accent5" w:themeTint="99"/>
        </w:tcBorders>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GridTable6Colorful-Accent6">
    <w:name w:val="Grid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bottom w:val="single" w:sz="12" w:space="0" w:color="ABADB0" w:themeColor="accent6" w:themeTint="99"/>
        </w:tcBorders>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GridTable7Colorful">
    <w:name w:val="Grid Table 7 Colorful"/>
    <w:basedOn w:val="TableNormal"/>
    <w:uiPriority w:val="52"/>
    <w:rsid w:val="000116B0"/>
    <w:pPr>
      <w:spacing w:line="240" w:lineRule="auto"/>
    </w:pPr>
    <w:rPr>
      <w:color w:val="000000" w:themeColor="text1"/>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116B0"/>
    <w:pPr>
      <w:spacing w:line="240" w:lineRule="auto"/>
    </w:pPr>
    <w:rPr>
      <w:color w:val="638C1B" w:themeColor="accent1" w:themeShade="BF"/>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insideV w:val="single" w:sz="4" w:space="0" w:color="B9E37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bottom w:val="single" w:sz="4" w:space="0" w:color="B9E370" w:themeColor="accent1" w:themeTint="99"/>
        </w:tcBorders>
      </w:tcPr>
    </w:tblStylePr>
    <w:tblStylePr w:type="nwCell">
      <w:tblPr/>
      <w:tcPr>
        <w:tcBorders>
          <w:bottom w:val="single" w:sz="4" w:space="0" w:color="B9E370" w:themeColor="accent1" w:themeTint="99"/>
        </w:tcBorders>
      </w:tcPr>
    </w:tblStylePr>
    <w:tblStylePr w:type="seCell">
      <w:tblPr/>
      <w:tcPr>
        <w:tcBorders>
          <w:top w:val="single" w:sz="4" w:space="0" w:color="B9E370" w:themeColor="accent1" w:themeTint="99"/>
        </w:tcBorders>
      </w:tcPr>
    </w:tblStylePr>
    <w:tblStylePr w:type="swCell">
      <w:tblPr/>
      <w:tcPr>
        <w:tcBorders>
          <w:top w:val="single" w:sz="4" w:space="0" w:color="B9E370" w:themeColor="accent1" w:themeTint="99"/>
        </w:tcBorders>
      </w:tcPr>
    </w:tblStylePr>
  </w:style>
  <w:style w:type="table" w:styleId="GridTable7Colorful-Accent2">
    <w:name w:val="Grid Table 7 Colorful Accent 2"/>
    <w:basedOn w:val="TableNormal"/>
    <w:uiPriority w:val="52"/>
    <w:rsid w:val="000116B0"/>
    <w:pPr>
      <w:spacing w:line="240" w:lineRule="auto"/>
    </w:pPr>
    <w:rPr>
      <w:color w:val="034F29" w:themeColor="accent2" w:themeShade="BF"/>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insideV w:val="single" w:sz="4" w:space="0" w:color="17F689"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bottom w:val="single" w:sz="4" w:space="0" w:color="17F689" w:themeColor="accent2" w:themeTint="99"/>
        </w:tcBorders>
      </w:tcPr>
    </w:tblStylePr>
    <w:tblStylePr w:type="nwCell">
      <w:tblPr/>
      <w:tcPr>
        <w:tcBorders>
          <w:bottom w:val="single" w:sz="4" w:space="0" w:color="17F689" w:themeColor="accent2" w:themeTint="99"/>
        </w:tcBorders>
      </w:tcPr>
    </w:tblStylePr>
    <w:tblStylePr w:type="seCell">
      <w:tblPr/>
      <w:tcPr>
        <w:tcBorders>
          <w:top w:val="single" w:sz="4" w:space="0" w:color="17F689" w:themeColor="accent2" w:themeTint="99"/>
        </w:tcBorders>
      </w:tcPr>
    </w:tblStylePr>
    <w:tblStylePr w:type="swCell">
      <w:tblPr/>
      <w:tcPr>
        <w:tcBorders>
          <w:top w:val="single" w:sz="4" w:space="0" w:color="17F689" w:themeColor="accent2" w:themeTint="99"/>
        </w:tcBorders>
      </w:tcPr>
    </w:tblStylePr>
  </w:style>
  <w:style w:type="table" w:styleId="GridTable7Colorful-Accent3">
    <w:name w:val="Grid Table 7 Colorful Accent 3"/>
    <w:basedOn w:val="TableNormal"/>
    <w:uiPriority w:val="52"/>
    <w:rsid w:val="000116B0"/>
    <w:pPr>
      <w:spacing w:line="240" w:lineRule="auto"/>
    </w:pPr>
    <w:rPr>
      <w:color w:val="2291D1" w:themeColor="accent3" w:themeShade="BF"/>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insideV w:val="single" w:sz="4" w:space="0" w:color="A0D2E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bottom w:val="single" w:sz="4" w:space="0" w:color="A0D2EF" w:themeColor="accent3" w:themeTint="99"/>
        </w:tcBorders>
      </w:tcPr>
    </w:tblStylePr>
    <w:tblStylePr w:type="nwCell">
      <w:tblPr/>
      <w:tcPr>
        <w:tcBorders>
          <w:bottom w:val="single" w:sz="4" w:space="0" w:color="A0D2EF" w:themeColor="accent3" w:themeTint="99"/>
        </w:tcBorders>
      </w:tcPr>
    </w:tblStylePr>
    <w:tblStylePr w:type="seCell">
      <w:tblPr/>
      <w:tcPr>
        <w:tcBorders>
          <w:top w:val="single" w:sz="4" w:space="0" w:color="A0D2EF" w:themeColor="accent3" w:themeTint="99"/>
        </w:tcBorders>
      </w:tcPr>
    </w:tblStylePr>
    <w:tblStylePr w:type="swCell">
      <w:tblPr/>
      <w:tcPr>
        <w:tcBorders>
          <w:top w:val="single" w:sz="4" w:space="0" w:color="A0D2EF" w:themeColor="accent3" w:themeTint="99"/>
        </w:tcBorders>
      </w:tcPr>
    </w:tblStylePr>
  </w:style>
  <w:style w:type="table" w:styleId="GridTable7Colorful-Accent4">
    <w:name w:val="Grid Table 7 Colorful Accent 4"/>
    <w:basedOn w:val="TableNormal"/>
    <w:uiPriority w:val="52"/>
    <w:rsid w:val="000116B0"/>
    <w:pPr>
      <w:spacing w:line="240" w:lineRule="auto"/>
    </w:pPr>
    <w:rPr>
      <w:color w:val="00184E" w:themeColor="accent4" w:themeShade="BF"/>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insideV w:val="single" w:sz="4" w:space="0" w:color="0E57F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bottom w:val="single" w:sz="4" w:space="0" w:color="0E57FC" w:themeColor="accent4" w:themeTint="99"/>
        </w:tcBorders>
      </w:tcPr>
    </w:tblStylePr>
    <w:tblStylePr w:type="nwCell">
      <w:tblPr/>
      <w:tcPr>
        <w:tcBorders>
          <w:bottom w:val="single" w:sz="4" w:space="0" w:color="0E57FC" w:themeColor="accent4" w:themeTint="99"/>
        </w:tcBorders>
      </w:tcPr>
    </w:tblStylePr>
    <w:tblStylePr w:type="seCell">
      <w:tblPr/>
      <w:tcPr>
        <w:tcBorders>
          <w:top w:val="single" w:sz="4" w:space="0" w:color="0E57FC" w:themeColor="accent4" w:themeTint="99"/>
        </w:tcBorders>
      </w:tcPr>
    </w:tblStylePr>
    <w:tblStylePr w:type="swCell">
      <w:tblPr/>
      <w:tcPr>
        <w:tcBorders>
          <w:top w:val="single" w:sz="4" w:space="0" w:color="0E57FC" w:themeColor="accent4" w:themeTint="99"/>
        </w:tcBorders>
      </w:tcPr>
    </w:tblStylePr>
  </w:style>
  <w:style w:type="table" w:styleId="GridTable7Colorful-Accent5">
    <w:name w:val="Grid Table 7 Colorful Accent 5"/>
    <w:basedOn w:val="TableNormal"/>
    <w:uiPriority w:val="52"/>
    <w:rsid w:val="000116B0"/>
    <w:pPr>
      <w:spacing w:line="240" w:lineRule="auto"/>
    </w:pPr>
    <w:rPr>
      <w:color w:val="00707E" w:themeColor="accent5" w:themeShade="BF"/>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insideV w:val="single" w:sz="4" w:space="0" w:color="32E8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bottom w:val="single" w:sz="4" w:space="0" w:color="32E8FF" w:themeColor="accent5" w:themeTint="99"/>
        </w:tcBorders>
      </w:tcPr>
    </w:tblStylePr>
    <w:tblStylePr w:type="nwCell">
      <w:tblPr/>
      <w:tcPr>
        <w:tcBorders>
          <w:bottom w:val="single" w:sz="4" w:space="0" w:color="32E8FF" w:themeColor="accent5" w:themeTint="99"/>
        </w:tcBorders>
      </w:tcPr>
    </w:tblStylePr>
    <w:tblStylePr w:type="seCell">
      <w:tblPr/>
      <w:tcPr>
        <w:tcBorders>
          <w:top w:val="single" w:sz="4" w:space="0" w:color="32E8FF" w:themeColor="accent5" w:themeTint="99"/>
        </w:tcBorders>
      </w:tcPr>
    </w:tblStylePr>
    <w:tblStylePr w:type="swCell">
      <w:tblPr/>
      <w:tcPr>
        <w:tcBorders>
          <w:top w:val="single" w:sz="4" w:space="0" w:color="32E8FF" w:themeColor="accent5" w:themeTint="99"/>
        </w:tcBorders>
      </w:tcPr>
    </w:tblStylePr>
  </w:style>
  <w:style w:type="table" w:styleId="GridTable7Colorful-Accent6">
    <w:name w:val="Grid Table 7 Colorful Accent 6"/>
    <w:basedOn w:val="TableNormal"/>
    <w:uiPriority w:val="52"/>
    <w:rsid w:val="000116B0"/>
    <w:pPr>
      <w:spacing w:line="240" w:lineRule="auto"/>
    </w:pPr>
    <w:rPr>
      <w:color w:val="57595C" w:themeColor="accent6" w:themeShade="BF"/>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insideV w:val="single" w:sz="4" w:space="0" w:color="ABADB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bottom w:val="single" w:sz="4" w:space="0" w:color="ABADB0" w:themeColor="accent6" w:themeTint="99"/>
        </w:tcBorders>
      </w:tcPr>
    </w:tblStylePr>
    <w:tblStylePr w:type="nwCell">
      <w:tblPr/>
      <w:tcPr>
        <w:tcBorders>
          <w:bottom w:val="single" w:sz="4" w:space="0" w:color="ABADB0" w:themeColor="accent6" w:themeTint="99"/>
        </w:tcBorders>
      </w:tcPr>
    </w:tblStylePr>
    <w:tblStylePr w:type="seCell">
      <w:tblPr/>
      <w:tcPr>
        <w:tcBorders>
          <w:top w:val="single" w:sz="4" w:space="0" w:color="ABADB0" w:themeColor="accent6" w:themeTint="99"/>
        </w:tcBorders>
      </w:tcPr>
    </w:tblStylePr>
    <w:tblStylePr w:type="swCell">
      <w:tblPr/>
      <w:tcPr>
        <w:tcBorders>
          <w:top w:val="single" w:sz="4" w:space="0" w:color="ABADB0" w:themeColor="accent6" w:themeTint="99"/>
        </w:tcBorders>
      </w:tcPr>
    </w:tblStylePr>
  </w:style>
  <w:style w:type="table" w:styleId="ListTable1Light">
    <w:name w:val="List Table 1 Light"/>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B9E370" w:themeColor="accent1" w:themeTint="99"/>
        </w:tcBorders>
      </w:tcPr>
    </w:tblStylePr>
    <w:tblStylePr w:type="lastRow">
      <w:rPr>
        <w:b/>
        <w:bCs/>
      </w:rPr>
      <w:tblPr/>
      <w:tcPr>
        <w:tcBorders>
          <w:top w:val="sing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1Light-Accent2">
    <w:name w:val="List Table 1 Light Accent 2"/>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17F689" w:themeColor="accent2" w:themeTint="99"/>
        </w:tcBorders>
      </w:tcPr>
    </w:tblStylePr>
    <w:tblStylePr w:type="lastRow">
      <w:rPr>
        <w:b/>
        <w:bCs/>
      </w:rPr>
      <w:tblPr/>
      <w:tcPr>
        <w:tcBorders>
          <w:top w:val="sing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1Light-Accent3">
    <w:name w:val="List Table 1 Light Accent 3"/>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0D2EF" w:themeColor="accent3" w:themeTint="99"/>
        </w:tcBorders>
      </w:tcPr>
    </w:tblStylePr>
    <w:tblStylePr w:type="lastRow">
      <w:rPr>
        <w:b/>
        <w:bCs/>
      </w:rPr>
      <w:tblPr/>
      <w:tcPr>
        <w:tcBorders>
          <w:top w:val="sing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1Light-Accent4">
    <w:name w:val="List Table 1 Light Accent 4"/>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0E57FC" w:themeColor="accent4" w:themeTint="99"/>
        </w:tcBorders>
      </w:tcPr>
    </w:tblStylePr>
    <w:tblStylePr w:type="lastRow">
      <w:rPr>
        <w:b/>
        <w:bCs/>
      </w:rPr>
      <w:tblPr/>
      <w:tcPr>
        <w:tcBorders>
          <w:top w:val="sing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1Light-Accent5">
    <w:name w:val="List Table 1 Light Accent 5"/>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32E8FF" w:themeColor="accent5" w:themeTint="99"/>
        </w:tcBorders>
      </w:tcPr>
    </w:tblStylePr>
    <w:tblStylePr w:type="lastRow">
      <w:rPr>
        <w:b/>
        <w:bCs/>
      </w:rPr>
      <w:tblPr/>
      <w:tcPr>
        <w:tcBorders>
          <w:top w:val="sing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1Light-Accent6">
    <w:name w:val="List Table 1 Light Accent 6"/>
    <w:basedOn w:val="TableNormal"/>
    <w:uiPriority w:val="46"/>
    <w:rsid w:val="000116B0"/>
    <w:pPr>
      <w:spacing w:line="240" w:lineRule="auto"/>
    </w:pPr>
    <w:rPr>
      <w:lang w:val="en-AU"/>
    </w:rPr>
    <w:tblPr>
      <w:tblStyleRowBandSize w:val="1"/>
      <w:tblStyleColBandSize w:val="1"/>
    </w:tblPr>
    <w:tblStylePr w:type="firstRow">
      <w:rPr>
        <w:b/>
        <w:bCs/>
      </w:rPr>
      <w:tblPr/>
      <w:tcPr>
        <w:tcBorders>
          <w:bottom w:val="single" w:sz="4" w:space="0" w:color="ABADB0" w:themeColor="accent6" w:themeTint="99"/>
        </w:tcBorders>
      </w:tcPr>
    </w:tblStylePr>
    <w:tblStylePr w:type="lastRow">
      <w:rPr>
        <w:b/>
        <w:bCs/>
      </w:rPr>
      <w:tblPr/>
      <w:tcPr>
        <w:tcBorders>
          <w:top w:val="sing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2">
    <w:name w:val="List Table 2"/>
    <w:basedOn w:val="TableNormal"/>
    <w:uiPriority w:val="47"/>
    <w:rsid w:val="000116B0"/>
    <w:pPr>
      <w:spacing w:line="240" w:lineRule="auto"/>
    </w:pPr>
    <w:rPr>
      <w:lang w:val="en-AU"/>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116B0"/>
    <w:pPr>
      <w:spacing w:line="240" w:lineRule="auto"/>
    </w:pPr>
    <w:rPr>
      <w:lang w:val="en-AU"/>
    </w:rPr>
    <w:tblPr>
      <w:tblStyleRowBandSize w:val="1"/>
      <w:tblStyleColBandSize w:val="1"/>
      <w:tblBorders>
        <w:top w:val="single" w:sz="4" w:space="0" w:color="B9E370" w:themeColor="accent1" w:themeTint="99"/>
        <w:bottom w:val="single" w:sz="4" w:space="0" w:color="B9E370" w:themeColor="accent1" w:themeTint="99"/>
        <w:insideH w:val="single" w:sz="4" w:space="0" w:color="B9E37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2-Accent2">
    <w:name w:val="List Table 2 Accent 2"/>
    <w:basedOn w:val="TableNormal"/>
    <w:uiPriority w:val="47"/>
    <w:rsid w:val="000116B0"/>
    <w:pPr>
      <w:spacing w:line="240" w:lineRule="auto"/>
    </w:pPr>
    <w:rPr>
      <w:lang w:val="en-AU"/>
    </w:rPr>
    <w:tblPr>
      <w:tblStyleRowBandSize w:val="1"/>
      <w:tblStyleColBandSize w:val="1"/>
      <w:tblBorders>
        <w:top w:val="single" w:sz="4" w:space="0" w:color="17F689" w:themeColor="accent2" w:themeTint="99"/>
        <w:bottom w:val="single" w:sz="4" w:space="0" w:color="17F689" w:themeColor="accent2" w:themeTint="99"/>
        <w:insideH w:val="single" w:sz="4" w:space="0" w:color="17F689"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2-Accent3">
    <w:name w:val="List Table 2 Accent 3"/>
    <w:basedOn w:val="TableNormal"/>
    <w:uiPriority w:val="47"/>
    <w:rsid w:val="000116B0"/>
    <w:pPr>
      <w:spacing w:line="240" w:lineRule="auto"/>
    </w:pPr>
    <w:rPr>
      <w:lang w:val="en-AU"/>
    </w:rPr>
    <w:tblPr>
      <w:tblStyleRowBandSize w:val="1"/>
      <w:tblStyleColBandSize w:val="1"/>
      <w:tblBorders>
        <w:top w:val="single" w:sz="4" w:space="0" w:color="A0D2EF" w:themeColor="accent3" w:themeTint="99"/>
        <w:bottom w:val="single" w:sz="4" w:space="0" w:color="A0D2EF" w:themeColor="accent3" w:themeTint="99"/>
        <w:insideH w:val="single" w:sz="4" w:space="0" w:color="A0D2E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2-Accent4">
    <w:name w:val="List Table 2 Accent 4"/>
    <w:basedOn w:val="TableNormal"/>
    <w:uiPriority w:val="47"/>
    <w:rsid w:val="000116B0"/>
    <w:pPr>
      <w:spacing w:line="240" w:lineRule="auto"/>
    </w:pPr>
    <w:rPr>
      <w:lang w:val="en-AU"/>
    </w:rPr>
    <w:tblPr>
      <w:tblStyleRowBandSize w:val="1"/>
      <w:tblStyleColBandSize w:val="1"/>
      <w:tblBorders>
        <w:top w:val="single" w:sz="4" w:space="0" w:color="0E57FC" w:themeColor="accent4" w:themeTint="99"/>
        <w:bottom w:val="single" w:sz="4" w:space="0" w:color="0E57FC" w:themeColor="accent4" w:themeTint="99"/>
        <w:insideH w:val="single" w:sz="4" w:space="0" w:color="0E57F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2-Accent5">
    <w:name w:val="List Table 2 Accent 5"/>
    <w:basedOn w:val="TableNormal"/>
    <w:uiPriority w:val="47"/>
    <w:rsid w:val="000116B0"/>
    <w:pPr>
      <w:spacing w:line="240" w:lineRule="auto"/>
    </w:pPr>
    <w:rPr>
      <w:lang w:val="en-AU"/>
    </w:rPr>
    <w:tblPr>
      <w:tblStyleRowBandSize w:val="1"/>
      <w:tblStyleColBandSize w:val="1"/>
      <w:tblBorders>
        <w:top w:val="single" w:sz="4" w:space="0" w:color="32E8FF" w:themeColor="accent5" w:themeTint="99"/>
        <w:bottom w:val="single" w:sz="4" w:space="0" w:color="32E8FF" w:themeColor="accent5" w:themeTint="99"/>
        <w:insideH w:val="single" w:sz="4" w:space="0" w:color="32E8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2-Accent6">
    <w:name w:val="List Table 2 Accent 6"/>
    <w:basedOn w:val="TableNormal"/>
    <w:uiPriority w:val="47"/>
    <w:rsid w:val="000116B0"/>
    <w:pPr>
      <w:spacing w:line="240" w:lineRule="auto"/>
    </w:pPr>
    <w:rPr>
      <w:lang w:val="en-AU"/>
    </w:rPr>
    <w:tblPr>
      <w:tblStyleRowBandSize w:val="1"/>
      <w:tblStyleColBandSize w:val="1"/>
      <w:tblBorders>
        <w:top w:val="single" w:sz="4" w:space="0" w:color="ABADB0" w:themeColor="accent6" w:themeTint="99"/>
        <w:bottom w:val="single" w:sz="4" w:space="0" w:color="ABADB0" w:themeColor="accent6" w:themeTint="99"/>
        <w:insideH w:val="single" w:sz="4" w:space="0" w:color="ABADB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3">
    <w:name w:val="List Table 3"/>
    <w:basedOn w:val="TableNormal"/>
    <w:uiPriority w:val="48"/>
    <w:rsid w:val="000116B0"/>
    <w:pPr>
      <w:spacing w:line="240" w:lineRule="auto"/>
    </w:pPr>
    <w:rPr>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116B0"/>
    <w:pPr>
      <w:spacing w:line="240" w:lineRule="auto"/>
    </w:pPr>
    <w:rPr>
      <w:lang w:val="en-AU"/>
    </w:rPr>
    <w:tblPr>
      <w:tblStyleRowBandSize w:val="1"/>
      <w:tblStyleColBandSize w:val="1"/>
      <w:tblBorders>
        <w:top w:val="single" w:sz="4" w:space="0" w:color="86BC25" w:themeColor="accent1"/>
        <w:left w:val="single" w:sz="4" w:space="0" w:color="86BC25" w:themeColor="accent1"/>
        <w:bottom w:val="single" w:sz="4" w:space="0" w:color="86BC25" w:themeColor="accent1"/>
        <w:right w:val="single" w:sz="4" w:space="0" w:color="86BC25" w:themeColor="accent1"/>
      </w:tblBorders>
    </w:tblPr>
    <w:tblStylePr w:type="firstRow">
      <w:rPr>
        <w:b/>
        <w:bCs/>
        <w:color w:val="FFFFFF" w:themeColor="background1"/>
      </w:rPr>
      <w:tblPr/>
      <w:tcPr>
        <w:shd w:val="clear" w:color="auto" w:fill="86BC25" w:themeFill="accent1"/>
      </w:tcPr>
    </w:tblStylePr>
    <w:tblStylePr w:type="lastRow">
      <w:rPr>
        <w:b/>
        <w:bCs/>
      </w:rPr>
      <w:tblPr/>
      <w:tcPr>
        <w:tcBorders>
          <w:top w:val="double" w:sz="4" w:space="0" w:color="86BC2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C25" w:themeColor="accent1"/>
          <w:right w:val="single" w:sz="4" w:space="0" w:color="86BC25" w:themeColor="accent1"/>
        </w:tcBorders>
      </w:tcPr>
    </w:tblStylePr>
    <w:tblStylePr w:type="band1Horz">
      <w:tblPr/>
      <w:tcPr>
        <w:tcBorders>
          <w:top w:val="single" w:sz="4" w:space="0" w:color="86BC25" w:themeColor="accent1"/>
          <w:bottom w:val="single" w:sz="4" w:space="0" w:color="86BC2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themeColor="accent1"/>
          <w:left w:val="nil"/>
        </w:tcBorders>
      </w:tcPr>
    </w:tblStylePr>
    <w:tblStylePr w:type="swCell">
      <w:tblPr/>
      <w:tcPr>
        <w:tcBorders>
          <w:top w:val="double" w:sz="4" w:space="0" w:color="86BC25" w:themeColor="accent1"/>
          <w:right w:val="nil"/>
        </w:tcBorders>
      </w:tcPr>
    </w:tblStylePr>
  </w:style>
  <w:style w:type="table" w:styleId="ListTable3-Accent2">
    <w:name w:val="List Table 3 Accent 2"/>
    <w:basedOn w:val="TableNormal"/>
    <w:uiPriority w:val="48"/>
    <w:rsid w:val="000116B0"/>
    <w:pPr>
      <w:spacing w:line="240" w:lineRule="auto"/>
    </w:pPr>
    <w:rPr>
      <w:lang w:val="en-AU"/>
    </w:rPr>
    <w:tblPr>
      <w:tblStyleRowBandSize w:val="1"/>
      <w:tblStyleColBandSize w:val="1"/>
      <w:tblBorders>
        <w:top w:val="single" w:sz="4" w:space="0" w:color="046A38" w:themeColor="accent2"/>
        <w:left w:val="single" w:sz="4" w:space="0" w:color="046A38" w:themeColor="accent2"/>
        <w:bottom w:val="single" w:sz="4" w:space="0" w:color="046A38" w:themeColor="accent2"/>
        <w:right w:val="single" w:sz="4" w:space="0" w:color="046A38" w:themeColor="accent2"/>
      </w:tblBorders>
    </w:tblPr>
    <w:tblStylePr w:type="firstRow">
      <w:rPr>
        <w:b/>
        <w:bCs/>
        <w:color w:val="FFFFFF" w:themeColor="background1"/>
      </w:rPr>
      <w:tblPr/>
      <w:tcPr>
        <w:shd w:val="clear" w:color="auto" w:fill="046A38" w:themeFill="accent2"/>
      </w:tcPr>
    </w:tblStylePr>
    <w:tblStylePr w:type="lastRow">
      <w:rPr>
        <w:b/>
        <w:bCs/>
      </w:rPr>
      <w:tblPr/>
      <w:tcPr>
        <w:tcBorders>
          <w:top w:val="double" w:sz="4" w:space="0" w:color="046A3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46A38" w:themeColor="accent2"/>
          <w:right w:val="single" w:sz="4" w:space="0" w:color="046A38" w:themeColor="accent2"/>
        </w:tcBorders>
      </w:tcPr>
    </w:tblStylePr>
    <w:tblStylePr w:type="band1Horz">
      <w:tblPr/>
      <w:tcPr>
        <w:tcBorders>
          <w:top w:val="single" w:sz="4" w:space="0" w:color="046A38" w:themeColor="accent2"/>
          <w:bottom w:val="single" w:sz="4" w:space="0" w:color="046A3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46A38" w:themeColor="accent2"/>
          <w:left w:val="nil"/>
        </w:tcBorders>
      </w:tcPr>
    </w:tblStylePr>
    <w:tblStylePr w:type="swCell">
      <w:tblPr/>
      <w:tcPr>
        <w:tcBorders>
          <w:top w:val="double" w:sz="4" w:space="0" w:color="046A38" w:themeColor="accent2"/>
          <w:right w:val="nil"/>
        </w:tcBorders>
      </w:tcPr>
    </w:tblStylePr>
  </w:style>
  <w:style w:type="table" w:styleId="ListTable3-Accent3">
    <w:name w:val="List Table 3 Accent 3"/>
    <w:basedOn w:val="TableNormal"/>
    <w:uiPriority w:val="48"/>
    <w:rsid w:val="000116B0"/>
    <w:pPr>
      <w:spacing w:line="240" w:lineRule="auto"/>
    </w:pPr>
    <w:rPr>
      <w:lang w:val="en-AU"/>
    </w:rPr>
    <w:tblPr>
      <w:tblStyleRowBandSize w:val="1"/>
      <w:tblStyleColBandSize w:val="1"/>
      <w:tblBorders>
        <w:top w:val="single" w:sz="4" w:space="0" w:color="62B5E5" w:themeColor="accent3"/>
        <w:left w:val="single" w:sz="4" w:space="0" w:color="62B5E5" w:themeColor="accent3"/>
        <w:bottom w:val="single" w:sz="4" w:space="0" w:color="62B5E5" w:themeColor="accent3"/>
        <w:right w:val="single" w:sz="4" w:space="0" w:color="62B5E5" w:themeColor="accent3"/>
      </w:tblBorders>
    </w:tblPr>
    <w:tblStylePr w:type="firstRow">
      <w:rPr>
        <w:b/>
        <w:bCs/>
        <w:color w:val="FFFFFF" w:themeColor="background1"/>
      </w:rPr>
      <w:tblPr/>
      <w:tcPr>
        <w:shd w:val="clear" w:color="auto" w:fill="62B5E5" w:themeFill="accent3"/>
      </w:tcPr>
    </w:tblStylePr>
    <w:tblStylePr w:type="lastRow">
      <w:rPr>
        <w:b/>
        <w:bCs/>
      </w:rPr>
      <w:tblPr/>
      <w:tcPr>
        <w:tcBorders>
          <w:top w:val="double" w:sz="4" w:space="0" w:color="62B5E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B5E5" w:themeColor="accent3"/>
          <w:right w:val="single" w:sz="4" w:space="0" w:color="62B5E5" w:themeColor="accent3"/>
        </w:tcBorders>
      </w:tcPr>
    </w:tblStylePr>
    <w:tblStylePr w:type="band1Horz">
      <w:tblPr/>
      <w:tcPr>
        <w:tcBorders>
          <w:top w:val="single" w:sz="4" w:space="0" w:color="62B5E5" w:themeColor="accent3"/>
          <w:bottom w:val="single" w:sz="4" w:space="0" w:color="62B5E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B5E5" w:themeColor="accent3"/>
          <w:left w:val="nil"/>
        </w:tcBorders>
      </w:tcPr>
    </w:tblStylePr>
    <w:tblStylePr w:type="swCell">
      <w:tblPr/>
      <w:tcPr>
        <w:tcBorders>
          <w:top w:val="double" w:sz="4" w:space="0" w:color="62B5E5" w:themeColor="accent3"/>
          <w:right w:val="nil"/>
        </w:tcBorders>
      </w:tcPr>
    </w:tblStylePr>
  </w:style>
  <w:style w:type="table" w:styleId="ListTable3-Accent4">
    <w:name w:val="List Table 3 Accent 4"/>
    <w:basedOn w:val="TableNormal"/>
    <w:uiPriority w:val="48"/>
    <w:rsid w:val="000116B0"/>
    <w:pPr>
      <w:spacing w:line="240" w:lineRule="auto"/>
    </w:pPr>
    <w:rPr>
      <w:lang w:val="en-AU"/>
    </w:rPr>
    <w:tblPr>
      <w:tblStyleRowBandSize w:val="1"/>
      <w:tblStyleColBandSize w:val="1"/>
      <w:tblBorders>
        <w:top w:val="single" w:sz="4" w:space="0" w:color="012169" w:themeColor="accent4"/>
        <w:left w:val="single" w:sz="4" w:space="0" w:color="012169" w:themeColor="accent4"/>
        <w:bottom w:val="single" w:sz="4" w:space="0" w:color="012169" w:themeColor="accent4"/>
        <w:right w:val="single" w:sz="4" w:space="0" w:color="012169" w:themeColor="accent4"/>
      </w:tblBorders>
    </w:tblPr>
    <w:tblStylePr w:type="firstRow">
      <w:rPr>
        <w:b/>
        <w:bCs/>
        <w:color w:val="FFFFFF" w:themeColor="background1"/>
      </w:rPr>
      <w:tblPr/>
      <w:tcPr>
        <w:shd w:val="clear" w:color="auto" w:fill="012169" w:themeFill="accent4"/>
      </w:tcPr>
    </w:tblStylePr>
    <w:tblStylePr w:type="lastRow">
      <w:rPr>
        <w:b/>
        <w:bCs/>
      </w:rPr>
      <w:tblPr/>
      <w:tcPr>
        <w:tcBorders>
          <w:top w:val="double" w:sz="4" w:space="0" w:color="012169"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12169" w:themeColor="accent4"/>
          <w:right w:val="single" w:sz="4" w:space="0" w:color="012169" w:themeColor="accent4"/>
        </w:tcBorders>
      </w:tcPr>
    </w:tblStylePr>
    <w:tblStylePr w:type="band1Horz">
      <w:tblPr/>
      <w:tcPr>
        <w:tcBorders>
          <w:top w:val="single" w:sz="4" w:space="0" w:color="012169" w:themeColor="accent4"/>
          <w:bottom w:val="single" w:sz="4" w:space="0" w:color="012169"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themeColor="accent4"/>
          <w:left w:val="nil"/>
        </w:tcBorders>
      </w:tcPr>
    </w:tblStylePr>
    <w:tblStylePr w:type="swCell">
      <w:tblPr/>
      <w:tcPr>
        <w:tcBorders>
          <w:top w:val="double" w:sz="4" w:space="0" w:color="012169" w:themeColor="accent4"/>
          <w:right w:val="nil"/>
        </w:tcBorders>
      </w:tcPr>
    </w:tblStylePr>
  </w:style>
  <w:style w:type="table" w:styleId="ListTable3-Accent5">
    <w:name w:val="List Table 3 Accent 5"/>
    <w:basedOn w:val="TableNormal"/>
    <w:uiPriority w:val="48"/>
    <w:rsid w:val="000116B0"/>
    <w:pPr>
      <w:spacing w:line="240" w:lineRule="auto"/>
    </w:pPr>
    <w:rPr>
      <w:lang w:val="en-AU"/>
    </w:r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table" w:styleId="ListTable3-Accent6">
    <w:name w:val="List Table 3 Accent 6"/>
    <w:basedOn w:val="TableNormal"/>
    <w:uiPriority w:val="48"/>
    <w:rsid w:val="000116B0"/>
    <w:pPr>
      <w:spacing w:line="240" w:lineRule="auto"/>
    </w:pPr>
    <w:rPr>
      <w:lang w:val="en-AU"/>
    </w:rPr>
    <w:tblPr>
      <w:tblStyleRowBandSize w:val="1"/>
      <w:tblStyleColBandSize w:val="1"/>
      <w:tblBorders>
        <w:top w:val="single" w:sz="4" w:space="0" w:color="75787B" w:themeColor="accent6"/>
        <w:left w:val="single" w:sz="4" w:space="0" w:color="75787B" w:themeColor="accent6"/>
        <w:bottom w:val="single" w:sz="4" w:space="0" w:color="75787B" w:themeColor="accent6"/>
        <w:right w:val="single" w:sz="4" w:space="0" w:color="75787B" w:themeColor="accent6"/>
      </w:tblBorders>
    </w:tblPr>
    <w:tblStylePr w:type="firstRow">
      <w:rPr>
        <w:b/>
        <w:bCs/>
        <w:color w:val="FFFFFF" w:themeColor="background1"/>
      </w:rPr>
      <w:tblPr/>
      <w:tcPr>
        <w:shd w:val="clear" w:color="auto" w:fill="75787B" w:themeFill="accent6"/>
      </w:tcPr>
    </w:tblStylePr>
    <w:tblStylePr w:type="lastRow">
      <w:rPr>
        <w:b/>
        <w:bCs/>
      </w:rPr>
      <w:tblPr/>
      <w:tcPr>
        <w:tcBorders>
          <w:top w:val="double" w:sz="4" w:space="0" w:color="75787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5787B" w:themeColor="accent6"/>
          <w:right w:val="single" w:sz="4" w:space="0" w:color="75787B" w:themeColor="accent6"/>
        </w:tcBorders>
      </w:tcPr>
    </w:tblStylePr>
    <w:tblStylePr w:type="band1Horz">
      <w:tblPr/>
      <w:tcPr>
        <w:tcBorders>
          <w:top w:val="single" w:sz="4" w:space="0" w:color="75787B" w:themeColor="accent6"/>
          <w:bottom w:val="single" w:sz="4" w:space="0" w:color="75787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5787B" w:themeColor="accent6"/>
          <w:left w:val="nil"/>
        </w:tcBorders>
      </w:tcPr>
    </w:tblStylePr>
    <w:tblStylePr w:type="swCell">
      <w:tblPr/>
      <w:tcPr>
        <w:tcBorders>
          <w:top w:val="double" w:sz="4" w:space="0" w:color="75787B" w:themeColor="accent6"/>
          <w:right w:val="nil"/>
        </w:tcBorders>
      </w:tcPr>
    </w:tblStylePr>
  </w:style>
  <w:style w:type="table" w:styleId="ListTable4">
    <w:name w:val="List Table 4"/>
    <w:basedOn w:val="TableNormal"/>
    <w:uiPriority w:val="49"/>
    <w:rsid w:val="000116B0"/>
    <w:pPr>
      <w:spacing w:line="240" w:lineRule="auto"/>
    </w:pPr>
    <w:rPr>
      <w:lang w:val="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116B0"/>
    <w:pPr>
      <w:spacing w:line="240" w:lineRule="auto"/>
    </w:pPr>
    <w:rPr>
      <w:lang w:val="en-AU"/>
    </w:rPr>
    <w:tblPr>
      <w:tblStyleRowBandSize w:val="1"/>
      <w:tblStyleColBandSize w:val="1"/>
      <w:tblBorders>
        <w:top w:val="single" w:sz="4" w:space="0" w:color="B9E370" w:themeColor="accent1" w:themeTint="99"/>
        <w:left w:val="single" w:sz="4" w:space="0" w:color="B9E370" w:themeColor="accent1" w:themeTint="99"/>
        <w:bottom w:val="single" w:sz="4" w:space="0" w:color="B9E370" w:themeColor="accent1" w:themeTint="99"/>
        <w:right w:val="single" w:sz="4" w:space="0" w:color="B9E370" w:themeColor="accent1" w:themeTint="99"/>
        <w:insideH w:val="single" w:sz="4" w:space="0" w:color="B9E370" w:themeColor="accent1" w:themeTint="99"/>
      </w:tblBorders>
    </w:tblPr>
    <w:tblStylePr w:type="firstRow">
      <w:rPr>
        <w:b/>
        <w:bCs/>
        <w:color w:val="FFFFFF" w:themeColor="background1"/>
      </w:rPr>
      <w:tblPr/>
      <w:tcPr>
        <w:tcBorders>
          <w:top w:val="single" w:sz="4" w:space="0" w:color="86BC25" w:themeColor="accent1"/>
          <w:left w:val="single" w:sz="4" w:space="0" w:color="86BC25" w:themeColor="accent1"/>
          <w:bottom w:val="single" w:sz="4" w:space="0" w:color="86BC25" w:themeColor="accent1"/>
          <w:right w:val="single" w:sz="4" w:space="0" w:color="86BC25" w:themeColor="accent1"/>
          <w:insideH w:val="nil"/>
        </w:tcBorders>
        <w:shd w:val="clear" w:color="auto" w:fill="86BC25" w:themeFill="accent1"/>
      </w:tcPr>
    </w:tblStylePr>
    <w:tblStylePr w:type="lastRow">
      <w:rPr>
        <w:b/>
        <w:bCs/>
      </w:rPr>
      <w:tblPr/>
      <w:tcPr>
        <w:tcBorders>
          <w:top w:val="double" w:sz="4" w:space="0" w:color="B9E370" w:themeColor="accent1" w:themeTint="99"/>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4-Accent2">
    <w:name w:val="List Table 4 Accent 2"/>
    <w:basedOn w:val="TableNormal"/>
    <w:uiPriority w:val="49"/>
    <w:rsid w:val="000116B0"/>
    <w:pPr>
      <w:spacing w:line="240" w:lineRule="auto"/>
    </w:pPr>
    <w:rPr>
      <w:lang w:val="en-AU"/>
    </w:rPr>
    <w:tblPr>
      <w:tblStyleRowBandSize w:val="1"/>
      <w:tblStyleColBandSize w:val="1"/>
      <w:tblBorders>
        <w:top w:val="single" w:sz="4" w:space="0" w:color="17F689" w:themeColor="accent2" w:themeTint="99"/>
        <w:left w:val="single" w:sz="4" w:space="0" w:color="17F689" w:themeColor="accent2" w:themeTint="99"/>
        <w:bottom w:val="single" w:sz="4" w:space="0" w:color="17F689" w:themeColor="accent2" w:themeTint="99"/>
        <w:right w:val="single" w:sz="4" w:space="0" w:color="17F689" w:themeColor="accent2" w:themeTint="99"/>
        <w:insideH w:val="single" w:sz="4" w:space="0" w:color="17F689" w:themeColor="accent2" w:themeTint="99"/>
      </w:tblBorders>
    </w:tblPr>
    <w:tblStylePr w:type="firstRow">
      <w:rPr>
        <w:b/>
        <w:bCs/>
        <w:color w:val="FFFFFF" w:themeColor="background1"/>
      </w:rPr>
      <w:tblPr/>
      <w:tcPr>
        <w:tcBorders>
          <w:top w:val="single" w:sz="4" w:space="0" w:color="046A38" w:themeColor="accent2"/>
          <w:left w:val="single" w:sz="4" w:space="0" w:color="046A38" w:themeColor="accent2"/>
          <w:bottom w:val="single" w:sz="4" w:space="0" w:color="046A38" w:themeColor="accent2"/>
          <w:right w:val="single" w:sz="4" w:space="0" w:color="046A38" w:themeColor="accent2"/>
          <w:insideH w:val="nil"/>
        </w:tcBorders>
        <w:shd w:val="clear" w:color="auto" w:fill="046A38" w:themeFill="accent2"/>
      </w:tcPr>
    </w:tblStylePr>
    <w:tblStylePr w:type="lastRow">
      <w:rPr>
        <w:b/>
        <w:bCs/>
      </w:rPr>
      <w:tblPr/>
      <w:tcPr>
        <w:tcBorders>
          <w:top w:val="double" w:sz="4" w:space="0" w:color="17F689" w:themeColor="accent2" w:themeTint="99"/>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4-Accent3">
    <w:name w:val="List Table 4 Accent 3"/>
    <w:basedOn w:val="TableNormal"/>
    <w:uiPriority w:val="49"/>
    <w:rsid w:val="000116B0"/>
    <w:pPr>
      <w:spacing w:line="240" w:lineRule="auto"/>
    </w:pPr>
    <w:rPr>
      <w:lang w:val="en-AU"/>
    </w:rPr>
    <w:tblPr>
      <w:tblStyleRowBandSize w:val="1"/>
      <w:tblStyleColBandSize w:val="1"/>
      <w:tblBorders>
        <w:top w:val="single" w:sz="4" w:space="0" w:color="A0D2EF" w:themeColor="accent3" w:themeTint="99"/>
        <w:left w:val="single" w:sz="4" w:space="0" w:color="A0D2EF" w:themeColor="accent3" w:themeTint="99"/>
        <w:bottom w:val="single" w:sz="4" w:space="0" w:color="A0D2EF" w:themeColor="accent3" w:themeTint="99"/>
        <w:right w:val="single" w:sz="4" w:space="0" w:color="A0D2EF" w:themeColor="accent3" w:themeTint="99"/>
        <w:insideH w:val="single" w:sz="4" w:space="0" w:color="A0D2EF" w:themeColor="accent3" w:themeTint="99"/>
      </w:tblBorders>
    </w:tblPr>
    <w:tblStylePr w:type="firstRow">
      <w:rPr>
        <w:b/>
        <w:bCs/>
        <w:color w:val="FFFFFF" w:themeColor="background1"/>
      </w:rPr>
      <w:tblPr/>
      <w:tcPr>
        <w:tcBorders>
          <w:top w:val="single" w:sz="4" w:space="0" w:color="62B5E5" w:themeColor="accent3"/>
          <w:left w:val="single" w:sz="4" w:space="0" w:color="62B5E5" w:themeColor="accent3"/>
          <w:bottom w:val="single" w:sz="4" w:space="0" w:color="62B5E5" w:themeColor="accent3"/>
          <w:right w:val="single" w:sz="4" w:space="0" w:color="62B5E5" w:themeColor="accent3"/>
          <w:insideH w:val="nil"/>
        </w:tcBorders>
        <w:shd w:val="clear" w:color="auto" w:fill="62B5E5" w:themeFill="accent3"/>
      </w:tcPr>
    </w:tblStylePr>
    <w:tblStylePr w:type="lastRow">
      <w:rPr>
        <w:b/>
        <w:bCs/>
      </w:rPr>
      <w:tblPr/>
      <w:tcPr>
        <w:tcBorders>
          <w:top w:val="double" w:sz="4" w:space="0" w:color="A0D2EF" w:themeColor="accent3" w:themeTint="99"/>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4-Accent4">
    <w:name w:val="List Table 4 Accent 4"/>
    <w:basedOn w:val="TableNormal"/>
    <w:uiPriority w:val="49"/>
    <w:rsid w:val="000116B0"/>
    <w:pPr>
      <w:spacing w:line="240" w:lineRule="auto"/>
    </w:pPr>
    <w:rPr>
      <w:lang w:val="en-AU"/>
    </w:rPr>
    <w:tblPr>
      <w:tblStyleRowBandSize w:val="1"/>
      <w:tblStyleColBandSize w:val="1"/>
      <w:tblBorders>
        <w:top w:val="single" w:sz="4" w:space="0" w:color="0E57FC" w:themeColor="accent4" w:themeTint="99"/>
        <w:left w:val="single" w:sz="4" w:space="0" w:color="0E57FC" w:themeColor="accent4" w:themeTint="99"/>
        <w:bottom w:val="single" w:sz="4" w:space="0" w:color="0E57FC" w:themeColor="accent4" w:themeTint="99"/>
        <w:right w:val="single" w:sz="4" w:space="0" w:color="0E57FC" w:themeColor="accent4" w:themeTint="99"/>
        <w:insideH w:val="single" w:sz="4" w:space="0" w:color="0E57FC" w:themeColor="accent4" w:themeTint="99"/>
      </w:tblBorders>
    </w:tblPr>
    <w:tblStylePr w:type="firstRow">
      <w:rPr>
        <w:b/>
        <w:bCs/>
        <w:color w:val="FFFFFF" w:themeColor="background1"/>
      </w:rPr>
      <w:tblPr/>
      <w:tcPr>
        <w:tcBorders>
          <w:top w:val="single" w:sz="4" w:space="0" w:color="012169" w:themeColor="accent4"/>
          <w:left w:val="single" w:sz="4" w:space="0" w:color="012169" w:themeColor="accent4"/>
          <w:bottom w:val="single" w:sz="4" w:space="0" w:color="012169" w:themeColor="accent4"/>
          <w:right w:val="single" w:sz="4" w:space="0" w:color="012169" w:themeColor="accent4"/>
          <w:insideH w:val="nil"/>
        </w:tcBorders>
        <w:shd w:val="clear" w:color="auto" w:fill="012169" w:themeFill="accent4"/>
      </w:tcPr>
    </w:tblStylePr>
    <w:tblStylePr w:type="lastRow">
      <w:rPr>
        <w:b/>
        <w:bCs/>
      </w:rPr>
      <w:tblPr/>
      <w:tcPr>
        <w:tcBorders>
          <w:top w:val="double" w:sz="4" w:space="0" w:color="0E57FC" w:themeColor="accent4" w:themeTint="99"/>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4-Accent5">
    <w:name w:val="List Table 4 Accent 5"/>
    <w:basedOn w:val="TableNormal"/>
    <w:uiPriority w:val="49"/>
    <w:rsid w:val="000116B0"/>
    <w:pPr>
      <w:spacing w:line="240" w:lineRule="auto"/>
    </w:pPr>
    <w:rPr>
      <w:lang w:val="en-AU"/>
    </w:rPr>
    <w:tblPr>
      <w:tblStyleRowBandSize w:val="1"/>
      <w:tblStyleColBandSize w:val="1"/>
      <w:tblBorders>
        <w:top w:val="single" w:sz="4" w:space="0" w:color="32E8FF" w:themeColor="accent5" w:themeTint="99"/>
        <w:left w:val="single" w:sz="4" w:space="0" w:color="32E8FF" w:themeColor="accent5" w:themeTint="99"/>
        <w:bottom w:val="single" w:sz="4" w:space="0" w:color="32E8FF" w:themeColor="accent5" w:themeTint="99"/>
        <w:right w:val="single" w:sz="4" w:space="0" w:color="32E8FF" w:themeColor="accent5" w:themeTint="99"/>
        <w:insideH w:val="single" w:sz="4" w:space="0" w:color="32E8FF" w:themeColor="accent5" w:themeTint="99"/>
      </w:tblBorders>
    </w:tblPr>
    <w:tblStylePr w:type="firstRow">
      <w:rPr>
        <w:b/>
        <w:bCs/>
        <w:color w:val="FFFFFF" w:themeColor="background1"/>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insideH w:val="nil"/>
        </w:tcBorders>
        <w:shd w:val="clear" w:color="auto" w:fill="0097A9" w:themeFill="accent5"/>
      </w:tcPr>
    </w:tblStylePr>
    <w:tblStylePr w:type="lastRow">
      <w:rPr>
        <w:b/>
        <w:bCs/>
      </w:rPr>
      <w:tblPr/>
      <w:tcPr>
        <w:tcBorders>
          <w:top w:val="double" w:sz="4" w:space="0" w:color="32E8FF" w:themeColor="accent5" w:themeTint="99"/>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4-Accent6">
    <w:name w:val="List Table 4 Accent 6"/>
    <w:basedOn w:val="TableNormal"/>
    <w:uiPriority w:val="49"/>
    <w:rsid w:val="000116B0"/>
    <w:pPr>
      <w:spacing w:line="240" w:lineRule="auto"/>
    </w:pPr>
    <w:rPr>
      <w:lang w:val="en-AU"/>
    </w:rPr>
    <w:tblPr>
      <w:tblStyleRowBandSize w:val="1"/>
      <w:tblStyleColBandSize w:val="1"/>
      <w:tblBorders>
        <w:top w:val="single" w:sz="4" w:space="0" w:color="ABADB0" w:themeColor="accent6" w:themeTint="99"/>
        <w:left w:val="single" w:sz="4" w:space="0" w:color="ABADB0" w:themeColor="accent6" w:themeTint="99"/>
        <w:bottom w:val="single" w:sz="4" w:space="0" w:color="ABADB0" w:themeColor="accent6" w:themeTint="99"/>
        <w:right w:val="single" w:sz="4" w:space="0" w:color="ABADB0" w:themeColor="accent6" w:themeTint="99"/>
        <w:insideH w:val="single" w:sz="4" w:space="0" w:color="ABADB0" w:themeColor="accent6" w:themeTint="99"/>
      </w:tblBorders>
    </w:tblPr>
    <w:tblStylePr w:type="firstRow">
      <w:rPr>
        <w:b/>
        <w:bCs/>
        <w:color w:val="FFFFFF" w:themeColor="background1"/>
      </w:rPr>
      <w:tblPr/>
      <w:tcPr>
        <w:tcBorders>
          <w:top w:val="single" w:sz="4" w:space="0" w:color="75787B" w:themeColor="accent6"/>
          <w:left w:val="single" w:sz="4" w:space="0" w:color="75787B" w:themeColor="accent6"/>
          <w:bottom w:val="single" w:sz="4" w:space="0" w:color="75787B" w:themeColor="accent6"/>
          <w:right w:val="single" w:sz="4" w:space="0" w:color="75787B" w:themeColor="accent6"/>
          <w:insideH w:val="nil"/>
        </w:tcBorders>
        <w:shd w:val="clear" w:color="auto" w:fill="75787B" w:themeFill="accent6"/>
      </w:tcPr>
    </w:tblStylePr>
    <w:tblStylePr w:type="lastRow">
      <w:rPr>
        <w:b/>
        <w:bCs/>
      </w:rPr>
      <w:tblPr/>
      <w:tcPr>
        <w:tcBorders>
          <w:top w:val="double" w:sz="4" w:space="0" w:color="ABADB0" w:themeColor="accent6" w:themeTint="99"/>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5Dark">
    <w:name w:val="List Table 5 Dark"/>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86BC25" w:themeColor="accent1"/>
        <w:left w:val="single" w:sz="24" w:space="0" w:color="86BC25" w:themeColor="accent1"/>
        <w:bottom w:val="single" w:sz="24" w:space="0" w:color="86BC25" w:themeColor="accent1"/>
        <w:right w:val="single" w:sz="24" w:space="0" w:color="86BC25" w:themeColor="accent1"/>
      </w:tblBorders>
    </w:tblPr>
    <w:tcPr>
      <w:shd w:val="clear" w:color="auto" w:fill="86BC2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46A38" w:themeColor="accent2"/>
        <w:left w:val="single" w:sz="24" w:space="0" w:color="046A38" w:themeColor="accent2"/>
        <w:bottom w:val="single" w:sz="24" w:space="0" w:color="046A38" w:themeColor="accent2"/>
        <w:right w:val="single" w:sz="24" w:space="0" w:color="046A38" w:themeColor="accent2"/>
      </w:tblBorders>
    </w:tblPr>
    <w:tcPr>
      <w:shd w:val="clear" w:color="auto" w:fill="046A38"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62B5E5" w:themeColor="accent3"/>
        <w:left w:val="single" w:sz="24" w:space="0" w:color="62B5E5" w:themeColor="accent3"/>
        <w:bottom w:val="single" w:sz="24" w:space="0" w:color="62B5E5" w:themeColor="accent3"/>
        <w:right w:val="single" w:sz="24" w:space="0" w:color="62B5E5" w:themeColor="accent3"/>
      </w:tblBorders>
    </w:tblPr>
    <w:tcPr>
      <w:shd w:val="clear" w:color="auto" w:fill="62B5E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12169" w:themeColor="accent4"/>
        <w:left w:val="single" w:sz="24" w:space="0" w:color="012169" w:themeColor="accent4"/>
        <w:bottom w:val="single" w:sz="24" w:space="0" w:color="012169" w:themeColor="accent4"/>
        <w:right w:val="single" w:sz="24" w:space="0" w:color="012169" w:themeColor="accent4"/>
      </w:tblBorders>
    </w:tblPr>
    <w:tcPr>
      <w:shd w:val="clear" w:color="auto" w:fill="012169"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0097A9" w:themeColor="accent5"/>
        <w:left w:val="single" w:sz="24" w:space="0" w:color="0097A9" w:themeColor="accent5"/>
        <w:bottom w:val="single" w:sz="24" w:space="0" w:color="0097A9" w:themeColor="accent5"/>
        <w:right w:val="single" w:sz="24" w:space="0" w:color="0097A9" w:themeColor="accent5"/>
      </w:tblBorders>
    </w:tblPr>
    <w:tcPr>
      <w:shd w:val="clear" w:color="auto" w:fill="0097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116B0"/>
    <w:pPr>
      <w:spacing w:line="240" w:lineRule="auto"/>
    </w:pPr>
    <w:rPr>
      <w:color w:val="FFFFFF" w:themeColor="background1"/>
      <w:lang w:val="en-AU"/>
    </w:rPr>
    <w:tblPr>
      <w:tblStyleRowBandSize w:val="1"/>
      <w:tblStyleColBandSize w:val="1"/>
      <w:tblBorders>
        <w:top w:val="single" w:sz="24" w:space="0" w:color="75787B" w:themeColor="accent6"/>
        <w:left w:val="single" w:sz="24" w:space="0" w:color="75787B" w:themeColor="accent6"/>
        <w:bottom w:val="single" w:sz="24" w:space="0" w:color="75787B" w:themeColor="accent6"/>
        <w:right w:val="single" w:sz="24" w:space="0" w:color="75787B" w:themeColor="accent6"/>
      </w:tblBorders>
    </w:tblPr>
    <w:tcPr>
      <w:shd w:val="clear" w:color="auto" w:fill="75787B"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116B0"/>
    <w:pPr>
      <w:spacing w:line="240" w:lineRule="auto"/>
    </w:pPr>
    <w:rPr>
      <w:color w:val="000000" w:themeColor="text1"/>
      <w:lang w:val="en-AU"/>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116B0"/>
    <w:pPr>
      <w:spacing w:line="240" w:lineRule="auto"/>
    </w:pPr>
    <w:rPr>
      <w:color w:val="638C1B" w:themeColor="accent1" w:themeShade="BF"/>
      <w:lang w:val="en-AU"/>
    </w:rPr>
    <w:tblPr>
      <w:tblStyleRowBandSize w:val="1"/>
      <w:tblStyleColBandSize w:val="1"/>
      <w:tblBorders>
        <w:top w:val="single" w:sz="4" w:space="0" w:color="86BC25" w:themeColor="accent1"/>
        <w:bottom w:val="single" w:sz="4" w:space="0" w:color="86BC25" w:themeColor="accent1"/>
      </w:tblBorders>
    </w:tblPr>
    <w:tblStylePr w:type="firstRow">
      <w:rPr>
        <w:b/>
        <w:bCs/>
      </w:rPr>
      <w:tblPr/>
      <w:tcPr>
        <w:tcBorders>
          <w:bottom w:val="single" w:sz="4" w:space="0" w:color="86BC25" w:themeColor="accent1"/>
        </w:tcBorders>
      </w:tcPr>
    </w:tblStylePr>
    <w:tblStylePr w:type="lastRow">
      <w:rPr>
        <w:b/>
        <w:bCs/>
      </w:rPr>
      <w:tblPr/>
      <w:tcPr>
        <w:tcBorders>
          <w:top w:val="double" w:sz="4" w:space="0" w:color="86BC25" w:themeColor="accent1"/>
        </w:tcBorders>
      </w:tcPr>
    </w:tblStylePr>
    <w:tblStylePr w:type="firstCol">
      <w:rPr>
        <w:b/>
        <w:bCs/>
      </w:rPr>
    </w:tblStylePr>
    <w:tblStylePr w:type="lastCol">
      <w:rPr>
        <w:b/>
        <w:bCs/>
      </w:rPr>
    </w:tblStylePr>
    <w:tblStylePr w:type="band1Vert">
      <w:tblPr/>
      <w:tcPr>
        <w:shd w:val="clear" w:color="auto" w:fill="E7F5CF" w:themeFill="accent1" w:themeFillTint="33"/>
      </w:tcPr>
    </w:tblStylePr>
    <w:tblStylePr w:type="band1Horz">
      <w:tblPr/>
      <w:tcPr>
        <w:shd w:val="clear" w:color="auto" w:fill="E7F5CF" w:themeFill="accent1" w:themeFillTint="33"/>
      </w:tcPr>
    </w:tblStylePr>
  </w:style>
  <w:style w:type="table" w:styleId="ListTable6Colorful-Accent2">
    <w:name w:val="List Table 6 Colorful Accent 2"/>
    <w:basedOn w:val="TableNormal"/>
    <w:uiPriority w:val="51"/>
    <w:rsid w:val="000116B0"/>
    <w:pPr>
      <w:spacing w:line="240" w:lineRule="auto"/>
    </w:pPr>
    <w:rPr>
      <w:color w:val="034F29" w:themeColor="accent2" w:themeShade="BF"/>
      <w:lang w:val="en-AU"/>
    </w:rPr>
    <w:tblPr>
      <w:tblStyleRowBandSize w:val="1"/>
      <w:tblStyleColBandSize w:val="1"/>
      <w:tblBorders>
        <w:top w:val="single" w:sz="4" w:space="0" w:color="046A38" w:themeColor="accent2"/>
        <w:bottom w:val="single" w:sz="4" w:space="0" w:color="046A38" w:themeColor="accent2"/>
      </w:tblBorders>
    </w:tblPr>
    <w:tblStylePr w:type="firstRow">
      <w:rPr>
        <w:b/>
        <w:bCs/>
      </w:rPr>
      <w:tblPr/>
      <w:tcPr>
        <w:tcBorders>
          <w:bottom w:val="single" w:sz="4" w:space="0" w:color="046A38" w:themeColor="accent2"/>
        </w:tcBorders>
      </w:tcPr>
    </w:tblStylePr>
    <w:tblStylePr w:type="lastRow">
      <w:rPr>
        <w:b/>
        <w:bCs/>
      </w:rPr>
      <w:tblPr/>
      <w:tcPr>
        <w:tcBorders>
          <w:top w:val="double" w:sz="4" w:space="0" w:color="046A38" w:themeColor="accent2"/>
        </w:tcBorders>
      </w:tcPr>
    </w:tblStylePr>
    <w:tblStylePr w:type="firstCol">
      <w:rPr>
        <w:b/>
        <w:bCs/>
      </w:rPr>
    </w:tblStylePr>
    <w:tblStylePr w:type="lastCol">
      <w:rPr>
        <w:b/>
        <w:bCs/>
      </w:rPr>
    </w:tblStylePr>
    <w:tblStylePr w:type="band1Vert">
      <w:tblPr/>
      <w:tcPr>
        <w:shd w:val="clear" w:color="auto" w:fill="B1FCD7" w:themeFill="accent2" w:themeFillTint="33"/>
      </w:tcPr>
    </w:tblStylePr>
    <w:tblStylePr w:type="band1Horz">
      <w:tblPr/>
      <w:tcPr>
        <w:shd w:val="clear" w:color="auto" w:fill="B1FCD7" w:themeFill="accent2" w:themeFillTint="33"/>
      </w:tcPr>
    </w:tblStylePr>
  </w:style>
  <w:style w:type="table" w:styleId="ListTable6Colorful-Accent3">
    <w:name w:val="List Table 6 Colorful Accent 3"/>
    <w:basedOn w:val="TableNormal"/>
    <w:uiPriority w:val="51"/>
    <w:rsid w:val="000116B0"/>
    <w:pPr>
      <w:spacing w:line="240" w:lineRule="auto"/>
    </w:pPr>
    <w:rPr>
      <w:color w:val="2291D1" w:themeColor="accent3" w:themeShade="BF"/>
      <w:lang w:val="en-AU"/>
    </w:rPr>
    <w:tblPr>
      <w:tblStyleRowBandSize w:val="1"/>
      <w:tblStyleColBandSize w:val="1"/>
      <w:tblBorders>
        <w:top w:val="single" w:sz="4" w:space="0" w:color="62B5E5" w:themeColor="accent3"/>
        <w:bottom w:val="single" w:sz="4" w:space="0" w:color="62B5E5" w:themeColor="accent3"/>
      </w:tblBorders>
    </w:tblPr>
    <w:tblStylePr w:type="firstRow">
      <w:rPr>
        <w:b/>
        <w:bCs/>
      </w:rPr>
      <w:tblPr/>
      <w:tcPr>
        <w:tcBorders>
          <w:bottom w:val="single" w:sz="4" w:space="0" w:color="62B5E5" w:themeColor="accent3"/>
        </w:tcBorders>
      </w:tcPr>
    </w:tblStylePr>
    <w:tblStylePr w:type="lastRow">
      <w:rPr>
        <w:b/>
        <w:bCs/>
      </w:rPr>
      <w:tblPr/>
      <w:tcPr>
        <w:tcBorders>
          <w:top w:val="double" w:sz="4" w:space="0" w:color="62B5E5" w:themeColor="accent3"/>
        </w:tcBorders>
      </w:tcPr>
    </w:tblStylePr>
    <w:tblStylePr w:type="firstCol">
      <w:rPr>
        <w:b/>
        <w:bCs/>
      </w:rPr>
    </w:tblStylePr>
    <w:tblStylePr w:type="lastCol">
      <w:rPr>
        <w:b/>
        <w:bCs/>
      </w:rPr>
    </w:tblStylePr>
    <w:tblStylePr w:type="band1Vert">
      <w:tblPr/>
      <w:tcPr>
        <w:shd w:val="clear" w:color="auto" w:fill="DFF0F9" w:themeFill="accent3" w:themeFillTint="33"/>
      </w:tcPr>
    </w:tblStylePr>
    <w:tblStylePr w:type="band1Horz">
      <w:tblPr/>
      <w:tcPr>
        <w:shd w:val="clear" w:color="auto" w:fill="DFF0F9" w:themeFill="accent3" w:themeFillTint="33"/>
      </w:tcPr>
    </w:tblStylePr>
  </w:style>
  <w:style w:type="table" w:styleId="ListTable6Colorful-Accent4">
    <w:name w:val="List Table 6 Colorful Accent 4"/>
    <w:basedOn w:val="TableNormal"/>
    <w:uiPriority w:val="51"/>
    <w:rsid w:val="000116B0"/>
    <w:pPr>
      <w:spacing w:line="240" w:lineRule="auto"/>
    </w:pPr>
    <w:rPr>
      <w:color w:val="00184E" w:themeColor="accent4" w:themeShade="BF"/>
      <w:lang w:val="en-AU"/>
    </w:rPr>
    <w:tblPr>
      <w:tblStyleRowBandSize w:val="1"/>
      <w:tblStyleColBandSize w:val="1"/>
      <w:tblBorders>
        <w:top w:val="single" w:sz="4" w:space="0" w:color="012169" w:themeColor="accent4"/>
        <w:bottom w:val="single" w:sz="4" w:space="0" w:color="012169" w:themeColor="accent4"/>
      </w:tblBorders>
    </w:tblPr>
    <w:tblStylePr w:type="firstRow">
      <w:rPr>
        <w:b/>
        <w:bCs/>
      </w:rPr>
      <w:tblPr/>
      <w:tcPr>
        <w:tcBorders>
          <w:bottom w:val="single" w:sz="4" w:space="0" w:color="012169" w:themeColor="accent4"/>
        </w:tcBorders>
      </w:tcPr>
    </w:tblStylePr>
    <w:tblStylePr w:type="lastRow">
      <w:rPr>
        <w:b/>
        <w:bCs/>
      </w:rPr>
      <w:tblPr/>
      <w:tcPr>
        <w:tcBorders>
          <w:top w:val="double" w:sz="4" w:space="0" w:color="012169" w:themeColor="accent4"/>
        </w:tcBorders>
      </w:tcPr>
    </w:tblStylePr>
    <w:tblStylePr w:type="firstCol">
      <w:rPr>
        <w:b/>
        <w:bCs/>
      </w:rPr>
    </w:tblStylePr>
    <w:tblStylePr w:type="lastCol">
      <w:rPr>
        <w:b/>
        <w:bCs/>
      </w:rPr>
    </w:tblStylePr>
    <w:tblStylePr w:type="band1Vert">
      <w:tblPr/>
      <w:tcPr>
        <w:shd w:val="clear" w:color="auto" w:fill="AEC7FE" w:themeFill="accent4" w:themeFillTint="33"/>
      </w:tcPr>
    </w:tblStylePr>
    <w:tblStylePr w:type="band1Horz">
      <w:tblPr/>
      <w:tcPr>
        <w:shd w:val="clear" w:color="auto" w:fill="AEC7FE" w:themeFill="accent4" w:themeFillTint="33"/>
      </w:tcPr>
    </w:tblStylePr>
  </w:style>
  <w:style w:type="table" w:styleId="ListTable6Colorful-Accent5">
    <w:name w:val="List Table 6 Colorful Accent 5"/>
    <w:basedOn w:val="TableNormal"/>
    <w:uiPriority w:val="51"/>
    <w:rsid w:val="000116B0"/>
    <w:pPr>
      <w:spacing w:line="240" w:lineRule="auto"/>
    </w:pPr>
    <w:rPr>
      <w:color w:val="00707E" w:themeColor="accent5" w:themeShade="BF"/>
      <w:lang w:val="en-AU"/>
    </w:rPr>
    <w:tblPr>
      <w:tblStyleRowBandSize w:val="1"/>
      <w:tblStyleColBandSize w:val="1"/>
      <w:tblBorders>
        <w:top w:val="single" w:sz="4" w:space="0" w:color="0097A9" w:themeColor="accent5"/>
        <w:bottom w:val="single" w:sz="4" w:space="0" w:color="0097A9" w:themeColor="accent5"/>
      </w:tblBorders>
    </w:tblPr>
    <w:tblStylePr w:type="firstRow">
      <w:rPr>
        <w:b/>
        <w:bCs/>
      </w:rPr>
      <w:tblPr/>
      <w:tcPr>
        <w:tcBorders>
          <w:bottom w:val="single" w:sz="4" w:space="0" w:color="0097A9" w:themeColor="accent5"/>
        </w:tcBorders>
      </w:tcPr>
    </w:tblStylePr>
    <w:tblStylePr w:type="lastRow">
      <w:rPr>
        <w:b/>
        <w:bCs/>
      </w:rPr>
      <w:tblPr/>
      <w:tcPr>
        <w:tcBorders>
          <w:top w:val="double" w:sz="4" w:space="0" w:color="0097A9" w:themeColor="accent5"/>
        </w:tcBorders>
      </w:tcPr>
    </w:tblStylePr>
    <w:tblStylePr w:type="firstCol">
      <w:rPr>
        <w:b/>
        <w:bCs/>
      </w:rPr>
    </w:tblStylePr>
    <w:tblStylePr w:type="lastCol">
      <w:rPr>
        <w:b/>
        <w:bCs/>
      </w:rPr>
    </w:tblStylePr>
    <w:tblStylePr w:type="band1Vert">
      <w:tblPr/>
      <w:tcPr>
        <w:shd w:val="clear" w:color="auto" w:fill="BAF7FF" w:themeFill="accent5" w:themeFillTint="33"/>
      </w:tcPr>
    </w:tblStylePr>
    <w:tblStylePr w:type="band1Horz">
      <w:tblPr/>
      <w:tcPr>
        <w:shd w:val="clear" w:color="auto" w:fill="BAF7FF" w:themeFill="accent5" w:themeFillTint="33"/>
      </w:tcPr>
    </w:tblStylePr>
  </w:style>
  <w:style w:type="table" w:styleId="ListTable6Colorful-Accent6">
    <w:name w:val="List Table 6 Colorful Accent 6"/>
    <w:basedOn w:val="TableNormal"/>
    <w:uiPriority w:val="51"/>
    <w:rsid w:val="000116B0"/>
    <w:pPr>
      <w:spacing w:line="240" w:lineRule="auto"/>
    </w:pPr>
    <w:rPr>
      <w:color w:val="57595C" w:themeColor="accent6" w:themeShade="BF"/>
      <w:lang w:val="en-AU"/>
    </w:rPr>
    <w:tblPr>
      <w:tblStyleRowBandSize w:val="1"/>
      <w:tblStyleColBandSize w:val="1"/>
      <w:tblBorders>
        <w:top w:val="single" w:sz="4" w:space="0" w:color="75787B" w:themeColor="accent6"/>
        <w:bottom w:val="single" w:sz="4" w:space="0" w:color="75787B" w:themeColor="accent6"/>
      </w:tblBorders>
    </w:tblPr>
    <w:tblStylePr w:type="firstRow">
      <w:rPr>
        <w:b/>
        <w:bCs/>
      </w:rPr>
      <w:tblPr/>
      <w:tcPr>
        <w:tcBorders>
          <w:bottom w:val="single" w:sz="4" w:space="0" w:color="75787B" w:themeColor="accent6"/>
        </w:tcBorders>
      </w:tcPr>
    </w:tblStylePr>
    <w:tblStylePr w:type="lastRow">
      <w:rPr>
        <w:b/>
        <w:bCs/>
      </w:rPr>
      <w:tblPr/>
      <w:tcPr>
        <w:tcBorders>
          <w:top w:val="double" w:sz="4" w:space="0" w:color="75787B" w:themeColor="accent6"/>
        </w:tcBorders>
      </w:tcPr>
    </w:tblStylePr>
    <w:tblStylePr w:type="firstCol">
      <w:rPr>
        <w:b/>
        <w:bCs/>
      </w:rPr>
    </w:tblStylePr>
    <w:tblStylePr w:type="lastCol">
      <w:rPr>
        <w:b/>
        <w:bCs/>
      </w:rPr>
    </w:tblStylePr>
    <w:tblStylePr w:type="band1Vert">
      <w:tblPr/>
      <w:tcPr>
        <w:shd w:val="clear" w:color="auto" w:fill="E3E3E4" w:themeFill="accent6" w:themeFillTint="33"/>
      </w:tcPr>
    </w:tblStylePr>
    <w:tblStylePr w:type="band1Horz">
      <w:tblPr/>
      <w:tcPr>
        <w:shd w:val="clear" w:color="auto" w:fill="E3E3E4" w:themeFill="accent6" w:themeFillTint="33"/>
      </w:tcPr>
    </w:tblStylePr>
  </w:style>
  <w:style w:type="table" w:styleId="ListTable7Colorful">
    <w:name w:val="List Table 7 Colorful"/>
    <w:basedOn w:val="TableNormal"/>
    <w:uiPriority w:val="52"/>
    <w:rsid w:val="000116B0"/>
    <w:pPr>
      <w:spacing w:line="240" w:lineRule="auto"/>
    </w:pPr>
    <w:rPr>
      <w:color w:val="000000" w:themeColor="text1"/>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116B0"/>
    <w:pPr>
      <w:spacing w:line="240" w:lineRule="auto"/>
    </w:pPr>
    <w:rPr>
      <w:color w:val="638C1B" w:themeColor="accent1"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C2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C2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C2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C25" w:themeColor="accent1"/>
        </w:tcBorders>
        <w:shd w:val="clear" w:color="auto" w:fill="FFFFFF" w:themeFill="background1"/>
      </w:tcPr>
    </w:tblStylePr>
    <w:tblStylePr w:type="band1Vert">
      <w:tblPr/>
      <w:tcPr>
        <w:shd w:val="clear" w:color="auto" w:fill="E7F5CF" w:themeFill="accent1" w:themeFillTint="33"/>
      </w:tcPr>
    </w:tblStylePr>
    <w:tblStylePr w:type="band1Horz">
      <w:tblPr/>
      <w:tcPr>
        <w:shd w:val="clear" w:color="auto" w:fill="E7F5C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116B0"/>
    <w:pPr>
      <w:spacing w:line="240" w:lineRule="auto"/>
    </w:pPr>
    <w:rPr>
      <w:color w:val="034F29" w:themeColor="accent2"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46A38"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46A38"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46A38"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46A38" w:themeColor="accent2"/>
        </w:tcBorders>
        <w:shd w:val="clear" w:color="auto" w:fill="FFFFFF" w:themeFill="background1"/>
      </w:tcPr>
    </w:tblStylePr>
    <w:tblStylePr w:type="band1Vert">
      <w:tblPr/>
      <w:tcPr>
        <w:shd w:val="clear" w:color="auto" w:fill="B1FCD7" w:themeFill="accent2" w:themeFillTint="33"/>
      </w:tcPr>
    </w:tblStylePr>
    <w:tblStylePr w:type="band1Horz">
      <w:tblPr/>
      <w:tcPr>
        <w:shd w:val="clear" w:color="auto" w:fill="B1FCD7"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116B0"/>
    <w:pPr>
      <w:spacing w:line="240" w:lineRule="auto"/>
    </w:pPr>
    <w:rPr>
      <w:color w:val="2291D1" w:themeColor="accent3"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2B5E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2B5E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2B5E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2B5E5" w:themeColor="accent3"/>
        </w:tcBorders>
        <w:shd w:val="clear" w:color="auto" w:fill="FFFFFF" w:themeFill="background1"/>
      </w:tcPr>
    </w:tblStylePr>
    <w:tblStylePr w:type="band1Vert">
      <w:tblPr/>
      <w:tcPr>
        <w:shd w:val="clear" w:color="auto" w:fill="DFF0F9" w:themeFill="accent3" w:themeFillTint="33"/>
      </w:tcPr>
    </w:tblStylePr>
    <w:tblStylePr w:type="band1Horz">
      <w:tblPr/>
      <w:tcPr>
        <w:shd w:val="clear" w:color="auto" w:fill="DFF0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116B0"/>
    <w:pPr>
      <w:spacing w:line="240" w:lineRule="auto"/>
    </w:pPr>
    <w:rPr>
      <w:color w:val="00184E" w:themeColor="accent4"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12169"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12169"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12169"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12169" w:themeColor="accent4"/>
        </w:tcBorders>
        <w:shd w:val="clear" w:color="auto" w:fill="FFFFFF" w:themeFill="background1"/>
      </w:tcPr>
    </w:tblStylePr>
    <w:tblStylePr w:type="band1Vert">
      <w:tblPr/>
      <w:tcPr>
        <w:shd w:val="clear" w:color="auto" w:fill="AEC7FE" w:themeFill="accent4" w:themeFillTint="33"/>
      </w:tcPr>
    </w:tblStylePr>
    <w:tblStylePr w:type="band1Horz">
      <w:tblPr/>
      <w:tcPr>
        <w:shd w:val="clear" w:color="auto" w:fill="AEC7F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116B0"/>
    <w:pPr>
      <w:spacing w:line="240" w:lineRule="auto"/>
    </w:pPr>
    <w:rPr>
      <w:color w:val="00707E" w:themeColor="accent5"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7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7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7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7A9" w:themeColor="accent5"/>
        </w:tcBorders>
        <w:shd w:val="clear" w:color="auto" w:fill="FFFFFF" w:themeFill="background1"/>
      </w:tcPr>
    </w:tblStylePr>
    <w:tblStylePr w:type="band1Vert">
      <w:tblPr/>
      <w:tcPr>
        <w:shd w:val="clear" w:color="auto" w:fill="BAF7FF" w:themeFill="accent5" w:themeFillTint="33"/>
      </w:tcPr>
    </w:tblStylePr>
    <w:tblStylePr w:type="band1Horz">
      <w:tblPr/>
      <w:tcPr>
        <w:shd w:val="clear" w:color="auto" w:fill="BAF7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116B0"/>
    <w:pPr>
      <w:spacing w:line="240" w:lineRule="auto"/>
    </w:pPr>
    <w:rPr>
      <w:color w:val="57595C" w:themeColor="accent6" w:themeShade="BF"/>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5787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5787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5787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5787B" w:themeColor="accent6"/>
        </w:tcBorders>
        <w:shd w:val="clear" w:color="auto" w:fill="FFFFFF" w:themeFill="background1"/>
      </w:tcPr>
    </w:tblStylePr>
    <w:tblStylePr w:type="band1Vert">
      <w:tblPr/>
      <w:tcPr>
        <w:shd w:val="clear" w:color="auto" w:fill="E3E3E4" w:themeFill="accent6" w:themeFillTint="33"/>
      </w:tcPr>
    </w:tblStylePr>
    <w:tblStylePr w:type="band1Horz">
      <w:tblPr/>
      <w:tcPr>
        <w:shd w:val="clear" w:color="auto" w:fill="E3E3E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0116B0"/>
    <w:pPr>
      <w:spacing w:line="240" w:lineRule="auto"/>
    </w:pPr>
    <w:rPr>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116B0"/>
    <w:pPr>
      <w:spacing w:line="240" w:lineRule="auto"/>
    </w:pPr>
    <w:rPr>
      <w:lang w:val="en-A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116B0"/>
    <w:pPr>
      <w:spacing w:line="240" w:lineRule="auto"/>
    </w:pPr>
    <w:rPr>
      <w:lang w:val="en-AU"/>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116B0"/>
    <w:pPr>
      <w:spacing w:line="240" w:lineRule="auto"/>
    </w:pPr>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116B0"/>
    <w:pPr>
      <w:spacing w:line="240" w:lineRule="auto"/>
    </w:pPr>
    <w:rPr>
      <w:lang w:val="en-AU"/>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0116B0"/>
    <w:pPr>
      <w:spacing w:line="240" w:lineRule="auto"/>
    </w:pPr>
    <w:rPr>
      <w:lang w:val="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el-Gitter1">
    <w:name w:val="Tabel - Gitter1"/>
    <w:basedOn w:val="TableNormal"/>
    <w:next w:val="TableGrid"/>
    <w:uiPriority w:val="59"/>
    <w:rsid w:val="00B52E21"/>
    <w:pPr>
      <w:spacing w:line="240" w:lineRule="auto"/>
    </w:pPr>
    <w:rPr>
      <w:lang w:val="en-AU"/>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Bodycopy">
    <w:name w:val="Body_copy"/>
    <w:basedOn w:val="Normal"/>
    <w:rsid w:val="001843FA"/>
    <w:rPr>
      <w:rFonts w:ascii="Calibri" w:hAnsi="Calibri" w:cs="Calibri"/>
      <w:sz w:val="20"/>
      <w:szCs w:val="20"/>
    </w:rPr>
  </w:style>
  <w:style w:type="paragraph" w:customStyle="1" w:styleId="Divider">
    <w:name w:val="Divider"/>
    <w:basedOn w:val="Normal"/>
    <w:rsid w:val="00B81C4C"/>
    <w:pPr>
      <w:spacing w:before="5640" w:after="120" w:line="216" w:lineRule="auto"/>
      <w:ind w:right="3060"/>
      <w:contextualSpacing/>
    </w:pPr>
    <w:rPr>
      <w:rFonts w:ascii="Calibri Light" w:hAnsi="Calibri Light" w:cs="Calibri Light"/>
      <w:noProof/>
      <w:sz w:val="144"/>
      <w:szCs w:val="144"/>
      <w:lang w:eastAsia="en-AU"/>
    </w:rPr>
  </w:style>
  <w:style w:type="character" w:customStyle="1" w:styleId="UnresolvedMention">
    <w:name w:val="Unresolved Mention"/>
    <w:basedOn w:val="DefaultParagraphFont"/>
    <w:uiPriority w:val="99"/>
    <w:unhideWhenUsed/>
    <w:rsid w:val="000A66F3"/>
    <w:rPr>
      <w:color w:val="605E5C"/>
      <w:shd w:val="clear" w:color="auto" w:fill="E1DFDD"/>
    </w:rPr>
  </w:style>
  <w:style w:type="paragraph" w:customStyle="1" w:styleId="Bodycopy0">
    <w:name w:val="Body copy"/>
    <w:basedOn w:val="Normal"/>
    <w:link w:val="BodycopyChar"/>
    <w:rsid w:val="0087724E"/>
    <w:pPr>
      <w:spacing w:after="113"/>
    </w:pPr>
    <w:rPr>
      <w:rFonts w:ascii="Arial" w:eastAsia="Times New Roman" w:hAnsi="Arial" w:cs="Times New Roman"/>
      <w:szCs w:val="24"/>
    </w:rPr>
  </w:style>
  <w:style w:type="character" w:customStyle="1" w:styleId="BodycopyChar">
    <w:name w:val="Body copy Char"/>
    <w:basedOn w:val="DefaultParagraphFont"/>
    <w:link w:val="Bodycopy0"/>
    <w:rsid w:val="0087724E"/>
    <w:rPr>
      <w:rFonts w:ascii="Arial" w:eastAsia="Times New Roman" w:hAnsi="Arial" w:cs="Times New Roman"/>
      <w:szCs w:val="24"/>
      <w:lang w:val="en-AU"/>
    </w:rPr>
  </w:style>
  <w:style w:type="paragraph" w:customStyle="1" w:styleId="Default">
    <w:name w:val="Default"/>
    <w:rsid w:val="003336C6"/>
    <w:pPr>
      <w:autoSpaceDE w:val="0"/>
      <w:autoSpaceDN w:val="0"/>
      <w:adjustRightInd w:val="0"/>
      <w:spacing w:line="240" w:lineRule="auto"/>
    </w:pPr>
    <w:rPr>
      <w:rFonts w:ascii="Calibri" w:hAnsi="Calibri" w:cs="Calibri"/>
      <w:color w:val="000000"/>
      <w:sz w:val="24"/>
      <w:szCs w:val="24"/>
      <w:lang w:val="en-AU"/>
    </w:rPr>
  </w:style>
  <w:style w:type="paragraph" w:customStyle="1" w:styleId="Heading3NoNumber">
    <w:name w:val="Heading 3 No Number"/>
    <w:basedOn w:val="Heading3"/>
    <w:next w:val="Normal"/>
    <w:uiPriority w:val="9"/>
    <w:qFormat/>
    <w:rsid w:val="00B27D38"/>
    <w:pPr>
      <w:numPr>
        <w:ilvl w:val="0"/>
        <w:numId w:val="0"/>
      </w:numPr>
      <w:spacing w:after="60" w:line="264" w:lineRule="auto"/>
    </w:pPr>
    <w:rPr>
      <w:rFonts w:cstheme="majorBidi"/>
      <w:bCs w:val="0"/>
      <w:color w:val="auto"/>
      <w:sz w:val="20"/>
      <w:szCs w:val="20"/>
    </w:rPr>
  </w:style>
  <w:style w:type="paragraph" w:customStyle="1" w:styleId="Bullet2">
    <w:name w:val="Bullet 2"/>
    <w:basedOn w:val="ListParagraph"/>
    <w:rsid w:val="003336C6"/>
    <w:pPr>
      <w:numPr>
        <w:numId w:val="17"/>
      </w:numPr>
      <w:spacing w:before="60" w:after="60" w:line="240" w:lineRule="auto"/>
      <w:contextualSpacing w:val="0"/>
    </w:pPr>
    <w:rPr>
      <w:rFonts w:asciiTheme="minorHAnsi" w:hAnsiTheme="minorHAnsi"/>
      <w:sz w:val="22"/>
      <w:szCs w:val="22"/>
      <w:lang w:val="en-GB"/>
    </w:rPr>
  </w:style>
  <w:style w:type="paragraph" w:customStyle="1" w:styleId="Numberlist1">
    <w:name w:val="Numberlist 1"/>
    <w:basedOn w:val="ListParagraph"/>
    <w:rsid w:val="003336C6"/>
    <w:pPr>
      <w:numPr>
        <w:numId w:val="18"/>
      </w:numPr>
      <w:spacing w:before="120" w:after="120" w:line="240" w:lineRule="auto"/>
      <w:contextualSpacing w:val="0"/>
    </w:pPr>
    <w:rPr>
      <w:rFonts w:asciiTheme="minorHAnsi" w:hAnsiTheme="minorHAnsi"/>
      <w:sz w:val="22"/>
      <w:szCs w:val="22"/>
      <w:lang w:val="en-GB"/>
    </w:rPr>
  </w:style>
  <w:style w:type="paragraph" w:customStyle="1" w:styleId="Numberlist2">
    <w:name w:val="Numberlist 2"/>
    <w:basedOn w:val="Numberlist1"/>
    <w:rsid w:val="003336C6"/>
    <w:pPr>
      <w:numPr>
        <w:ilvl w:val="1"/>
      </w:numPr>
    </w:pPr>
  </w:style>
  <w:style w:type="numbering" w:customStyle="1" w:styleId="Lists">
    <w:name w:val="Lists"/>
    <w:uiPriority w:val="99"/>
    <w:rsid w:val="003336C6"/>
    <w:pPr>
      <w:numPr>
        <w:numId w:val="24"/>
      </w:numPr>
    </w:pPr>
  </w:style>
  <w:style w:type="paragraph" w:customStyle="1" w:styleId="DocType">
    <w:name w:val="DocType"/>
    <w:basedOn w:val="Normal"/>
    <w:next w:val="Normal"/>
    <w:rsid w:val="003336C6"/>
    <w:pPr>
      <w:tabs>
        <w:tab w:val="left" w:pos="1560"/>
        <w:tab w:val="center" w:pos="4513"/>
        <w:tab w:val="right" w:pos="9026"/>
      </w:tabs>
      <w:spacing w:after="0" w:line="240" w:lineRule="auto"/>
      <w:ind w:left="720" w:hanging="360"/>
      <w:contextualSpacing/>
      <w:jc w:val="right"/>
    </w:pPr>
    <w:rPr>
      <w:rFonts w:ascii="Calibri" w:hAnsi="Calibri"/>
      <w:vanish/>
      <w:color w:val="A6A6A6" w:themeColor="background1" w:themeShade="A6"/>
      <w:sz w:val="16"/>
      <w:szCs w:val="22"/>
    </w:rPr>
  </w:style>
  <w:style w:type="paragraph" w:customStyle="1" w:styleId="SOText">
    <w:name w:val="SO Text"/>
    <w:aliases w:val="sot"/>
    <w:link w:val="SOTextChar"/>
    <w:rsid w:val="00F16F00"/>
    <w:pPr>
      <w:pBdr>
        <w:top w:val="single" w:sz="6" w:space="5" w:color="auto"/>
        <w:left w:val="single" w:sz="6" w:space="5" w:color="auto"/>
        <w:bottom w:val="single" w:sz="6" w:space="5" w:color="auto"/>
        <w:right w:val="single" w:sz="6" w:space="5" w:color="auto"/>
      </w:pBdr>
      <w:spacing w:before="240" w:line="240" w:lineRule="auto"/>
      <w:ind w:left="1134"/>
    </w:pPr>
    <w:rPr>
      <w:rFonts w:ascii="Times New Roman" w:eastAsia="Times New Roman" w:hAnsi="Times New Roman" w:cs="Times New Roman"/>
      <w:sz w:val="22"/>
      <w:szCs w:val="20"/>
      <w:lang w:val="en-AU"/>
    </w:rPr>
  </w:style>
  <w:style w:type="character" w:customStyle="1" w:styleId="SOTextChar">
    <w:name w:val="SO Text Char"/>
    <w:aliases w:val="sot Char"/>
    <w:basedOn w:val="DefaultParagraphFont"/>
    <w:link w:val="SOText"/>
    <w:locked/>
    <w:rsid w:val="00F16F00"/>
    <w:rPr>
      <w:rFonts w:ascii="Times New Roman" w:eastAsia="Times New Roman" w:hAnsi="Times New Roman" w:cs="Times New Roman"/>
      <w:sz w:val="22"/>
      <w:szCs w:val="20"/>
      <w:lang w:val="en-AU"/>
    </w:rPr>
  </w:style>
  <w:style w:type="paragraph" w:customStyle="1" w:styleId="SOPara">
    <w:name w:val="SO Para"/>
    <w:aliases w:val="soa"/>
    <w:basedOn w:val="SOText"/>
    <w:link w:val="SOParaChar"/>
    <w:rsid w:val="00F16F00"/>
    <w:pPr>
      <w:tabs>
        <w:tab w:val="right" w:pos="1786"/>
      </w:tabs>
      <w:spacing w:before="40"/>
      <w:ind w:left="2070" w:hanging="936"/>
    </w:pPr>
  </w:style>
  <w:style w:type="character" w:customStyle="1" w:styleId="SOParaChar">
    <w:name w:val="SO Para Char"/>
    <w:aliases w:val="soa Char"/>
    <w:basedOn w:val="DefaultParagraphFont"/>
    <w:link w:val="SOPara"/>
    <w:locked/>
    <w:rsid w:val="00F16F00"/>
    <w:rPr>
      <w:rFonts w:ascii="Times New Roman" w:eastAsia="Times New Roman" w:hAnsi="Times New Roman" w:cs="Times New Roman"/>
      <w:sz w:val="22"/>
      <w:szCs w:val="20"/>
      <w:lang w:val="en-AU"/>
    </w:rPr>
  </w:style>
  <w:style w:type="paragraph" w:customStyle="1" w:styleId="Pullout-QuoteBlue">
    <w:name w:val="Pullout - Quote Blue"/>
    <w:basedOn w:val="PulloutBlue"/>
    <w:uiPriority w:val="6"/>
    <w:rsid w:val="00425F17"/>
    <w:pPr>
      <w:ind w:left="227" w:right="227"/>
    </w:pPr>
    <w:rPr>
      <w:i/>
    </w:rPr>
  </w:style>
  <w:style w:type="paragraph" w:customStyle="1" w:styleId="Pullout-QuoteGreen">
    <w:name w:val="Pullout - Quote Green"/>
    <w:basedOn w:val="Pullout-QuoteBlue"/>
    <w:rsid w:val="00425F17"/>
    <w:rPr>
      <w:color w:val="86BC25" w:themeColor="accent1"/>
    </w:rPr>
  </w:style>
  <w:style w:type="paragraph" w:customStyle="1" w:styleId="Tabletitle">
    <w:name w:val="Table title"/>
    <w:uiPriority w:val="5"/>
    <w:rsid w:val="00425F17"/>
    <w:rPr>
      <w:rFonts w:asciiTheme="majorHAnsi" w:eastAsiaTheme="majorEastAsia" w:hAnsiTheme="majorHAnsi" w:cstheme="majorBidi"/>
      <w:b/>
      <w:bCs/>
      <w:color w:val="000000" w:themeColor="text1"/>
      <w:sz w:val="17"/>
      <w:szCs w:val="28"/>
      <w:lang w:val="en-AU"/>
    </w:rPr>
  </w:style>
  <w:style w:type="paragraph" w:styleId="Revision">
    <w:name w:val="Revision"/>
    <w:hidden/>
    <w:uiPriority w:val="99"/>
    <w:semiHidden/>
    <w:rsid w:val="00AB1ED2"/>
    <w:pPr>
      <w:spacing w:line="240" w:lineRule="auto"/>
    </w:pPr>
    <w:rPr>
      <w:lang w:val="en-AU"/>
    </w:rPr>
  </w:style>
  <w:style w:type="character" w:customStyle="1" w:styleId="Mention">
    <w:name w:val="Mention"/>
    <w:basedOn w:val="DefaultParagraphFont"/>
    <w:uiPriority w:val="99"/>
    <w:unhideWhenUsed/>
    <w:rsid w:val="000A66F3"/>
    <w:rPr>
      <w:color w:val="2B579A"/>
      <w:shd w:val="clear" w:color="auto" w:fill="E1DFDD"/>
    </w:rPr>
  </w:style>
  <w:style w:type="character" w:customStyle="1" w:styleId="ListParagraphChar">
    <w:name w:val="List Paragraph Char"/>
    <w:aliases w:val="Recommendation Char,L Char,List Paragraph1 Char,List Paragraph11 Char,List Paragraph2 Char,Bullet point Char,NFP GP Bulleted List Char,bullet point list Char,1 heading Char,AR bullet 1 Char,Bullet Point Char,Bullet points Char"/>
    <w:link w:val="ListParagraph"/>
    <w:uiPriority w:val="34"/>
    <w:qFormat/>
    <w:rsid w:val="001E4276"/>
    <w:rPr>
      <w:lang w:val="en-AU"/>
    </w:rPr>
  </w:style>
  <w:style w:type="paragraph" w:customStyle="1" w:styleId="default0">
    <w:name w:val="default"/>
    <w:basedOn w:val="Normal"/>
    <w:rsid w:val="00645A22"/>
    <w:pPr>
      <w:spacing w:after="0" w:line="240" w:lineRule="auto"/>
    </w:pPr>
    <w:rPr>
      <w:rFonts w:ascii="Calibri" w:hAnsi="Calibri" w:cs="Calibri"/>
      <w:sz w:val="22"/>
      <w:szCs w:val="22"/>
      <w:lang w:eastAsia="en-AU"/>
    </w:rPr>
  </w:style>
  <w:style w:type="character" w:customStyle="1" w:styleId="UnresolvedMention1">
    <w:name w:val="Unresolved Mention1"/>
    <w:basedOn w:val="DefaultParagraphFont"/>
    <w:uiPriority w:val="99"/>
    <w:unhideWhenUsed/>
    <w:rsid w:val="00D933DB"/>
    <w:rPr>
      <w:color w:val="605E5C"/>
      <w:shd w:val="clear" w:color="auto" w:fill="E1DFDD"/>
    </w:rPr>
  </w:style>
  <w:style w:type="character" w:customStyle="1" w:styleId="Mention1">
    <w:name w:val="Mention1"/>
    <w:basedOn w:val="DefaultParagraphFont"/>
    <w:uiPriority w:val="99"/>
    <w:unhideWhenUsed/>
    <w:rsid w:val="00D933DB"/>
    <w:rPr>
      <w:color w:val="2B579A"/>
      <w:shd w:val="clear" w:color="auto" w:fill="E1DFDD"/>
    </w:rPr>
  </w:style>
  <w:style w:type="character" w:customStyle="1" w:styleId="field">
    <w:name w:val="field"/>
    <w:basedOn w:val="DefaultParagraphFont"/>
    <w:rsid w:val="008468CE"/>
  </w:style>
  <w:style w:type="table" w:customStyle="1" w:styleId="ListTable3-Accent41">
    <w:name w:val="List Table 3 - Accent 41"/>
    <w:basedOn w:val="TableNormal"/>
    <w:next w:val="ListTable3-Accent4"/>
    <w:uiPriority w:val="48"/>
    <w:rsid w:val="00F84842"/>
    <w:pPr>
      <w:spacing w:line="240" w:lineRule="auto"/>
    </w:pPr>
    <w:rPr>
      <w:lang w:val="en-AU"/>
    </w:rPr>
    <w:tblPr>
      <w:tblStyleRowBandSize w:val="1"/>
      <w:tblStyleColBandSize w:val="1"/>
      <w:tblBorders>
        <w:top w:val="single" w:sz="4" w:space="0" w:color="012169"/>
        <w:left w:val="single" w:sz="4" w:space="0" w:color="012169"/>
        <w:bottom w:val="single" w:sz="4" w:space="0" w:color="012169"/>
        <w:right w:val="single" w:sz="4" w:space="0" w:color="012169"/>
      </w:tblBorders>
    </w:tblPr>
    <w:tblStylePr w:type="firstRow">
      <w:rPr>
        <w:b/>
        <w:bCs/>
        <w:color w:val="FFFFFF"/>
      </w:rPr>
      <w:tblPr/>
      <w:tcPr>
        <w:shd w:val="clear" w:color="auto" w:fill="012169"/>
      </w:tcPr>
    </w:tblStylePr>
    <w:tblStylePr w:type="lastRow">
      <w:rPr>
        <w:b/>
        <w:bCs/>
      </w:rPr>
      <w:tblPr/>
      <w:tcPr>
        <w:tcBorders>
          <w:top w:val="double" w:sz="4" w:space="0" w:color="01216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12169"/>
          <w:right w:val="single" w:sz="4" w:space="0" w:color="012169"/>
        </w:tcBorders>
      </w:tcPr>
    </w:tblStylePr>
    <w:tblStylePr w:type="band1Horz">
      <w:tblPr/>
      <w:tcPr>
        <w:tcBorders>
          <w:top w:val="single" w:sz="4" w:space="0" w:color="012169"/>
          <w:bottom w:val="single" w:sz="4" w:space="0" w:color="01216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left w:val="nil"/>
        </w:tcBorders>
      </w:tcPr>
    </w:tblStylePr>
    <w:tblStylePr w:type="swCell">
      <w:tblPr/>
      <w:tcPr>
        <w:tcBorders>
          <w:top w:val="double" w:sz="4" w:space="0" w:color="012169"/>
          <w:right w:val="nil"/>
        </w:tcBorders>
      </w:tcPr>
    </w:tblStylePr>
  </w:style>
  <w:style w:type="table" w:customStyle="1" w:styleId="ListTable3-Accent411">
    <w:name w:val="List Table 3 - Accent 411"/>
    <w:basedOn w:val="TableNormal"/>
    <w:next w:val="ListTable3-Accent4"/>
    <w:uiPriority w:val="48"/>
    <w:rsid w:val="003E525D"/>
    <w:pPr>
      <w:spacing w:line="240" w:lineRule="auto"/>
    </w:pPr>
    <w:rPr>
      <w:lang w:val="en-AU"/>
    </w:rPr>
    <w:tblPr>
      <w:tblStyleRowBandSize w:val="1"/>
      <w:tblStyleColBandSize w:val="1"/>
      <w:tblBorders>
        <w:top w:val="single" w:sz="4" w:space="0" w:color="012169"/>
        <w:left w:val="single" w:sz="4" w:space="0" w:color="012169"/>
        <w:bottom w:val="single" w:sz="4" w:space="0" w:color="012169"/>
        <w:right w:val="single" w:sz="4" w:space="0" w:color="012169"/>
      </w:tblBorders>
    </w:tblPr>
    <w:tblStylePr w:type="firstRow">
      <w:rPr>
        <w:b/>
        <w:bCs/>
        <w:color w:val="FFFFFF"/>
      </w:rPr>
      <w:tblPr/>
      <w:tcPr>
        <w:shd w:val="clear" w:color="auto" w:fill="012169"/>
      </w:tcPr>
    </w:tblStylePr>
    <w:tblStylePr w:type="lastRow">
      <w:rPr>
        <w:b/>
        <w:bCs/>
      </w:rPr>
      <w:tblPr/>
      <w:tcPr>
        <w:tcBorders>
          <w:top w:val="double" w:sz="4" w:space="0" w:color="01216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12169"/>
          <w:right w:val="single" w:sz="4" w:space="0" w:color="012169"/>
        </w:tcBorders>
      </w:tcPr>
    </w:tblStylePr>
    <w:tblStylePr w:type="band1Horz">
      <w:tblPr/>
      <w:tcPr>
        <w:tcBorders>
          <w:top w:val="single" w:sz="4" w:space="0" w:color="012169"/>
          <w:bottom w:val="single" w:sz="4" w:space="0" w:color="01216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12169"/>
          <w:left w:val="nil"/>
        </w:tcBorders>
      </w:tcPr>
    </w:tblStylePr>
    <w:tblStylePr w:type="swCell">
      <w:tblPr/>
      <w:tcPr>
        <w:tcBorders>
          <w:top w:val="double" w:sz="4" w:space="0" w:color="012169"/>
          <w:right w:val="nil"/>
        </w:tcBorders>
      </w:tcPr>
    </w:tblStylePr>
  </w:style>
  <w:style w:type="table" w:customStyle="1" w:styleId="ListTable3-Accent51">
    <w:name w:val="List Table 3 - Accent 51"/>
    <w:basedOn w:val="TableNormal"/>
    <w:next w:val="ListTable3-Accent5"/>
    <w:uiPriority w:val="48"/>
    <w:rsid w:val="003E525D"/>
    <w:pPr>
      <w:spacing w:line="240" w:lineRule="auto"/>
    </w:pPr>
    <w:rPr>
      <w:lang w:val="en-AU"/>
    </w:rPr>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tblBorders>
    </w:tblPr>
    <w:tblStylePr w:type="firstRow">
      <w:rPr>
        <w:b/>
        <w:bCs/>
        <w:color w:val="FFFFFF" w:themeColor="background1"/>
      </w:rPr>
      <w:tblPr/>
      <w:tcPr>
        <w:shd w:val="clear" w:color="auto" w:fill="0097A9" w:themeFill="accent5"/>
      </w:tcPr>
    </w:tblStylePr>
    <w:tblStylePr w:type="lastRow">
      <w:rPr>
        <w:b/>
        <w:bCs/>
      </w:rPr>
      <w:tblPr/>
      <w:tcPr>
        <w:tcBorders>
          <w:top w:val="double" w:sz="4" w:space="0" w:color="0097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7A9" w:themeColor="accent5"/>
          <w:right w:val="single" w:sz="4" w:space="0" w:color="0097A9" w:themeColor="accent5"/>
        </w:tcBorders>
      </w:tcPr>
    </w:tblStylePr>
    <w:tblStylePr w:type="band1Horz">
      <w:tblPr/>
      <w:tcPr>
        <w:tcBorders>
          <w:top w:val="single" w:sz="4" w:space="0" w:color="0097A9" w:themeColor="accent5"/>
          <w:bottom w:val="single" w:sz="4" w:space="0" w:color="0097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7A9" w:themeColor="accent5"/>
          <w:left w:val="nil"/>
        </w:tcBorders>
      </w:tcPr>
    </w:tblStylePr>
    <w:tblStylePr w:type="swCell">
      <w:tblPr/>
      <w:tcPr>
        <w:tcBorders>
          <w:top w:val="double" w:sz="4" w:space="0" w:color="0097A9" w:themeColor="accent5"/>
          <w:right w:val="nil"/>
        </w:tcBorders>
      </w:tcPr>
    </w:tblStylePr>
  </w:style>
  <w:style w:type="character" w:customStyle="1" w:styleId="font391">
    <w:name w:val="font391"/>
    <w:basedOn w:val="DefaultParagraphFont"/>
    <w:rsid w:val="00E0218F"/>
    <w:rPr>
      <w:rFonts w:ascii="Verdana" w:hAnsi="Verdana" w:hint="default"/>
      <w:b w:val="0"/>
      <w:bCs w:val="0"/>
      <w:i/>
      <w:iCs/>
      <w:strike w:val="0"/>
      <w:dstrike w:val="0"/>
      <w:color w:val="000000"/>
      <w:sz w:val="18"/>
      <w:szCs w:val="18"/>
      <w:u w:val="none"/>
      <w:effect w:val="none"/>
    </w:rPr>
  </w:style>
  <w:style w:type="paragraph" w:customStyle="1" w:styleId="BodyCopyNEW">
    <w:name w:val="Body_Copy_NEW"/>
    <w:basedOn w:val="Normal"/>
    <w:qFormat/>
    <w:rsid w:val="004B6FFA"/>
    <w:pPr>
      <w:spacing w:after="120" w:line="264" w:lineRule="auto"/>
    </w:pPr>
    <w:rPr>
      <w:rFonts w:ascii="Calibri Light" w:hAnsi="Calibri Light" w:cs="Calibri Light"/>
      <w:szCs w:val="20"/>
    </w:rPr>
  </w:style>
  <w:style w:type="paragraph" w:customStyle="1" w:styleId="BodyBullet1">
    <w:name w:val="Body_Bullet_1"/>
    <w:basedOn w:val="BodyCopyNEW"/>
    <w:qFormat/>
    <w:rsid w:val="006C0E7D"/>
    <w:pPr>
      <w:numPr>
        <w:numId w:val="28"/>
      </w:numPr>
    </w:pPr>
  </w:style>
  <w:style w:type="paragraph" w:customStyle="1" w:styleId="Tableheader">
    <w:name w:val="Table_header"/>
    <w:basedOn w:val="Normal"/>
    <w:qFormat/>
    <w:rsid w:val="00C44305"/>
    <w:pPr>
      <w:spacing w:after="0" w:line="240" w:lineRule="auto"/>
      <w:contextualSpacing/>
    </w:pPr>
    <w:rPr>
      <w:rFonts w:ascii="Calibri" w:eastAsia="Verdana" w:hAnsi="Calibri" w:cs="Calibri"/>
      <w:b/>
      <w:bCs/>
      <w:color w:val="007680"/>
      <w:sz w:val="20"/>
      <w:szCs w:val="20"/>
      <w:lang w:eastAsia="en-AU"/>
    </w:rPr>
  </w:style>
  <w:style w:type="paragraph" w:customStyle="1" w:styleId="Quotelarge">
    <w:name w:val="Quote_large"/>
    <w:basedOn w:val="Normal"/>
    <w:rsid w:val="00C44305"/>
    <w:pPr>
      <w:spacing w:before="120" w:after="240" w:line="240" w:lineRule="auto"/>
    </w:pPr>
    <w:rPr>
      <w:rFonts w:ascii="Calibri Light" w:hAnsi="Calibri Light" w:cs="Calibri Light"/>
      <w:sz w:val="28"/>
      <w:szCs w:val="28"/>
    </w:rPr>
  </w:style>
  <w:style w:type="paragraph" w:customStyle="1" w:styleId="Bodybullet2">
    <w:name w:val="Body_bullet_2"/>
    <w:basedOn w:val="BodyBullet1"/>
    <w:rsid w:val="00C86F08"/>
    <w:pPr>
      <w:numPr>
        <w:numId w:val="29"/>
      </w:numPr>
      <w:ind w:left="879"/>
    </w:pPr>
  </w:style>
  <w:style w:type="paragraph" w:customStyle="1" w:styleId="Tablebody">
    <w:name w:val="Table_body"/>
    <w:basedOn w:val="BodyCopyNEW"/>
    <w:rsid w:val="000D4CE1"/>
    <w:pPr>
      <w:spacing w:after="0"/>
    </w:pPr>
  </w:style>
  <w:style w:type="paragraph" w:customStyle="1" w:styleId="Bodybullet9pt">
    <w:name w:val="Body_bullet_9pt"/>
    <w:basedOn w:val="BodyBullet1"/>
    <w:rsid w:val="003019B9"/>
    <w:pPr>
      <w:spacing w:after="60"/>
      <w:ind w:left="425"/>
    </w:pPr>
    <w:rPr>
      <w:szCs w:val="18"/>
    </w:rPr>
  </w:style>
  <w:style w:type="paragraph" w:customStyle="1" w:styleId="Keypoints">
    <w:name w:val="Key points"/>
    <w:rsid w:val="00A706C4"/>
    <w:pPr>
      <w:spacing w:after="240"/>
    </w:pPr>
    <w:rPr>
      <w:rFonts w:ascii="Calibri" w:eastAsiaTheme="majorEastAsia" w:hAnsi="Calibri" w:cs="Calibri"/>
      <w:b/>
      <w:bCs/>
      <w:sz w:val="24"/>
      <w:szCs w:val="24"/>
      <w:lang w:val="en-AU"/>
    </w:rPr>
  </w:style>
  <w:style w:type="paragraph" w:customStyle="1" w:styleId="BodycopyNEW0">
    <w:name w:val="Body_copy_NEW"/>
    <w:basedOn w:val="Normal"/>
    <w:qFormat/>
    <w:rsid w:val="006C0E7D"/>
    <w:pPr>
      <w:spacing w:after="120" w:line="264" w:lineRule="auto"/>
    </w:pPr>
    <w:rPr>
      <w:rFonts w:ascii="Calibri Light" w:hAnsi="Calibri Light" w:cs="Calibri"/>
      <w:szCs w:val="20"/>
    </w:rPr>
  </w:style>
  <w:style w:type="paragraph" w:customStyle="1" w:styleId="FigureTable">
    <w:name w:val="FigureTable"/>
    <w:basedOn w:val="Normal"/>
    <w:link w:val="FigureTableChar"/>
    <w:rsid w:val="00EE4079"/>
    <w:rPr>
      <w:rFonts w:ascii="Calibri Light" w:hAnsi="Calibri Light" w:cs="Calibri Light"/>
      <w:b/>
      <w:szCs w:val="20"/>
    </w:rPr>
  </w:style>
  <w:style w:type="character" w:customStyle="1" w:styleId="FigureTableChar">
    <w:name w:val="FigureTable Char"/>
    <w:basedOn w:val="DefaultParagraphFont"/>
    <w:link w:val="FigureTable"/>
    <w:rsid w:val="00EE4079"/>
    <w:rPr>
      <w:rFonts w:ascii="Calibri Light" w:hAnsi="Calibri Light" w:cs="Calibri Light"/>
      <w:b/>
      <w:szCs w:val="20"/>
      <w:lang w:val="en-AU"/>
    </w:rPr>
  </w:style>
  <w:style w:type="paragraph" w:customStyle="1" w:styleId="BodyBullet1NEW">
    <w:name w:val="Body_Bullet_1_NEW"/>
    <w:basedOn w:val="BodycopyNEW0"/>
    <w:qFormat/>
    <w:rsid w:val="0058332E"/>
    <w:pPr>
      <w:numPr>
        <w:numId w:val="32"/>
      </w:numPr>
    </w:pPr>
  </w:style>
  <w:style w:type="paragraph" w:customStyle="1" w:styleId="msonormal0">
    <w:name w:val="msonormal"/>
    <w:basedOn w:val="Normal"/>
    <w:uiPriority w:val="99"/>
    <w:semiHidden/>
    <w:rsid w:val="00945D09"/>
    <w:rPr>
      <w:rFonts w:ascii="Times New Roman" w:hAnsi="Times New Roman" w:cs="Times New Roman"/>
      <w:sz w:val="24"/>
      <w:szCs w:val="24"/>
    </w:rPr>
  </w:style>
  <w:style w:type="character" w:customStyle="1" w:styleId="CommentTextChar1">
    <w:name w:val="Comment Text Char1"/>
    <w:basedOn w:val="DefaultParagraphFont"/>
    <w:uiPriority w:val="99"/>
    <w:rsid w:val="00945D0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16428">
      <w:bodyDiv w:val="1"/>
      <w:marLeft w:val="0"/>
      <w:marRight w:val="0"/>
      <w:marTop w:val="0"/>
      <w:marBottom w:val="0"/>
      <w:divBdr>
        <w:top w:val="none" w:sz="0" w:space="0" w:color="auto"/>
        <w:left w:val="none" w:sz="0" w:space="0" w:color="auto"/>
        <w:bottom w:val="none" w:sz="0" w:space="0" w:color="auto"/>
        <w:right w:val="none" w:sz="0" w:space="0" w:color="auto"/>
      </w:divBdr>
    </w:div>
    <w:div w:id="60570147">
      <w:bodyDiv w:val="1"/>
      <w:marLeft w:val="0"/>
      <w:marRight w:val="0"/>
      <w:marTop w:val="0"/>
      <w:marBottom w:val="0"/>
      <w:divBdr>
        <w:top w:val="none" w:sz="0" w:space="0" w:color="auto"/>
        <w:left w:val="none" w:sz="0" w:space="0" w:color="auto"/>
        <w:bottom w:val="none" w:sz="0" w:space="0" w:color="auto"/>
        <w:right w:val="none" w:sz="0" w:space="0" w:color="auto"/>
      </w:divBdr>
      <w:divsChild>
        <w:div w:id="1664044297">
          <w:marLeft w:val="274"/>
          <w:marRight w:val="0"/>
          <w:marTop w:val="0"/>
          <w:marBottom w:val="40"/>
          <w:divBdr>
            <w:top w:val="none" w:sz="0" w:space="0" w:color="auto"/>
            <w:left w:val="none" w:sz="0" w:space="0" w:color="auto"/>
            <w:bottom w:val="none" w:sz="0" w:space="0" w:color="auto"/>
            <w:right w:val="none" w:sz="0" w:space="0" w:color="auto"/>
          </w:divBdr>
        </w:div>
      </w:divsChild>
    </w:div>
    <w:div w:id="87194003">
      <w:bodyDiv w:val="1"/>
      <w:marLeft w:val="0"/>
      <w:marRight w:val="0"/>
      <w:marTop w:val="0"/>
      <w:marBottom w:val="0"/>
      <w:divBdr>
        <w:top w:val="none" w:sz="0" w:space="0" w:color="auto"/>
        <w:left w:val="none" w:sz="0" w:space="0" w:color="auto"/>
        <w:bottom w:val="none" w:sz="0" w:space="0" w:color="auto"/>
        <w:right w:val="none" w:sz="0" w:space="0" w:color="auto"/>
      </w:divBdr>
    </w:div>
    <w:div w:id="94836043">
      <w:bodyDiv w:val="1"/>
      <w:marLeft w:val="0"/>
      <w:marRight w:val="0"/>
      <w:marTop w:val="0"/>
      <w:marBottom w:val="0"/>
      <w:divBdr>
        <w:top w:val="none" w:sz="0" w:space="0" w:color="auto"/>
        <w:left w:val="none" w:sz="0" w:space="0" w:color="auto"/>
        <w:bottom w:val="none" w:sz="0" w:space="0" w:color="auto"/>
        <w:right w:val="none" w:sz="0" w:space="0" w:color="auto"/>
      </w:divBdr>
    </w:div>
    <w:div w:id="105656599">
      <w:bodyDiv w:val="1"/>
      <w:marLeft w:val="0"/>
      <w:marRight w:val="0"/>
      <w:marTop w:val="0"/>
      <w:marBottom w:val="0"/>
      <w:divBdr>
        <w:top w:val="none" w:sz="0" w:space="0" w:color="auto"/>
        <w:left w:val="none" w:sz="0" w:space="0" w:color="auto"/>
        <w:bottom w:val="none" w:sz="0" w:space="0" w:color="auto"/>
        <w:right w:val="none" w:sz="0" w:space="0" w:color="auto"/>
      </w:divBdr>
    </w:div>
    <w:div w:id="107163876">
      <w:bodyDiv w:val="1"/>
      <w:marLeft w:val="0"/>
      <w:marRight w:val="0"/>
      <w:marTop w:val="0"/>
      <w:marBottom w:val="0"/>
      <w:divBdr>
        <w:top w:val="none" w:sz="0" w:space="0" w:color="auto"/>
        <w:left w:val="none" w:sz="0" w:space="0" w:color="auto"/>
        <w:bottom w:val="none" w:sz="0" w:space="0" w:color="auto"/>
        <w:right w:val="none" w:sz="0" w:space="0" w:color="auto"/>
      </w:divBdr>
    </w:div>
    <w:div w:id="111631986">
      <w:bodyDiv w:val="1"/>
      <w:marLeft w:val="0"/>
      <w:marRight w:val="0"/>
      <w:marTop w:val="0"/>
      <w:marBottom w:val="0"/>
      <w:divBdr>
        <w:top w:val="none" w:sz="0" w:space="0" w:color="auto"/>
        <w:left w:val="none" w:sz="0" w:space="0" w:color="auto"/>
        <w:bottom w:val="none" w:sz="0" w:space="0" w:color="auto"/>
        <w:right w:val="none" w:sz="0" w:space="0" w:color="auto"/>
      </w:divBdr>
    </w:div>
    <w:div w:id="126822300">
      <w:bodyDiv w:val="1"/>
      <w:marLeft w:val="0"/>
      <w:marRight w:val="0"/>
      <w:marTop w:val="0"/>
      <w:marBottom w:val="0"/>
      <w:divBdr>
        <w:top w:val="none" w:sz="0" w:space="0" w:color="auto"/>
        <w:left w:val="none" w:sz="0" w:space="0" w:color="auto"/>
        <w:bottom w:val="none" w:sz="0" w:space="0" w:color="auto"/>
        <w:right w:val="none" w:sz="0" w:space="0" w:color="auto"/>
      </w:divBdr>
    </w:div>
    <w:div w:id="147288683">
      <w:bodyDiv w:val="1"/>
      <w:marLeft w:val="0"/>
      <w:marRight w:val="0"/>
      <w:marTop w:val="0"/>
      <w:marBottom w:val="0"/>
      <w:divBdr>
        <w:top w:val="none" w:sz="0" w:space="0" w:color="auto"/>
        <w:left w:val="none" w:sz="0" w:space="0" w:color="auto"/>
        <w:bottom w:val="none" w:sz="0" w:space="0" w:color="auto"/>
        <w:right w:val="none" w:sz="0" w:space="0" w:color="auto"/>
      </w:divBdr>
    </w:div>
    <w:div w:id="164830798">
      <w:bodyDiv w:val="1"/>
      <w:marLeft w:val="0"/>
      <w:marRight w:val="0"/>
      <w:marTop w:val="0"/>
      <w:marBottom w:val="0"/>
      <w:divBdr>
        <w:top w:val="none" w:sz="0" w:space="0" w:color="auto"/>
        <w:left w:val="none" w:sz="0" w:space="0" w:color="auto"/>
        <w:bottom w:val="none" w:sz="0" w:space="0" w:color="auto"/>
        <w:right w:val="none" w:sz="0" w:space="0" w:color="auto"/>
      </w:divBdr>
    </w:div>
    <w:div w:id="167251236">
      <w:bodyDiv w:val="1"/>
      <w:marLeft w:val="0"/>
      <w:marRight w:val="0"/>
      <w:marTop w:val="0"/>
      <w:marBottom w:val="0"/>
      <w:divBdr>
        <w:top w:val="none" w:sz="0" w:space="0" w:color="auto"/>
        <w:left w:val="none" w:sz="0" w:space="0" w:color="auto"/>
        <w:bottom w:val="none" w:sz="0" w:space="0" w:color="auto"/>
        <w:right w:val="none" w:sz="0" w:space="0" w:color="auto"/>
      </w:divBdr>
    </w:div>
    <w:div w:id="167524939">
      <w:bodyDiv w:val="1"/>
      <w:marLeft w:val="0"/>
      <w:marRight w:val="0"/>
      <w:marTop w:val="0"/>
      <w:marBottom w:val="0"/>
      <w:divBdr>
        <w:top w:val="none" w:sz="0" w:space="0" w:color="auto"/>
        <w:left w:val="none" w:sz="0" w:space="0" w:color="auto"/>
        <w:bottom w:val="none" w:sz="0" w:space="0" w:color="auto"/>
        <w:right w:val="none" w:sz="0" w:space="0" w:color="auto"/>
      </w:divBdr>
    </w:div>
    <w:div w:id="206456855">
      <w:bodyDiv w:val="1"/>
      <w:marLeft w:val="0"/>
      <w:marRight w:val="0"/>
      <w:marTop w:val="0"/>
      <w:marBottom w:val="0"/>
      <w:divBdr>
        <w:top w:val="none" w:sz="0" w:space="0" w:color="auto"/>
        <w:left w:val="none" w:sz="0" w:space="0" w:color="auto"/>
        <w:bottom w:val="none" w:sz="0" w:space="0" w:color="auto"/>
        <w:right w:val="none" w:sz="0" w:space="0" w:color="auto"/>
      </w:divBdr>
    </w:div>
    <w:div w:id="229581676">
      <w:bodyDiv w:val="1"/>
      <w:marLeft w:val="0"/>
      <w:marRight w:val="0"/>
      <w:marTop w:val="0"/>
      <w:marBottom w:val="0"/>
      <w:divBdr>
        <w:top w:val="none" w:sz="0" w:space="0" w:color="auto"/>
        <w:left w:val="none" w:sz="0" w:space="0" w:color="auto"/>
        <w:bottom w:val="none" w:sz="0" w:space="0" w:color="auto"/>
        <w:right w:val="none" w:sz="0" w:space="0" w:color="auto"/>
      </w:divBdr>
    </w:div>
    <w:div w:id="234626573">
      <w:bodyDiv w:val="1"/>
      <w:marLeft w:val="0"/>
      <w:marRight w:val="0"/>
      <w:marTop w:val="0"/>
      <w:marBottom w:val="0"/>
      <w:divBdr>
        <w:top w:val="none" w:sz="0" w:space="0" w:color="auto"/>
        <w:left w:val="none" w:sz="0" w:space="0" w:color="auto"/>
        <w:bottom w:val="none" w:sz="0" w:space="0" w:color="auto"/>
        <w:right w:val="none" w:sz="0" w:space="0" w:color="auto"/>
      </w:divBdr>
    </w:div>
    <w:div w:id="254095574">
      <w:bodyDiv w:val="1"/>
      <w:marLeft w:val="0"/>
      <w:marRight w:val="0"/>
      <w:marTop w:val="0"/>
      <w:marBottom w:val="0"/>
      <w:divBdr>
        <w:top w:val="none" w:sz="0" w:space="0" w:color="auto"/>
        <w:left w:val="none" w:sz="0" w:space="0" w:color="auto"/>
        <w:bottom w:val="none" w:sz="0" w:space="0" w:color="auto"/>
        <w:right w:val="none" w:sz="0" w:space="0" w:color="auto"/>
      </w:divBdr>
    </w:div>
    <w:div w:id="275910897">
      <w:bodyDiv w:val="1"/>
      <w:marLeft w:val="0"/>
      <w:marRight w:val="0"/>
      <w:marTop w:val="0"/>
      <w:marBottom w:val="0"/>
      <w:divBdr>
        <w:top w:val="none" w:sz="0" w:space="0" w:color="auto"/>
        <w:left w:val="none" w:sz="0" w:space="0" w:color="auto"/>
        <w:bottom w:val="none" w:sz="0" w:space="0" w:color="auto"/>
        <w:right w:val="none" w:sz="0" w:space="0" w:color="auto"/>
      </w:divBdr>
      <w:divsChild>
        <w:div w:id="450709236">
          <w:marLeft w:val="274"/>
          <w:marRight w:val="0"/>
          <w:marTop w:val="0"/>
          <w:marBottom w:val="40"/>
          <w:divBdr>
            <w:top w:val="none" w:sz="0" w:space="0" w:color="auto"/>
            <w:left w:val="none" w:sz="0" w:space="0" w:color="auto"/>
            <w:bottom w:val="none" w:sz="0" w:space="0" w:color="auto"/>
            <w:right w:val="none" w:sz="0" w:space="0" w:color="auto"/>
          </w:divBdr>
        </w:div>
      </w:divsChild>
    </w:div>
    <w:div w:id="337124576">
      <w:bodyDiv w:val="1"/>
      <w:marLeft w:val="0"/>
      <w:marRight w:val="0"/>
      <w:marTop w:val="0"/>
      <w:marBottom w:val="0"/>
      <w:divBdr>
        <w:top w:val="none" w:sz="0" w:space="0" w:color="auto"/>
        <w:left w:val="none" w:sz="0" w:space="0" w:color="auto"/>
        <w:bottom w:val="none" w:sz="0" w:space="0" w:color="auto"/>
        <w:right w:val="none" w:sz="0" w:space="0" w:color="auto"/>
      </w:divBdr>
    </w:div>
    <w:div w:id="341511785">
      <w:bodyDiv w:val="1"/>
      <w:marLeft w:val="0"/>
      <w:marRight w:val="0"/>
      <w:marTop w:val="0"/>
      <w:marBottom w:val="0"/>
      <w:divBdr>
        <w:top w:val="none" w:sz="0" w:space="0" w:color="auto"/>
        <w:left w:val="none" w:sz="0" w:space="0" w:color="auto"/>
        <w:bottom w:val="none" w:sz="0" w:space="0" w:color="auto"/>
        <w:right w:val="none" w:sz="0" w:space="0" w:color="auto"/>
      </w:divBdr>
    </w:div>
    <w:div w:id="341855904">
      <w:bodyDiv w:val="1"/>
      <w:marLeft w:val="0"/>
      <w:marRight w:val="0"/>
      <w:marTop w:val="0"/>
      <w:marBottom w:val="0"/>
      <w:divBdr>
        <w:top w:val="none" w:sz="0" w:space="0" w:color="auto"/>
        <w:left w:val="none" w:sz="0" w:space="0" w:color="auto"/>
        <w:bottom w:val="none" w:sz="0" w:space="0" w:color="auto"/>
        <w:right w:val="none" w:sz="0" w:space="0" w:color="auto"/>
      </w:divBdr>
      <w:divsChild>
        <w:div w:id="90515369">
          <w:marLeft w:val="274"/>
          <w:marRight w:val="0"/>
          <w:marTop w:val="0"/>
          <w:marBottom w:val="120"/>
          <w:divBdr>
            <w:top w:val="none" w:sz="0" w:space="0" w:color="auto"/>
            <w:left w:val="none" w:sz="0" w:space="0" w:color="auto"/>
            <w:bottom w:val="none" w:sz="0" w:space="0" w:color="auto"/>
            <w:right w:val="none" w:sz="0" w:space="0" w:color="auto"/>
          </w:divBdr>
        </w:div>
        <w:div w:id="464543804">
          <w:marLeft w:val="274"/>
          <w:marRight w:val="0"/>
          <w:marTop w:val="0"/>
          <w:marBottom w:val="120"/>
          <w:divBdr>
            <w:top w:val="none" w:sz="0" w:space="0" w:color="auto"/>
            <w:left w:val="none" w:sz="0" w:space="0" w:color="auto"/>
            <w:bottom w:val="none" w:sz="0" w:space="0" w:color="auto"/>
            <w:right w:val="none" w:sz="0" w:space="0" w:color="auto"/>
          </w:divBdr>
        </w:div>
        <w:div w:id="741366858">
          <w:marLeft w:val="274"/>
          <w:marRight w:val="0"/>
          <w:marTop w:val="0"/>
          <w:marBottom w:val="120"/>
          <w:divBdr>
            <w:top w:val="none" w:sz="0" w:space="0" w:color="auto"/>
            <w:left w:val="none" w:sz="0" w:space="0" w:color="auto"/>
            <w:bottom w:val="none" w:sz="0" w:space="0" w:color="auto"/>
            <w:right w:val="none" w:sz="0" w:space="0" w:color="auto"/>
          </w:divBdr>
        </w:div>
        <w:div w:id="931399862">
          <w:marLeft w:val="274"/>
          <w:marRight w:val="0"/>
          <w:marTop w:val="0"/>
          <w:marBottom w:val="120"/>
          <w:divBdr>
            <w:top w:val="none" w:sz="0" w:space="0" w:color="auto"/>
            <w:left w:val="none" w:sz="0" w:space="0" w:color="auto"/>
            <w:bottom w:val="none" w:sz="0" w:space="0" w:color="auto"/>
            <w:right w:val="none" w:sz="0" w:space="0" w:color="auto"/>
          </w:divBdr>
        </w:div>
      </w:divsChild>
    </w:div>
    <w:div w:id="349920502">
      <w:bodyDiv w:val="1"/>
      <w:marLeft w:val="0"/>
      <w:marRight w:val="0"/>
      <w:marTop w:val="0"/>
      <w:marBottom w:val="0"/>
      <w:divBdr>
        <w:top w:val="none" w:sz="0" w:space="0" w:color="auto"/>
        <w:left w:val="none" w:sz="0" w:space="0" w:color="auto"/>
        <w:bottom w:val="none" w:sz="0" w:space="0" w:color="auto"/>
        <w:right w:val="none" w:sz="0" w:space="0" w:color="auto"/>
      </w:divBdr>
      <w:divsChild>
        <w:div w:id="458839362">
          <w:marLeft w:val="274"/>
          <w:marRight w:val="0"/>
          <w:marTop w:val="0"/>
          <w:marBottom w:val="40"/>
          <w:divBdr>
            <w:top w:val="none" w:sz="0" w:space="0" w:color="auto"/>
            <w:left w:val="none" w:sz="0" w:space="0" w:color="auto"/>
            <w:bottom w:val="none" w:sz="0" w:space="0" w:color="auto"/>
            <w:right w:val="none" w:sz="0" w:space="0" w:color="auto"/>
          </w:divBdr>
        </w:div>
        <w:div w:id="516818306">
          <w:marLeft w:val="274"/>
          <w:marRight w:val="0"/>
          <w:marTop w:val="0"/>
          <w:marBottom w:val="40"/>
          <w:divBdr>
            <w:top w:val="none" w:sz="0" w:space="0" w:color="auto"/>
            <w:left w:val="none" w:sz="0" w:space="0" w:color="auto"/>
            <w:bottom w:val="none" w:sz="0" w:space="0" w:color="auto"/>
            <w:right w:val="none" w:sz="0" w:space="0" w:color="auto"/>
          </w:divBdr>
        </w:div>
        <w:div w:id="1188064885">
          <w:marLeft w:val="274"/>
          <w:marRight w:val="0"/>
          <w:marTop w:val="0"/>
          <w:marBottom w:val="40"/>
          <w:divBdr>
            <w:top w:val="none" w:sz="0" w:space="0" w:color="auto"/>
            <w:left w:val="none" w:sz="0" w:space="0" w:color="auto"/>
            <w:bottom w:val="none" w:sz="0" w:space="0" w:color="auto"/>
            <w:right w:val="none" w:sz="0" w:space="0" w:color="auto"/>
          </w:divBdr>
        </w:div>
        <w:div w:id="1706444946">
          <w:marLeft w:val="274"/>
          <w:marRight w:val="0"/>
          <w:marTop w:val="0"/>
          <w:marBottom w:val="40"/>
          <w:divBdr>
            <w:top w:val="none" w:sz="0" w:space="0" w:color="auto"/>
            <w:left w:val="none" w:sz="0" w:space="0" w:color="auto"/>
            <w:bottom w:val="none" w:sz="0" w:space="0" w:color="auto"/>
            <w:right w:val="none" w:sz="0" w:space="0" w:color="auto"/>
          </w:divBdr>
        </w:div>
      </w:divsChild>
    </w:div>
    <w:div w:id="352804123">
      <w:bodyDiv w:val="1"/>
      <w:marLeft w:val="0"/>
      <w:marRight w:val="0"/>
      <w:marTop w:val="0"/>
      <w:marBottom w:val="0"/>
      <w:divBdr>
        <w:top w:val="none" w:sz="0" w:space="0" w:color="auto"/>
        <w:left w:val="none" w:sz="0" w:space="0" w:color="auto"/>
        <w:bottom w:val="none" w:sz="0" w:space="0" w:color="auto"/>
        <w:right w:val="none" w:sz="0" w:space="0" w:color="auto"/>
      </w:divBdr>
      <w:divsChild>
        <w:div w:id="1081677522">
          <w:marLeft w:val="547"/>
          <w:marRight w:val="0"/>
          <w:marTop w:val="0"/>
          <w:marBottom w:val="0"/>
          <w:divBdr>
            <w:top w:val="none" w:sz="0" w:space="0" w:color="auto"/>
            <w:left w:val="none" w:sz="0" w:space="0" w:color="auto"/>
            <w:bottom w:val="none" w:sz="0" w:space="0" w:color="auto"/>
            <w:right w:val="none" w:sz="0" w:space="0" w:color="auto"/>
          </w:divBdr>
        </w:div>
      </w:divsChild>
    </w:div>
    <w:div w:id="357122738">
      <w:bodyDiv w:val="1"/>
      <w:marLeft w:val="0"/>
      <w:marRight w:val="0"/>
      <w:marTop w:val="0"/>
      <w:marBottom w:val="0"/>
      <w:divBdr>
        <w:top w:val="none" w:sz="0" w:space="0" w:color="auto"/>
        <w:left w:val="none" w:sz="0" w:space="0" w:color="auto"/>
        <w:bottom w:val="none" w:sz="0" w:space="0" w:color="auto"/>
        <w:right w:val="none" w:sz="0" w:space="0" w:color="auto"/>
      </w:divBdr>
      <w:divsChild>
        <w:div w:id="682440725">
          <w:marLeft w:val="360"/>
          <w:marRight w:val="0"/>
          <w:marTop w:val="0"/>
          <w:marBottom w:val="40"/>
          <w:divBdr>
            <w:top w:val="none" w:sz="0" w:space="0" w:color="auto"/>
            <w:left w:val="none" w:sz="0" w:space="0" w:color="auto"/>
            <w:bottom w:val="none" w:sz="0" w:space="0" w:color="auto"/>
            <w:right w:val="none" w:sz="0" w:space="0" w:color="auto"/>
          </w:divBdr>
        </w:div>
      </w:divsChild>
    </w:div>
    <w:div w:id="373968579">
      <w:bodyDiv w:val="1"/>
      <w:marLeft w:val="0"/>
      <w:marRight w:val="0"/>
      <w:marTop w:val="0"/>
      <w:marBottom w:val="0"/>
      <w:divBdr>
        <w:top w:val="none" w:sz="0" w:space="0" w:color="auto"/>
        <w:left w:val="none" w:sz="0" w:space="0" w:color="auto"/>
        <w:bottom w:val="none" w:sz="0" w:space="0" w:color="auto"/>
        <w:right w:val="none" w:sz="0" w:space="0" w:color="auto"/>
      </w:divBdr>
      <w:divsChild>
        <w:div w:id="1792557351">
          <w:marLeft w:val="274"/>
          <w:marRight w:val="0"/>
          <w:marTop w:val="0"/>
          <w:marBottom w:val="40"/>
          <w:divBdr>
            <w:top w:val="none" w:sz="0" w:space="0" w:color="auto"/>
            <w:left w:val="none" w:sz="0" w:space="0" w:color="auto"/>
            <w:bottom w:val="none" w:sz="0" w:space="0" w:color="auto"/>
            <w:right w:val="none" w:sz="0" w:space="0" w:color="auto"/>
          </w:divBdr>
        </w:div>
      </w:divsChild>
    </w:div>
    <w:div w:id="419376988">
      <w:bodyDiv w:val="1"/>
      <w:marLeft w:val="0"/>
      <w:marRight w:val="0"/>
      <w:marTop w:val="0"/>
      <w:marBottom w:val="0"/>
      <w:divBdr>
        <w:top w:val="none" w:sz="0" w:space="0" w:color="auto"/>
        <w:left w:val="none" w:sz="0" w:space="0" w:color="auto"/>
        <w:bottom w:val="none" w:sz="0" w:space="0" w:color="auto"/>
        <w:right w:val="none" w:sz="0" w:space="0" w:color="auto"/>
      </w:divBdr>
    </w:div>
    <w:div w:id="444815754">
      <w:bodyDiv w:val="1"/>
      <w:marLeft w:val="0"/>
      <w:marRight w:val="0"/>
      <w:marTop w:val="0"/>
      <w:marBottom w:val="0"/>
      <w:divBdr>
        <w:top w:val="none" w:sz="0" w:space="0" w:color="auto"/>
        <w:left w:val="none" w:sz="0" w:space="0" w:color="auto"/>
        <w:bottom w:val="none" w:sz="0" w:space="0" w:color="auto"/>
        <w:right w:val="none" w:sz="0" w:space="0" w:color="auto"/>
      </w:divBdr>
      <w:divsChild>
        <w:div w:id="538782317">
          <w:marLeft w:val="706"/>
          <w:marRight w:val="0"/>
          <w:marTop w:val="0"/>
          <w:marBottom w:val="40"/>
          <w:divBdr>
            <w:top w:val="none" w:sz="0" w:space="0" w:color="auto"/>
            <w:left w:val="none" w:sz="0" w:space="0" w:color="auto"/>
            <w:bottom w:val="none" w:sz="0" w:space="0" w:color="auto"/>
            <w:right w:val="none" w:sz="0" w:space="0" w:color="auto"/>
          </w:divBdr>
        </w:div>
        <w:div w:id="591276305">
          <w:marLeft w:val="360"/>
          <w:marRight w:val="0"/>
          <w:marTop w:val="0"/>
          <w:marBottom w:val="40"/>
          <w:divBdr>
            <w:top w:val="none" w:sz="0" w:space="0" w:color="auto"/>
            <w:left w:val="none" w:sz="0" w:space="0" w:color="auto"/>
            <w:bottom w:val="none" w:sz="0" w:space="0" w:color="auto"/>
            <w:right w:val="none" w:sz="0" w:space="0" w:color="auto"/>
          </w:divBdr>
        </w:div>
        <w:div w:id="1370764696">
          <w:marLeft w:val="706"/>
          <w:marRight w:val="0"/>
          <w:marTop w:val="0"/>
          <w:marBottom w:val="40"/>
          <w:divBdr>
            <w:top w:val="none" w:sz="0" w:space="0" w:color="auto"/>
            <w:left w:val="none" w:sz="0" w:space="0" w:color="auto"/>
            <w:bottom w:val="none" w:sz="0" w:space="0" w:color="auto"/>
            <w:right w:val="none" w:sz="0" w:space="0" w:color="auto"/>
          </w:divBdr>
        </w:div>
      </w:divsChild>
    </w:div>
    <w:div w:id="455147657">
      <w:bodyDiv w:val="1"/>
      <w:marLeft w:val="0"/>
      <w:marRight w:val="0"/>
      <w:marTop w:val="0"/>
      <w:marBottom w:val="0"/>
      <w:divBdr>
        <w:top w:val="none" w:sz="0" w:space="0" w:color="auto"/>
        <w:left w:val="none" w:sz="0" w:space="0" w:color="auto"/>
        <w:bottom w:val="none" w:sz="0" w:space="0" w:color="auto"/>
        <w:right w:val="none" w:sz="0" w:space="0" w:color="auto"/>
      </w:divBdr>
      <w:divsChild>
        <w:div w:id="632642297">
          <w:marLeft w:val="274"/>
          <w:marRight w:val="0"/>
          <w:marTop w:val="0"/>
          <w:marBottom w:val="120"/>
          <w:divBdr>
            <w:top w:val="none" w:sz="0" w:space="0" w:color="auto"/>
            <w:left w:val="none" w:sz="0" w:space="0" w:color="auto"/>
            <w:bottom w:val="none" w:sz="0" w:space="0" w:color="auto"/>
            <w:right w:val="none" w:sz="0" w:space="0" w:color="auto"/>
          </w:divBdr>
        </w:div>
        <w:div w:id="1237397938">
          <w:marLeft w:val="274"/>
          <w:marRight w:val="0"/>
          <w:marTop w:val="0"/>
          <w:marBottom w:val="120"/>
          <w:divBdr>
            <w:top w:val="none" w:sz="0" w:space="0" w:color="auto"/>
            <w:left w:val="none" w:sz="0" w:space="0" w:color="auto"/>
            <w:bottom w:val="none" w:sz="0" w:space="0" w:color="auto"/>
            <w:right w:val="none" w:sz="0" w:space="0" w:color="auto"/>
          </w:divBdr>
        </w:div>
        <w:div w:id="1427580058">
          <w:marLeft w:val="274"/>
          <w:marRight w:val="0"/>
          <w:marTop w:val="0"/>
          <w:marBottom w:val="120"/>
          <w:divBdr>
            <w:top w:val="none" w:sz="0" w:space="0" w:color="auto"/>
            <w:left w:val="none" w:sz="0" w:space="0" w:color="auto"/>
            <w:bottom w:val="none" w:sz="0" w:space="0" w:color="auto"/>
            <w:right w:val="none" w:sz="0" w:space="0" w:color="auto"/>
          </w:divBdr>
        </w:div>
        <w:div w:id="1858083070">
          <w:marLeft w:val="274"/>
          <w:marRight w:val="0"/>
          <w:marTop w:val="0"/>
          <w:marBottom w:val="120"/>
          <w:divBdr>
            <w:top w:val="none" w:sz="0" w:space="0" w:color="auto"/>
            <w:left w:val="none" w:sz="0" w:space="0" w:color="auto"/>
            <w:bottom w:val="none" w:sz="0" w:space="0" w:color="auto"/>
            <w:right w:val="none" w:sz="0" w:space="0" w:color="auto"/>
          </w:divBdr>
        </w:div>
      </w:divsChild>
    </w:div>
    <w:div w:id="458302215">
      <w:bodyDiv w:val="1"/>
      <w:marLeft w:val="0"/>
      <w:marRight w:val="0"/>
      <w:marTop w:val="0"/>
      <w:marBottom w:val="0"/>
      <w:divBdr>
        <w:top w:val="none" w:sz="0" w:space="0" w:color="auto"/>
        <w:left w:val="none" w:sz="0" w:space="0" w:color="auto"/>
        <w:bottom w:val="none" w:sz="0" w:space="0" w:color="auto"/>
        <w:right w:val="none" w:sz="0" w:space="0" w:color="auto"/>
      </w:divBdr>
    </w:div>
    <w:div w:id="497503274">
      <w:bodyDiv w:val="1"/>
      <w:marLeft w:val="0"/>
      <w:marRight w:val="0"/>
      <w:marTop w:val="0"/>
      <w:marBottom w:val="0"/>
      <w:divBdr>
        <w:top w:val="none" w:sz="0" w:space="0" w:color="auto"/>
        <w:left w:val="none" w:sz="0" w:space="0" w:color="auto"/>
        <w:bottom w:val="none" w:sz="0" w:space="0" w:color="auto"/>
        <w:right w:val="none" w:sz="0" w:space="0" w:color="auto"/>
      </w:divBdr>
    </w:div>
    <w:div w:id="501891197">
      <w:bodyDiv w:val="1"/>
      <w:marLeft w:val="0"/>
      <w:marRight w:val="0"/>
      <w:marTop w:val="0"/>
      <w:marBottom w:val="0"/>
      <w:divBdr>
        <w:top w:val="none" w:sz="0" w:space="0" w:color="auto"/>
        <w:left w:val="none" w:sz="0" w:space="0" w:color="auto"/>
        <w:bottom w:val="none" w:sz="0" w:space="0" w:color="auto"/>
        <w:right w:val="none" w:sz="0" w:space="0" w:color="auto"/>
      </w:divBdr>
    </w:div>
    <w:div w:id="514346588">
      <w:bodyDiv w:val="1"/>
      <w:marLeft w:val="0"/>
      <w:marRight w:val="0"/>
      <w:marTop w:val="0"/>
      <w:marBottom w:val="0"/>
      <w:divBdr>
        <w:top w:val="none" w:sz="0" w:space="0" w:color="auto"/>
        <w:left w:val="none" w:sz="0" w:space="0" w:color="auto"/>
        <w:bottom w:val="none" w:sz="0" w:space="0" w:color="auto"/>
        <w:right w:val="none" w:sz="0" w:space="0" w:color="auto"/>
      </w:divBdr>
      <w:divsChild>
        <w:div w:id="1005522571">
          <w:marLeft w:val="288"/>
          <w:marRight w:val="0"/>
          <w:marTop w:val="0"/>
          <w:marBottom w:val="120"/>
          <w:divBdr>
            <w:top w:val="none" w:sz="0" w:space="0" w:color="auto"/>
            <w:left w:val="none" w:sz="0" w:space="0" w:color="auto"/>
            <w:bottom w:val="none" w:sz="0" w:space="0" w:color="auto"/>
            <w:right w:val="none" w:sz="0" w:space="0" w:color="auto"/>
          </w:divBdr>
        </w:div>
        <w:div w:id="2083024547">
          <w:marLeft w:val="288"/>
          <w:marRight w:val="0"/>
          <w:marTop w:val="0"/>
          <w:marBottom w:val="120"/>
          <w:divBdr>
            <w:top w:val="none" w:sz="0" w:space="0" w:color="auto"/>
            <w:left w:val="none" w:sz="0" w:space="0" w:color="auto"/>
            <w:bottom w:val="none" w:sz="0" w:space="0" w:color="auto"/>
            <w:right w:val="none" w:sz="0" w:space="0" w:color="auto"/>
          </w:divBdr>
        </w:div>
      </w:divsChild>
    </w:div>
    <w:div w:id="524489821">
      <w:bodyDiv w:val="1"/>
      <w:marLeft w:val="0"/>
      <w:marRight w:val="0"/>
      <w:marTop w:val="0"/>
      <w:marBottom w:val="0"/>
      <w:divBdr>
        <w:top w:val="none" w:sz="0" w:space="0" w:color="auto"/>
        <w:left w:val="none" w:sz="0" w:space="0" w:color="auto"/>
        <w:bottom w:val="none" w:sz="0" w:space="0" w:color="auto"/>
        <w:right w:val="none" w:sz="0" w:space="0" w:color="auto"/>
      </w:divBdr>
    </w:div>
    <w:div w:id="528875870">
      <w:bodyDiv w:val="1"/>
      <w:marLeft w:val="0"/>
      <w:marRight w:val="0"/>
      <w:marTop w:val="0"/>
      <w:marBottom w:val="0"/>
      <w:divBdr>
        <w:top w:val="none" w:sz="0" w:space="0" w:color="auto"/>
        <w:left w:val="none" w:sz="0" w:space="0" w:color="auto"/>
        <w:bottom w:val="none" w:sz="0" w:space="0" w:color="auto"/>
        <w:right w:val="none" w:sz="0" w:space="0" w:color="auto"/>
      </w:divBdr>
    </w:div>
    <w:div w:id="537007518">
      <w:bodyDiv w:val="1"/>
      <w:marLeft w:val="0"/>
      <w:marRight w:val="0"/>
      <w:marTop w:val="0"/>
      <w:marBottom w:val="0"/>
      <w:divBdr>
        <w:top w:val="none" w:sz="0" w:space="0" w:color="auto"/>
        <w:left w:val="none" w:sz="0" w:space="0" w:color="auto"/>
        <w:bottom w:val="none" w:sz="0" w:space="0" w:color="auto"/>
        <w:right w:val="none" w:sz="0" w:space="0" w:color="auto"/>
      </w:divBdr>
      <w:divsChild>
        <w:div w:id="496724786">
          <w:marLeft w:val="274"/>
          <w:marRight w:val="0"/>
          <w:marTop w:val="0"/>
          <w:marBottom w:val="120"/>
          <w:divBdr>
            <w:top w:val="none" w:sz="0" w:space="0" w:color="auto"/>
            <w:left w:val="none" w:sz="0" w:space="0" w:color="auto"/>
            <w:bottom w:val="none" w:sz="0" w:space="0" w:color="auto"/>
            <w:right w:val="none" w:sz="0" w:space="0" w:color="auto"/>
          </w:divBdr>
        </w:div>
        <w:div w:id="1398431912">
          <w:marLeft w:val="274"/>
          <w:marRight w:val="0"/>
          <w:marTop w:val="0"/>
          <w:marBottom w:val="120"/>
          <w:divBdr>
            <w:top w:val="none" w:sz="0" w:space="0" w:color="auto"/>
            <w:left w:val="none" w:sz="0" w:space="0" w:color="auto"/>
            <w:bottom w:val="none" w:sz="0" w:space="0" w:color="auto"/>
            <w:right w:val="none" w:sz="0" w:space="0" w:color="auto"/>
          </w:divBdr>
        </w:div>
        <w:div w:id="1785924124">
          <w:marLeft w:val="274"/>
          <w:marRight w:val="0"/>
          <w:marTop w:val="0"/>
          <w:marBottom w:val="120"/>
          <w:divBdr>
            <w:top w:val="none" w:sz="0" w:space="0" w:color="auto"/>
            <w:left w:val="none" w:sz="0" w:space="0" w:color="auto"/>
            <w:bottom w:val="none" w:sz="0" w:space="0" w:color="auto"/>
            <w:right w:val="none" w:sz="0" w:space="0" w:color="auto"/>
          </w:divBdr>
        </w:div>
      </w:divsChild>
    </w:div>
    <w:div w:id="547182716">
      <w:bodyDiv w:val="1"/>
      <w:marLeft w:val="0"/>
      <w:marRight w:val="0"/>
      <w:marTop w:val="0"/>
      <w:marBottom w:val="0"/>
      <w:divBdr>
        <w:top w:val="none" w:sz="0" w:space="0" w:color="auto"/>
        <w:left w:val="none" w:sz="0" w:space="0" w:color="auto"/>
        <w:bottom w:val="none" w:sz="0" w:space="0" w:color="auto"/>
        <w:right w:val="none" w:sz="0" w:space="0" w:color="auto"/>
      </w:divBdr>
    </w:div>
    <w:div w:id="552691151">
      <w:bodyDiv w:val="1"/>
      <w:marLeft w:val="0"/>
      <w:marRight w:val="0"/>
      <w:marTop w:val="0"/>
      <w:marBottom w:val="0"/>
      <w:divBdr>
        <w:top w:val="none" w:sz="0" w:space="0" w:color="auto"/>
        <w:left w:val="none" w:sz="0" w:space="0" w:color="auto"/>
        <w:bottom w:val="none" w:sz="0" w:space="0" w:color="auto"/>
        <w:right w:val="none" w:sz="0" w:space="0" w:color="auto"/>
      </w:divBdr>
    </w:div>
    <w:div w:id="574777179">
      <w:bodyDiv w:val="1"/>
      <w:marLeft w:val="0"/>
      <w:marRight w:val="0"/>
      <w:marTop w:val="0"/>
      <w:marBottom w:val="0"/>
      <w:divBdr>
        <w:top w:val="none" w:sz="0" w:space="0" w:color="auto"/>
        <w:left w:val="none" w:sz="0" w:space="0" w:color="auto"/>
        <w:bottom w:val="none" w:sz="0" w:space="0" w:color="auto"/>
        <w:right w:val="none" w:sz="0" w:space="0" w:color="auto"/>
      </w:divBdr>
    </w:div>
    <w:div w:id="576744010">
      <w:bodyDiv w:val="1"/>
      <w:marLeft w:val="0"/>
      <w:marRight w:val="0"/>
      <w:marTop w:val="0"/>
      <w:marBottom w:val="0"/>
      <w:divBdr>
        <w:top w:val="none" w:sz="0" w:space="0" w:color="auto"/>
        <w:left w:val="none" w:sz="0" w:space="0" w:color="auto"/>
        <w:bottom w:val="none" w:sz="0" w:space="0" w:color="auto"/>
        <w:right w:val="none" w:sz="0" w:space="0" w:color="auto"/>
      </w:divBdr>
    </w:div>
    <w:div w:id="598949522">
      <w:bodyDiv w:val="1"/>
      <w:marLeft w:val="0"/>
      <w:marRight w:val="0"/>
      <w:marTop w:val="0"/>
      <w:marBottom w:val="0"/>
      <w:divBdr>
        <w:top w:val="none" w:sz="0" w:space="0" w:color="auto"/>
        <w:left w:val="none" w:sz="0" w:space="0" w:color="auto"/>
        <w:bottom w:val="none" w:sz="0" w:space="0" w:color="auto"/>
        <w:right w:val="none" w:sz="0" w:space="0" w:color="auto"/>
      </w:divBdr>
    </w:div>
    <w:div w:id="627509909">
      <w:bodyDiv w:val="1"/>
      <w:marLeft w:val="0"/>
      <w:marRight w:val="0"/>
      <w:marTop w:val="0"/>
      <w:marBottom w:val="0"/>
      <w:divBdr>
        <w:top w:val="none" w:sz="0" w:space="0" w:color="auto"/>
        <w:left w:val="none" w:sz="0" w:space="0" w:color="auto"/>
        <w:bottom w:val="none" w:sz="0" w:space="0" w:color="auto"/>
        <w:right w:val="none" w:sz="0" w:space="0" w:color="auto"/>
      </w:divBdr>
    </w:div>
    <w:div w:id="635794920">
      <w:bodyDiv w:val="1"/>
      <w:marLeft w:val="0"/>
      <w:marRight w:val="0"/>
      <w:marTop w:val="0"/>
      <w:marBottom w:val="0"/>
      <w:divBdr>
        <w:top w:val="none" w:sz="0" w:space="0" w:color="auto"/>
        <w:left w:val="none" w:sz="0" w:space="0" w:color="auto"/>
        <w:bottom w:val="none" w:sz="0" w:space="0" w:color="auto"/>
        <w:right w:val="none" w:sz="0" w:space="0" w:color="auto"/>
      </w:divBdr>
      <w:divsChild>
        <w:div w:id="1907256011">
          <w:marLeft w:val="274"/>
          <w:marRight w:val="0"/>
          <w:marTop w:val="0"/>
          <w:marBottom w:val="40"/>
          <w:divBdr>
            <w:top w:val="none" w:sz="0" w:space="0" w:color="auto"/>
            <w:left w:val="none" w:sz="0" w:space="0" w:color="auto"/>
            <w:bottom w:val="none" w:sz="0" w:space="0" w:color="auto"/>
            <w:right w:val="none" w:sz="0" w:space="0" w:color="auto"/>
          </w:divBdr>
        </w:div>
      </w:divsChild>
    </w:div>
    <w:div w:id="636179180">
      <w:bodyDiv w:val="1"/>
      <w:marLeft w:val="0"/>
      <w:marRight w:val="0"/>
      <w:marTop w:val="0"/>
      <w:marBottom w:val="0"/>
      <w:divBdr>
        <w:top w:val="none" w:sz="0" w:space="0" w:color="auto"/>
        <w:left w:val="none" w:sz="0" w:space="0" w:color="auto"/>
        <w:bottom w:val="none" w:sz="0" w:space="0" w:color="auto"/>
        <w:right w:val="none" w:sz="0" w:space="0" w:color="auto"/>
      </w:divBdr>
    </w:div>
    <w:div w:id="644429237">
      <w:bodyDiv w:val="1"/>
      <w:marLeft w:val="0"/>
      <w:marRight w:val="0"/>
      <w:marTop w:val="0"/>
      <w:marBottom w:val="0"/>
      <w:divBdr>
        <w:top w:val="none" w:sz="0" w:space="0" w:color="auto"/>
        <w:left w:val="none" w:sz="0" w:space="0" w:color="auto"/>
        <w:bottom w:val="none" w:sz="0" w:space="0" w:color="auto"/>
        <w:right w:val="none" w:sz="0" w:space="0" w:color="auto"/>
      </w:divBdr>
    </w:div>
    <w:div w:id="645863530">
      <w:bodyDiv w:val="1"/>
      <w:marLeft w:val="0"/>
      <w:marRight w:val="0"/>
      <w:marTop w:val="0"/>
      <w:marBottom w:val="0"/>
      <w:divBdr>
        <w:top w:val="none" w:sz="0" w:space="0" w:color="auto"/>
        <w:left w:val="none" w:sz="0" w:space="0" w:color="auto"/>
        <w:bottom w:val="none" w:sz="0" w:space="0" w:color="auto"/>
        <w:right w:val="none" w:sz="0" w:space="0" w:color="auto"/>
      </w:divBdr>
    </w:div>
    <w:div w:id="704060066">
      <w:bodyDiv w:val="1"/>
      <w:marLeft w:val="0"/>
      <w:marRight w:val="0"/>
      <w:marTop w:val="0"/>
      <w:marBottom w:val="0"/>
      <w:divBdr>
        <w:top w:val="none" w:sz="0" w:space="0" w:color="auto"/>
        <w:left w:val="none" w:sz="0" w:space="0" w:color="auto"/>
        <w:bottom w:val="none" w:sz="0" w:space="0" w:color="auto"/>
        <w:right w:val="none" w:sz="0" w:space="0" w:color="auto"/>
      </w:divBdr>
    </w:div>
    <w:div w:id="732431200">
      <w:bodyDiv w:val="1"/>
      <w:marLeft w:val="0"/>
      <w:marRight w:val="0"/>
      <w:marTop w:val="0"/>
      <w:marBottom w:val="0"/>
      <w:divBdr>
        <w:top w:val="none" w:sz="0" w:space="0" w:color="auto"/>
        <w:left w:val="none" w:sz="0" w:space="0" w:color="auto"/>
        <w:bottom w:val="none" w:sz="0" w:space="0" w:color="auto"/>
        <w:right w:val="none" w:sz="0" w:space="0" w:color="auto"/>
      </w:divBdr>
    </w:div>
    <w:div w:id="740252028">
      <w:bodyDiv w:val="1"/>
      <w:marLeft w:val="0"/>
      <w:marRight w:val="0"/>
      <w:marTop w:val="0"/>
      <w:marBottom w:val="0"/>
      <w:divBdr>
        <w:top w:val="none" w:sz="0" w:space="0" w:color="auto"/>
        <w:left w:val="none" w:sz="0" w:space="0" w:color="auto"/>
        <w:bottom w:val="none" w:sz="0" w:space="0" w:color="auto"/>
        <w:right w:val="none" w:sz="0" w:space="0" w:color="auto"/>
      </w:divBdr>
      <w:divsChild>
        <w:div w:id="1568689248">
          <w:marLeft w:val="562"/>
          <w:marRight w:val="0"/>
          <w:marTop w:val="0"/>
          <w:marBottom w:val="360"/>
          <w:divBdr>
            <w:top w:val="none" w:sz="0" w:space="0" w:color="auto"/>
            <w:left w:val="none" w:sz="0" w:space="0" w:color="auto"/>
            <w:bottom w:val="none" w:sz="0" w:space="0" w:color="auto"/>
            <w:right w:val="none" w:sz="0" w:space="0" w:color="auto"/>
          </w:divBdr>
        </w:div>
      </w:divsChild>
    </w:div>
    <w:div w:id="755321505">
      <w:bodyDiv w:val="1"/>
      <w:marLeft w:val="0"/>
      <w:marRight w:val="0"/>
      <w:marTop w:val="0"/>
      <w:marBottom w:val="0"/>
      <w:divBdr>
        <w:top w:val="none" w:sz="0" w:space="0" w:color="auto"/>
        <w:left w:val="none" w:sz="0" w:space="0" w:color="auto"/>
        <w:bottom w:val="none" w:sz="0" w:space="0" w:color="auto"/>
        <w:right w:val="none" w:sz="0" w:space="0" w:color="auto"/>
      </w:divBdr>
    </w:div>
    <w:div w:id="779840213">
      <w:bodyDiv w:val="1"/>
      <w:marLeft w:val="0"/>
      <w:marRight w:val="0"/>
      <w:marTop w:val="0"/>
      <w:marBottom w:val="0"/>
      <w:divBdr>
        <w:top w:val="none" w:sz="0" w:space="0" w:color="auto"/>
        <w:left w:val="none" w:sz="0" w:space="0" w:color="auto"/>
        <w:bottom w:val="none" w:sz="0" w:space="0" w:color="auto"/>
        <w:right w:val="none" w:sz="0" w:space="0" w:color="auto"/>
      </w:divBdr>
      <w:divsChild>
        <w:div w:id="1602108538">
          <w:marLeft w:val="274"/>
          <w:marRight w:val="0"/>
          <w:marTop w:val="0"/>
          <w:marBottom w:val="40"/>
          <w:divBdr>
            <w:top w:val="none" w:sz="0" w:space="0" w:color="auto"/>
            <w:left w:val="none" w:sz="0" w:space="0" w:color="auto"/>
            <w:bottom w:val="none" w:sz="0" w:space="0" w:color="auto"/>
            <w:right w:val="none" w:sz="0" w:space="0" w:color="auto"/>
          </w:divBdr>
        </w:div>
      </w:divsChild>
    </w:div>
    <w:div w:id="792789308">
      <w:bodyDiv w:val="1"/>
      <w:marLeft w:val="0"/>
      <w:marRight w:val="0"/>
      <w:marTop w:val="0"/>
      <w:marBottom w:val="0"/>
      <w:divBdr>
        <w:top w:val="none" w:sz="0" w:space="0" w:color="auto"/>
        <w:left w:val="none" w:sz="0" w:space="0" w:color="auto"/>
        <w:bottom w:val="none" w:sz="0" w:space="0" w:color="auto"/>
        <w:right w:val="none" w:sz="0" w:space="0" w:color="auto"/>
      </w:divBdr>
    </w:div>
    <w:div w:id="795173122">
      <w:bodyDiv w:val="1"/>
      <w:marLeft w:val="0"/>
      <w:marRight w:val="0"/>
      <w:marTop w:val="0"/>
      <w:marBottom w:val="0"/>
      <w:divBdr>
        <w:top w:val="none" w:sz="0" w:space="0" w:color="auto"/>
        <w:left w:val="none" w:sz="0" w:space="0" w:color="auto"/>
        <w:bottom w:val="none" w:sz="0" w:space="0" w:color="auto"/>
        <w:right w:val="none" w:sz="0" w:space="0" w:color="auto"/>
      </w:divBdr>
      <w:divsChild>
        <w:div w:id="666859680">
          <w:marLeft w:val="288"/>
          <w:marRight w:val="0"/>
          <w:marTop w:val="0"/>
          <w:marBottom w:val="120"/>
          <w:divBdr>
            <w:top w:val="none" w:sz="0" w:space="0" w:color="auto"/>
            <w:left w:val="none" w:sz="0" w:space="0" w:color="auto"/>
            <w:bottom w:val="none" w:sz="0" w:space="0" w:color="auto"/>
            <w:right w:val="none" w:sz="0" w:space="0" w:color="auto"/>
          </w:divBdr>
        </w:div>
        <w:div w:id="954290513">
          <w:marLeft w:val="288"/>
          <w:marRight w:val="0"/>
          <w:marTop w:val="0"/>
          <w:marBottom w:val="120"/>
          <w:divBdr>
            <w:top w:val="none" w:sz="0" w:space="0" w:color="auto"/>
            <w:left w:val="none" w:sz="0" w:space="0" w:color="auto"/>
            <w:bottom w:val="none" w:sz="0" w:space="0" w:color="auto"/>
            <w:right w:val="none" w:sz="0" w:space="0" w:color="auto"/>
          </w:divBdr>
        </w:div>
      </w:divsChild>
    </w:div>
    <w:div w:id="829903185">
      <w:bodyDiv w:val="1"/>
      <w:marLeft w:val="0"/>
      <w:marRight w:val="0"/>
      <w:marTop w:val="0"/>
      <w:marBottom w:val="0"/>
      <w:divBdr>
        <w:top w:val="none" w:sz="0" w:space="0" w:color="auto"/>
        <w:left w:val="none" w:sz="0" w:space="0" w:color="auto"/>
        <w:bottom w:val="none" w:sz="0" w:space="0" w:color="auto"/>
        <w:right w:val="none" w:sz="0" w:space="0" w:color="auto"/>
      </w:divBdr>
    </w:div>
    <w:div w:id="864245715">
      <w:bodyDiv w:val="1"/>
      <w:marLeft w:val="0"/>
      <w:marRight w:val="0"/>
      <w:marTop w:val="0"/>
      <w:marBottom w:val="0"/>
      <w:divBdr>
        <w:top w:val="none" w:sz="0" w:space="0" w:color="auto"/>
        <w:left w:val="none" w:sz="0" w:space="0" w:color="auto"/>
        <w:bottom w:val="none" w:sz="0" w:space="0" w:color="auto"/>
        <w:right w:val="none" w:sz="0" w:space="0" w:color="auto"/>
      </w:divBdr>
    </w:div>
    <w:div w:id="864371718">
      <w:bodyDiv w:val="1"/>
      <w:marLeft w:val="0"/>
      <w:marRight w:val="0"/>
      <w:marTop w:val="0"/>
      <w:marBottom w:val="0"/>
      <w:divBdr>
        <w:top w:val="none" w:sz="0" w:space="0" w:color="auto"/>
        <w:left w:val="none" w:sz="0" w:space="0" w:color="auto"/>
        <w:bottom w:val="none" w:sz="0" w:space="0" w:color="auto"/>
        <w:right w:val="none" w:sz="0" w:space="0" w:color="auto"/>
      </w:divBdr>
      <w:divsChild>
        <w:div w:id="60760171">
          <w:marLeft w:val="274"/>
          <w:marRight w:val="0"/>
          <w:marTop w:val="0"/>
          <w:marBottom w:val="40"/>
          <w:divBdr>
            <w:top w:val="none" w:sz="0" w:space="0" w:color="auto"/>
            <w:left w:val="none" w:sz="0" w:space="0" w:color="auto"/>
            <w:bottom w:val="none" w:sz="0" w:space="0" w:color="auto"/>
            <w:right w:val="none" w:sz="0" w:space="0" w:color="auto"/>
          </w:divBdr>
        </w:div>
      </w:divsChild>
    </w:div>
    <w:div w:id="890075380">
      <w:bodyDiv w:val="1"/>
      <w:marLeft w:val="0"/>
      <w:marRight w:val="0"/>
      <w:marTop w:val="0"/>
      <w:marBottom w:val="0"/>
      <w:divBdr>
        <w:top w:val="none" w:sz="0" w:space="0" w:color="auto"/>
        <w:left w:val="none" w:sz="0" w:space="0" w:color="auto"/>
        <w:bottom w:val="none" w:sz="0" w:space="0" w:color="auto"/>
        <w:right w:val="none" w:sz="0" w:space="0" w:color="auto"/>
      </w:divBdr>
      <w:divsChild>
        <w:div w:id="1009524116">
          <w:marLeft w:val="562"/>
          <w:marRight w:val="0"/>
          <w:marTop w:val="0"/>
          <w:marBottom w:val="360"/>
          <w:divBdr>
            <w:top w:val="none" w:sz="0" w:space="0" w:color="auto"/>
            <w:left w:val="none" w:sz="0" w:space="0" w:color="auto"/>
            <w:bottom w:val="none" w:sz="0" w:space="0" w:color="auto"/>
            <w:right w:val="none" w:sz="0" w:space="0" w:color="auto"/>
          </w:divBdr>
        </w:div>
      </w:divsChild>
    </w:div>
    <w:div w:id="894201856">
      <w:bodyDiv w:val="1"/>
      <w:marLeft w:val="0"/>
      <w:marRight w:val="0"/>
      <w:marTop w:val="0"/>
      <w:marBottom w:val="0"/>
      <w:divBdr>
        <w:top w:val="none" w:sz="0" w:space="0" w:color="auto"/>
        <w:left w:val="none" w:sz="0" w:space="0" w:color="auto"/>
        <w:bottom w:val="none" w:sz="0" w:space="0" w:color="auto"/>
        <w:right w:val="none" w:sz="0" w:space="0" w:color="auto"/>
      </w:divBdr>
    </w:div>
    <w:div w:id="897327836">
      <w:bodyDiv w:val="1"/>
      <w:marLeft w:val="0"/>
      <w:marRight w:val="0"/>
      <w:marTop w:val="0"/>
      <w:marBottom w:val="0"/>
      <w:divBdr>
        <w:top w:val="none" w:sz="0" w:space="0" w:color="auto"/>
        <w:left w:val="none" w:sz="0" w:space="0" w:color="auto"/>
        <w:bottom w:val="none" w:sz="0" w:space="0" w:color="auto"/>
        <w:right w:val="none" w:sz="0" w:space="0" w:color="auto"/>
      </w:divBdr>
      <w:divsChild>
        <w:div w:id="58478045">
          <w:marLeft w:val="274"/>
          <w:marRight w:val="0"/>
          <w:marTop w:val="0"/>
          <w:marBottom w:val="40"/>
          <w:divBdr>
            <w:top w:val="none" w:sz="0" w:space="0" w:color="auto"/>
            <w:left w:val="none" w:sz="0" w:space="0" w:color="auto"/>
            <w:bottom w:val="none" w:sz="0" w:space="0" w:color="auto"/>
            <w:right w:val="none" w:sz="0" w:space="0" w:color="auto"/>
          </w:divBdr>
        </w:div>
      </w:divsChild>
    </w:div>
    <w:div w:id="923341425">
      <w:bodyDiv w:val="1"/>
      <w:marLeft w:val="0"/>
      <w:marRight w:val="0"/>
      <w:marTop w:val="0"/>
      <w:marBottom w:val="0"/>
      <w:divBdr>
        <w:top w:val="none" w:sz="0" w:space="0" w:color="auto"/>
        <w:left w:val="none" w:sz="0" w:space="0" w:color="auto"/>
        <w:bottom w:val="none" w:sz="0" w:space="0" w:color="auto"/>
        <w:right w:val="none" w:sz="0" w:space="0" w:color="auto"/>
      </w:divBdr>
      <w:divsChild>
        <w:div w:id="155651192">
          <w:marLeft w:val="547"/>
          <w:marRight w:val="0"/>
          <w:marTop w:val="0"/>
          <w:marBottom w:val="0"/>
          <w:divBdr>
            <w:top w:val="none" w:sz="0" w:space="0" w:color="auto"/>
            <w:left w:val="none" w:sz="0" w:space="0" w:color="auto"/>
            <w:bottom w:val="none" w:sz="0" w:space="0" w:color="auto"/>
            <w:right w:val="none" w:sz="0" w:space="0" w:color="auto"/>
          </w:divBdr>
        </w:div>
        <w:div w:id="1387028333">
          <w:marLeft w:val="547"/>
          <w:marRight w:val="0"/>
          <w:marTop w:val="0"/>
          <w:marBottom w:val="0"/>
          <w:divBdr>
            <w:top w:val="none" w:sz="0" w:space="0" w:color="auto"/>
            <w:left w:val="none" w:sz="0" w:space="0" w:color="auto"/>
            <w:bottom w:val="none" w:sz="0" w:space="0" w:color="auto"/>
            <w:right w:val="none" w:sz="0" w:space="0" w:color="auto"/>
          </w:divBdr>
        </w:div>
        <w:div w:id="1416825334">
          <w:marLeft w:val="547"/>
          <w:marRight w:val="0"/>
          <w:marTop w:val="0"/>
          <w:marBottom w:val="0"/>
          <w:divBdr>
            <w:top w:val="none" w:sz="0" w:space="0" w:color="auto"/>
            <w:left w:val="none" w:sz="0" w:space="0" w:color="auto"/>
            <w:bottom w:val="none" w:sz="0" w:space="0" w:color="auto"/>
            <w:right w:val="none" w:sz="0" w:space="0" w:color="auto"/>
          </w:divBdr>
        </w:div>
        <w:div w:id="1624071789">
          <w:marLeft w:val="547"/>
          <w:marRight w:val="0"/>
          <w:marTop w:val="0"/>
          <w:marBottom w:val="0"/>
          <w:divBdr>
            <w:top w:val="none" w:sz="0" w:space="0" w:color="auto"/>
            <w:left w:val="none" w:sz="0" w:space="0" w:color="auto"/>
            <w:bottom w:val="none" w:sz="0" w:space="0" w:color="auto"/>
            <w:right w:val="none" w:sz="0" w:space="0" w:color="auto"/>
          </w:divBdr>
        </w:div>
        <w:div w:id="1625192251">
          <w:marLeft w:val="547"/>
          <w:marRight w:val="0"/>
          <w:marTop w:val="0"/>
          <w:marBottom w:val="0"/>
          <w:divBdr>
            <w:top w:val="none" w:sz="0" w:space="0" w:color="auto"/>
            <w:left w:val="none" w:sz="0" w:space="0" w:color="auto"/>
            <w:bottom w:val="none" w:sz="0" w:space="0" w:color="auto"/>
            <w:right w:val="none" w:sz="0" w:space="0" w:color="auto"/>
          </w:divBdr>
        </w:div>
      </w:divsChild>
    </w:div>
    <w:div w:id="930309215">
      <w:bodyDiv w:val="1"/>
      <w:marLeft w:val="0"/>
      <w:marRight w:val="0"/>
      <w:marTop w:val="0"/>
      <w:marBottom w:val="0"/>
      <w:divBdr>
        <w:top w:val="none" w:sz="0" w:space="0" w:color="auto"/>
        <w:left w:val="none" w:sz="0" w:space="0" w:color="auto"/>
        <w:bottom w:val="none" w:sz="0" w:space="0" w:color="auto"/>
        <w:right w:val="none" w:sz="0" w:space="0" w:color="auto"/>
      </w:divBdr>
      <w:divsChild>
        <w:div w:id="636958468">
          <w:marLeft w:val="0"/>
          <w:marRight w:val="0"/>
          <w:marTop w:val="0"/>
          <w:marBottom w:val="120"/>
          <w:divBdr>
            <w:top w:val="none" w:sz="0" w:space="0" w:color="auto"/>
            <w:left w:val="none" w:sz="0" w:space="0" w:color="auto"/>
            <w:bottom w:val="none" w:sz="0" w:space="0" w:color="auto"/>
            <w:right w:val="none" w:sz="0" w:space="0" w:color="auto"/>
          </w:divBdr>
        </w:div>
        <w:div w:id="686836366">
          <w:marLeft w:val="0"/>
          <w:marRight w:val="0"/>
          <w:marTop w:val="0"/>
          <w:marBottom w:val="120"/>
          <w:divBdr>
            <w:top w:val="none" w:sz="0" w:space="0" w:color="auto"/>
            <w:left w:val="none" w:sz="0" w:space="0" w:color="auto"/>
            <w:bottom w:val="none" w:sz="0" w:space="0" w:color="auto"/>
            <w:right w:val="none" w:sz="0" w:space="0" w:color="auto"/>
          </w:divBdr>
        </w:div>
        <w:div w:id="1128356474">
          <w:marLeft w:val="0"/>
          <w:marRight w:val="0"/>
          <w:marTop w:val="0"/>
          <w:marBottom w:val="120"/>
          <w:divBdr>
            <w:top w:val="none" w:sz="0" w:space="0" w:color="auto"/>
            <w:left w:val="none" w:sz="0" w:space="0" w:color="auto"/>
            <w:bottom w:val="none" w:sz="0" w:space="0" w:color="auto"/>
            <w:right w:val="none" w:sz="0" w:space="0" w:color="auto"/>
          </w:divBdr>
        </w:div>
      </w:divsChild>
    </w:div>
    <w:div w:id="930435797">
      <w:bodyDiv w:val="1"/>
      <w:marLeft w:val="0"/>
      <w:marRight w:val="0"/>
      <w:marTop w:val="0"/>
      <w:marBottom w:val="0"/>
      <w:divBdr>
        <w:top w:val="none" w:sz="0" w:space="0" w:color="auto"/>
        <w:left w:val="none" w:sz="0" w:space="0" w:color="auto"/>
        <w:bottom w:val="none" w:sz="0" w:space="0" w:color="auto"/>
        <w:right w:val="none" w:sz="0" w:space="0" w:color="auto"/>
      </w:divBdr>
      <w:divsChild>
        <w:div w:id="790248947">
          <w:marLeft w:val="274"/>
          <w:marRight w:val="0"/>
          <w:marTop w:val="0"/>
          <w:marBottom w:val="120"/>
          <w:divBdr>
            <w:top w:val="none" w:sz="0" w:space="0" w:color="auto"/>
            <w:left w:val="none" w:sz="0" w:space="0" w:color="auto"/>
            <w:bottom w:val="none" w:sz="0" w:space="0" w:color="auto"/>
            <w:right w:val="none" w:sz="0" w:space="0" w:color="auto"/>
          </w:divBdr>
        </w:div>
        <w:div w:id="945579490">
          <w:marLeft w:val="274"/>
          <w:marRight w:val="0"/>
          <w:marTop w:val="0"/>
          <w:marBottom w:val="120"/>
          <w:divBdr>
            <w:top w:val="none" w:sz="0" w:space="0" w:color="auto"/>
            <w:left w:val="none" w:sz="0" w:space="0" w:color="auto"/>
            <w:bottom w:val="none" w:sz="0" w:space="0" w:color="auto"/>
            <w:right w:val="none" w:sz="0" w:space="0" w:color="auto"/>
          </w:divBdr>
        </w:div>
        <w:div w:id="1039236261">
          <w:marLeft w:val="274"/>
          <w:marRight w:val="0"/>
          <w:marTop w:val="0"/>
          <w:marBottom w:val="120"/>
          <w:divBdr>
            <w:top w:val="none" w:sz="0" w:space="0" w:color="auto"/>
            <w:left w:val="none" w:sz="0" w:space="0" w:color="auto"/>
            <w:bottom w:val="none" w:sz="0" w:space="0" w:color="auto"/>
            <w:right w:val="none" w:sz="0" w:space="0" w:color="auto"/>
          </w:divBdr>
        </w:div>
        <w:div w:id="1058631112">
          <w:marLeft w:val="274"/>
          <w:marRight w:val="0"/>
          <w:marTop w:val="0"/>
          <w:marBottom w:val="120"/>
          <w:divBdr>
            <w:top w:val="none" w:sz="0" w:space="0" w:color="auto"/>
            <w:left w:val="none" w:sz="0" w:space="0" w:color="auto"/>
            <w:bottom w:val="none" w:sz="0" w:space="0" w:color="auto"/>
            <w:right w:val="none" w:sz="0" w:space="0" w:color="auto"/>
          </w:divBdr>
        </w:div>
        <w:div w:id="1963609396">
          <w:marLeft w:val="274"/>
          <w:marRight w:val="0"/>
          <w:marTop w:val="0"/>
          <w:marBottom w:val="120"/>
          <w:divBdr>
            <w:top w:val="none" w:sz="0" w:space="0" w:color="auto"/>
            <w:left w:val="none" w:sz="0" w:space="0" w:color="auto"/>
            <w:bottom w:val="none" w:sz="0" w:space="0" w:color="auto"/>
            <w:right w:val="none" w:sz="0" w:space="0" w:color="auto"/>
          </w:divBdr>
        </w:div>
      </w:divsChild>
    </w:div>
    <w:div w:id="932738607">
      <w:bodyDiv w:val="1"/>
      <w:marLeft w:val="0"/>
      <w:marRight w:val="0"/>
      <w:marTop w:val="0"/>
      <w:marBottom w:val="0"/>
      <w:divBdr>
        <w:top w:val="none" w:sz="0" w:space="0" w:color="auto"/>
        <w:left w:val="none" w:sz="0" w:space="0" w:color="auto"/>
        <w:bottom w:val="none" w:sz="0" w:space="0" w:color="auto"/>
        <w:right w:val="none" w:sz="0" w:space="0" w:color="auto"/>
      </w:divBdr>
      <w:divsChild>
        <w:div w:id="203174644">
          <w:marLeft w:val="274"/>
          <w:marRight w:val="0"/>
          <w:marTop w:val="0"/>
          <w:marBottom w:val="120"/>
          <w:divBdr>
            <w:top w:val="none" w:sz="0" w:space="0" w:color="auto"/>
            <w:left w:val="none" w:sz="0" w:space="0" w:color="auto"/>
            <w:bottom w:val="none" w:sz="0" w:space="0" w:color="auto"/>
            <w:right w:val="none" w:sz="0" w:space="0" w:color="auto"/>
          </w:divBdr>
        </w:div>
        <w:div w:id="408774697">
          <w:marLeft w:val="274"/>
          <w:marRight w:val="0"/>
          <w:marTop w:val="0"/>
          <w:marBottom w:val="120"/>
          <w:divBdr>
            <w:top w:val="none" w:sz="0" w:space="0" w:color="auto"/>
            <w:left w:val="none" w:sz="0" w:space="0" w:color="auto"/>
            <w:bottom w:val="none" w:sz="0" w:space="0" w:color="auto"/>
            <w:right w:val="none" w:sz="0" w:space="0" w:color="auto"/>
          </w:divBdr>
        </w:div>
        <w:div w:id="1049113588">
          <w:marLeft w:val="274"/>
          <w:marRight w:val="0"/>
          <w:marTop w:val="0"/>
          <w:marBottom w:val="120"/>
          <w:divBdr>
            <w:top w:val="none" w:sz="0" w:space="0" w:color="auto"/>
            <w:left w:val="none" w:sz="0" w:space="0" w:color="auto"/>
            <w:bottom w:val="none" w:sz="0" w:space="0" w:color="auto"/>
            <w:right w:val="none" w:sz="0" w:space="0" w:color="auto"/>
          </w:divBdr>
        </w:div>
        <w:div w:id="1650550883">
          <w:marLeft w:val="274"/>
          <w:marRight w:val="0"/>
          <w:marTop w:val="0"/>
          <w:marBottom w:val="120"/>
          <w:divBdr>
            <w:top w:val="none" w:sz="0" w:space="0" w:color="auto"/>
            <w:left w:val="none" w:sz="0" w:space="0" w:color="auto"/>
            <w:bottom w:val="none" w:sz="0" w:space="0" w:color="auto"/>
            <w:right w:val="none" w:sz="0" w:space="0" w:color="auto"/>
          </w:divBdr>
        </w:div>
        <w:div w:id="1780680741">
          <w:marLeft w:val="274"/>
          <w:marRight w:val="0"/>
          <w:marTop w:val="0"/>
          <w:marBottom w:val="120"/>
          <w:divBdr>
            <w:top w:val="none" w:sz="0" w:space="0" w:color="auto"/>
            <w:left w:val="none" w:sz="0" w:space="0" w:color="auto"/>
            <w:bottom w:val="none" w:sz="0" w:space="0" w:color="auto"/>
            <w:right w:val="none" w:sz="0" w:space="0" w:color="auto"/>
          </w:divBdr>
        </w:div>
        <w:div w:id="1829788466">
          <w:marLeft w:val="274"/>
          <w:marRight w:val="0"/>
          <w:marTop w:val="0"/>
          <w:marBottom w:val="120"/>
          <w:divBdr>
            <w:top w:val="none" w:sz="0" w:space="0" w:color="auto"/>
            <w:left w:val="none" w:sz="0" w:space="0" w:color="auto"/>
            <w:bottom w:val="none" w:sz="0" w:space="0" w:color="auto"/>
            <w:right w:val="none" w:sz="0" w:space="0" w:color="auto"/>
          </w:divBdr>
        </w:div>
      </w:divsChild>
    </w:div>
    <w:div w:id="937299652">
      <w:bodyDiv w:val="1"/>
      <w:marLeft w:val="0"/>
      <w:marRight w:val="0"/>
      <w:marTop w:val="0"/>
      <w:marBottom w:val="0"/>
      <w:divBdr>
        <w:top w:val="none" w:sz="0" w:space="0" w:color="auto"/>
        <w:left w:val="none" w:sz="0" w:space="0" w:color="auto"/>
        <w:bottom w:val="none" w:sz="0" w:space="0" w:color="auto"/>
        <w:right w:val="none" w:sz="0" w:space="0" w:color="auto"/>
      </w:divBdr>
    </w:div>
    <w:div w:id="941107604">
      <w:bodyDiv w:val="1"/>
      <w:marLeft w:val="0"/>
      <w:marRight w:val="0"/>
      <w:marTop w:val="0"/>
      <w:marBottom w:val="0"/>
      <w:divBdr>
        <w:top w:val="none" w:sz="0" w:space="0" w:color="auto"/>
        <w:left w:val="none" w:sz="0" w:space="0" w:color="auto"/>
        <w:bottom w:val="none" w:sz="0" w:space="0" w:color="auto"/>
        <w:right w:val="none" w:sz="0" w:space="0" w:color="auto"/>
      </w:divBdr>
      <w:divsChild>
        <w:div w:id="481579242">
          <w:marLeft w:val="274"/>
          <w:marRight w:val="0"/>
          <w:marTop w:val="0"/>
          <w:marBottom w:val="120"/>
          <w:divBdr>
            <w:top w:val="none" w:sz="0" w:space="0" w:color="auto"/>
            <w:left w:val="none" w:sz="0" w:space="0" w:color="auto"/>
            <w:bottom w:val="none" w:sz="0" w:space="0" w:color="auto"/>
            <w:right w:val="none" w:sz="0" w:space="0" w:color="auto"/>
          </w:divBdr>
        </w:div>
        <w:div w:id="815538166">
          <w:marLeft w:val="274"/>
          <w:marRight w:val="0"/>
          <w:marTop w:val="0"/>
          <w:marBottom w:val="120"/>
          <w:divBdr>
            <w:top w:val="none" w:sz="0" w:space="0" w:color="auto"/>
            <w:left w:val="none" w:sz="0" w:space="0" w:color="auto"/>
            <w:bottom w:val="none" w:sz="0" w:space="0" w:color="auto"/>
            <w:right w:val="none" w:sz="0" w:space="0" w:color="auto"/>
          </w:divBdr>
        </w:div>
        <w:div w:id="829370773">
          <w:marLeft w:val="274"/>
          <w:marRight w:val="0"/>
          <w:marTop w:val="0"/>
          <w:marBottom w:val="120"/>
          <w:divBdr>
            <w:top w:val="none" w:sz="0" w:space="0" w:color="auto"/>
            <w:left w:val="none" w:sz="0" w:space="0" w:color="auto"/>
            <w:bottom w:val="none" w:sz="0" w:space="0" w:color="auto"/>
            <w:right w:val="none" w:sz="0" w:space="0" w:color="auto"/>
          </w:divBdr>
        </w:div>
        <w:div w:id="1423838570">
          <w:marLeft w:val="274"/>
          <w:marRight w:val="0"/>
          <w:marTop w:val="0"/>
          <w:marBottom w:val="120"/>
          <w:divBdr>
            <w:top w:val="none" w:sz="0" w:space="0" w:color="auto"/>
            <w:left w:val="none" w:sz="0" w:space="0" w:color="auto"/>
            <w:bottom w:val="none" w:sz="0" w:space="0" w:color="auto"/>
            <w:right w:val="none" w:sz="0" w:space="0" w:color="auto"/>
          </w:divBdr>
        </w:div>
        <w:div w:id="1953171596">
          <w:marLeft w:val="274"/>
          <w:marRight w:val="0"/>
          <w:marTop w:val="0"/>
          <w:marBottom w:val="120"/>
          <w:divBdr>
            <w:top w:val="none" w:sz="0" w:space="0" w:color="auto"/>
            <w:left w:val="none" w:sz="0" w:space="0" w:color="auto"/>
            <w:bottom w:val="none" w:sz="0" w:space="0" w:color="auto"/>
            <w:right w:val="none" w:sz="0" w:space="0" w:color="auto"/>
          </w:divBdr>
        </w:div>
        <w:div w:id="2067222073">
          <w:marLeft w:val="274"/>
          <w:marRight w:val="0"/>
          <w:marTop w:val="0"/>
          <w:marBottom w:val="120"/>
          <w:divBdr>
            <w:top w:val="none" w:sz="0" w:space="0" w:color="auto"/>
            <w:left w:val="none" w:sz="0" w:space="0" w:color="auto"/>
            <w:bottom w:val="none" w:sz="0" w:space="0" w:color="auto"/>
            <w:right w:val="none" w:sz="0" w:space="0" w:color="auto"/>
          </w:divBdr>
        </w:div>
        <w:div w:id="2079858103">
          <w:marLeft w:val="274"/>
          <w:marRight w:val="0"/>
          <w:marTop w:val="0"/>
          <w:marBottom w:val="120"/>
          <w:divBdr>
            <w:top w:val="none" w:sz="0" w:space="0" w:color="auto"/>
            <w:left w:val="none" w:sz="0" w:space="0" w:color="auto"/>
            <w:bottom w:val="none" w:sz="0" w:space="0" w:color="auto"/>
            <w:right w:val="none" w:sz="0" w:space="0" w:color="auto"/>
          </w:divBdr>
        </w:div>
      </w:divsChild>
    </w:div>
    <w:div w:id="947781783">
      <w:bodyDiv w:val="1"/>
      <w:marLeft w:val="0"/>
      <w:marRight w:val="0"/>
      <w:marTop w:val="0"/>
      <w:marBottom w:val="0"/>
      <w:divBdr>
        <w:top w:val="none" w:sz="0" w:space="0" w:color="auto"/>
        <w:left w:val="none" w:sz="0" w:space="0" w:color="auto"/>
        <w:bottom w:val="none" w:sz="0" w:space="0" w:color="auto"/>
        <w:right w:val="none" w:sz="0" w:space="0" w:color="auto"/>
      </w:divBdr>
      <w:divsChild>
        <w:div w:id="24446167">
          <w:marLeft w:val="274"/>
          <w:marRight w:val="0"/>
          <w:marTop w:val="0"/>
          <w:marBottom w:val="40"/>
          <w:divBdr>
            <w:top w:val="none" w:sz="0" w:space="0" w:color="auto"/>
            <w:left w:val="none" w:sz="0" w:space="0" w:color="auto"/>
            <w:bottom w:val="none" w:sz="0" w:space="0" w:color="auto"/>
            <w:right w:val="none" w:sz="0" w:space="0" w:color="auto"/>
          </w:divBdr>
        </w:div>
        <w:div w:id="395783346">
          <w:marLeft w:val="274"/>
          <w:marRight w:val="0"/>
          <w:marTop w:val="0"/>
          <w:marBottom w:val="40"/>
          <w:divBdr>
            <w:top w:val="none" w:sz="0" w:space="0" w:color="auto"/>
            <w:left w:val="none" w:sz="0" w:space="0" w:color="auto"/>
            <w:bottom w:val="none" w:sz="0" w:space="0" w:color="auto"/>
            <w:right w:val="none" w:sz="0" w:space="0" w:color="auto"/>
          </w:divBdr>
        </w:div>
        <w:div w:id="762458300">
          <w:marLeft w:val="274"/>
          <w:marRight w:val="0"/>
          <w:marTop w:val="0"/>
          <w:marBottom w:val="40"/>
          <w:divBdr>
            <w:top w:val="none" w:sz="0" w:space="0" w:color="auto"/>
            <w:left w:val="none" w:sz="0" w:space="0" w:color="auto"/>
            <w:bottom w:val="none" w:sz="0" w:space="0" w:color="auto"/>
            <w:right w:val="none" w:sz="0" w:space="0" w:color="auto"/>
          </w:divBdr>
        </w:div>
        <w:div w:id="1716586669">
          <w:marLeft w:val="274"/>
          <w:marRight w:val="0"/>
          <w:marTop w:val="0"/>
          <w:marBottom w:val="40"/>
          <w:divBdr>
            <w:top w:val="none" w:sz="0" w:space="0" w:color="auto"/>
            <w:left w:val="none" w:sz="0" w:space="0" w:color="auto"/>
            <w:bottom w:val="none" w:sz="0" w:space="0" w:color="auto"/>
            <w:right w:val="none" w:sz="0" w:space="0" w:color="auto"/>
          </w:divBdr>
        </w:div>
        <w:div w:id="1999770968">
          <w:marLeft w:val="274"/>
          <w:marRight w:val="0"/>
          <w:marTop w:val="0"/>
          <w:marBottom w:val="40"/>
          <w:divBdr>
            <w:top w:val="none" w:sz="0" w:space="0" w:color="auto"/>
            <w:left w:val="none" w:sz="0" w:space="0" w:color="auto"/>
            <w:bottom w:val="none" w:sz="0" w:space="0" w:color="auto"/>
            <w:right w:val="none" w:sz="0" w:space="0" w:color="auto"/>
          </w:divBdr>
        </w:div>
      </w:divsChild>
    </w:div>
    <w:div w:id="953904765">
      <w:bodyDiv w:val="1"/>
      <w:marLeft w:val="0"/>
      <w:marRight w:val="0"/>
      <w:marTop w:val="0"/>
      <w:marBottom w:val="0"/>
      <w:divBdr>
        <w:top w:val="none" w:sz="0" w:space="0" w:color="auto"/>
        <w:left w:val="none" w:sz="0" w:space="0" w:color="auto"/>
        <w:bottom w:val="none" w:sz="0" w:space="0" w:color="auto"/>
        <w:right w:val="none" w:sz="0" w:space="0" w:color="auto"/>
      </w:divBdr>
    </w:div>
    <w:div w:id="960265406">
      <w:bodyDiv w:val="1"/>
      <w:marLeft w:val="0"/>
      <w:marRight w:val="0"/>
      <w:marTop w:val="0"/>
      <w:marBottom w:val="0"/>
      <w:divBdr>
        <w:top w:val="none" w:sz="0" w:space="0" w:color="auto"/>
        <w:left w:val="none" w:sz="0" w:space="0" w:color="auto"/>
        <w:bottom w:val="none" w:sz="0" w:space="0" w:color="auto"/>
        <w:right w:val="none" w:sz="0" w:space="0" w:color="auto"/>
      </w:divBdr>
    </w:div>
    <w:div w:id="986667404">
      <w:bodyDiv w:val="1"/>
      <w:marLeft w:val="0"/>
      <w:marRight w:val="0"/>
      <w:marTop w:val="0"/>
      <w:marBottom w:val="0"/>
      <w:divBdr>
        <w:top w:val="none" w:sz="0" w:space="0" w:color="auto"/>
        <w:left w:val="none" w:sz="0" w:space="0" w:color="auto"/>
        <w:bottom w:val="none" w:sz="0" w:space="0" w:color="auto"/>
        <w:right w:val="none" w:sz="0" w:space="0" w:color="auto"/>
      </w:divBdr>
    </w:div>
    <w:div w:id="1004480256">
      <w:bodyDiv w:val="1"/>
      <w:marLeft w:val="0"/>
      <w:marRight w:val="0"/>
      <w:marTop w:val="0"/>
      <w:marBottom w:val="0"/>
      <w:divBdr>
        <w:top w:val="none" w:sz="0" w:space="0" w:color="auto"/>
        <w:left w:val="none" w:sz="0" w:space="0" w:color="auto"/>
        <w:bottom w:val="none" w:sz="0" w:space="0" w:color="auto"/>
        <w:right w:val="none" w:sz="0" w:space="0" w:color="auto"/>
      </w:divBdr>
    </w:div>
    <w:div w:id="1062480066">
      <w:bodyDiv w:val="1"/>
      <w:marLeft w:val="0"/>
      <w:marRight w:val="0"/>
      <w:marTop w:val="0"/>
      <w:marBottom w:val="0"/>
      <w:divBdr>
        <w:top w:val="none" w:sz="0" w:space="0" w:color="auto"/>
        <w:left w:val="none" w:sz="0" w:space="0" w:color="auto"/>
        <w:bottom w:val="none" w:sz="0" w:space="0" w:color="auto"/>
        <w:right w:val="none" w:sz="0" w:space="0" w:color="auto"/>
      </w:divBdr>
      <w:divsChild>
        <w:div w:id="469637819">
          <w:marLeft w:val="274"/>
          <w:marRight w:val="0"/>
          <w:marTop w:val="0"/>
          <w:marBottom w:val="40"/>
          <w:divBdr>
            <w:top w:val="none" w:sz="0" w:space="0" w:color="auto"/>
            <w:left w:val="none" w:sz="0" w:space="0" w:color="auto"/>
            <w:bottom w:val="none" w:sz="0" w:space="0" w:color="auto"/>
            <w:right w:val="none" w:sz="0" w:space="0" w:color="auto"/>
          </w:divBdr>
        </w:div>
        <w:div w:id="673727783">
          <w:marLeft w:val="562"/>
          <w:marRight w:val="0"/>
          <w:marTop w:val="0"/>
          <w:marBottom w:val="40"/>
          <w:divBdr>
            <w:top w:val="none" w:sz="0" w:space="0" w:color="auto"/>
            <w:left w:val="none" w:sz="0" w:space="0" w:color="auto"/>
            <w:bottom w:val="none" w:sz="0" w:space="0" w:color="auto"/>
            <w:right w:val="none" w:sz="0" w:space="0" w:color="auto"/>
          </w:divBdr>
        </w:div>
        <w:div w:id="1324044668">
          <w:marLeft w:val="274"/>
          <w:marRight w:val="0"/>
          <w:marTop w:val="0"/>
          <w:marBottom w:val="40"/>
          <w:divBdr>
            <w:top w:val="none" w:sz="0" w:space="0" w:color="auto"/>
            <w:left w:val="none" w:sz="0" w:space="0" w:color="auto"/>
            <w:bottom w:val="none" w:sz="0" w:space="0" w:color="auto"/>
            <w:right w:val="none" w:sz="0" w:space="0" w:color="auto"/>
          </w:divBdr>
        </w:div>
        <w:div w:id="1715428418">
          <w:marLeft w:val="274"/>
          <w:marRight w:val="0"/>
          <w:marTop w:val="0"/>
          <w:marBottom w:val="40"/>
          <w:divBdr>
            <w:top w:val="none" w:sz="0" w:space="0" w:color="auto"/>
            <w:left w:val="none" w:sz="0" w:space="0" w:color="auto"/>
            <w:bottom w:val="none" w:sz="0" w:space="0" w:color="auto"/>
            <w:right w:val="none" w:sz="0" w:space="0" w:color="auto"/>
          </w:divBdr>
        </w:div>
        <w:div w:id="1909879413">
          <w:marLeft w:val="562"/>
          <w:marRight w:val="0"/>
          <w:marTop w:val="0"/>
          <w:marBottom w:val="40"/>
          <w:divBdr>
            <w:top w:val="none" w:sz="0" w:space="0" w:color="auto"/>
            <w:left w:val="none" w:sz="0" w:space="0" w:color="auto"/>
            <w:bottom w:val="none" w:sz="0" w:space="0" w:color="auto"/>
            <w:right w:val="none" w:sz="0" w:space="0" w:color="auto"/>
          </w:divBdr>
        </w:div>
        <w:div w:id="2062290666">
          <w:marLeft w:val="562"/>
          <w:marRight w:val="0"/>
          <w:marTop w:val="0"/>
          <w:marBottom w:val="40"/>
          <w:divBdr>
            <w:top w:val="none" w:sz="0" w:space="0" w:color="auto"/>
            <w:left w:val="none" w:sz="0" w:space="0" w:color="auto"/>
            <w:bottom w:val="none" w:sz="0" w:space="0" w:color="auto"/>
            <w:right w:val="none" w:sz="0" w:space="0" w:color="auto"/>
          </w:divBdr>
        </w:div>
      </w:divsChild>
    </w:div>
    <w:div w:id="1093360071">
      <w:bodyDiv w:val="1"/>
      <w:marLeft w:val="0"/>
      <w:marRight w:val="0"/>
      <w:marTop w:val="0"/>
      <w:marBottom w:val="0"/>
      <w:divBdr>
        <w:top w:val="none" w:sz="0" w:space="0" w:color="auto"/>
        <w:left w:val="none" w:sz="0" w:space="0" w:color="auto"/>
        <w:bottom w:val="none" w:sz="0" w:space="0" w:color="auto"/>
        <w:right w:val="none" w:sz="0" w:space="0" w:color="auto"/>
      </w:divBdr>
      <w:divsChild>
        <w:div w:id="259291593">
          <w:marLeft w:val="274"/>
          <w:marRight w:val="0"/>
          <w:marTop w:val="0"/>
          <w:marBottom w:val="40"/>
          <w:divBdr>
            <w:top w:val="none" w:sz="0" w:space="0" w:color="auto"/>
            <w:left w:val="none" w:sz="0" w:space="0" w:color="auto"/>
            <w:bottom w:val="none" w:sz="0" w:space="0" w:color="auto"/>
            <w:right w:val="none" w:sz="0" w:space="0" w:color="auto"/>
          </w:divBdr>
        </w:div>
        <w:div w:id="566038812">
          <w:marLeft w:val="274"/>
          <w:marRight w:val="0"/>
          <w:marTop w:val="0"/>
          <w:marBottom w:val="40"/>
          <w:divBdr>
            <w:top w:val="none" w:sz="0" w:space="0" w:color="auto"/>
            <w:left w:val="none" w:sz="0" w:space="0" w:color="auto"/>
            <w:bottom w:val="none" w:sz="0" w:space="0" w:color="auto"/>
            <w:right w:val="none" w:sz="0" w:space="0" w:color="auto"/>
          </w:divBdr>
        </w:div>
        <w:div w:id="1604537145">
          <w:marLeft w:val="274"/>
          <w:marRight w:val="0"/>
          <w:marTop w:val="0"/>
          <w:marBottom w:val="40"/>
          <w:divBdr>
            <w:top w:val="none" w:sz="0" w:space="0" w:color="auto"/>
            <w:left w:val="none" w:sz="0" w:space="0" w:color="auto"/>
            <w:bottom w:val="none" w:sz="0" w:space="0" w:color="auto"/>
            <w:right w:val="none" w:sz="0" w:space="0" w:color="auto"/>
          </w:divBdr>
        </w:div>
      </w:divsChild>
    </w:div>
    <w:div w:id="1129054616">
      <w:bodyDiv w:val="1"/>
      <w:marLeft w:val="0"/>
      <w:marRight w:val="0"/>
      <w:marTop w:val="0"/>
      <w:marBottom w:val="0"/>
      <w:divBdr>
        <w:top w:val="none" w:sz="0" w:space="0" w:color="auto"/>
        <w:left w:val="none" w:sz="0" w:space="0" w:color="auto"/>
        <w:bottom w:val="none" w:sz="0" w:space="0" w:color="auto"/>
        <w:right w:val="none" w:sz="0" w:space="0" w:color="auto"/>
      </w:divBdr>
    </w:div>
    <w:div w:id="1137070764">
      <w:bodyDiv w:val="1"/>
      <w:marLeft w:val="0"/>
      <w:marRight w:val="0"/>
      <w:marTop w:val="0"/>
      <w:marBottom w:val="0"/>
      <w:divBdr>
        <w:top w:val="none" w:sz="0" w:space="0" w:color="auto"/>
        <w:left w:val="none" w:sz="0" w:space="0" w:color="auto"/>
        <w:bottom w:val="none" w:sz="0" w:space="0" w:color="auto"/>
        <w:right w:val="none" w:sz="0" w:space="0" w:color="auto"/>
      </w:divBdr>
      <w:divsChild>
        <w:div w:id="704020167">
          <w:marLeft w:val="274"/>
          <w:marRight w:val="0"/>
          <w:marTop w:val="0"/>
          <w:marBottom w:val="40"/>
          <w:divBdr>
            <w:top w:val="none" w:sz="0" w:space="0" w:color="auto"/>
            <w:left w:val="none" w:sz="0" w:space="0" w:color="auto"/>
            <w:bottom w:val="none" w:sz="0" w:space="0" w:color="auto"/>
            <w:right w:val="none" w:sz="0" w:space="0" w:color="auto"/>
          </w:divBdr>
        </w:div>
        <w:div w:id="1451556944">
          <w:marLeft w:val="274"/>
          <w:marRight w:val="0"/>
          <w:marTop w:val="0"/>
          <w:marBottom w:val="40"/>
          <w:divBdr>
            <w:top w:val="none" w:sz="0" w:space="0" w:color="auto"/>
            <w:left w:val="none" w:sz="0" w:space="0" w:color="auto"/>
            <w:bottom w:val="none" w:sz="0" w:space="0" w:color="auto"/>
            <w:right w:val="none" w:sz="0" w:space="0" w:color="auto"/>
          </w:divBdr>
        </w:div>
      </w:divsChild>
    </w:div>
    <w:div w:id="1144271774">
      <w:bodyDiv w:val="1"/>
      <w:marLeft w:val="0"/>
      <w:marRight w:val="0"/>
      <w:marTop w:val="0"/>
      <w:marBottom w:val="0"/>
      <w:divBdr>
        <w:top w:val="none" w:sz="0" w:space="0" w:color="auto"/>
        <w:left w:val="none" w:sz="0" w:space="0" w:color="auto"/>
        <w:bottom w:val="none" w:sz="0" w:space="0" w:color="auto"/>
        <w:right w:val="none" w:sz="0" w:space="0" w:color="auto"/>
      </w:divBdr>
    </w:div>
    <w:div w:id="1158350219">
      <w:bodyDiv w:val="1"/>
      <w:marLeft w:val="0"/>
      <w:marRight w:val="0"/>
      <w:marTop w:val="0"/>
      <w:marBottom w:val="0"/>
      <w:divBdr>
        <w:top w:val="none" w:sz="0" w:space="0" w:color="auto"/>
        <w:left w:val="none" w:sz="0" w:space="0" w:color="auto"/>
        <w:bottom w:val="none" w:sz="0" w:space="0" w:color="auto"/>
        <w:right w:val="none" w:sz="0" w:space="0" w:color="auto"/>
      </w:divBdr>
    </w:div>
    <w:div w:id="1193568940">
      <w:bodyDiv w:val="1"/>
      <w:marLeft w:val="0"/>
      <w:marRight w:val="0"/>
      <w:marTop w:val="0"/>
      <w:marBottom w:val="0"/>
      <w:divBdr>
        <w:top w:val="none" w:sz="0" w:space="0" w:color="auto"/>
        <w:left w:val="none" w:sz="0" w:space="0" w:color="auto"/>
        <w:bottom w:val="none" w:sz="0" w:space="0" w:color="auto"/>
        <w:right w:val="none" w:sz="0" w:space="0" w:color="auto"/>
      </w:divBdr>
      <w:divsChild>
        <w:div w:id="1067998500">
          <w:marLeft w:val="706"/>
          <w:marRight w:val="0"/>
          <w:marTop w:val="0"/>
          <w:marBottom w:val="40"/>
          <w:divBdr>
            <w:top w:val="none" w:sz="0" w:space="0" w:color="auto"/>
            <w:left w:val="none" w:sz="0" w:space="0" w:color="auto"/>
            <w:bottom w:val="none" w:sz="0" w:space="0" w:color="auto"/>
            <w:right w:val="none" w:sz="0" w:space="0" w:color="auto"/>
          </w:divBdr>
        </w:div>
        <w:div w:id="1159347385">
          <w:marLeft w:val="706"/>
          <w:marRight w:val="0"/>
          <w:marTop w:val="0"/>
          <w:marBottom w:val="40"/>
          <w:divBdr>
            <w:top w:val="none" w:sz="0" w:space="0" w:color="auto"/>
            <w:left w:val="none" w:sz="0" w:space="0" w:color="auto"/>
            <w:bottom w:val="none" w:sz="0" w:space="0" w:color="auto"/>
            <w:right w:val="none" w:sz="0" w:space="0" w:color="auto"/>
          </w:divBdr>
        </w:div>
        <w:div w:id="1205561713">
          <w:marLeft w:val="706"/>
          <w:marRight w:val="0"/>
          <w:marTop w:val="0"/>
          <w:marBottom w:val="40"/>
          <w:divBdr>
            <w:top w:val="none" w:sz="0" w:space="0" w:color="auto"/>
            <w:left w:val="none" w:sz="0" w:space="0" w:color="auto"/>
            <w:bottom w:val="none" w:sz="0" w:space="0" w:color="auto"/>
            <w:right w:val="none" w:sz="0" w:space="0" w:color="auto"/>
          </w:divBdr>
        </w:div>
        <w:div w:id="1457602743">
          <w:marLeft w:val="274"/>
          <w:marRight w:val="0"/>
          <w:marTop w:val="0"/>
          <w:marBottom w:val="40"/>
          <w:divBdr>
            <w:top w:val="none" w:sz="0" w:space="0" w:color="auto"/>
            <w:left w:val="none" w:sz="0" w:space="0" w:color="auto"/>
            <w:bottom w:val="none" w:sz="0" w:space="0" w:color="auto"/>
            <w:right w:val="none" w:sz="0" w:space="0" w:color="auto"/>
          </w:divBdr>
        </w:div>
      </w:divsChild>
    </w:div>
    <w:div w:id="1228150848">
      <w:bodyDiv w:val="1"/>
      <w:marLeft w:val="0"/>
      <w:marRight w:val="0"/>
      <w:marTop w:val="0"/>
      <w:marBottom w:val="0"/>
      <w:divBdr>
        <w:top w:val="none" w:sz="0" w:space="0" w:color="auto"/>
        <w:left w:val="none" w:sz="0" w:space="0" w:color="auto"/>
        <w:bottom w:val="none" w:sz="0" w:space="0" w:color="auto"/>
        <w:right w:val="none" w:sz="0" w:space="0" w:color="auto"/>
      </w:divBdr>
    </w:div>
    <w:div w:id="1259171834">
      <w:bodyDiv w:val="1"/>
      <w:marLeft w:val="0"/>
      <w:marRight w:val="0"/>
      <w:marTop w:val="0"/>
      <w:marBottom w:val="0"/>
      <w:divBdr>
        <w:top w:val="none" w:sz="0" w:space="0" w:color="auto"/>
        <w:left w:val="none" w:sz="0" w:space="0" w:color="auto"/>
        <w:bottom w:val="none" w:sz="0" w:space="0" w:color="auto"/>
        <w:right w:val="none" w:sz="0" w:space="0" w:color="auto"/>
      </w:divBdr>
      <w:divsChild>
        <w:div w:id="25838158">
          <w:marLeft w:val="360"/>
          <w:marRight w:val="0"/>
          <w:marTop w:val="0"/>
          <w:marBottom w:val="40"/>
          <w:divBdr>
            <w:top w:val="none" w:sz="0" w:space="0" w:color="auto"/>
            <w:left w:val="none" w:sz="0" w:space="0" w:color="auto"/>
            <w:bottom w:val="none" w:sz="0" w:space="0" w:color="auto"/>
            <w:right w:val="none" w:sz="0" w:space="0" w:color="auto"/>
          </w:divBdr>
        </w:div>
      </w:divsChild>
    </w:div>
    <w:div w:id="1269508628">
      <w:bodyDiv w:val="1"/>
      <w:marLeft w:val="0"/>
      <w:marRight w:val="0"/>
      <w:marTop w:val="0"/>
      <w:marBottom w:val="0"/>
      <w:divBdr>
        <w:top w:val="none" w:sz="0" w:space="0" w:color="auto"/>
        <w:left w:val="none" w:sz="0" w:space="0" w:color="auto"/>
        <w:bottom w:val="none" w:sz="0" w:space="0" w:color="auto"/>
        <w:right w:val="none" w:sz="0" w:space="0" w:color="auto"/>
      </w:divBdr>
    </w:div>
    <w:div w:id="1270091678">
      <w:bodyDiv w:val="1"/>
      <w:marLeft w:val="0"/>
      <w:marRight w:val="0"/>
      <w:marTop w:val="0"/>
      <w:marBottom w:val="0"/>
      <w:divBdr>
        <w:top w:val="none" w:sz="0" w:space="0" w:color="auto"/>
        <w:left w:val="none" w:sz="0" w:space="0" w:color="auto"/>
        <w:bottom w:val="none" w:sz="0" w:space="0" w:color="auto"/>
        <w:right w:val="none" w:sz="0" w:space="0" w:color="auto"/>
      </w:divBdr>
      <w:divsChild>
        <w:div w:id="217476183">
          <w:marLeft w:val="274"/>
          <w:marRight w:val="0"/>
          <w:marTop w:val="0"/>
          <w:marBottom w:val="40"/>
          <w:divBdr>
            <w:top w:val="none" w:sz="0" w:space="0" w:color="auto"/>
            <w:left w:val="none" w:sz="0" w:space="0" w:color="auto"/>
            <w:bottom w:val="none" w:sz="0" w:space="0" w:color="auto"/>
            <w:right w:val="none" w:sz="0" w:space="0" w:color="auto"/>
          </w:divBdr>
        </w:div>
        <w:div w:id="442967204">
          <w:marLeft w:val="274"/>
          <w:marRight w:val="0"/>
          <w:marTop w:val="0"/>
          <w:marBottom w:val="40"/>
          <w:divBdr>
            <w:top w:val="none" w:sz="0" w:space="0" w:color="auto"/>
            <w:left w:val="none" w:sz="0" w:space="0" w:color="auto"/>
            <w:bottom w:val="none" w:sz="0" w:space="0" w:color="auto"/>
            <w:right w:val="none" w:sz="0" w:space="0" w:color="auto"/>
          </w:divBdr>
        </w:div>
        <w:div w:id="1490563186">
          <w:marLeft w:val="274"/>
          <w:marRight w:val="0"/>
          <w:marTop w:val="0"/>
          <w:marBottom w:val="40"/>
          <w:divBdr>
            <w:top w:val="none" w:sz="0" w:space="0" w:color="auto"/>
            <w:left w:val="none" w:sz="0" w:space="0" w:color="auto"/>
            <w:bottom w:val="none" w:sz="0" w:space="0" w:color="auto"/>
            <w:right w:val="none" w:sz="0" w:space="0" w:color="auto"/>
          </w:divBdr>
        </w:div>
        <w:div w:id="1626035164">
          <w:marLeft w:val="274"/>
          <w:marRight w:val="0"/>
          <w:marTop w:val="0"/>
          <w:marBottom w:val="40"/>
          <w:divBdr>
            <w:top w:val="none" w:sz="0" w:space="0" w:color="auto"/>
            <w:left w:val="none" w:sz="0" w:space="0" w:color="auto"/>
            <w:bottom w:val="none" w:sz="0" w:space="0" w:color="auto"/>
            <w:right w:val="none" w:sz="0" w:space="0" w:color="auto"/>
          </w:divBdr>
        </w:div>
      </w:divsChild>
    </w:div>
    <w:div w:id="1317223297">
      <w:bodyDiv w:val="1"/>
      <w:marLeft w:val="0"/>
      <w:marRight w:val="0"/>
      <w:marTop w:val="0"/>
      <w:marBottom w:val="0"/>
      <w:divBdr>
        <w:top w:val="none" w:sz="0" w:space="0" w:color="auto"/>
        <w:left w:val="none" w:sz="0" w:space="0" w:color="auto"/>
        <w:bottom w:val="none" w:sz="0" w:space="0" w:color="auto"/>
        <w:right w:val="none" w:sz="0" w:space="0" w:color="auto"/>
      </w:divBdr>
      <w:divsChild>
        <w:div w:id="1447307959">
          <w:marLeft w:val="274"/>
          <w:marRight w:val="0"/>
          <w:marTop w:val="0"/>
          <w:marBottom w:val="40"/>
          <w:divBdr>
            <w:top w:val="none" w:sz="0" w:space="0" w:color="auto"/>
            <w:left w:val="none" w:sz="0" w:space="0" w:color="auto"/>
            <w:bottom w:val="none" w:sz="0" w:space="0" w:color="auto"/>
            <w:right w:val="none" w:sz="0" w:space="0" w:color="auto"/>
          </w:divBdr>
        </w:div>
      </w:divsChild>
    </w:div>
    <w:div w:id="1337490592">
      <w:bodyDiv w:val="1"/>
      <w:marLeft w:val="0"/>
      <w:marRight w:val="0"/>
      <w:marTop w:val="0"/>
      <w:marBottom w:val="0"/>
      <w:divBdr>
        <w:top w:val="none" w:sz="0" w:space="0" w:color="auto"/>
        <w:left w:val="none" w:sz="0" w:space="0" w:color="auto"/>
        <w:bottom w:val="none" w:sz="0" w:space="0" w:color="auto"/>
        <w:right w:val="none" w:sz="0" w:space="0" w:color="auto"/>
      </w:divBdr>
    </w:div>
    <w:div w:id="1358197604">
      <w:bodyDiv w:val="1"/>
      <w:marLeft w:val="0"/>
      <w:marRight w:val="0"/>
      <w:marTop w:val="0"/>
      <w:marBottom w:val="0"/>
      <w:divBdr>
        <w:top w:val="none" w:sz="0" w:space="0" w:color="auto"/>
        <w:left w:val="none" w:sz="0" w:space="0" w:color="auto"/>
        <w:bottom w:val="none" w:sz="0" w:space="0" w:color="auto"/>
        <w:right w:val="none" w:sz="0" w:space="0" w:color="auto"/>
      </w:divBdr>
    </w:div>
    <w:div w:id="1363478993">
      <w:bodyDiv w:val="1"/>
      <w:marLeft w:val="0"/>
      <w:marRight w:val="0"/>
      <w:marTop w:val="0"/>
      <w:marBottom w:val="0"/>
      <w:divBdr>
        <w:top w:val="none" w:sz="0" w:space="0" w:color="auto"/>
        <w:left w:val="none" w:sz="0" w:space="0" w:color="auto"/>
        <w:bottom w:val="none" w:sz="0" w:space="0" w:color="auto"/>
        <w:right w:val="none" w:sz="0" w:space="0" w:color="auto"/>
      </w:divBdr>
    </w:div>
    <w:div w:id="1371031218">
      <w:bodyDiv w:val="1"/>
      <w:marLeft w:val="0"/>
      <w:marRight w:val="0"/>
      <w:marTop w:val="0"/>
      <w:marBottom w:val="0"/>
      <w:divBdr>
        <w:top w:val="none" w:sz="0" w:space="0" w:color="auto"/>
        <w:left w:val="none" w:sz="0" w:space="0" w:color="auto"/>
        <w:bottom w:val="none" w:sz="0" w:space="0" w:color="auto"/>
        <w:right w:val="none" w:sz="0" w:space="0" w:color="auto"/>
      </w:divBdr>
    </w:div>
    <w:div w:id="1386219749">
      <w:bodyDiv w:val="1"/>
      <w:marLeft w:val="0"/>
      <w:marRight w:val="0"/>
      <w:marTop w:val="0"/>
      <w:marBottom w:val="0"/>
      <w:divBdr>
        <w:top w:val="none" w:sz="0" w:space="0" w:color="auto"/>
        <w:left w:val="none" w:sz="0" w:space="0" w:color="auto"/>
        <w:bottom w:val="none" w:sz="0" w:space="0" w:color="auto"/>
        <w:right w:val="none" w:sz="0" w:space="0" w:color="auto"/>
      </w:divBdr>
    </w:div>
    <w:div w:id="1437477674">
      <w:bodyDiv w:val="1"/>
      <w:marLeft w:val="0"/>
      <w:marRight w:val="0"/>
      <w:marTop w:val="0"/>
      <w:marBottom w:val="0"/>
      <w:divBdr>
        <w:top w:val="none" w:sz="0" w:space="0" w:color="auto"/>
        <w:left w:val="none" w:sz="0" w:space="0" w:color="auto"/>
        <w:bottom w:val="none" w:sz="0" w:space="0" w:color="auto"/>
        <w:right w:val="none" w:sz="0" w:space="0" w:color="auto"/>
      </w:divBdr>
    </w:div>
    <w:div w:id="1439983414">
      <w:bodyDiv w:val="1"/>
      <w:marLeft w:val="0"/>
      <w:marRight w:val="0"/>
      <w:marTop w:val="0"/>
      <w:marBottom w:val="0"/>
      <w:divBdr>
        <w:top w:val="none" w:sz="0" w:space="0" w:color="auto"/>
        <w:left w:val="none" w:sz="0" w:space="0" w:color="auto"/>
        <w:bottom w:val="none" w:sz="0" w:space="0" w:color="auto"/>
        <w:right w:val="none" w:sz="0" w:space="0" w:color="auto"/>
      </w:divBdr>
    </w:div>
    <w:div w:id="1447310563">
      <w:bodyDiv w:val="1"/>
      <w:marLeft w:val="0"/>
      <w:marRight w:val="0"/>
      <w:marTop w:val="0"/>
      <w:marBottom w:val="0"/>
      <w:divBdr>
        <w:top w:val="none" w:sz="0" w:space="0" w:color="auto"/>
        <w:left w:val="none" w:sz="0" w:space="0" w:color="auto"/>
        <w:bottom w:val="none" w:sz="0" w:space="0" w:color="auto"/>
        <w:right w:val="none" w:sz="0" w:space="0" w:color="auto"/>
      </w:divBdr>
      <w:divsChild>
        <w:div w:id="1954507679">
          <w:marLeft w:val="274"/>
          <w:marRight w:val="0"/>
          <w:marTop w:val="0"/>
          <w:marBottom w:val="40"/>
          <w:divBdr>
            <w:top w:val="none" w:sz="0" w:space="0" w:color="auto"/>
            <w:left w:val="none" w:sz="0" w:space="0" w:color="auto"/>
            <w:bottom w:val="none" w:sz="0" w:space="0" w:color="auto"/>
            <w:right w:val="none" w:sz="0" w:space="0" w:color="auto"/>
          </w:divBdr>
        </w:div>
      </w:divsChild>
    </w:div>
    <w:div w:id="1468082717">
      <w:bodyDiv w:val="1"/>
      <w:marLeft w:val="0"/>
      <w:marRight w:val="0"/>
      <w:marTop w:val="0"/>
      <w:marBottom w:val="0"/>
      <w:divBdr>
        <w:top w:val="none" w:sz="0" w:space="0" w:color="auto"/>
        <w:left w:val="none" w:sz="0" w:space="0" w:color="auto"/>
        <w:bottom w:val="none" w:sz="0" w:space="0" w:color="auto"/>
        <w:right w:val="none" w:sz="0" w:space="0" w:color="auto"/>
      </w:divBdr>
    </w:div>
    <w:div w:id="1470856264">
      <w:bodyDiv w:val="1"/>
      <w:marLeft w:val="0"/>
      <w:marRight w:val="0"/>
      <w:marTop w:val="0"/>
      <w:marBottom w:val="0"/>
      <w:divBdr>
        <w:top w:val="none" w:sz="0" w:space="0" w:color="auto"/>
        <w:left w:val="none" w:sz="0" w:space="0" w:color="auto"/>
        <w:bottom w:val="none" w:sz="0" w:space="0" w:color="auto"/>
        <w:right w:val="none" w:sz="0" w:space="0" w:color="auto"/>
      </w:divBdr>
    </w:div>
    <w:div w:id="1473012648">
      <w:bodyDiv w:val="1"/>
      <w:marLeft w:val="0"/>
      <w:marRight w:val="0"/>
      <w:marTop w:val="0"/>
      <w:marBottom w:val="0"/>
      <w:divBdr>
        <w:top w:val="none" w:sz="0" w:space="0" w:color="auto"/>
        <w:left w:val="none" w:sz="0" w:space="0" w:color="auto"/>
        <w:bottom w:val="none" w:sz="0" w:space="0" w:color="auto"/>
        <w:right w:val="none" w:sz="0" w:space="0" w:color="auto"/>
      </w:divBdr>
    </w:div>
    <w:div w:id="1486434495">
      <w:bodyDiv w:val="1"/>
      <w:marLeft w:val="0"/>
      <w:marRight w:val="0"/>
      <w:marTop w:val="0"/>
      <w:marBottom w:val="0"/>
      <w:divBdr>
        <w:top w:val="none" w:sz="0" w:space="0" w:color="auto"/>
        <w:left w:val="none" w:sz="0" w:space="0" w:color="auto"/>
        <w:bottom w:val="none" w:sz="0" w:space="0" w:color="auto"/>
        <w:right w:val="none" w:sz="0" w:space="0" w:color="auto"/>
      </w:divBdr>
      <w:divsChild>
        <w:div w:id="828593954">
          <w:marLeft w:val="274"/>
          <w:marRight w:val="0"/>
          <w:marTop w:val="0"/>
          <w:marBottom w:val="40"/>
          <w:divBdr>
            <w:top w:val="none" w:sz="0" w:space="0" w:color="auto"/>
            <w:left w:val="none" w:sz="0" w:space="0" w:color="auto"/>
            <w:bottom w:val="none" w:sz="0" w:space="0" w:color="auto"/>
            <w:right w:val="none" w:sz="0" w:space="0" w:color="auto"/>
          </w:divBdr>
        </w:div>
      </w:divsChild>
    </w:div>
    <w:div w:id="1490945191">
      <w:bodyDiv w:val="1"/>
      <w:marLeft w:val="0"/>
      <w:marRight w:val="0"/>
      <w:marTop w:val="0"/>
      <w:marBottom w:val="0"/>
      <w:divBdr>
        <w:top w:val="none" w:sz="0" w:space="0" w:color="auto"/>
        <w:left w:val="none" w:sz="0" w:space="0" w:color="auto"/>
        <w:bottom w:val="none" w:sz="0" w:space="0" w:color="auto"/>
        <w:right w:val="none" w:sz="0" w:space="0" w:color="auto"/>
      </w:divBdr>
      <w:divsChild>
        <w:div w:id="512570178">
          <w:marLeft w:val="274"/>
          <w:marRight w:val="0"/>
          <w:marTop w:val="0"/>
          <w:marBottom w:val="80"/>
          <w:divBdr>
            <w:top w:val="none" w:sz="0" w:space="0" w:color="auto"/>
            <w:left w:val="none" w:sz="0" w:space="0" w:color="auto"/>
            <w:bottom w:val="none" w:sz="0" w:space="0" w:color="auto"/>
            <w:right w:val="none" w:sz="0" w:space="0" w:color="auto"/>
          </w:divBdr>
        </w:div>
        <w:div w:id="1205102001">
          <w:marLeft w:val="274"/>
          <w:marRight w:val="0"/>
          <w:marTop w:val="0"/>
          <w:marBottom w:val="80"/>
          <w:divBdr>
            <w:top w:val="none" w:sz="0" w:space="0" w:color="auto"/>
            <w:left w:val="none" w:sz="0" w:space="0" w:color="auto"/>
            <w:bottom w:val="none" w:sz="0" w:space="0" w:color="auto"/>
            <w:right w:val="none" w:sz="0" w:space="0" w:color="auto"/>
          </w:divBdr>
        </w:div>
        <w:div w:id="1670281341">
          <w:marLeft w:val="274"/>
          <w:marRight w:val="0"/>
          <w:marTop w:val="0"/>
          <w:marBottom w:val="80"/>
          <w:divBdr>
            <w:top w:val="none" w:sz="0" w:space="0" w:color="auto"/>
            <w:left w:val="none" w:sz="0" w:space="0" w:color="auto"/>
            <w:bottom w:val="none" w:sz="0" w:space="0" w:color="auto"/>
            <w:right w:val="none" w:sz="0" w:space="0" w:color="auto"/>
          </w:divBdr>
        </w:div>
      </w:divsChild>
    </w:div>
    <w:div w:id="1522468809">
      <w:bodyDiv w:val="1"/>
      <w:marLeft w:val="0"/>
      <w:marRight w:val="0"/>
      <w:marTop w:val="0"/>
      <w:marBottom w:val="0"/>
      <w:divBdr>
        <w:top w:val="none" w:sz="0" w:space="0" w:color="auto"/>
        <w:left w:val="none" w:sz="0" w:space="0" w:color="auto"/>
        <w:bottom w:val="none" w:sz="0" w:space="0" w:color="auto"/>
        <w:right w:val="none" w:sz="0" w:space="0" w:color="auto"/>
      </w:divBdr>
    </w:div>
    <w:div w:id="1527017239">
      <w:bodyDiv w:val="1"/>
      <w:marLeft w:val="0"/>
      <w:marRight w:val="0"/>
      <w:marTop w:val="0"/>
      <w:marBottom w:val="0"/>
      <w:divBdr>
        <w:top w:val="none" w:sz="0" w:space="0" w:color="auto"/>
        <w:left w:val="none" w:sz="0" w:space="0" w:color="auto"/>
        <w:bottom w:val="none" w:sz="0" w:space="0" w:color="auto"/>
        <w:right w:val="none" w:sz="0" w:space="0" w:color="auto"/>
      </w:divBdr>
    </w:div>
    <w:div w:id="1554391093">
      <w:bodyDiv w:val="1"/>
      <w:marLeft w:val="0"/>
      <w:marRight w:val="0"/>
      <w:marTop w:val="0"/>
      <w:marBottom w:val="0"/>
      <w:divBdr>
        <w:top w:val="none" w:sz="0" w:space="0" w:color="auto"/>
        <w:left w:val="none" w:sz="0" w:space="0" w:color="auto"/>
        <w:bottom w:val="none" w:sz="0" w:space="0" w:color="auto"/>
        <w:right w:val="none" w:sz="0" w:space="0" w:color="auto"/>
      </w:divBdr>
      <w:divsChild>
        <w:div w:id="1160802908">
          <w:marLeft w:val="562"/>
          <w:marRight w:val="0"/>
          <w:marTop w:val="0"/>
          <w:marBottom w:val="360"/>
          <w:divBdr>
            <w:top w:val="none" w:sz="0" w:space="0" w:color="auto"/>
            <w:left w:val="none" w:sz="0" w:space="0" w:color="auto"/>
            <w:bottom w:val="none" w:sz="0" w:space="0" w:color="auto"/>
            <w:right w:val="none" w:sz="0" w:space="0" w:color="auto"/>
          </w:divBdr>
        </w:div>
        <w:div w:id="2051028461">
          <w:marLeft w:val="562"/>
          <w:marRight w:val="0"/>
          <w:marTop w:val="0"/>
          <w:marBottom w:val="360"/>
          <w:divBdr>
            <w:top w:val="none" w:sz="0" w:space="0" w:color="auto"/>
            <w:left w:val="none" w:sz="0" w:space="0" w:color="auto"/>
            <w:bottom w:val="none" w:sz="0" w:space="0" w:color="auto"/>
            <w:right w:val="none" w:sz="0" w:space="0" w:color="auto"/>
          </w:divBdr>
        </w:div>
        <w:div w:id="2054377602">
          <w:marLeft w:val="562"/>
          <w:marRight w:val="0"/>
          <w:marTop w:val="0"/>
          <w:marBottom w:val="360"/>
          <w:divBdr>
            <w:top w:val="none" w:sz="0" w:space="0" w:color="auto"/>
            <w:left w:val="none" w:sz="0" w:space="0" w:color="auto"/>
            <w:bottom w:val="none" w:sz="0" w:space="0" w:color="auto"/>
            <w:right w:val="none" w:sz="0" w:space="0" w:color="auto"/>
          </w:divBdr>
        </w:div>
      </w:divsChild>
    </w:div>
    <w:div w:id="1571964056">
      <w:bodyDiv w:val="1"/>
      <w:marLeft w:val="0"/>
      <w:marRight w:val="0"/>
      <w:marTop w:val="0"/>
      <w:marBottom w:val="0"/>
      <w:divBdr>
        <w:top w:val="none" w:sz="0" w:space="0" w:color="auto"/>
        <w:left w:val="none" w:sz="0" w:space="0" w:color="auto"/>
        <w:bottom w:val="none" w:sz="0" w:space="0" w:color="auto"/>
        <w:right w:val="none" w:sz="0" w:space="0" w:color="auto"/>
      </w:divBdr>
    </w:div>
    <w:div w:id="1578972644">
      <w:bodyDiv w:val="1"/>
      <w:marLeft w:val="0"/>
      <w:marRight w:val="0"/>
      <w:marTop w:val="0"/>
      <w:marBottom w:val="0"/>
      <w:divBdr>
        <w:top w:val="none" w:sz="0" w:space="0" w:color="auto"/>
        <w:left w:val="none" w:sz="0" w:space="0" w:color="auto"/>
        <w:bottom w:val="none" w:sz="0" w:space="0" w:color="auto"/>
        <w:right w:val="none" w:sz="0" w:space="0" w:color="auto"/>
      </w:divBdr>
    </w:div>
    <w:div w:id="1581712224">
      <w:bodyDiv w:val="1"/>
      <w:marLeft w:val="0"/>
      <w:marRight w:val="0"/>
      <w:marTop w:val="0"/>
      <w:marBottom w:val="0"/>
      <w:divBdr>
        <w:top w:val="none" w:sz="0" w:space="0" w:color="auto"/>
        <w:left w:val="none" w:sz="0" w:space="0" w:color="auto"/>
        <w:bottom w:val="none" w:sz="0" w:space="0" w:color="auto"/>
        <w:right w:val="none" w:sz="0" w:space="0" w:color="auto"/>
      </w:divBdr>
    </w:div>
    <w:div w:id="1600523464">
      <w:bodyDiv w:val="1"/>
      <w:marLeft w:val="0"/>
      <w:marRight w:val="0"/>
      <w:marTop w:val="0"/>
      <w:marBottom w:val="0"/>
      <w:divBdr>
        <w:top w:val="none" w:sz="0" w:space="0" w:color="auto"/>
        <w:left w:val="none" w:sz="0" w:space="0" w:color="auto"/>
        <w:bottom w:val="none" w:sz="0" w:space="0" w:color="auto"/>
        <w:right w:val="none" w:sz="0" w:space="0" w:color="auto"/>
      </w:divBdr>
    </w:div>
    <w:div w:id="1615164780">
      <w:bodyDiv w:val="1"/>
      <w:marLeft w:val="0"/>
      <w:marRight w:val="0"/>
      <w:marTop w:val="0"/>
      <w:marBottom w:val="0"/>
      <w:divBdr>
        <w:top w:val="none" w:sz="0" w:space="0" w:color="auto"/>
        <w:left w:val="none" w:sz="0" w:space="0" w:color="auto"/>
        <w:bottom w:val="none" w:sz="0" w:space="0" w:color="auto"/>
        <w:right w:val="none" w:sz="0" w:space="0" w:color="auto"/>
      </w:divBdr>
    </w:div>
    <w:div w:id="1618173230">
      <w:bodyDiv w:val="1"/>
      <w:marLeft w:val="0"/>
      <w:marRight w:val="0"/>
      <w:marTop w:val="0"/>
      <w:marBottom w:val="0"/>
      <w:divBdr>
        <w:top w:val="none" w:sz="0" w:space="0" w:color="auto"/>
        <w:left w:val="none" w:sz="0" w:space="0" w:color="auto"/>
        <w:bottom w:val="none" w:sz="0" w:space="0" w:color="auto"/>
        <w:right w:val="none" w:sz="0" w:space="0" w:color="auto"/>
      </w:divBdr>
      <w:divsChild>
        <w:div w:id="1936938956">
          <w:marLeft w:val="360"/>
          <w:marRight w:val="0"/>
          <w:marTop w:val="0"/>
          <w:marBottom w:val="40"/>
          <w:divBdr>
            <w:top w:val="none" w:sz="0" w:space="0" w:color="auto"/>
            <w:left w:val="none" w:sz="0" w:space="0" w:color="auto"/>
            <w:bottom w:val="none" w:sz="0" w:space="0" w:color="auto"/>
            <w:right w:val="none" w:sz="0" w:space="0" w:color="auto"/>
          </w:divBdr>
        </w:div>
      </w:divsChild>
    </w:div>
    <w:div w:id="1622569126">
      <w:bodyDiv w:val="1"/>
      <w:marLeft w:val="0"/>
      <w:marRight w:val="0"/>
      <w:marTop w:val="0"/>
      <w:marBottom w:val="0"/>
      <w:divBdr>
        <w:top w:val="none" w:sz="0" w:space="0" w:color="auto"/>
        <w:left w:val="none" w:sz="0" w:space="0" w:color="auto"/>
        <w:bottom w:val="none" w:sz="0" w:space="0" w:color="auto"/>
        <w:right w:val="none" w:sz="0" w:space="0" w:color="auto"/>
      </w:divBdr>
    </w:div>
    <w:div w:id="1629505687">
      <w:bodyDiv w:val="1"/>
      <w:marLeft w:val="0"/>
      <w:marRight w:val="0"/>
      <w:marTop w:val="0"/>
      <w:marBottom w:val="0"/>
      <w:divBdr>
        <w:top w:val="none" w:sz="0" w:space="0" w:color="auto"/>
        <w:left w:val="none" w:sz="0" w:space="0" w:color="auto"/>
        <w:bottom w:val="none" w:sz="0" w:space="0" w:color="auto"/>
        <w:right w:val="none" w:sz="0" w:space="0" w:color="auto"/>
      </w:divBdr>
    </w:div>
    <w:div w:id="1635284864">
      <w:bodyDiv w:val="1"/>
      <w:marLeft w:val="0"/>
      <w:marRight w:val="0"/>
      <w:marTop w:val="0"/>
      <w:marBottom w:val="0"/>
      <w:divBdr>
        <w:top w:val="none" w:sz="0" w:space="0" w:color="auto"/>
        <w:left w:val="none" w:sz="0" w:space="0" w:color="auto"/>
        <w:bottom w:val="none" w:sz="0" w:space="0" w:color="auto"/>
        <w:right w:val="none" w:sz="0" w:space="0" w:color="auto"/>
      </w:divBdr>
    </w:div>
    <w:div w:id="1656253396">
      <w:bodyDiv w:val="1"/>
      <w:marLeft w:val="0"/>
      <w:marRight w:val="0"/>
      <w:marTop w:val="0"/>
      <w:marBottom w:val="0"/>
      <w:divBdr>
        <w:top w:val="none" w:sz="0" w:space="0" w:color="auto"/>
        <w:left w:val="none" w:sz="0" w:space="0" w:color="auto"/>
        <w:bottom w:val="none" w:sz="0" w:space="0" w:color="auto"/>
        <w:right w:val="none" w:sz="0" w:space="0" w:color="auto"/>
      </w:divBdr>
    </w:div>
    <w:div w:id="1662737142">
      <w:bodyDiv w:val="1"/>
      <w:marLeft w:val="0"/>
      <w:marRight w:val="0"/>
      <w:marTop w:val="0"/>
      <w:marBottom w:val="0"/>
      <w:divBdr>
        <w:top w:val="none" w:sz="0" w:space="0" w:color="auto"/>
        <w:left w:val="none" w:sz="0" w:space="0" w:color="auto"/>
        <w:bottom w:val="none" w:sz="0" w:space="0" w:color="auto"/>
        <w:right w:val="none" w:sz="0" w:space="0" w:color="auto"/>
      </w:divBdr>
    </w:div>
    <w:div w:id="1673558215">
      <w:bodyDiv w:val="1"/>
      <w:marLeft w:val="0"/>
      <w:marRight w:val="0"/>
      <w:marTop w:val="0"/>
      <w:marBottom w:val="0"/>
      <w:divBdr>
        <w:top w:val="none" w:sz="0" w:space="0" w:color="auto"/>
        <w:left w:val="none" w:sz="0" w:space="0" w:color="auto"/>
        <w:bottom w:val="none" w:sz="0" w:space="0" w:color="auto"/>
        <w:right w:val="none" w:sz="0" w:space="0" w:color="auto"/>
      </w:divBdr>
    </w:div>
    <w:div w:id="1697928298">
      <w:bodyDiv w:val="1"/>
      <w:marLeft w:val="0"/>
      <w:marRight w:val="0"/>
      <w:marTop w:val="0"/>
      <w:marBottom w:val="0"/>
      <w:divBdr>
        <w:top w:val="none" w:sz="0" w:space="0" w:color="auto"/>
        <w:left w:val="none" w:sz="0" w:space="0" w:color="auto"/>
        <w:bottom w:val="none" w:sz="0" w:space="0" w:color="auto"/>
        <w:right w:val="none" w:sz="0" w:space="0" w:color="auto"/>
      </w:divBdr>
    </w:div>
    <w:div w:id="1742020043">
      <w:bodyDiv w:val="1"/>
      <w:marLeft w:val="0"/>
      <w:marRight w:val="0"/>
      <w:marTop w:val="0"/>
      <w:marBottom w:val="0"/>
      <w:divBdr>
        <w:top w:val="none" w:sz="0" w:space="0" w:color="auto"/>
        <w:left w:val="none" w:sz="0" w:space="0" w:color="auto"/>
        <w:bottom w:val="none" w:sz="0" w:space="0" w:color="auto"/>
        <w:right w:val="none" w:sz="0" w:space="0" w:color="auto"/>
      </w:divBdr>
      <w:divsChild>
        <w:div w:id="742221204">
          <w:marLeft w:val="274"/>
          <w:marRight w:val="0"/>
          <w:marTop w:val="0"/>
          <w:marBottom w:val="40"/>
          <w:divBdr>
            <w:top w:val="none" w:sz="0" w:space="0" w:color="auto"/>
            <w:left w:val="none" w:sz="0" w:space="0" w:color="auto"/>
            <w:bottom w:val="none" w:sz="0" w:space="0" w:color="auto"/>
            <w:right w:val="none" w:sz="0" w:space="0" w:color="auto"/>
          </w:divBdr>
        </w:div>
        <w:div w:id="856652051">
          <w:marLeft w:val="274"/>
          <w:marRight w:val="0"/>
          <w:marTop w:val="0"/>
          <w:marBottom w:val="40"/>
          <w:divBdr>
            <w:top w:val="none" w:sz="0" w:space="0" w:color="auto"/>
            <w:left w:val="none" w:sz="0" w:space="0" w:color="auto"/>
            <w:bottom w:val="none" w:sz="0" w:space="0" w:color="auto"/>
            <w:right w:val="none" w:sz="0" w:space="0" w:color="auto"/>
          </w:divBdr>
        </w:div>
        <w:div w:id="1053113493">
          <w:marLeft w:val="274"/>
          <w:marRight w:val="0"/>
          <w:marTop w:val="0"/>
          <w:marBottom w:val="40"/>
          <w:divBdr>
            <w:top w:val="none" w:sz="0" w:space="0" w:color="auto"/>
            <w:left w:val="none" w:sz="0" w:space="0" w:color="auto"/>
            <w:bottom w:val="none" w:sz="0" w:space="0" w:color="auto"/>
            <w:right w:val="none" w:sz="0" w:space="0" w:color="auto"/>
          </w:divBdr>
        </w:div>
        <w:div w:id="1648631660">
          <w:marLeft w:val="274"/>
          <w:marRight w:val="0"/>
          <w:marTop w:val="0"/>
          <w:marBottom w:val="40"/>
          <w:divBdr>
            <w:top w:val="none" w:sz="0" w:space="0" w:color="auto"/>
            <w:left w:val="none" w:sz="0" w:space="0" w:color="auto"/>
            <w:bottom w:val="none" w:sz="0" w:space="0" w:color="auto"/>
            <w:right w:val="none" w:sz="0" w:space="0" w:color="auto"/>
          </w:divBdr>
        </w:div>
        <w:div w:id="2134322119">
          <w:marLeft w:val="274"/>
          <w:marRight w:val="0"/>
          <w:marTop w:val="0"/>
          <w:marBottom w:val="40"/>
          <w:divBdr>
            <w:top w:val="none" w:sz="0" w:space="0" w:color="auto"/>
            <w:left w:val="none" w:sz="0" w:space="0" w:color="auto"/>
            <w:bottom w:val="none" w:sz="0" w:space="0" w:color="auto"/>
            <w:right w:val="none" w:sz="0" w:space="0" w:color="auto"/>
          </w:divBdr>
        </w:div>
      </w:divsChild>
    </w:div>
    <w:div w:id="1778866407">
      <w:bodyDiv w:val="1"/>
      <w:marLeft w:val="0"/>
      <w:marRight w:val="0"/>
      <w:marTop w:val="0"/>
      <w:marBottom w:val="0"/>
      <w:divBdr>
        <w:top w:val="none" w:sz="0" w:space="0" w:color="auto"/>
        <w:left w:val="none" w:sz="0" w:space="0" w:color="auto"/>
        <w:bottom w:val="none" w:sz="0" w:space="0" w:color="auto"/>
        <w:right w:val="none" w:sz="0" w:space="0" w:color="auto"/>
      </w:divBdr>
    </w:div>
    <w:div w:id="1793744353">
      <w:bodyDiv w:val="1"/>
      <w:marLeft w:val="0"/>
      <w:marRight w:val="0"/>
      <w:marTop w:val="0"/>
      <w:marBottom w:val="0"/>
      <w:divBdr>
        <w:top w:val="none" w:sz="0" w:space="0" w:color="auto"/>
        <w:left w:val="none" w:sz="0" w:space="0" w:color="auto"/>
        <w:bottom w:val="none" w:sz="0" w:space="0" w:color="auto"/>
        <w:right w:val="none" w:sz="0" w:space="0" w:color="auto"/>
      </w:divBdr>
    </w:div>
    <w:div w:id="1800997017">
      <w:bodyDiv w:val="1"/>
      <w:marLeft w:val="0"/>
      <w:marRight w:val="0"/>
      <w:marTop w:val="0"/>
      <w:marBottom w:val="0"/>
      <w:divBdr>
        <w:top w:val="none" w:sz="0" w:space="0" w:color="auto"/>
        <w:left w:val="none" w:sz="0" w:space="0" w:color="auto"/>
        <w:bottom w:val="none" w:sz="0" w:space="0" w:color="auto"/>
        <w:right w:val="none" w:sz="0" w:space="0" w:color="auto"/>
      </w:divBdr>
      <w:divsChild>
        <w:div w:id="2064130643">
          <w:marLeft w:val="360"/>
          <w:marRight w:val="0"/>
          <w:marTop w:val="0"/>
          <w:marBottom w:val="40"/>
          <w:divBdr>
            <w:top w:val="none" w:sz="0" w:space="0" w:color="auto"/>
            <w:left w:val="none" w:sz="0" w:space="0" w:color="auto"/>
            <w:bottom w:val="none" w:sz="0" w:space="0" w:color="auto"/>
            <w:right w:val="none" w:sz="0" w:space="0" w:color="auto"/>
          </w:divBdr>
        </w:div>
      </w:divsChild>
    </w:div>
    <w:div w:id="1831558568">
      <w:bodyDiv w:val="1"/>
      <w:marLeft w:val="0"/>
      <w:marRight w:val="0"/>
      <w:marTop w:val="0"/>
      <w:marBottom w:val="0"/>
      <w:divBdr>
        <w:top w:val="none" w:sz="0" w:space="0" w:color="auto"/>
        <w:left w:val="none" w:sz="0" w:space="0" w:color="auto"/>
        <w:bottom w:val="none" w:sz="0" w:space="0" w:color="auto"/>
        <w:right w:val="none" w:sz="0" w:space="0" w:color="auto"/>
      </w:divBdr>
    </w:div>
    <w:div w:id="1838492372">
      <w:bodyDiv w:val="1"/>
      <w:marLeft w:val="0"/>
      <w:marRight w:val="0"/>
      <w:marTop w:val="0"/>
      <w:marBottom w:val="0"/>
      <w:divBdr>
        <w:top w:val="none" w:sz="0" w:space="0" w:color="auto"/>
        <w:left w:val="none" w:sz="0" w:space="0" w:color="auto"/>
        <w:bottom w:val="none" w:sz="0" w:space="0" w:color="auto"/>
        <w:right w:val="none" w:sz="0" w:space="0" w:color="auto"/>
      </w:divBdr>
      <w:divsChild>
        <w:div w:id="910508883">
          <w:marLeft w:val="547"/>
          <w:marRight w:val="0"/>
          <w:marTop w:val="0"/>
          <w:marBottom w:val="0"/>
          <w:divBdr>
            <w:top w:val="none" w:sz="0" w:space="0" w:color="auto"/>
            <w:left w:val="none" w:sz="0" w:space="0" w:color="auto"/>
            <w:bottom w:val="none" w:sz="0" w:space="0" w:color="auto"/>
            <w:right w:val="none" w:sz="0" w:space="0" w:color="auto"/>
          </w:divBdr>
        </w:div>
      </w:divsChild>
    </w:div>
    <w:div w:id="1838839142">
      <w:bodyDiv w:val="1"/>
      <w:marLeft w:val="0"/>
      <w:marRight w:val="0"/>
      <w:marTop w:val="0"/>
      <w:marBottom w:val="0"/>
      <w:divBdr>
        <w:top w:val="none" w:sz="0" w:space="0" w:color="auto"/>
        <w:left w:val="none" w:sz="0" w:space="0" w:color="auto"/>
        <w:bottom w:val="none" w:sz="0" w:space="0" w:color="auto"/>
        <w:right w:val="none" w:sz="0" w:space="0" w:color="auto"/>
      </w:divBdr>
    </w:div>
    <w:div w:id="1851602877">
      <w:bodyDiv w:val="1"/>
      <w:marLeft w:val="0"/>
      <w:marRight w:val="0"/>
      <w:marTop w:val="0"/>
      <w:marBottom w:val="0"/>
      <w:divBdr>
        <w:top w:val="none" w:sz="0" w:space="0" w:color="auto"/>
        <w:left w:val="none" w:sz="0" w:space="0" w:color="auto"/>
        <w:bottom w:val="none" w:sz="0" w:space="0" w:color="auto"/>
        <w:right w:val="none" w:sz="0" w:space="0" w:color="auto"/>
      </w:divBdr>
    </w:div>
    <w:div w:id="1854875025">
      <w:bodyDiv w:val="1"/>
      <w:marLeft w:val="0"/>
      <w:marRight w:val="0"/>
      <w:marTop w:val="0"/>
      <w:marBottom w:val="0"/>
      <w:divBdr>
        <w:top w:val="none" w:sz="0" w:space="0" w:color="auto"/>
        <w:left w:val="none" w:sz="0" w:space="0" w:color="auto"/>
        <w:bottom w:val="none" w:sz="0" w:space="0" w:color="auto"/>
        <w:right w:val="none" w:sz="0" w:space="0" w:color="auto"/>
      </w:divBdr>
    </w:div>
    <w:div w:id="1892031906">
      <w:bodyDiv w:val="1"/>
      <w:marLeft w:val="0"/>
      <w:marRight w:val="0"/>
      <w:marTop w:val="0"/>
      <w:marBottom w:val="0"/>
      <w:divBdr>
        <w:top w:val="none" w:sz="0" w:space="0" w:color="auto"/>
        <w:left w:val="none" w:sz="0" w:space="0" w:color="auto"/>
        <w:bottom w:val="none" w:sz="0" w:space="0" w:color="auto"/>
        <w:right w:val="none" w:sz="0" w:space="0" w:color="auto"/>
      </w:divBdr>
    </w:div>
    <w:div w:id="1907185101">
      <w:bodyDiv w:val="1"/>
      <w:marLeft w:val="0"/>
      <w:marRight w:val="0"/>
      <w:marTop w:val="0"/>
      <w:marBottom w:val="0"/>
      <w:divBdr>
        <w:top w:val="none" w:sz="0" w:space="0" w:color="auto"/>
        <w:left w:val="none" w:sz="0" w:space="0" w:color="auto"/>
        <w:bottom w:val="none" w:sz="0" w:space="0" w:color="auto"/>
        <w:right w:val="none" w:sz="0" w:space="0" w:color="auto"/>
      </w:divBdr>
    </w:div>
    <w:div w:id="1920363644">
      <w:bodyDiv w:val="1"/>
      <w:marLeft w:val="0"/>
      <w:marRight w:val="0"/>
      <w:marTop w:val="0"/>
      <w:marBottom w:val="0"/>
      <w:divBdr>
        <w:top w:val="none" w:sz="0" w:space="0" w:color="auto"/>
        <w:left w:val="none" w:sz="0" w:space="0" w:color="auto"/>
        <w:bottom w:val="none" w:sz="0" w:space="0" w:color="auto"/>
        <w:right w:val="none" w:sz="0" w:space="0" w:color="auto"/>
      </w:divBdr>
    </w:div>
    <w:div w:id="1937130395">
      <w:bodyDiv w:val="1"/>
      <w:marLeft w:val="0"/>
      <w:marRight w:val="0"/>
      <w:marTop w:val="0"/>
      <w:marBottom w:val="0"/>
      <w:divBdr>
        <w:top w:val="none" w:sz="0" w:space="0" w:color="auto"/>
        <w:left w:val="none" w:sz="0" w:space="0" w:color="auto"/>
        <w:bottom w:val="none" w:sz="0" w:space="0" w:color="auto"/>
        <w:right w:val="none" w:sz="0" w:space="0" w:color="auto"/>
      </w:divBdr>
    </w:div>
    <w:div w:id="1940718876">
      <w:bodyDiv w:val="1"/>
      <w:marLeft w:val="0"/>
      <w:marRight w:val="0"/>
      <w:marTop w:val="0"/>
      <w:marBottom w:val="0"/>
      <w:divBdr>
        <w:top w:val="none" w:sz="0" w:space="0" w:color="auto"/>
        <w:left w:val="none" w:sz="0" w:space="0" w:color="auto"/>
        <w:bottom w:val="none" w:sz="0" w:space="0" w:color="auto"/>
        <w:right w:val="none" w:sz="0" w:space="0" w:color="auto"/>
      </w:divBdr>
    </w:div>
    <w:div w:id="1941641143">
      <w:bodyDiv w:val="1"/>
      <w:marLeft w:val="0"/>
      <w:marRight w:val="0"/>
      <w:marTop w:val="0"/>
      <w:marBottom w:val="0"/>
      <w:divBdr>
        <w:top w:val="none" w:sz="0" w:space="0" w:color="auto"/>
        <w:left w:val="none" w:sz="0" w:space="0" w:color="auto"/>
        <w:bottom w:val="none" w:sz="0" w:space="0" w:color="auto"/>
        <w:right w:val="none" w:sz="0" w:space="0" w:color="auto"/>
      </w:divBdr>
    </w:div>
    <w:div w:id="1958753990">
      <w:bodyDiv w:val="1"/>
      <w:marLeft w:val="0"/>
      <w:marRight w:val="0"/>
      <w:marTop w:val="0"/>
      <w:marBottom w:val="0"/>
      <w:divBdr>
        <w:top w:val="none" w:sz="0" w:space="0" w:color="auto"/>
        <w:left w:val="none" w:sz="0" w:space="0" w:color="auto"/>
        <w:bottom w:val="none" w:sz="0" w:space="0" w:color="auto"/>
        <w:right w:val="none" w:sz="0" w:space="0" w:color="auto"/>
      </w:divBdr>
    </w:div>
    <w:div w:id="1958944462">
      <w:bodyDiv w:val="1"/>
      <w:marLeft w:val="0"/>
      <w:marRight w:val="0"/>
      <w:marTop w:val="0"/>
      <w:marBottom w:val="0"/>
      <w:divBdr>
        <w:top w:val="none" w:sz="0" w:space="0" w:color="auto"/>
        <w:left w:val="none" w:sz="0" w:space="0" w:color="auto"/>
        <w:bottom w:val="none" w:sz="0" w:space="0" w:color="auto"/>
        <w:right w:val="none" w:sz="0" w:space="0" w:color="auto"/>
      </w:divBdr>
    </w:div>
    <w:div w:id="1995256873">
      <w:bodyDiv w:val="1"/>
      <w:marLeft w:val="0"/>
      <w:marRight w:val="0"/>
      <w:marTop w:val="0"/>
      <w:marBottom w:val="0"/>
      <w:divBdr>
        <w:top w:val="none" w:sz="0" w:space="0" w:color="auto"/>
        <w:left w:val="none" w:sz="0" w:space="0" w:color="auto"/>
        <w:bottom w:val="none" w:sz="0" w:space="0" w:color="auto"/>
        <w:right w:val="none" w:sz="0" w:space="0" w:color="auto"/>
      </w:divBdr>
      <w:divsChild>
        <w:div w:id="1468821138">
          <w:marLeft w:val="0"/>
          <w:marRight w:val="0"/>
          <w:marTop w:val="0"/>
          <w:marBottom w:val="0"/>
          <w:divBdr>
            <w:top w:val="none" w:sz="0" w:space="0" w:color="auto"/>
            <w:left w:val="none" w:sz="0" w:space="0" w:color="auto"/>
            <w:bottom w:val="none" w:sz="0" w:space="0" w:color="auto"/>
            <w:right w:val="none" w:sz="0" w:space="0" w:color="auto"/>
          </w:divBdr>
          <w:divsChild>
            <w:div w:id="1253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6600">
      <w:bodyDiv w:val="1"/>
      <w:marLeft w:val="0"/>
      <w:marRight w:val="0"/>
      <w:marTop w:val="0"/>
      <w:marBottom w:val="0"/>
      <w:divBdr>
        <w:top w:val="none" w:sz="0" w:space="0" w:color="auto"/>
        <w:left w:val="none" w:sz="0" w:space="0" w:color="auto"/>
        <w:bottom w:val="none" w:sz="0" w:space="0" w:color="auto"/>
        <w:right w:val="none" w:sz="0" w:space="0" w:color="auto"/>
      </w:divBdr>
    </w:div>
    <w:div w:id="1998724201">
      <w:bodyDiv w:val="1"/>
      <w:marLeft w:val="0"/>
      <w:marRight w:val="0"/>
      <w:marTop w:val="0"/>
      <w:marBottom w:val="0"/>
      <w:divBdr>
        <w:top w:val="none" w:sz="0" w:space="0" w:color="auto"/>
        <w:left w:val="none" w:sz="0" w:space="0" w:color="auto"/>
        <w:bottom w:val="none" w:sz="0" w:space="0" w:color="auto"/>
        <w:right w:val="none" w:sz="0" w:space="0" w:color="auto"/>
      </w:divBdr>
    </w:div>
    <w:div w:id="2024476614">
      <w:bodyDiv w:val="1"/>
      <w:marLeft w:val="0"/>
      <w:marRight w:val="0"/>
      <w:marTop w:val="0"/>
      <w:marBottom w:val="0"/>
      <w:divBdr>
        <w:top w:val="none" w:sz="0" w:space="0" w:color="auto"/>
        <w:left w:val="none" w:sz="0" w:space="0" w:color="auto"/>
        <w:bottom w:val="none" w:sz="0" w:space="0" w:color="auto"/>
        <w:right w:val="none" w:sz="0" w:space="0" w:color="auto"/>
      </w:divBdr>
    </w:div>
    <w:div w:id="2032106760">
      <w:bodyDiv w:val="1"/>
      <w:marLeft w:val="0"/>
      <w:marRight w:val="0"/>
      <w:marTop w:val="0"/>
      <w:marBottom w:val="0"/>
      <w:divBdr>
        <w:top w:val="none" w:sz="0" w:space="0" w:color="auto"/>
        <w:left w:val="none" w:sz="0" w:space="0" w:color="auto"/>
        <w:bottom w:val="none" w:sz="0" w:space="0" w:color="auto"/>
        <w:right w:val="none" w:sz="0" w:space="0" w:color="auto"/>
      </w:divBdr>
    </w:div>
    <w:div w:id="2044550783">
      <w:bodyDiv w:val="1"/>
      <w:marLeft w:val="0"/>
      <w:marRight w:val="0"/>
      <w:marTop w:val="0"/>
      <w:marBottom w:val="0"/>
      <w:divBdr>
        <w:top w:val="none" w:sz="0" w:space="0" w:color="auto"/>
        <w:left w:val="none" w:sz="0" w:space="0" w:color="auto"/>
        <w:bottom w:val="none" w:sz="0" w:space="0" w:color="auto"/>
        <w:right w:val="none" w:sz="0" w:space="0" w:color="auto"/>
      </w:divBdr>
      <w:divsChild>
        <w:div w:id="375738652">
          <w:marLeft w:val="274"/>
          <w:marRight w:val="0"/>
          <w:marTop w:val="0"/>
          <w:marBottom w:val="40"/>
          <w:divBdr>
            <w:top w:val="none" w:sz="0" w:space="0" w:color="auto"/>
            <w:left w:val="none" w:sz="0" w:space="0" w:color="auto"/>
            <w:bottom w:val="none" w:sz="0" w:space="0" w:color="auto"/>
            <w:right w:val="none" w:sz="0" w:space="0" w:color="auto"/>
          </w:divBdr>
        </w:div>
        <w:div w:id="453325771">
          <w:marLeft w:val="274"/>
          <w:marRight w:val="0"/>
          <w:marTop w:val="0"/>
          <w:marBottom w:val="40"/>
          <w:divBdr>
            <w:top w:val="none" w:sz="0" w:space="0" w:color="auto"/>
            <w:left w:val="none" w:sz="0" w:space="0" w:color="auto"/>
            <w:bottom w:val="none" w:sz="0" w:space="0" w:color="auto"/>
            <w:right w:val="none" w:sz="0" w:space="0" w:color="auto"/>
          </w:divBdr>
        </w:div>
        <w:div w:id="742416560">
          <w:marLeft w:val="274"/>
          <w:marRight w:val="0"/>
          <w:marTop w:val="0"/>
          <w:marBottom w:val="40"/>
          <w:divBdr>
            <w:top w:val="none" w:sz="0" w:space="0" w:color="auto"/>
            <w:left w:val="none" w:sz="0" w:space="0" w:color="auto"/>
            <w:bottom w:val="none" w:sz="0" w:space="0" w:color="auto"/>
            <w:right w:val="none" w:sz="0" w:space="0" w:color="auto"/>
          </w:divBdr>
        </w:div>
        <w:div w:id="1008367899">
          <w:marLeft w:val="274"/>
          <w:marRight w:val="0"/>
          <w:marTop w:val="0"/>
          <w:marBottom w:val="40"/>
          <w:divBdr>
            <w:top w:val="none" w:sz="0" w:space="0" w:color="auto"/>
            <w:left w:val="none" w:sz="0" w:space="0" w:color="auto"/>
            <w:bottom w:val="none" w:sz="0" w:space="0" w:color="auto"/>
            <w:right w:val="none" w:sz="0" w:space="0" w:color="auto"/>
          </w:divBdr>
        </w:div>
        <w:div w:id="1677416100">
          <w:marLeft w:val="274"/>
          <w:marRight w:val="0"/>
          <w:marTop w:val="0"/>
          <w:marBottom w:val="40"/>
          <w:divBdr>
            <w:top w:val="none" w:sz="0" w:space="0" w:color="auto"/>
            <w:left w:val="none" w:sz="0" w:space="0" w:color="auto"/>
            <w:bottom w:val="none" w:sz="0" w:space="0" w:color="auto"/>
            <w:right w:val="none" w:sz="0" w:space="0" w:color="auto"/>
          </w:divBdr>
        </w:div>
        <w:div w:id="1843354818">
          <w:marLeft w:val="274"/>
          <w:marRight w:val="0"/>
          <w:marTop w:val="0"/>
          <w:marBottom w:val="40"/>
          <w:divBdr>
            <w:top w:val="none" w:sz="0" w:space="0" w:color="auto"/>
            <w:left w:val="none" w:sz="0" w:space="0" w:color="auto"/>
            <w:bottom w:val="none" w:sz="0" w:space="0" w:color="auto"/>
            <w:right w:val="none" w:sz="0" w:space="0" w:color="auto"/>
          </w:divBdr>
        </w:div>
      </w:divsChild>
    </w:div>
    <w:div w:id="2049716085">
      <w:bodyDiv w:val="1"/>
      <w:marLeft w:val="0"/>
      <w:marRight w:val="0"/>
      <w:marTop w:val="0"/>
      <w:marBottom w:val="0"/>
      <w:divBdr>
        <w:top w:val="none" w:sz="0" w:space="0" w:color="auto"/>
        <w:left w:val="none" w:sz="0" w:space="0" w:color="auto"/>
        <w:bottom w:val="none" w:sz="0" w:space="0" w:color="auto"/>
        <w:right w:val="none" w:sz="0" w:space="0" w:color="auto"/>
      </w:divBdr>
      <w:divsChild>
        <w:div w:id="29259160">
          <w:marLeft w:val="274"/>
          <w:marRight w:val="0"/>
          <w:marTop w:val="0"/>
          <w:marBottom w:val="40"/>
          <w:divBdr>
            <w:top w:val="none" w:sz="0" w:space="0" w:color="auto"/>
            <w:left w:val="none" w:sz="0" w:space="0" w:color="auto"/>
            <w:bottom w:val="none" w:sz="0" w:space="0" w:color="auto"/>
            <w:right w:val="none" w:sz="0" w:space="0" w:color="auto"/>
          </w:divBdr>
        </w:div>
      </w:divsChild>
    </w:div>
    <w:div w:id="2057578903">
      <w:bodyDiv w:val="1"/>
      <w:marLeft w:val="0"/>
      <w:marRight w:val="0"/>
      <w:marTop w:val="0"/>
      <w:marBottom w:val="0"/>
      <w:divBdr>
        <w:top w:val="none" w:sz="0" w:space="0" w:color="auto"/>
        <w:left w:val="none" w:sz="0" w:space="0" w:color="auto"/>
        <w:bottom w:val="none" w:sz="0" w:space="0" w:color="auto"/>
        <w:right w:val="none" w:sz="0" w:space="0" w:color="auto"/>
      </w:divBdr>
    </w:div>
    <w:div w:id="2072924890">
      <w:bodyDiv w:val="1"/>
      <w:marLeft w:val="0"/>
      <w:marRight w:val="0"/>
      <w:marTop w:val="0"/>
      <w:marBottom w:val="0"/>
      <w:divBdr>
        <w:top w:val="none" w:sz="0" w:space="0" w:color="auto"/>
        <w:left w:val="none" w:sz="0" w:space="0" w:color="auto"/>
        <w:bottom w:val="none" w:sz="0" w:space="0" w:color="auto"/>
        <w:right w:val="none" w:sz="0" w:space="0" w:color="auto"/>
      </w:divBdr>
    </w:div>
    <w:div w:id="2079473607">
      <w:bodyDiv w:val="1"/>
      <w:marLeft w:val="0"/>
      <w:marRight w:val="0"/>
      <w:marTop w:val="0"/>
      <w:marBottom w:val="0"/>
      <w:divBdr>
        <w:top w:val="none" w:sz="0" w:space="0" w:color="auto"/>
        <w:left w:val="none" w:sz="0" w:space="0" w:color="auto"/>
        <w:bottom w:val="none" w:sz="0" w:space="0" w:color="auto"/>
        <w:right w:val="none" w:sz="0" w:space="0" w:color="auto"/>
      </w:divBdr>
      <w:divsChild>
        <w:div w:id="1651060619">
          <w:marLeft w:val="274"/>
          <w:marRight w:val="0"/>
          <w:marTop w:val="0"/>
          <w:marBottom w:val="40"/>
          <w:divBdr>
            <w:top w:val="none" w:sz="0" w:space="0" w:color="auto"/>
            <w:left w:val="none" w:sz="0" w:space="0" w:color="auto"/>
            <w:bottom w:val="none" w:sz="0" w:space="0" w:color="auto"/>
            <w:right w:val="none" w:sz="0" w:space="0" w:color="auto"/>
          </w:divBdr>
        </w:div>
      </w:divsChild>
    </w:div>
    <w:div w:id="2082294067">
      <w:bodyDiv w:val="1"/>
      <w:marLeft w:val="0"/>
      <w:marRight w:val="0"/>
      <w:marTop w:val="0"/>
      <w:marBottom w:val="0"/>
      <w:divBdr>
        <w:top w:val="none" w:sz="0" w:space="0" w:color="auto"/>
        <w:left w:val="none" w:sz="0" w:space="0" w:color="auto"/>
        <w:bottom w:val="none" w:sz="0" w:space="0" w:color="auto"/>
        <w:right w:val="none" w:sz="0" w:space="0" w:color="auto"/>
      </w:divBdr>
    </w:div>
    <w:div w:id="2082480905">
      <w:bodyDiv w:val="1"/>
      <w:marLeft w:val="0"/>
      <w:marRight w:val="0"/>
      <w:marTop w:val="0"/>
      <w:marBottom w:val="0"/>
      <w:divBdr>
        <w:top w:val="none" w:sz="0" w:space="0" w:color="auto"/>
        <w:left w:val="none" w:sz="0" w:space="0" w:color="auto"/>
        <w:bottom w:val="none" w:sz="0" w:space="0" w:color="auto"/>
        <w:right w:val="none" w:sz="0" w:space="0" w:color="auto"/>
      </w:divBdr>
    </w:div>
    <w:div w:id="2092660710">
      <w:bodyDiv w:val="1"/>
      <w:marLeft w:val="0"/>
      <w:marRight w:val="0"/>
      <w:marTop w:val="0"/>
      <w:marBottom w:val="0"/>
      <w:divBdr>
        <w:top w:val="none" w:sz="0" w:space="0" w:color="auto"/>
        <w:left w:val="none" w:sz="0" w:space="0" w:color="auto"/>
        <w:bottom w:val="none" w:sz="0" w:space="0" w:color="auto"/>
        <w:right w:val="none" w:sz="0" w:space="0" w:color="auto"/>
      </w:divBdr>
    </w:div>
    <w:div w:id="2095319357">
      <w:bodyDiv w:val="1"/>
      <w:marLeft w:val="0"/>
      <w:marRight w:val="0"/>
      <w:marTop w:val="0"/>
      <w:marBottom w:val="0"/>
      <w:divBdr>
        <w:top w:val="none" w:sz="0" w:space="0" w:color="auto"/>
        <w:left w:val="none" w:sz="0" w:space="0" w:color="auto"/>
        <w:bottom w:val="none" w:sz="0" w:space="0" w:color="auto"/>
        <w:right w:val="none" w:sz="0" w:space="0" w:color="auto"/>
      </w:divBdr>
      <w:divsChild>
        <w:div w:id="103113811">
          <w:marLeft w:val="274"/>
          <w:marRight w:val="0"/>
          <w:marTop w:val="0"/>
          <w:marBottom w:val="40"/>
          <w:divBdr>
            <w:top w:val="none" w:sz="0" w:space="0" w:color="auto"/>
            <w:left w:val="none" w:sz="0" w:space="0" w:color="auto"/>
            <w:bottom w:val="none" w:sz="0" w:space="0" w:color="auto"/>
            <w:right w:val="none" w:sz="0" w:space="0" w:color="auto"/>
          </w:divBdr>
        </w:div>
      </w:divsChild>
    </w:div>
    <w:div w:id="2102799814">
      <w:bodyDiv w:val="1"/>
      <w:marLeft w:val="0"/>
      <w:marRight w:val="0"/>
      <w:marTop w:val="0"/>
      <w:marBottom w:val="0"/>
      <w:divBdr>
        <w:top w:val="none" w:sz="0" w:space="0" w:color="auto"/>
        <w:left w:val="none" w:sz="0" w:space="0" w:color="auto"/>
        <w:bottom w:val="none" w:sz="0" w:space="0" w:color="auto"/>
        <w:right w:val="none" w:sz="0" w:space="0" w:color="auto"/>
      </w:divBdr>
    </w:div>
    <w:div w:id="2105951836">
      <w:bodyDiv w:val="1"/>
      <w:marLeft w:val="0"/>
      <w:marRight w:val="0"/>
      <w:marTop w:val="0"/>
      <w:marBottom w:val="0"/>
      <w:divBdr>
        <w:top w:val="none" w:sz="0" w:space="0" w:color="auto"/>
        <w:left w:val="none" w:sz="0" w:space="0" w:color="auto"/>
        <w:bottom w:val="none" w:sz="0" w:space="0" w:color="auto"/>
        <w:right w:val="none" w:sz="0" w:space="0" w:color="auto"/>
      </w:divBdr>
      <w:divsChild>
        <w:div w:id="166754362">
          <w:marLeft w:val="706"/>
          <w:marRight w:val="0"/>
          <w:marTop w:val="0"/>
          <w:marBottom w:val="40"/>
          <w:divBdr>
            <w:top w:val="none" w:sz="0" w:space="0" w:color="auto"/>
            <w:left w:val="none" w:sz="0" w:space="0" w:color="auto"/>
            <w:bottom w:val="none" w:sz="0" w:space="0" w:color="auto"/>
            <w:right w:val="none" w:sz="0" w:space="0" w:color="auto"/>
          </w:divBdr>
        </w:div>
        <w:div w:id="1496451649">
          <w:marLeft w:val="274"/>
          <w:marRight w:val="0"/>
          <w:marTop w:val="0"/>
          <w:marBottom w:val="40"/>
          <w:divBdr>
            <w:top w:val="none" w:sz="0" w:space="0" w:color="auto"/>
            <w:left w:val="none" w:sz="0" w:space="0" w:color="auto"/>
            <w:bottom w:val="none" w:sz="0" w:space="0" w:color="auto"/>
            <w:right w:val="none" w:sz="0" w:space="0" w:color="auto"/>
          </w:divBdr>
        </w:div>
      </w:divsChild>
    </w:div>
    <w:div w:id="2110614352">
      <w:bodyDiv w:val="1"/>
      <w:marLeft w:val="0"/>
      <w:marRight w:val="0"/>
      <w:marTop w:val="0"/>
      <w:marBottom w:val="0"/>
      <w:divBdr>
        <w:top w:val="none" w:sz="0" w:space="0" w:color="auto"/>
        <w:left w:val="none" w:sz="0" w:space="0" w:color="auto"/>
        <w:bottom w:val="none" w:sz="0" w:space="0" w:color="auto"/>
        <w:right w:val="none" w:sz="0" w:space="0" w:color="auto"/>
      </w:divBdr>
      <w:divsChild>
        <w:div w:id="2013795689">
          <w:marLeft w:val="274"/>
          <w:marRight w:val="0"/>
          <w:marTop w:val="0"/>
          <w:marBottom w:val="40"/>
          <w:divBdr>
            <w:top w:val="none" w:sz="0" w:space="0" w:color="auto"/>
            <w:left w:val="none" w:sz="0" w:space="0" w:color="auto"/>
            <w:bottom w:val="none" w:sz="0" w:space="0" w:color="auto"/>
            <w:right w:val="none" w:sz="0" w:space="0" w:color="auto"/>
          </w:divBdr>
        </w:div>
      </w:divsChild>
    </w:div>
    <w:div w:id="2113545154">
      <w:bodyDiv w:val="1"/>
      <w:marLeft w:val="0"/>
      <w:marRight w:val="0"/>
      <w:marTop w:val="0"/>
      <w:marBottom w:val="0"/>
      <w:divBdr>
        <w:top w:val="none" w:sz="0" w:space="0" w:color="auto"/>
        <w:left w:val="none" w:sz="0" w:space="0" w:color="auto"/>
        <w:bottom w:val="none" w:sz="0" w:space="0" w:color="auto"/>
        <w:right w:val="none" w:sz="0" w:space="0" w:color="auto"/>
      </w:divBdr>
    </w:div>
    <w:div w:id="2119838129">
      <w:bodyDiv w:val="1"/>
      <w:marLeft w:val="0"/>
      <w:marRight w:val="0"/>
      <w:marTop w:val="0"/>
      <w:marBottom w:val="0"/>
      <w:divBdr>
        <w:top w:val="none" w:sz="0" w:space="0" w:color="auto"/>
        <w:left w:val="none" w:sz="0" w:space="0" w:color="auto"/>
        <w:bottom w:val="none" w:sz="0" w:space="0" w:color="auto"/>
        <w:right w:val="none" w:sz="0" w:space="0" w:color="auto"/>
      </w:divBdr>
      <w:divsChild>
        <w:div w:id="1216314717">
          <w:marLeft w:val="274"/>
          <w:marRight w:val="0"/>
          <w:marTop w:val="0"/>
          <w:marBottom w:val="40"/>
          <w:divBdr>
            <w:top w:val="none" w:sz="0" w:space="0" w:color="auto"/>
            <w:left w:val="none" w:sz="0" w:space="0" w:color="auto"/>
            <w:bottom w:val="none" w:sz="0" w:space="0" w:color="auto"/>
            <w:right w:val="none" w:sz="0" w:space="0" w:color="auto"/>
          </w:divBdr>
        </w:div>
      </w:divsChild>
    </w:div>
    <w:div w:id="212488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header" Target="header14.xml"/><Relationship Id="rId21" Type="http://schemas.openxmlformats.org/officeDocument/2006/relationships/header" Target="header7.xml"/><Relationship Id="rId34" Type="http://schemas.openxmlformats.org/officeDocument/2006/relationships/header" Target="header12.xml"/><Relationship Id="rId42" Type="http://schemas.openxmlformats.org/officeDocument/2006/relationships/chart" Target="charts/chart7.xml"/><Relationship Id="rId47" Type="http://schemas.openxmlformats.org/officeDocument/2006/relationships/chart" Target="charts/chart9.xml"/><Relationship Id="rId50" Type="http://schemas.openxmlformats.org/officeDocument/2006/relationships/image" Target="media/image17.png"/><Relationship Id="rId55" Type="http://schemas.openxmlformats.org/officeDocument/2006/relationships/image" Target="media/image18.png"/><Relationship Id="rId63" Type="http://schemas.openxmlformats.org/officeDocument/2006/relationships/chart" Target="charts/chart17.xml"/><Relationship Id="rId68" Type="http://schemas.openxmlformats.org/officeDocument/2006/relationships/chart" Target="charts/chart22.xml"/><Relationship Id="rId76" Type="http://schemas.openxmlformats.org/officeDocument/2006/relationships/image" Target="media/image21.png"/><Relationship Id="rId84"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chart" Target="charts/chart25.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chart" Target="charts/chart1.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1.xml"/><Relationship Id="rId37" Type="http://schemas.openxmlformats.org/officeDocument/2006/relationships/chart" Target="charts/chart4.xml"/><Relationship Id="rId40" Type="http://schemas.openxmlformats.org/officeDocument/2006/relationships/chart" Target="charts/chart5.xml"/><Relationship Id="rId45" Type="http://schemas.openxmlformats.org/officeDocument/2006/relationships/header" Target="header16.xml"/><Relationship Id="rId53" Type="http://schemas.openxmlformats.org/officeDocument/2006/relationships/header" Target="header17.xml"/><Relationship Id="rId58" Type="http://schemas.openxmlformats.org/officeDocument/2006/relationships/chart" Target="charts/chart15.xml"/><Relationship Id="rId66" Type="http://schemas.openxmlformats.org/officeDocument/2006/relationships/chart" Target="charts/chart20.xml"/><Relationship Id="rId74" Type="http://schemas.openxmlformats.org/officeDocument/2006/relationships/chart" Target="charts/chart26.xml"/><Relationship Id="rId79" Type="http://schemas.openxmlformats.org/officeDocument/2006/relationships/chart" Target="charts/chart29.xm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nopsema.gov.au/assets/Safety-alerts/A484748.pdf" TargetMode="External"/><Relationship Id="rId82" Type="http://schemas.openxmlformats.org/officeDocument/2006/relationships/header" Target="header2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chart" Target="charts/chart8.xml"/><Relationship Id="rId48" Type="http://schemas.openxmlformats.org/officeDocument/2006/relationships/chart" Target="charts/chart10.xml"/><Relationship Id="rId56" Type="http://schemas.openxmlformats.org/officeDocument/2006/relationships/chart" Target="charts/chart13.xml"/><Relationship Id="rId64" Type="http://schemas.openxmlformats.org/officeDocument/2006/relationships/chart" Target="charts/chart18.xml"/><Relationship Id="rId69" Type="http://schemas.openxmlformats.org/officeDocument/2006/relationships/chart" Target="charts/chart23.xml"/><Relationship Id="rId77" Type="http://schemas.openxmlformats.org/officeDocument/2006/relationships/chart" Target="charts/chart28.xml"/><Relationship Id="rId8" Type="http://schemas.openxmlformats.org/officeDocument/2006/relationships/image" Target="media/image1.png"/><Relationship Id="rId51" Type="http://schemas.openxmlformats.org/officeDocument/2006/relationships/chart" Target="charts/chart11.xml"/><Relationship Id="rId72" Type="http://schemas.openxmlformats.org/officeDocument/2006/relationships/header" Target="header19.xml"/><Relationship Id="rId80" Type="http://schemas.openxmlformats.org/officeDocument/2006/relationships/image" Target="media/image22.png"/><Relationship Id="rId85"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2.png"/><Relationship Id="rId38" Type="http://schemas.openxmlformats.org/officeDocument/2006/relationships/header" Target="header13.xml"/><Relationship Id="rId46" Type="http://schemas.openxmlformats.org/officeDocument/2006/relationships/image" Target="media/image15.png"/><Relationship Id="rId59" Type="http://schemas.openxmlformats.org/officeDocument/2006/relationships/chart" Target="charts/chart16.xml"/><Relationship Id="rId67" Type="http://schemas.openxmlformats.org/officeDocument/2006/relationships/chart" Target="charts/chart21.xml"/><Relationship Id="rId20" Type="http://schemas.openxmlformats.org/officeDocument/2006/relationships/image" Target="media/image7.png"/><Relationship Id="rId41" Type="http://schemas.openxmlformats.org/officeDocument/2006/relationships/chart" Target="charts/chart6.xml"/><Relationship Id="rId54" Type="http://schemas.openxmlformats.org/officeDocument/2006/relationships/header" Target="header18.xml"/><Relationship Id="rId62" Type="http://schemas.openxmlformats.org/officeDocument/2006/relationships/hyperlink" Target="https://www.nopsema.gov.au/assets/Publications/A544023.pdf" TargetMode="External"/><Relationship Id="rId70" Type="http://schemas.openxmlformats.org/officeDocument/2006/relationships/chart" Target="charts/chart24.xml"/><Relationship Id="rId75" Type="http://schemas.openxmlformats.org/officeDocument/2006/relationships/chart" Target="charts/chart27.xml"/><Relationship Id="rId83" Type="http://schemas.openxmlformats.org/officeDocument/2006/relationships/footer" Target="footer6.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image" Target="media/image10.png"/><Relationship Id="rId36" Type="http://schemas.openxmlformats.org/officeDocument/2006/relationships/chart" Target="charts/chart3.xml"/><Relationship Id="rId49" Type="http://schemas.openxmlformats.org/officeDocument/2006/relationships/image" Target="media/image16.png"/><Relationship Id="rId57" Type="http://schemas.openxmlformats.org/officeDocument/2006/relationships/chart" Target="charts/chart14.xml"/><Relationship Id="rId10" Type="http://schemas.openxmlformats.org/officeDocument/2006/relationships/header" Target="header1.xml"/><Relationship Id="rId31" Type="http://schemas.openxmlformats.org/officeDocument/2006/relationships/chart" Target="charts/chart2.xml"/><Relationship Id="rId44" Type="http://schemas.openxmlformats.org/officeDocument/2006/relationships/header" Target="header15.xml"/><Relationship Id="rId52" Type="http://schemas.openxmlformats.org/officeDocument/2006/relationships/chart" Target="charts/chart12.xml"/><Relationship Id="rId60" Type="http://schemas.openxmlformats.org/officeDocument/2006/relationships/image" Target="media/image19.png"/><Relationship Id="rId65" Type="http://schemas.openxmlformats.org/officeDocument/2006/relationships/chart" Target="charts/chart19.xml"/><Relationship Id="rId73" Type="http://schemas.openxmlformats.org/officeDocument/2006/relationships/image" Target="media/image20.png"/><Relationship Id="rId78" Type="http://schemas.openxmlformats.org/officeDocument/2006/relationships/header" Target="header20.xml"/><Relationship Id="rId81" Type="http://schemas.openxmlformats.org/officeDocument/2006/relationships/header" Target="header21.xml"/><Relationship Id="rId86" Type="http://schemas.openxmlformats.org/officeDocument/2006/relationships/image" Target="media/image24.png"/></Relationships>
</file>

<file path=word/_rels/footer4.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6.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3.png"/><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3.png"/><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3.png"/><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3.png"/><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BF%20graphs.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ausdeloitte.sharepoint.com/sites/DISER2020NOPSEMANOPTAreviews/Shared%20Documents/General/00.%20ADMIN/08.%20CONSULTATION%20BRIEFING%20DOCUMENTS/Data%20analysis%20for%20Consultation%20Briefing%20Docs%20DRAFT%20-%20NOPSEM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ausdeloitte.sharepoint.com/sites/DISER2020NOPSEMANOPTAreviews/Shared%20Documents/General/00.%20ADMIN/08.%20CONSULTATION%20BRIEFING%20DOCUMENTS/Data%20analysis%20for%20Consultation%20Briefing%20Docs%20DRAFT%20-%20NOPSEMA.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SEMA.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NOPSEMA%20Data.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NOPSEMA%20Data.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SEMA.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SEMA.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NOPSEMA%20TOR%2012%20Data.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NOPSEMA%20TOR%2012%20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A754135%20-%20Report%20-%20FTE%20and%20Expense%20analysis%20-%2026Oct2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2.%20NOPTA/03.%20DELIVERABLES/09.%20REPORT/Industry%20overview%20-%20data%20-%20Rystad.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A754135%20-%20Report%20-%20FTE%20and%20Expense%20analysis%20-%2026Oct2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A754135%20-%20Report%20-%20FTE%20and%20Expense%20analysis%20-%2026Oct2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ausdeloitte.sharepoint.com/sites/DISER2020NOPSEMANOPTAreviews/Shared%20Documents/General/01.%20NOPSEMA/03.%20DELIVERABLES/09.%20REPORT/A754135%20-%20Report%20-%20FTE%20and%20Expense%20analysis%20-%2026Oct20.xlsx" TargetMode="External"/></Relationships>
</file>

<file path=word/charts/_rels/chart23.xml.rels><?xml version="1.0" encoding="UTF-8" standalone="yes"?>
<Relationships xmlns="http://schemas.openxmlformats.org/package/2006/relationships"><Relationship Id="rId3" Type="http://schemas.openxmlformats.org/officeDocument/2006/relationships/oleObject" Target="https://ausdeloitte-my.sharepoint.com/personal/jblott_deloitte_com_au/Documents/Documents/DAE/Projects/NOPTA%20NOPSEMA/NOPSEMA/Working%20folder/NOPSEMA%20Charts_for_report.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s://ausdeloitte-my.sharepoint.com/personal/jblott_deloitte_com_au/Documents/Documents/DAE/Projects/NOPTA%20NOPSEMA/NOPSEMA/Working%20folder/NOPSEMA%20Charts_for_report.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SEMA.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Data%20from%20NOPSEMA%20-%20Endorsed%20Program/Workbook%20-%20NOPIMS%20and%20RMS%20extracts%20-%20assessments,%20ins"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Data%20from%20NOPSEMA%20-%20Endorsed%20Program/Workbook%20-%20NOPIMS%20and%20RMS%20extracts%20-%20assessments,%20ins"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Data%20from%20NOPSEMA%20-%20Endorsed%20Program/Workbook%20-%20NOPIMS%20and%20RMS%20extracts%20-%20assessments,%20ins"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SEMA.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SEM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SEM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BF%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BF%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0.%20ADMIN/08.%20CONSULTATION%20BRIEFING%20DOCUMENTS/Data%20analysis%20for%20Consultation%20Briefing%20Docs%20DRAFT%20-%20NOPSEM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ausdeloitte.sharepoint.com/sites/DISER2020NOPSEMANOPTAreviews/Shared%20Documents/General/01.%20NOPSEMA/03.%20DELIVERABLES/09.%20REPORT/BF%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ausdeloitte.sharepoint.com/sites/DISER2020NOPSEMANOPTAreviews/Shared%20Documents/General/01.%20NOPSEMA/03.%20DELIVERABLES/09.%20REPORT/A754135%20-%20Report%20-%20FTE%20and%20Expense%20analysis%20-%2026Oct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880076121871631E-2"/>
          <c:y val="5.4361255250803063E-2"/>
          <c:w val="0.56542218262863131"/>
          <c:h val="0.75881925718189336"/>
        </c:manualLayout>
      </c:layout>
      <c:barChart>
        <c:barDir val="col"/>
        <c:grouping val="clustered"/>
        <c:varyColors val="0"/>
        <c:ser>
          <c:idx val="0"/>
          <c:order val="0"/>
          <c:tx>
            <c:strRef>
              <c:f>'Industry incidents and injuries'!$B$4</c:f>
              <c:strCache>
                <c:ptCount val="1"/>
                <c:pt idx="0">
                  <c:v>Total Accident (death, serious injury, incapacitation (&gt;= 3 days LTI))</c:v>
                </c:pt>
              </c:strCache>
            </c:strRef>
          </c:tx>
          <c:spPr>
            <a:solidFill>
              <a:srgbClr val="004F59"/>
            </a:solidFill>
            <a:ln>
              <a:noFill/>
            </a:ln>
            <a:effectLst/>
          </c:spPr>
          <c:invertIfNegative val="0"/>
          <c:cat>
            <c:strRef>
              <c:f>'Industry incidents and injuries'!$C$3:$L$3</c:f>
              <c:strCache>
                <c:ptCount val="10"/>
                <c:pt idx="0">
                  <c:v>2011</c:v>
                </c:pt>
                <c:pt idx="1">
                  <c:v>2012</c:v>
                </c:pt>
                <c:pt idx="2">
                  <c:v>2013</c:v>
                </c:pt>
                <c:pt idx="3">
                  <c:v>2014</c:v>
                </c:pt>
                <c:pt idx="4">
                  <c:v>2015</c:v>
                </c:pt>
                <c:pt idx="5">
                  <c:v>2016</c:v>
                </c:pt>
                <c:pt idx="6">
                  <c:v>2017</c:v>
                </c:pt>
                <c:pt idx="7">
                  <c:v>2018</c:v>
                </c:pt>
                <c:pt idx="8">
                  <c:v>2019</c:v>
                </c:pt>
                <c:pt idx="9">
                  <c:v>Jan - Sep 2020</c:v>
                </c:pt>
              </c:strCache>
            </c:strRef>
          </c:cat>
          <c:val>
            <c:numRef>
              <c:f>'Industry incidents and injuries'!$C$4:$L$4</c:f>
              <c:numCache>
                <c:formatCode>General</c:formatCode>
                <c:ptCount val="10"/>
                <c:pt idx="0">
                  <c:v>29</c:v>
                </c:pt>
                <c:pt idx="1">
                  <c:v>20</c:v>
                </c:pt>
                <c:pt idx="2">
                  <c:v>13</c:v>
                </c:pt>
                <c:pt idx="3">
                  <c:v>7</c:v>
                </c:pt>
                <c:pt idx="4">
                  <c:v>12</c:v>
                </c:pt>
                <c:pt idx="5">
                  <c:v>4</c:v>
                </c:pt>
                <c:pt idx="6">
                  <c:v>10</c:v>
                </c:pt>
                <c:pt idx="7">
                  <c:v>15</c:v>
                </c:pt>
                <c:pt idx="8">
                  <c:v>9</c:v>
                </c:pt>
                <c:pt idx="9">
                  <c:v>6</c:v>
                </c:pt>
              </c:numCache>
            </c:numRef>
          </c:val>
          <c:extLst xmlns:c16r2="http://schemas.microsoft.com/office/drawing/2015/06/chart">
            <c:ext xmlns:c16="http://schemas.microsoft.com/office/drawing/2014/chart" uri="{C3380CC4-5D6E-409C-BE32-E72D297353CC}">
              <c16:uniqueId val="{00000000-C43A-4029-AF85-5B0722B096FA}"/>
            </c:ext>
          </c:extLst>
        </c:ser>
        <c:ser>
          <c:idx val="1"/>
          <c:order val="1"/>
          <c:tx>
            <c:strRef>
              <c:f>'Industry incidents and injuries'!$B$5</c:f>
              <c:strCache>
                <c:ptCount val="1"/>
                <c:pt idx="0">
                  <c:v>Total Dangerous Occurrence*</c:v>
                </c:pt>
              </c:strCache>
            </c:strRef>
          </c:tx>
          <c:spPr>
            <a:solidFill>
              <a:srgbClr val="007680"/>
            </a:solidFill>
            <a:ln>
              <a:noFill/>
            </a:ln>
            <a:effectLst/>
          </c:spPr>
          <c:invertIfNegative val="0"/>
          <c:cat>
            <c:strRef>
              <c:f>'Industry incidents and injuries'!$C$3:$L$3</c:f>
              <c:strCache>
                <c:ptCount val="10"/>
                <c:pt idx="0">
                  <c:v>2011</c:v>
                </c:pt>
                <c:pt idx="1">
                  <c:v>2012</c:v>
                </c:pt>
                <c:pt idx="2">
                  <c:v>2013</c:v>
                </c:pt>
                <c:pt idx="3">
                  <c:v>2014</c:v>
                </c:pt>
                <c:pt idx="4">
                  <c:v>2015</c:v>
                </c:pt>
                <c:pt idx="5">
                  <c:v>2016</c:v>
                </c:pt>
                <c:pt idx="6">
                  <c:v>2017</c:v>
                </c:pt>
                <c:pt idx="7">
                  <c:v>2018</c:v>
                </c:pt>
                <c:pt idx="8">
                  <c:v>2019</c:v>
                </c:pt>
                <c:pt idx="9">
                  <c:v>Jan - Sep 2020</c:v>
                </c:pt>
              </c:strCache>
            </c:strRef>
          </c:cat>
          <c:val>
            <c:numRef>
              <c:f>'Industry incidents and injuries'!$C$5:$L$5</c:f>
              <c:numCache>
                <c:formatCode>General</c:formatCode>
                <c:ptCount val="10"/>
                <c:pt idx="0">
                  <c:v>305</c:v>
                </c:pt>
                <c:pt idx="1">
                  <c:v>383</c:v>
                </c:pt>
                <c:pt idx="2">
                  <c:v>356</c:v>
                </c:pt>
                <c:pt idx="3">
                  <c:v>348</c:v>
                </c:pt>
                <c:pt idx="4">
                  <c:v>364</c:v>
                </c:pt>
                <c:pt idx="5">
                  <c:v>303</c:v>
                </c:pt>
                <c:pt idx="6">
                  <c:v>291</c:v>
                </c:pt>
                <c:pt idx="7">
                  <c:v>385</c:v>
                </c:pt>
                <c:pt idx="8">
                  <c:v>412</c:v>
                </c:pt>
                <c:pt idx="9">
                  <c:v>289</c:v>
                </c:pt>
              </c:numCache>
            </c:numRef>
          </c:val>
          <c:extLst xmlns:c16r2="http://schemas.microsoft.com/office/drawing/2015/06/chart">
            <c:ext xmlns:c16="http://schemas.microsoft.com/office/drawing/2014/chart" uri="{C3380CC4-5D6E-409C-BE32-E72D297353CC}">
              <c16:uniqueId val="{00000001-C43A-4029-AF85-5B0722B096FA}"/>
            </c:ext>
          </c:extLst>
        </c:ser>
        <c:ser>
          <c:idx val="2"/>
          <c:order val="2"/>
          <c:tx>
            <c:strRef>
              <c:f>'Industry incidents and injuries'!$B$6</c:f>
              <c:strCache>
                <c:ptCount val="1"/>
                <c:pt idx="0">
                  <c:v>Total Well Integrity**</c:v>
                </c:pt>
              </c:strCache>
            </c:strRef>
          </c:tx>
          <c:spPr>
            <a:solidFill>
              <a:srgbClr val="0097A9"/>
            </a:solidFill>
            <a:ln>
              <a:noFill/>
            </a:ln>
            <a:effectLst/>
          </c:spPr>
          <c:invertIfNegative val="0"/>
          <c:cat>
            <c:strRef>
              <c:f>'Industry incidents and injuries'!$C$3:$L$3</c:f>
              <c:strCache>
                <c:ptCount val="10"/>
                <c:pt idx="0">
                  <c:v>2011</c:v>
                </c:pt>
                <c:pt idx="1">
                  <c:v>2012</c:v>
                </c:pt>
                <c:pt idx="2">
                  <c:v>2013</c:v>
                </c:pt>
                <c:pt idx="3">
                  <c:v>2014</c:v>
                </c:pt>
                <c:pt idx="4">
                  <c:v>2015</c:v>
                </c:pt>
                <c:pt idx="5">
                  <c:v>2016</c:v>
                </c:pt>
                <c:pt idx="6">
                  <c:v>2017</c:v>
                </c:pt>
                <c:pt idx="7">
                  <c:v>2018</c:v>
                </c:pt>
                <c:pt idx="8">
                  <c:v>2019</c:v>
                </c:pt>
                <c:pt idx="9">
                  <c:v>Jan - Sep 2020</c:v>
                </c:pt>
              </c:strCache>
            </c:strRef>
          </c:cat>
          <c:val>
            <c:numRef>
              <c:f>'Industry incidents and injuries'!$C$6:$L$6</c:f>
              <c:numCache>
                <c:formatCode>General</c:formatCode>
                <c:ptCount val="10"/>
                <c:pt idx="5">
                  <c:v>31</c:v>
                </c:pt>
                <c:pt idx="6">
                  <c:v>27</c:v>
                </c:pt>
                <c:pt idx="7">
                  <c:v>60</c:v>
                </c:pt>
                <c:pt idx="8">
                  <c:v>71</c:v>
                </c:pt>
                <c:pt idx="9">
                  <c:v>46</c:v>
                </c:pt>
              </c:numCache>
            </c:numRef>
          </c:val>
          <c:extLst xmlns:c16r2="http://schemas.microsoft.com/office/drawing/2015/06/chart">
            <c:ext xmlns:c16="http://schemas.microsoft.com/office/drawing/2014/chart" uri="{C3380CC4-5D6E-409C-BE32-E72D297353CC}">
              <c16:uniqueId val="{00000002-C43A-4029-AF85-5B0722B096FA}"/>
            </c:ext>
          </c:extLst>
        </c:ser>
        <c:ser>
          <c:idx val="3"/>
          <c:order val="3"/>
          <c:tx>
            <c:strRef>
              <c:f>'Industry incidents and injuries'!$B$7</c:f>
              <c:strCache>
                <c:ptCount val="1"/>
                <c:pt idx="0">
                  <c:v>Total Environment Reportable ***</c:v>
                </c:pt>
              </c:strCache>
            </c:strRef>
          </c:tx>
          <c:spPr>
            <a:solidFill>
              <a:srgbClr val="00ABAB"/>
            </a:solidFill>
            <a:ln>
              <a:noFill/>
            </a:ln>
            <a:effectLst/>
          </c:spPr>
          <c:invertIfNegative val="0"/>
          <c:cat>
            <c:strRef>
              <c:f>'Industry incidents and injuries'!$C$3:$L$3</c:f>
              <c:strCache>
                <c:ptCount val="10"/>
                <c:pt idx="0">
                  <c:v>2011</c:v>
                </c:pt>
                <c:pt idx="1">
                  <c:v>2012</c:v>
                </c:pt>
                <c:pt idx="2">
                  <c:v>2013</c:v>
                </c:pt>
                <c:pt idx="3">
                  <c:v>2014</c:v>
                </c:pt>
                <c:pt idx="4">
                  <c:v>2015</c:v>
                </c:pt>
                <c:pt idx="5">
                  <c:v>2016</c:v>
                </c:pt>
                <c:pt idx="6">
                  <c:v>2017</c:v>
                </c:pt>
                <c:pt idx="7">
                  <c:v>2018</c:v>
                </c:pt>
                <c:pt idx="8">
                  <c:v>2019</c:v>
                </c:pt>
                <c:pt idx="9">
                  <c:v>Jan - Sep 2020</c:v>
                </c:pt>
              </c:strCache>
            </c:strRef>
          </c:cat>
          <c:val>
            <c:numRef>
              <c:f>'Industry incidents and injuries'!$C$7:$L$7</c:f>
              <c:numCache>
                <c:formatCode>General</c:formatCode>
                <c:ptCount val="10"/>
                <c:pt idx="1">
                  <c:v>17</c:v>
                </c:pt>
                <c:pt idx="2">
                  <c:v>31</c:v>
                </c:pt>
                <c:pt idx="3">
                  <c:v>22</c:v>
                </c:pt>
                <c:pt idx="4">
                  <c:v>13</c:v>
                </c:pt>
                <c:pt idx="5">
                  <c:v>8</c:v>
                </c:pt>
                <c:pt idx="6">
                  <c:v>12</c:v>
                </c:pt>
                <c:pt idx="7">
                  <c:v>16</c:v>
                </c:pt>
                <c:pt idx="8">
                  <c:v>14</c:v>
                </c:pt>
                <c:pt idx="9">
                  <c:v>6</c:v>
                </c:pt>
              </c:numCache>
            </c:numRef>
          </c:val>
          <c:extLst xmlns:c16r2="http://schemas.microsoft.com/office/drawing/2015/06/chart">
            <c:ext xmlns:c16="http://schemas.microsoft.com/office/drawing/2014/chart" uri="{C3380CC4-5D6E-409C-BE32-E72D297353CC}">
              <c16:uniqueId val="{00000003-C43A-4029-AF85-5B0722B096FA}"/>
            </c:ext>
          </c:extLst>
        </c:ser>
        <c:ser>
          <c:idx val="4"/>
          <c:order val="4"/>
          <c:tx>
            <c:strRef>
              <c:f>'Industry incidents and injuries'!$B$8</c:f>
              <c:strCache>
                <c:ptCount val="1"/>
                <c:pt idx="0">
                  <c:v>Injuries - Total recordable cases****</c:v>
                </c:pt>
              </c:strCache>
            </c:strRef>
          </c:tx>
          <c:spPr>
            <a:solidFill>
              <a:srgbClr val="9DD4CF"/>
            </a:solidFill>
            <a:ln>
              <a:noFill/>
            </a:ln>
            <a:effectLst/>
          </c:spPr>
          <c:invertIfNegative val="0"/>
          <c:cat>
            <c:strRef>
              <c:f>'Industry incidents and injuries'!$C$3:$L$3</c:f>
              <c:strCache>
                <c:ptCount val="10"/>
                <c:pt idx="0">
                  <c:v>2011</c:v>
                </c:pt>
                <c:pt idx="1">
                  <c:v>2012</c:v>
                </c:pt>
                <c:pt idx="2">
                  <c:v>2013</c:v>
                </c:pt>
                <c:pt idx="3">
                  <c:v>2014</c:v>
                </c:pt>
                <c:pt idx="4">
                  <c:v>2015</c:v>
                </c:pt>
                <c:pt idx="5">
                  <c:v>2016</c:v>
                </c:pt>
                <c:pt idx="6">
                  <c:v>2017</c:v>
                </c:pt>
                <c:pt idx="7">
                  <c:v>2018</c:v>
                </c:pt>
                <c:pt idx="8">
                  <c:v>2019</c:v>
                </c:pt>
                <c:pt idx="9">
                  <c:v>Jan - Sep 2020</c:v>
                </c:pt>
              </c:strCache>
            </c:strRef>
          </c:cat>
          <c:val>
            <c:numRef>
              <c:f>'Industry incidents and injuries'!$C$8:$L$8</c:f>
              <c:numCache>
                <c:formatCode>General</c:formatCode>
                <c:ptCount val="10"/>
                <c:pt idx="0">
                  <c:v>118</c:v>
                </c:pt>
                <c:pt idx="1">
                  <c:v>105</c:v>
                </c:pt>
                <c:pt idx="2">
                  <c:v>69</c:v>
                </c:pt>
                <c:pt idx="3">
                  <c:v>55</c:v>
                </c:pt>
                <c:pt idx="4">
                  <c:v>88</c:v>
                </c:pt>
                <c:pt idx="5">
                  <c:v>53</c:v>
                </c:pt>
                <c:pt idx="6">
                  <c:v>52</c:v>
                </c:pt>
                <c:pt idx="7">
                  <c:v>59</c:v>
                </c:pt>
                <c:pt idx="8">
                  <c:v>61</c:v>
                </c:pt>
                <c:pt idx="9">
                  <c:v>20</c:v>
                </c:pt>
              </c:numCache>
            </c:numRef>
          </c:val>
          <c:extLst xmlns:c16r2="http://schemas.microsoft.com/office/drawing/2015/06/chart">
            <c:ext xmlns:c16="http://schemas.microsoft.com/office/drawing/2014/chart" uri="{C3380CC4-5D6E-409C-BE32-E72D297353CC}">
              <c16:uniqueId val="{00000004-C43A-4029-AF85-5B0722B096FA}"/>
            </c:ext>
          </c:extLst>
        </c:ser>
        <c:dLbls>
          <c:showLegendKey val="0"/>
          <c:showVal val="0"/>
          <c:showCatName val="0"/>
          <c:showSerName val="0"/>
          <c:showPercent val="0"/>
          <c:showBubbleSize val="0"/>
        </c:dLbls>
        <c:gapWidth val="219"/>
        <c:overlap val="-27"/>
        <c:axId val="982509344"/>
        <c:axId val="982511304"/>
      </c:barChart>
      <c:lineChart>
        <c:grouping val="standard"/>
        <c:varyColors val="0"/>
        <c:ser>
          <c:idx val="5"/>
          <c:order val="5"/>
          <c:tx>
            <c:strRef>
              <c:f>'Industry incidents and injuries'!$B$10</c:f>
              <c:strCache>
                <c:ptCount val="1"/>
                <c:pt idx="0">
                  <c:v>Hours worked offshore</c:v>
                </c:pt>
              </c:strCache>
            </c:strRef>
          </c:tx>
          <c:spPr>
            <a:ln w="28575" cap="rnd">
              <a:solidFill>
                <a:srgbClr val="A7A8AA"/>
              </a:solidFill>
              <a:round/>
            </a:ln>
            <a:effectLst/>
          </c:spPr>
          <c:marker>
            <c:symbol val="none"/>
          </c:marker>
          <c:cat>
            <c:strRef>
              <c:f>'Industry incidents and injuries'!$C$3:$L$3</c:f>
              <c:strCache>
                <c:ptCount val="10"/>
                <c:pt idx="0">
                  <c:v>2011</c:v>
                </c:pt>
                <c:pt idx="1">
                  <c:v>2012</c:v>
                </c:pt>
                <c:pt idx="2">
                  <c:v>2013</c:v>
                </c:pt>
                <c:pt idx="3">
                  <c:v>2014</c:v>
                </c:pt>
                <c:pt idx="4">
                  <c:v>2015</c:v>
                </c:pt>
                <c:pt idx="5">
                  <c:v>2016</c:v>
                </c:pt>
                <c:pt idx="6">
                  <c:v>2017</c:v>
                </c:pt>
                <c:pt idx="7">
                  <c:v>2018</c:v>
                </c:pt>
                <c:pt idx="8">
                  <c:v>2019</c:v>
                </c:pt>
                <c:pt idx="9">
                  <c:v>Jan - Sep 2020</c:v>
                </c:pt>
              </c:strCache>
            </c:strRef>
          </c:cat>
          <c:val>
            <c:numRef>
              <c:f>'Industry incidents and injuries'!$C$10:$L$10</c:f>
              <c:numCache>
                <c:formatCode>General</c:formatCode>
                <c:ptCount val="10"/>
                <c:pt idx="0">
                  <c:v>14.13988</c:v>
                </c:pt>
                <c:pt idx="1">
                  <c:v>15.683057</c:v>
                </c:pt>
                <c:pt idx="2">
                  <c:v>13.358703</c:v>
                </c:pt>
                <c:pt idx="3">
                  <c:v>14.843874</c:v>
                </c:pt>
                <c:pt idx="4">
                  <c:v>15.688537</c:v>
                </c:pt>
                <c:pt idx="5">
                  <c:v>9.7834920000000007</c:v>
                </c:pt>
                <c:pt idx="6">
                  <c:v>12.780158</c:v>
                </c:pt>
                <c:pt idx="7">
                  <c:v>16.935323</c:v>
                </c:pt>
                <c:pt idx="8">
                  <c:v>11.572480000000001</c:v>
                </c:pt>
                <c:pt idx="9">
                  <c:v>6.5028059999999996</c:v>
                </c:pt>
              </c:numCache>
            </c:numRef>
          </c:val>
          <c:smooth val="0"/>
          <c:extLst xmlns:c16r2="http://schemas.microsoft.com/office/drawing/2015/06/chart">
            <c:ext xmlns:c16="http://schemas.microsoft.com/office/drawing/2014/chart" uri="{C3380CC4-5D6E-409C-BE32-E72D297353CC}">
              <c16:uniqueId val="{00000005-C43A-4029-AF85-5B0722B096FA}"/>
            </c:ext>
          </c:extLst>
        </c:ser>
        <c:dLbls>
          <c:showLegendKey val="0"/>
          <c:showVal val="0"/>
          <c:showCatName val="0"/>
          <c:showSerName val="0"/>
          <c:showPercent val="0"/>
          <c:showBubbleSize val="0"/>
        </c:dLbls>
        <c:marker val="1"/>
        <c:smooth val="0"/>
        <c:axId val="982510128"/>
        <c:axId val="982509736"/>
      </c:lineChart>
      <c:catAx>
        <c:axId val="98250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2511304"/>
        <c:crosses val="autoZero"/>
        <c:auto val="1"/>
        <c:lblAlgn val="ctr"/>
        <c:lblOffset val="100"/>
        <c:noMultiLvlLbl val="0"/>
      </c:catAx>
      <c:valAx>
        <c:axId val="98251130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Count</a:t>
                </a:r>
              </a:p>
            </c:rich>
          </c:tx>
          <c:layout>
            <c:manualLayout>
              <c:xMode val="edge"/>
              <c:yMode val="edge"/>
              <c:x val="6.5187335159747365E-3"/>
              <c:y val="0.3631225685830367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2509344"/>
        <c:crosses val="autoZero"/>
        <c:crossBetween val="between"/>
      </c:valAx>
      <c:valAx>
        <c:axId val="982509736"/>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Hours worked offshore (million)</a:t>
                </a:r>
              </a:p>
            </c:rich>
          </c:tx>
          <c:layout>
            <c:manualLayout>
              <c:xMode val="edge"/>
              <c:yMode val="edge"/>
              <c:x val="0.70882905147805431"/>
              <c:y val="0.1530492934958472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2510128"/>
        <c:crosses val="max"/>
        <c:crossBetween val="between"/>
      </c:valAx>
      <c:catAx>
        <c:axId val="982510128"/>
        <c:scaling>
          <c:orientation val="minMax"/>
        </c:scaling>
        <c:delete val="1"/>
        <c:axPos val="b"/>
        <c:numFmt formatCode="General" sourceLinked="1"/>
        <c:majorTickMark val="none"/>
        <c:minorTickMark val="none"/>
        <c:tickLblPos val="nextTo"/>
        <c:crossAx val="982509736"/>
        <c:crosses val="autoZero"/>
        <c:auto val="1"/>
        <c:lblAlgn val="ctr"/>
        <c:lblOffset val="100"/>
        <c:noMultiLvlLbl val="0"/>
      </c:catAx>
      <c:spPr>
        <a:noFill/>
        <a:ln>
          <a:solidFill>
            <a:schemeClr val="bg2">
              <a:lumMod val="75000"/>
            </a:schemeClr>
          </a:solidFill>
        </a:ln>
        <a:effectLst/>
      </c:spPr>
    </c:plotArea>
    <c:legend>
      <c:legendPos val="r"/>
      <c:layout>
        <c:manualLayout>
          <c:xMode val="edge"/>
          <c:yMode val="edge"/>
          <c:x val="0.76019758479095223"/>
          <c:y val="4.0219131487068793E-2"/>
          <c:w val="0.21952666500629028"/>
          <c:h val="0.9145455722144322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r>
              <a:rPr lang="en-AU" sz="1000"/>
              <a:t>I am satisfied with NOPSEMA's capacity when:</a:t>
            </a:r>
          </a:p>
        </c:rich>
      </c:tx>
      <c:layout>
        <c:manualLayout>
          <c:xMode val="edge"/>
          <c:yMode val="edge"/>
          <c:x val="1.1126631649780108E-2"/>
          <c:y val="2.8070175438596492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autoTitleDeleted val="0"/>
    <c:plotArea>
      <c:layout/>
      <c:barChart>
        <c:barDir val="bar"/>
        <c:grouping val="percentStacked"/>
        <c:varyColors val="0"/>
        <c:ser>
          <c:idx val="0"/>
          <c:order val="0"/>
          <c:tx>
            <c:strRef>
              <c:f>'Capacity quant'!$A$8</c:f>
              <c:strCache>
                <c:ptCount val="1"/>
                <c:pt idx="0">
                  <c:v>Strongly agree</c:v>
                </c:pt>
              </c:strCache>
            </c:strRef>
          </c:tx>
          <c:spPr>
            <a:solidFill>
              <a:srgbClr val="004F59"/>
            </a:solidFill>
            <a:ln>
              <a:noFill/>
            </a:ln>
            <a:effectLst/>
          </c:spPr>
          <c:invertIfNegative val="0"/>
          <c:cat>
            <c:strRef>
              <c:f>'Capacity quant'!$B$7:$E$7</c:f>
              <c:strCache>
                <c:ptCount val="4"/>
                <c:pt idx="0">
                  <c:v>Conducting investigations of incidents relating to health and safety, structural integrity and environment management</c:v>
                </c:pt>
                <c:pt idx="1">
                  <c:v>Conducting inspections and assurance activities to monitor compliance under the OPGGS Act</c:v>
                </c:pt>
                <c:pt idx="2">
                  <c:v>Providing advice on matters relating to health and safety, structural integrity and environment management</c:v>
                </c:pt>
                <c:pt idx="3">
                  <c:v>Taking enforcement action (e.g. issuing an improvement or prohibition notice, withdrawing acceptance of a safety case, prosecution)</c:v>
                </c:pt>
              </c:strCache>
            </c:strRef>
          </c:cat>
          <c:val>
            <c:numRef>
              <c:f>'Capacity quant'!$B$8:$E$8</c:f>
              <c:numCache>
                <c:formatCode>0.0%</c:formatCode>
                <c:ptCount val="4"/>
                <c:pt idx="0">
                  <c:v>0.11764705882352941</c:v>
                </c:pt>
                <c:pt idx="1">
                  <c:v>0.11764705882352941</c:v>
                </c:pt>
                <c:pt idx="2">
                  <c:v>0.11764705882352941</c:v>
                </c:pt>
                <c:pt idx="3">
                  <c:v>0.11764705882352941</c:v>
                </c:pt>
              </c:numCache>
            </c:numRef>
          </c:val>
          <c:extLst xmlns:c16r2="http://schemas.microsoft.com/office/drawing/2015/06/chart">
            <c:ext xmlns:c16="http://schemas.microsoft.com/office/drawing/2014/chart" uri="{C3380CC4-5D6E-409C-BE32-E72D297353CC}">
              <c16:uniqueId val="{00000000-1EF2-46C6-8601-3691B90F9292}"/>
            </c:ext>
          </c:extLst>
        </c:ser>
        <c:ser>
          <c:idx val="1"/>
          <c:order val="1"/>
          <c:tx>
            <c:strRef>
              <c:f>'Capacity quant'!$A$9</c:f>
              <c:strCache>
                <c:ptCount val="1"/>
                <c:pt idx="0">
                  <c:v>Agree</c:v>
                </c:pt>
              </c:strCache>
            </c:strRef>
          </c:tx>
          <c:spPr>
            <a:solidFill>
              <a:srgbClr val="007680"/>
            </a:solidFill>
            <a:ln>
              <a:noFill/>
            </a:ln>
            <a:effectLst/>
          </c:spPr>
          <c:invertIfNegative val="0"/>
          <c:cat>
            <c:strRef>
              <c:f>'Capacity quant'!$B$7:$E$7</c:f>
              <c:strCache>
                <c:ptCount val="4"/>
                <c:pt idx="0">
                  <c:v>Conducting investigations of incidents relating to health and safety, structural integrity and environment management</c:v>
                </c:pt>
                <c:pt idx="1">
                  <c:v>Conducting inspections and assurance activities to monitor compliance under the OPGGS Act</c:v>
                </c:pt>
                <c:pt idx="2">
                  <c:v>Providing advice on matters relating to health and safety, structural integrity and environment management</c:v>
                </c:pt>
                <c:pt idx="3">
                  <c:v>Taking enforcement action (e.g. issuing an improvement or prohibition notice, withdrawing acceptance of a safety case, prosecution)</c:v>
                </c:pt>
              </c:strCache>
            </c:strRef>
          </c:cat>
          <c:val>
            <c:numRef>
              <c:f>'Capacity quant'!$B$9:$E$9</c:f>
              <c:numCache>
                <c:formatCode>0.0%</c:formatCode>
                <c:ptCount val="4"/>
                <c:pt idx="0">
                  <c:v>0.35294117647058826</c:v>
                </c:pt>
                <c:pt idx="1">
                  <c:v>0.41176470588235292</c:v>
                </c:pt>
                <c:pt idx="2">
                  <c:v>0.29411764705882354</c:v>
                </c:pt>
                <c:pt idx="3">
                  <c:v>0.26470588235294118</c:v>
                </c:pt>
              </c:numCache>
            </c:numRef>
          </c:val>
          <c:extLst xmlns:c16r2="http://schemas.microsoft.com/office/drawing/2015/06/chart">
            <c:ext xmlns:c16="http://schemas.microsoft.com/office/drawing/2014/chart" uri="{C3380CC4-5D6E-409C-BE32-E72D297353CC}">
              <c16:uniqueId val="{00000001-1EF2-46C6-8601-3691B90F9292}"/>
            </c:ext>
          </c:extLst>
        </c:ser>
        <c:ser>
          <c:idx val="2"/>
          <c:order val="2"/>
          <c:tx>
            <c:strRef>
              <c:f>'Capacity quant'!$A$10</c:f>
              <c:strCache>
                <c:ptCount val="1"/>
                <c:pt idx="0">
                  <c:v>Slightly agree</c:v>
                </c:pt>
              </c:strCache>
            </c:strRef>
          </c:tx>
          <c:spPr>
            <a:solidFill>
              <a:srgbClr val="0097A9"/>
            </a:solidFill>
            <a:ln>
              <a:noFill/>
            </a:ln>
            <a:effectLst/>
          </c:spPr>
          <c:invertIfNegative val="0"/>
          <c:cat>
            <c:strRef>
              <c:f>'Capacity quant'!$B$7:$E$7</c:f>
              <c:strCache>
                <c:ptCount val="4"/>
                <c:pt idx="0">
                  <c:v>Conducting investigations of incidents relating to health and safety, structural integrity and environment management</c:v>
                </c:pt>
                <c:pt idx="1">
                  <c:v>Conducting inspections and assurance activities to monitor compliance under the OPGGS Act</c:v>
                </c:pt>
                <c:pt idx="2">
                  <c:v>Providing advice on matters relating to health and safety, structural integrity and environment management</c:v>
                </c:pt>
                <c:pt idx="3">
                  <c:v>Taking enforcement action (e.g. issuing an improvement or prohibition notice, withdrawing acceptance of a safety case, prosecution)</c:v>
                </c:pt>
              </c:strCache>
            </c:strRef>
          </c:cat>
          <c:val>
            <c:numRef>
              <c:f>'Capacity quant'!$B$10:$E$10</c:f>
              <c:numCache>
                <c:formatCode>0.0%</c:formatCode>
                <c:ptCount val="4"/>
                <c:pt idx="0">
                  <c:v>5.8823529411764705E-2</c:v>
                </c:pt>
                <c:pt idx="1">
                  <c:v>0.11764705882352941</c:v>
                </c:pt>
                <c:pt idx="2">
                  <c:v>0.23529411764705882</c:v>
                </c:pt>
                <c:pt idx="3">
                  <c:v>8.8235294117647065E-2</c:v>
                </c:pt>
              </c:numCache>
            </c:numRef>
          </c:val>
          <c:extLst xmlns:c16r2="http://schemas.microsoft.com/office/drawing/2015/06/chart">
            <c:ext xmlns:c16="http://schemas.microsoft.com/office/drawing/2014/chart" uri="{C3380CC4-5D6E-409C-BE32-E72D297353CC}">
              <c16:uniqueId val="{00000002-1EF2-46C6-8601-3691B90F9292}"/>
            </c:ext>
          </c:extLst>
        </c:ser>
        <c:ser>
          <c:idx val="3"/>
          <c:order val="3"/>
          <c:tx>
            <c:strRef>
              <c:f>'Capacity quant'!$A$11</c:f>
              <c:strCache>
                <c:ptCount val="1"/>
                <c:pt idx="0">
                  <c:v>Slightly disagree</c:v>
                </c:pt>
              </c:strCache>
            </c:strRef>
          </c:tx>
          <c:spPr>
            <a:solidFill>
              <a:srgbClr val="00ABAB"/>
            </a:solidFill>
            <a:ln>
              <a:noFill/>
            </a:ln>
            <a:effectLst/>
          </c:spPr>
          <c:invertIfNegative val="0"/>
          <c:cat>
            <c:strRef>
              <c:f>'Capacity quant'!$B$7:$E$7</c:f>
              <c:strCache>
                <c:ptCount val="4"/>
                <c:pt idx="0">
                  <c:v>Conducting investigations of incidents relating to health and safety, structural integrity and environment management</c:v>
                </c:pt>
                <c:pt idx="1">
                  <c:v>Conducting inspections and assurance activities to monitor compliance under the OPGGS Act</c:v>
                </c:pt>
                <c:pt idx="2">
                  <c:v>Providing advice on matters relating to health and safety, structural integrity and environment management</c:v>
                </c:pt>
                <c:pt idx="3">
                  <c:v>Taking enforcement action (e.g. issuing an improvement or prohibition notice, withdrawing acceptance of a safety case, prosecution)</c:v>
                </c:pt>
              </c:strCache>
            </c:strRef>
          </c:cat>
          <c:val>
            <c:numRef>
              <c:f>'Capacity quant'!$B$11:$E$11</c:f>
              <c:numCache>
                <c:formatCode>0.0%</c:formatCode>
                <c:ptCount val="4"/>
                <c:pt idx="0">
                  <c:v>5.8823529411764705E-2</c:v>
                </c:pt>
                <c:pt idx="1">
                  <c:v>5.8823529411764705E-2</c:v>
                </c:pt>
                <c:pt idx="2">
                  <c:v>8.8235294117647065E-2</c:v>
                </c:pt>
                <c:pt idx="3">
                  <c:v>0.11764705882352941</c:v>
                </c:pt>
              </c:numCache>
            </c:numRef>
          </c:val>
          <c:extLst xmlns:c16r2="http://schemas.microsoft.com/office/drawing/2015/06/chart">
            <c:ext xmlns:c16="http://schemas.microsoft.com/office/drawing/2014/chart" uri="{C3380CC4-5D6E-409C-BE32-E72D297353CC}">
              <c16:uniqueId val="{00000003-1EF2-46C6-8601-3691B90F9292}"/>
            </c:ext>
          </c:extLst>
        </c:ser>
        <c:ser>
          <c:idx val="4"/>
          <c:order val="4"/>
          <c:tx>
            <c:strRef>
              <c:f>'Capacity quant'!$A$12</c:f>
              <c:strCache>
                <c:ptCount val="1"/>
                <c:pt idx="0">
                  <c:v>Disagree</c:v>
                </c:pt>
              </c:strCache>
            </c:strRef>
          </c:tx>
          <c:spPr>
            <a:solidFill>
              <a:srgbClr val="6FC2B4"/>
            </a:solidFill>
            <a:ln>
              <a:noFill/>
            </a:ln>
            <a:effectLst/>
          </c:spPr>
          <c:invertIfNegative val="0"/>
          <c:cat>
            <c:strRef>
              <c:f>'Capacity quant'!$B$7:$E$7</c:f>
              <c:strCache>
                <c:ptCount val="4"/>
                <c:pt idx="0">
                  <c:v>Conducting investigations of incidents relating to health and safety, structural integrity and environment management</c:v>
                </c:pt>
                <c:pt idx="1">
                  <c:v>Conducting inspections and assurance activities to monitor compliance under the OPGGS Act</c:v>
                </c:pt>
                <c:pt idx="2">
                  <c:v>Providing advice on matters relating to health and safety, structural integrity and environment management</c:v>
                </c:pt>
                <c:pt idx="3">
                  <c:v>Taking enforcement action (e.g. issuing an improvement or prohibition notice, withdrawing acceptance of a safety case, prosecution)</c:v>
                </c:pt>
              </c:strCache>
            </c:strRef>
          </c:cat>
          <c:val>
            <c:numRef>
              <c:f>'Capacity quant'!$B$12:$E$12</c:f>
              <c:numCache>
                <c:formatCode>0.0%</c:formatCode>
                <c:ptCount val="4"/>
                <c:pt idx="0">
                  <c:v>0.11764705882352941</c:v>
                </c:pt>
                <c:pt idx="1">
                  <c:v>8.8235294117647065E-2</c:v>
                </c:pt>
                <c:pt idx="2">
                  <c:v>5.8823529411764705E-2</c:v>
                </c:pt>
                <c:pt idx="3">
                  <c:v>5.8823529411764705E-2</c:v>
                </c:pt>
              </c:numCache>
            </c:numRef>
          </c:val>
          <c:extLst xmlns:c16r2="http://schemas.microsoft.com/office/drawing/2015/06/chart">
            <c:ext xmlns:c16="http://schemas.microsoft.com/office/drawing/2014/chart" uri="{C3380CC4-5D6E-409C-BE32-E72D297353CC}">
              <c16:uniqueId val="{00000004-1EF2-46C6-8601-3691B90F9292}"/>
            </c:ext>
          </c:extLst>
        </c:ser>
        <c:ser>
          <c:idx val="5"/>
          <c:order val="5"/>
          <c:tx>
            <c:strRef>
              <c:f>'Capacity quant'!$A$13</c:f>
              <c:strCache>
                <c:ptCount val="1"/>
                <c:pt idx="0">
                  <c:v>Strongly disagree</c:v>
                </c:pt>
              </c:strCache>
            </c:strRef>
          </c:tx>
          <c:spPr>
            <a:solidFill>
              <a:srgbClr val="9DD4CF"/>
            </a:solidFill>
            <a:ln>
              <a:noFill/>
            </a:ln>
            <a:effectLst/>
          </c:spPr>
          <c:invertIfNegative val="0"/>
          <c:cat>
            <c:strRef>
              <c:f>'Capacity quant'!$B$7:$E$7</c:f>
              <c:strCache>
                <c:ptCount val="4"/>
                <c:pt idx="0">
                  <c:v>Conducting investigations of incidents relating to health and safety, structural integrity and environment management</c:v>
                </c:pt>
                <c:pt idx="1">
                  <c:v>Conducting inspections and assurance activities to monitor compliance under the OPGGS Act</c:v>
                </c:pt>
                <c:pt idx="2">
                  <c:v>Providing advice on matters relating to health and safety, structural integrity and environment management</c:v>
                </c:pt>
                <c:pt idx="3">
                  <c:v>Taking enforcement action (e.g. issuing an improvement or prohibition notice, withdrawing acceptance of a safety case, prosecution)</c:v>
                </c:pt>
              </c:strCache>
            </c:strRef>
          </c:cat>
          <c:val>
            <c:numRef>
              <c:f>'Capacity quant'!$B$13:$E$13</c:f>
              <c:numCache>
                <c:formatCode>0.0%</c:formatCode>
                <c:ptCount val="4"/>
                <c:pt idx="0">
                  <c:v>0</c:v>
                </c:pt>
                <c:pt idx="1">
                  <c:v>0</c:v>
                </c:pt>
                <c:pt idx="2">
                  <c:v>0</c:v>
                </c:pt>
                <c:pt idx="3">
                  <c:v>2.9411764705882353E-2</c:v>
                </c:pt>
              </c:numCache>
            </c:numRef>
          </c:val>
          <c:extLst xmlns:c16r2="http://schemas.microsoft.com/office/drawing/2015/06/chart">
            <c:ext xmlns:c16="http://schemas.microsoft.com/office/drawing/2014/chart" uri="{C3380CC4-5D6E-409C-BE32-E72D297353CC}">
              <c16:uniqueId val="{00000005-1EF2-46C6-8601-3691B90F9292}"/>
            </c:ext>
          </c:extLst>
        </c:ser>
        <c:dLbls>
          <c:showLegendKey val="0"/>
          <c:showVal val="0"/>
          <c:showCatName val="0"/>
          <c:showSerName val="0"/>
          <c:showPercent val="0"/>
          <c:showBubbleSize val="0"/>
        </c:dLbls>
        <c:gapWidth val="150"/>
        <c:overlap val="100"/>
        <c:axId val="731612288"/>
        <c:axId val="988504024"/>
      </c:barChart>
      <c:catAx>
        <c:axId val="73161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8504024"/>
        <c:crosses val="autoZero"/>
        <c:auto val="1"/>
        <c:lblAlgn val="ctr"/>
        <c:lblOffset val="100"/>
        <c:noMultiLvlLbl val="0"/>
      </c:catAx>
      <c:valAx>
        <c:axId val="98850402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731612288"/>
        <c:crosses val="autoZero"/>
        <c:crossBetween val="between"/>
        <c:majorUnit val="0.2"/>
      </c:valAx>
      <c:spPr>
        <a:noFill/>
        <a:ln>
          <a:solidFill>
            <a:srgbClr val="E7E6E6">
              <a:lumMod val="75000"/>
            </a:srgb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rgbClr val="E7E6E6">
          <a:lumMod val="75000"/>
        </a:srgb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r>
              <a:rPr lang="en-AU" sz="1000"/>
              <a:t>I am satisfied with the technical capability of NOPSEMA staff when completing:</a:t>
            </a:r>
          </a:p>
        </c:rich>
      </c:tx>
      <c:layout>
        <c:manualLayout>
          <c:xMode val="edge"/>
          <c:yMode val="edge"/>
          <c:x val="7.0764585584634377E-3"/>
          <c:y val="2.105263157894736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autoTitleDeleted val="0"/>
    <c:plotArea>
      <c:layout/>
      <c:barChart>
        <c:barDir val="bar"/>
        <c:grouping val="percentStacked"/>
        <c:varyColors val="0"/>
        <c:ser>
          <c:idx val="0"/>
          <c:order val="0"/>
          <c:tx>
            <c:strRef>
              <c:f>'Tech capability quant'!$A$8</c:f>
              <c:strCache>
                <c:ptCount val="1"/>
                <c:pt idx="0">
                  <c:v>Strongly agree</c:v>
                </c:pt>
              </c:strCache>
            </c:strRef>
          </c:tx>
          <c:spPr>
            <a:solidFill>
              <a:srgbClr val="004F59"/>
            </a:solidFill>
            <a:ln>
              <a:noFill/>
            </a:ln>
            <a:effectLst/>
          </c:spPr>
          <c:invertIfNegative val="0"/>
          <c:cat>
            <c:strRef>
              <c:f>'Tech capability quant'!$B$7:$I$7</c:f>
              <c:strCache>
                <c:ptCount val="8"/>
                <c:pt idx="0">
                  <c:v>Reviews of safety cases</c:v>
                </c:pt>
                <c:pt idx="1">
                  <c:v>Reviews of well operations management plans</c:v>
                </c:pt>
                <c:pt idx="2">
                  <c:v>Reviews of offshore project proposals</c:v>
                </c:pt>
                <c:pt idx="3">
                  <c:v>Reviews of environment plans</c:v>
                </c:pt>
                <c:pt idx="4">
                  <c:v>Inspections on existing plans or processes (e.g. safety cases, well operations management plans) or emerging risks</c:v>
                </c:pt>
                <c:pt idx="5">
                  <c:v>Investigations on suspected breaches</c:v>
                </c:pt>
                <c:pt idx="6">
                  <c:v>Enforcement activities (e.g. acting on breaches).</c:v>
                </c:pt>
                <c:pt idx="7">
                  <c:v>Publication of industry guidelines, guidance notes, information papers, etc.</c:v>
                </c:pt>
              </c:strCache>
            </c:strRef>
          </c:cat>
          <c:val>
            <c:numRef>
              <c:f>'Tech capability quant'!$B$8:$I$8</c:f>
              <c:numCache>
                <c:formatCode>0.0%</c:formatCode>
                <c:ptCount val="8"/>
                <c:pt idx="0">
                  <c:v>5.8823529411764705E-2</c:v>
                </c:pt>
                <c:pt idx="1">
                  <c:v>5.8823529411764705E-2</c:v>
                </c:pt>
                <c:pt idx="2">
                  <c:v>0.11764705882352941</c:v>
                </c:pt>
                <c:pt idx="3">
                  <c:v>0.14705882352941177</c:v>
                </c:pt>
                <c:pt idx="4">
                  <c:v>5.8823529411764705E-2</c:v>
                </c:pt>
                <c:pt idx="5">
                  <c:v>5.8823529411764705E-2</c:v>
                </c:pt>
                <c:pt idx="6">
                  <c:v>5.8823529411764705E-2</c:v>
                </c:pt>
                <c:pt idx="7">
                  <c:v>0.11764705882352941</c:v>
                </c:pt>
              </c:numCache>
            </c:numRef>
          </c:val>
          <c:extLst xmlns:c16r2="http://schemas.microsoft.com/office/drawing/2015/06/chart">
            <c:ext xmlns:c16="http://schemas.microsoft.com/office/drawing/2014/chart" uri="{C3380CC4-5D6E-409C-BE32-E72D297353CC}">
              <c16:uniqueId val="{00000000-5D9A-4852-BBBF-058AFDB82DA7}"/>
            </c:ext>
          </c:extLst>
        </c:ser>
        <c:ser>
          <c:idx val="1"/>
          <c:order val="1"/>
          <c:tx>
            <c:strRef>
              <c:f>'Tech capability quant'!$A$9</c:f>
              <c:strCache>
                <c:ptCount val="1"/>
                <c:pt idx="0">
                  <c:v>Agree</c:v>
                </c:pt>
              </c:strCache>
            </c:strRef>
          </c:tx>
          <c:spPr>
            <a:solidFill>
              <a:srgbClr val="007680"/>
            </a:solidFill>
            <a:ln>
              <a:noFill/>
            </a:ln>
            <a:effectLst/>
          </c:spPr>
          <c:invertIfNegative val="0"/>
          <c:cat>
            <c:strRef>
              <c:f>'Tech capability quant'!$B$7:$I$7</c:f>
              <c:strCache>
                <c:ptCount val="8"/>
                <c:pt idx="0">
                  <c:v>Reviews of safety cases</c:v>
                </c:pt>
                <c:pt idx="1">
                  <c:v>Reviews of well operations management plans</c:v>
                </c:pt>
                <c:pt idx="2">
                  <c:v>Reviews of offshore project proposals</c:v>
                </c:pt>
                <c:pt idx="3">
                  <c:v>Reviews of environment plans</c:v>
                </c:pt>
                <c:pt idx="4">
                  <c:v>Inspections on existing plans or processes (e.g. safety cases, well operations management plans) or emerging risks</c:v>
                </c:pt>
                <c:pt idx="5">
                  <c:v>Investigations on suspected breaches</c:v>
                </c:pt>
                <c:pt idx="6">
                  <c:v>Enforcement activities (e.g. acting on breaches).</c:v>
                </c:pt>
                <c:pt idx="7">
                  <c:v>Publication of industry guidelines, guidance notes, information papers, etc.</c:v>
                </c:pt>
              </c:strCache>
            </c:strRef>
          </c:cat>
          <c:val>
            <c:numRef>
              <c:f>'Tech capability quant'!$B$9:$I$9</c:f>
              <c:numCache>
                <c:formatCode>0.0%</c:formatCode>
                <c:ptCount val="8"/>
                <c:pt idx="0">
                  <c:v>0.23529411764705882</c:v>
                </c:pt>
                <c:pt idx="1">
                  <c:v>0.29411764705882354</c:v>
                </c:pt>
                <c:pt idx="2">
                  <c:v>0.20588235294117646</c:v>
                </c:pt>
                <c:pt idx="3">
                  <c:v>0.26470588235294118</c:v>
                </c:pt>
                <c:pt idx="4">
                  <c:v>0.29411764705882354</c:v>
                </c:pt>
                <c:pt idx="5">
                  <c:v>0.29411764705882354</c:v>
                </c:pt>
                <c:pt idx="6">
                  <c:v>0.14705882352941177</c:v>
                </c:pt>
                <c:pt idx="7">
                  <c:v>0.44117647058823528</c:v>
                </c:pt>
              </c:numCache>
            </c:numRef>
          </c:val>
          <c:extLst xmlns:c16r2="http://schemas.microsoft.com/office/drawing/2015/06/chart">
            <c:ext xmlns:c16="http://schemas.microsoft.com/office/drawing/2014/chart" uri="{C3380CC4-5D6E-409C-BE32-E72D297353CC}">
              <c16:uniqueId val="{00000001-5D9A-4852-BBBF-058AFDB82DA7}"/>
            </c:ext>
          </c:extLst>
        </c:ser>
        <c:ser>
          <c:idx val="2"/>
          <c:order val="2"/>
          <c:tx>
            <c:strRef>
              <c:f>'Tech capability quant'!$A$10</c:f>
              <c:strCache>
                <c:ptCount val="1"/>
                <c:pt idx="0">
                  <c:v>Slightly agree</c:v>
                </c:pt>
              </c:strCache>
            </c:strRef>
          </c:tx>
          <c:spPr>
            <a:solidFill>
              <a:srgbClr val="0097A9"/>
            </a:solidFill>
            <a:ln>
              <a:noFill/>
            </a:ln>
            <a:effectLst/>
          </c:spPr>
          <c:invertIfNegative val="0"/>
          <c:cat>
            <c:strRef>
              <c:f>'Tech capability quant'!$B$7:$I$7</c:f>
              <c:strCache>
                <c:ptCount val="8"/>
                <c:pt idx="0">
                  <c:v>Reviews of safety cases</c:v>
                </c:pt>
                <c:pt idx="1">
                  <c:v>Reviews of well operations management plans</c:v>
                </c:pt>
                <c:pt idx="2">
                  <c:v>Reviews of offshore project proposals</c:v>
                </c:pt>
                <c:pt idx="3">
                  <c:v>Reviews of environment plans</c:v>
                </c:pt>
                <c:pt idx="4">
                  <c:v>Inspections on existing plans or processes (e.g. safety cases, well operations management plans) or emerging risks</c:v>
                </c:pt>
                <c:pt idx="5">
                  <c:v>Investigations on suspected breaches</c:v>
                </c:pt>
                <c:pt idx="6">
                  <c:v>Enforcement activities (e.g. acting on breaches).</c:v>
                </c:pt>
                <c:pt idx="7">
                  <c:v>Publication of industry guidelines, guidance notes, information papers, etc.</c:v>
                </c:pt>
              </c:strCache>
            </c:strRef>
          </c:cat>
          <c:val>
            <c:numRef>
              <c:f>'Tech capability quant'!$B$10:$I$10</c:f>
              <c:numCache>
                <c:formatCode>0.0%</c:formatCode>
                <c:ptCount val="8"/>
                <c:pt idx="0">
                  <c:v>0.11764705882352941</c:v>
                </c:pt>
                <c:pt idx="1">
                  <c:v>0</c:v>
                </c:pt>
                <c:pt idx="2">
                  <c:v>8.8235294117647065E-2</c:v>
                </c:pt>
                <c:pt idx="3">
                  <c:v>0.23529411764705882</c:v>
                </c:pt>
                <c:pt idx="4">
                  <c:v>0.17647058823529413</c:v>
                </c:pt>
                <c:pt idx="5">
                  <c:v>0.11764705882352941</c:v>
                </c:pt>
                <c:pt idx="6">
                  <c:v>0.17647058823529413</c:v>
                </c:pt>
                <c:pt idx="7">
                  <c:v>0.23529411764705882</c:v>
                </c:pt>
              </c:numCache>
            </c:numRef>
          </c:val>
          <c:extLst xmlns:c16r2="http://schemas.microsoft.com/office/drawing/2015/06/chart">
            <c:ext xmlns:c16="http://schemas.microsoft.com/office/drawing/2014/chart" uri="{C3380CC4-5D6E-409C-BE32-E72D297353CC}">
              <c16:uniqueId val="{00000002-5D9A-4852-BBBF-058AFDB82DA7}"/>
            </c:ext>
          </c:extLst>
        </c:ser>
        <c:ser>
          <c:idx val="3"/>
          <c:order val="3"/>
          <c:tx>
            <c:strRef>
              <c:f>'Tech capability quant'!$A$11</c:f>
              <c:strCache>
                <c:ptCount val="1"/>
                <c:pt idx="0">
                  <c:v>Slightly disagree</c:v>
                </c:pt>
              </c:strCache>
            </c:strRef>
          </c:tx>
          <c:spPr>
            <a:solidFill>
              <a:srgbClr val="00ABAB"/>
            </a:solidFill>
            <a:ln>
              <a:noFill/>
            </a:ln>
            <a:effectLst/>
          </c:spPr>
          <c:invertIfNegative val="0"/>
          <c:cat>
            <c:strRef>
              <c:f>'Tech capability quant'!$B$7:$I$7</c:f>
              <c:strCache>
                <c:ptCount val="8"/>
                <c:pt idx="0">
                  <c:v>Reviews of safety cases</c:v>
                </c:pt>
                <c:pt idx="1">
                  <c:v>Reviews of well operations management plans</c:v>
                </c:pt>
                <c:pt idx="2">
                  <c:v>Reviews of offshore project proposals</c:v>
                </c:pt>
                <c:pt idx="3">
                  <c:v>Reviews of environment plans</c:v>
                </c:pt>
                <c:pt idx="4">
                  <c:v>Inspections on existing plans or processes (e.g. safety cases, well operations management plans) or emerging risks</c:v>
                </c:pt>
                <c:pt idx="5">
                  <c:v>Investigations on suspected breaches</c:v>
                </c:pt>
                <c:pt idx="6">
                  <c:v>Enforcement activities (e.g. acting on breaches).</c:v>
                </c:pt>
                <c:pt idx="7">
                  <c:v>Publication of industry guidelines, guidance notes, information papers, etc.</c:v>
                </c:pt>
              </c:strCache>
            </c:strRef>
          </c:cat>
          <c:val>
            <c:numRef>
              <c:f>'Tech capability quant'!$B$11:$I$11</c:f>
              <c:numCache>
                <c:formatCode>0.0%</c:formatCode>
                <c:ptCount val="8"/>
                <c:pt idx="0">
                  <c:v>5.8823529411764705E-2</c:v>
                </c:pt>
                <c:pt idx="1">
                  <c:v>8.8235294117647065E-2</c:v>
                </c:pt>
                <c:pt idx="2">
                  <c:v>2.9411764705882353E-2</c:v>
                </c:pt>
                <c:pt idx="3">
                  <c:v>5.8823529411764705E-2</c:v>
                </c:pt>
                <c:pt idx="4">
                  <c:v>2.9411764705882353E-2</c:v>
                </c:pt>
                <c:pt idx="5">
                  <c:v>2.9411764705882353E-2</c:v>
                </c:pt>
                <c:pt idx="6">
                  <c:v>5.8823529411764705E-2</c:v>
                </c:pt>
                <c:pt idx="7">
                  <c:v>8.8235294117647065E-2</c:v>
                </c:pt>
              </c:numCache>
            </c:numRef>
          </c:val>
          <c:extLst xmlns:c16r2="http://schemas.microsoft.com/office/drawing/2015/06/chart">
            <c:ext xmlns:c16="http://schemas.microsoft.com/office/drawing/2014/chart" uri="{C3380CC4-5D6E-409C-BE32-E72D297353CC}">
              <c16:uniqueId val="{00000003-5D9A-4852-BBBF-058AFDB82DA7}"/>
            </c:ext>
          </c:extLst>
        </c:ser>
        <c:ser>
          <c:idx val="4"/>
          <c:order val="4"/>
          <c:tx>
            <c:strRef>
              <c:f>'Tech capability quant'!$A$12</c:f>
              <c:strCache>
                <c:ptCount val="1"/>
                <c:pt idx="0">
                  <c:v>Disagree</c:v>
                </c:pt>
              </c:strCache>
            </c:strRef>
          </c:tx>
          <c:spPr>
            <a:solidFill>
              <a:srgbClr val="6FC2B4"/>
            </a:solidFill>
            <a:ln>
              <a:noFill/>
            </a:ln>
            <a:effectLst/>
          </c:spPr>
          <c:invertIfNegative val="0"/>
          <c:cat>
            <c:strRef>
              <c:f>'Tech capability quant'!$B$7:$I$7</c:f>
              <c:strCache>
                <c:ptCount val="8"/>
                <c:pt idx="0">
                  <c:v>Reviews of safety cases</c:v>
                </c:pt>
                <c:pt idx="1">
                  <c:v>Reviews of well operations management plans</c:v>
                </c:pt>
                <c:pt idx="2">
                  <c:v>Reviews of offshore project proposals</c:v>
                </c:pt>
                <c:pt idx="3">
                  <c:v>Reviews of environment plans</c:v>
                </c:pt>
                <c:pt idx="4">
                  <c:v>Inspections on existing plans or processes (e.g. safety cases, well operations management plans) or emerging risks</c:v>
                </c:pt>
                <c:pt idx="5">
                  <c:v>Investigations on suspected breaches</c:v>
                </c:pt>
                <c:pt idx="6">
                  <c:v>Enforcement activities (e.g. acting on breaches).</c:v>
                </c:pt>
                <c:pt idx="7">
                  <c:v>Publication of industry guidelines, guidance notes, information papers, etc.</c:v>
                </c:pt>
              </c:strCache>
            </c:strRef>
          </c:cat>
          <c:val>
            <c:numRef>
              <c:f>'Tech capability quant'!$B$12:$I$12</c:f>
              <c:numCache>
                <c:formatCode>0.0%</c:formatCode>
                <c:ptCount val="8"/>
                <c:pt idx="0">
                  <c:v>2.9411764705882353E-2</c:v>
                </c:pt>
                <c:pt idx="1">
                  <c:v>2.9411764705882353E-2</c:v>
                </c:pt>
                <c:pt idx="2">
                  <c:v>2.9411764705882353E-2</c:v>
                </c:pt>
                <c:pt idx="3">
                  <c:v>2.9411764705882353E-2</c:v>
                </c:pt>
                <c:pt idx="4">
                  <c:v>8.8235294117647065E-2</c:v>
                </c:pt>
                <c:pt idx="5">
                  <c:v>8.8235294117647065E-2</c:v>
                </c:pt>
                <c:pt idx="6">
                  <c:v>8.8235294117647065E-2</c:v>
                </c:pt>
                <c:pt idx="7">
                  <c:v>2.9411764705882353E-2</c:v>
                </c:pt>
              </c:numCache>
            </c:numRef>
          </c:val>
          <c:extLst xmlns:c16r2="http://schemas.microsoft.com/office/drawing/2015/06/chart">
            <c:ext xmlns:c16="http://schemas.microsoft.com/office/drawing/2014/chart" uri="{C3380CC4-5D6E-409C-BE32-E72D297353CC}">
              <c16:uniqueId val="{00000004-5D9A-4852-BBBF-058AFDB82DA7}"/>
            </c:ext>
          </c:extLst>
        </c:ser>
        <c:ser>
          <c:idx val="5"/>
          <c:order val="5"/>
          <c:tx>
            <c:strRef>
              <c:f>'Tech capability quant'!$A$13</c:f>
              <c:strCache>
                <c:ptCount val="1"/>
                <c:pt idx="0">
                  <c:v>Strongly disagree</c:v>
                </c:pt>
              </c:strCache>
            </c:strRef>
          </c:tx>
          <c:spPr>
            <a:solidFill>
              <a:srgbClr val="9DD4CF"/>
            </a:solidFill>
            <a:ln>
              <a:noFill/>
            </a:ln>
            <a:effectLst/>
          </c:spPr>
          <c:invertIfNegative val="0"/>
          <c:cat>
            <c:strRef>
              <c:f>'Tech capability quant'!$B$7:$I$7</c:f>
              <c:strCache>
                <c:ptCount val="8"/>
                <c:pt idx="0">
                  <c:v>Reviews of safety cases</c:v>
                </c:pt>
                <c:pt idx="1">
                  <c:v>Reviews of well operations management plans</c:v>
                </c:pt>
                <c:pt idx="2">
                  <c:v>Reviews of offshore project proposals</c:v>
                </c:pt>
                <c:pt idx="3">
                  <c:v>Reviews of environment plans</c:v>
                </c:pt>
                <c:pt idx="4">
                  <c:v>Inspections on existing plans or processes (e.g. safety cases, well operations management plans) or emerging risks</c:v>
                </c:pt>
                <c:pt idx="5">
                  <c:v>Investigations on suspected breaches</c:v>
                </c:pt>
                <c:pt idx="6">
                  <c:v>Enforcement activities (e.g. acting on breaches).</c:v>
                </c:pt>
                <c:pt idx="7">
                  <c:v>Publication of industry guidelines, guidance notes, information papers, etc.</c:v>
                </c:pt>
              </c:strCache>
            </c:strRef>
          </c:cat>
          <c:val>
            <c:numRef>
              <c:f>'Tech capability quant'!$B$13:$I$13</c:f>
              <c:numCache>
                <c:formatCode>0.0%</c:formatCode>
                <c:ptCount val="8"/>
                <c:pt idx="0">
                  <c:v>0</c:v>
                </c:pt>
                <c:pt idx="1">
                  <c:v>0</c:v>
                </c:pt>
                <c:pt idx="2">
                  <c:v>2.9411764705882353E-2</c:v>
                </c:pt>
                <c:pt idx="3">
                  <c:v>2.9411764705882353E-2</c:v>
                </c:pt>
                <c:pt idx="4">
                  <c:v>0</c:v>
                </c:pt>
                <c:pt idx="5">
                  <c:v>2.9411764705882353E-2</c:v>
                </c:pt>
                <c:pt idx="6">
                  <c:v>5.8823529411764705E-2</c:v>
                </c:pt>
                <c:pt idx="7">
                  <c:v>0</c:v>
                </c:pt>
              </c:numCache>
            </c:numRef>
          </c:val>
          <c:extLst xmlns:c16r2="http://schemas.microsoft.com/office/drawing/2015/06/chart">
            <c:ext xmlns:c16="http://schemas.microsoft.com/office/drawing/2014/chart" uri="{C3380CC4-5D6E-409C-BE32-E72D297353CC}">
              <c16:uniqueId val="{00000005-5D9A-4852-BBBF-058AFDB82DA7}"/>
            </c:ext>
          </c:extLst>
        </c:ser>
        <c:dLbls>
          <c:showLegendKey val="0"/>
          <c:showVal val="0"/>
          <c:showCatName val="0"/>
          <c:showSerName val="0"/>
          <c:showPercent val="0"/>
          <c:showBubbleSize val="0"/>
        </c:dLbls>
        <c:gapWidth val="150"/>
        <c:overlap val="100"/>
        <c:axId val="806227672"/>
        <c:axId val="806230416"/>
      </c:barChart>
      <c:catAx>
        <c:axId val="806227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06230416"/>
        <c:crosses val="autoZero"/>
        <c:auto val="1"/>
        <c:lblAlgn val="ctr"/>
        <c:lblOffset val="100"/>
        <c:noMultiLvlLbl val="0"/>
      </c:catAx>
      <c:valAx>
        <c:axId val="80623041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06227672"/>
        <c:crosses val="autoZero"/>
        <c:crossBetween val="between"/>
        <c:majorUnit val="0.2"/>
      </c:valAx>
      <c:spPr>
        <a:noFill/>
        <a:ln>
          <a:solidFill>
            <a:srgbClr val="E7E6E6">
              <a:lumMod val="75000"/>
            </a:srgb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rgbClr val="E7E6E6">
          <a:lumMod val="75000"/>
        </a:srgb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r>
              <a:rPr lang="en-AU" sz="1000"/>
              <a:t>In general, NOPSEMA staff demonstrate:</a:t>
            </a:r>
          </a:p>
        </c:rich>
      </c:tx>
      <c:layout>
        <c:manualLayout>
          <c:xMode val="edge"/>
          <c:yMode val="edge"/>
          <c:x val="1.5281566727236018E-2"/>
          <c:y val="2.105263157894736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autoTitleDeleted val="0"/>
    <c:plotArea>
      <c:layout/>
      <c:barChart>
        <c:barDir val="bar"/>
        <c:grouping val="percentStacked"/>
        <c:varyColors val="0"/>
        <c:ser>
          <c:idx val="0"/>
          <c:order val="0"/>
          <c:tx>
            <c:strRef>
              <c:f>'Behaviour quant'!$A$8</c:f>
              <c:strCache>
                <c:ptCount val="1"/>
                <c:pt idx="0">
                  <c:v>Strongly agree</c:v>
                </c:pt>
              </c:strCache>
            </c:strRef>
          </c:tx>
          <c:spPr>
            <a:solidFill>
              <a:srgbClr val="004F59"/>
            </a:solidFill>
            <a:ln>
              <a:noFill/>
            </a:ln>
            <a:effectLst/>
          </c:spPr>
          <c:invertIfNegative val="0"/>
          <c:cat>
            <c:strRef>
              <c:f>'Behaviour quant'!$B$7:$F$7</c:f>
              <c:strCache>
                <c:ptCount val="5"/>
                <c:pt idx="0">
                  <c:v>Professionalism</c:v>
                </c:pt>
                <c:pt idx="1">
                  <c:v>Ethics</c:v>
                </c:pt>
                <c:pt idx="2">
                  <c:v>Independence</c:v>
                </c:pt>
                <c:pt idx="3">
                  <c:v>Leadership</c:v>
                </c:pt>
                <c:pt idx="4">
                  <c:v>Collegiality</c:v>
                </c:pt>
              </c:strCache>
            </c:strRef>
          </c:cat>
          <c:val>
            <c:numRef>
              <c:f>'Behaviour quant'!$B$8:$F$8</c:f>
              <c:numCache>
                <c:formatCode>0.0%</c:formatCode>
                <c:ptCount val="5"/>
                <c:pt idx="0">
                  <c:v>0.35294117647058826</c:v>
                </c:pt>
                <c:pt idx="1">
                  <c:v>0.38235294117647056</c:v>
                </c:pt>
                <c:pt idx="2">
                  <c:v>0.3235294117647059</c:v>
                </c:pt>
                <c:pt idx="3">
                  <c:v>0.17647058823529413</c:v>
                </c:pt>
                <c:pt idx="4">
                  <c:v>0.20588235294117646</c:v>
                </c:pt>
              </c:numCache>
            </c:numRef>
          </c:val>
          <c:extLst xmlns:c16r2="http://schemas.microsoft.com/office/drawing/2015/06/chart">
            <c:ext xmlns:c16="http://schemas.microsoft.com/office/drawing/2014/chart" uri="{C3380CC4-5D6E-409C-BE32-E72D297353CC}">
              <c16:uniqueId val="{00000000-E867-4F6F-AA3D-511DBCA3F611}"/>
            </c:ext>
          </c:extLst>
        </c:ser>
        <c:ser>
          <c:idx val="1"/>
          <c:order val="1"/>
          <c:tx>
            <c:strRef>
              <c:f>'Behaviour quant'!$A$9</c:f>
              <c:strCache>
                <c:ptCount val="1"/>
                <c:pt idx="0">
                  <c:v>Agree</c:v>
                </c:pt>
              </c:strCache>
            </c:strRef>
          </c:tx>
          <c:spPr>
            <a:solidFill>
              <a:srgbClr val="007680"/>
            </a:solidFill>
            <a:ln>
              <a:noFill/>
            </a:ln>
            <a:effectLst/>
          </c:spPr>
          <c:invertIfNegative val="0"/>
          <c:cat>
            <c:strRef>
              <c:f>'Behaviour quant'!$B$7:$F$7</c:f>
              <c:strCache>
                <c:ptCount val="5"/>
                <c:pt idx="0">
                  <c:v>Professionalism</c:v>
                </c:pt>
                <c:pt idx="1">
                  <c:v>Ethics</c:v>
                </c:pt>
                <c:pt idx="2">
                  <c:v>Independence</c:v>
                </c:pt>
                <c:pt idx="3">
                  <c:v>Leadership</c:v>
                </c:pt>
                <c:pt idx="4">
                  <c:v>Collegiality</c:v>
                </c:pt>
              </c:strCache>
            </c:strRef>
          </c:cat>
          <c:val>
            <c:numRef>
              <c:f>'Behaviour quant'!$B$9:$F$9</c:f>
              <c:numCache>
                <c:formatCode>0.0%</c:formatCode>
                <c:ptCount val="5"/>
                <c:pt idx="0">
                  <c:v>0.44117647058823528</c:v>
                </c:pt>
                <c:pt idx="1">
                  <c:v>0.41176470588235292</c:v>
                </c:pt>
                <c:pt idx="2">
                  <c:v>0.38235294117647056</c:v>
                </c:pt>
                <c:pt idx="3">
                  <c:v>0.41176470588235292</c:v>
                </c:pt>
                <c:pt idx="4">
                  <c:v>0.41176470588235292</c:v>
                </c:pt>
              </c:numCache>
            </c:numRef>
          </c:val>
          <c:extLst xmlns:c16r2="http://schemas.microsoft.com/office/drawing/2015/06/chart">
            <c:ext xmlns:c16="http://schemas.microsoft.com/office/drawing/2014/chart" uri="{C3380CC4-5D6E-409C-BE32-E72D297353CC}">
              <c16:uniqueId val="{00000001-E867-4F6F-AA3D-511DBCA3F611}"/>
            </c:ext>
          </c:extLst>
        </c:ser>
        <c:ser>
          <c:idx val="2"/>
          <c:order val="2"/>
          <c:tx>
            <c:strRef>
              <c:f>'Behaviour quant'!$A$10</c:f>
              <c:strCache>
                <c:ptCount val="1"/>
                <c:pt idx="0">
                  <c:v>Slightly agree</c:v>
                </c:pt>
              </c:strCache>
            </c:strRef>
          </c:tx>
          <c:spPr>
            <a:solidFill>
              <a:srgbClr val="0097A9"/>
            </a:solidFill>
            <a:ln>
              <a:noFill/>
            </a:ln>
            <a:effectLst/>
          </c:spPr>
          <c:invertIfNegative val="0"/>
          <c:cat>
            <c:strRef>
              <c:f>'Behaviour quant'!$B$7:$F$7</c:f>
              <c:strCache>
                <c:ptCount val="5"/>
                <c:pt idx="0">
                  <c:v>Professionalism</c:v>
                </c:pt>
                <c:pt idx="1">
                  <c:v>Ethics</c:v>
                </c:pt>
                <c:pt idx="2">
                  <c:v>Independence</c:v>
                </c:pt>
                <c:pt idx="3">
                  <c:v>Leadership</c:v>
                </c:pt>
                <c:pt idx="4">
                  <c:v>Collegiality</c:v>
                </c:pt>
              </c:strCache>
            </c:strRef>
          </c:cat>
          <c:val>
            <c:numRef>
              <c:f>'Behaviour quant'!$B$10:$F$10</c:f>
              <c:numCache>
                <c:formatCode>0.0%</c:formatCode>
                <c:ptCount val="5"/>
                <c:pt idx="0">
                  <c:v>0.14705882352941177</c:v>
                </c:pt>
                <c:pt idx="1">
                  <c:v>8.8235294117647065E-2</c:v>
                </c:pt>
                <c:pt idx="2">
                  <c:v>0.17647058823529413</c:v>
                </c:pt>
                <c:pt idx="3">
                  <c:v>0.29411764705882354</c:v>
                </c:pt>
                <c:pt idx="4">
                  <c:v>0.14705882352941177</c:v>
                </c:pt>
              </c:numCache>
            </c:numRef>
          </c:val>
          <c:extLst xmlns:c16r2="http://schemas.microsoft.com/office/drawing/2015/06/chart">
            <c:ext xmlns:c16="http://schemas.microsoft.com/office/drawing/2014/chart" uri="{C3380CC4-5D6E-409C-BE32-E72D297353CC}">
              <c16:uniqueId val="{00000002-E867-4F6F-AA3D-511DBCA3F611}"/>
            </c:ext>
          </c:extLst>
        </c:ser>
        <c:ser>
          <c:idx val="3"/>
          <c:order val="3"/>
          <c:tx>
            <c:strRef>
              <c:f>'Behaviour quant'!$A$11</c:f>
              <c:strCache>
                <c:ptCount val="1"/>
                <c:pt idx="0">
                  <c:v>Slightly disagree</c:v>
                </c:pt>
              </c:strCache>
            </c:strRef>
          </c:tx>
          <c:spPr>
            <a:solidFill>
              <a:srgbClr val="00ABAB"/>
            </a:solidFill>
            <a:ln>
              <a:noFill/>
            </a:ln>
            <a:effectLst/>
          </c:spPr>
          <c:invertIfNegative val="0"/>
          <c:cat>
            <c:strRef>
              <c:f>'Behaviour quant'!$B$7:$F$7</c:f>
              <c:strCache>
                <c:ptCount val="5"/>
                <c:pt idx="0">
                  <c:v>Professionalism</c:v>
                </c:pt>
                <c:pt idx="1">
                  <c:v>Ethics</c:v>
                </c:pt>
                <c:pt idx="2">
                  <c:v>Independence</c:v>
                </c:pt>
                <c:pt idx="3">
                  <c:v>Leadership</c:v>
                </c:pt>
                <c:pt idx="4">
                  <c:v>Collegiality</c:v>
                </c:pt>
              </c:strCache>
            </c:strRef>
          </c:cat>
          <c:val>
            <c:numRef>
              <c:f>'Behaviour quant'!$B$11:$F$11</c:f>
              <c:numCache>
                <c:formatCode>0.0%</c:formatCode>
                <c:ptCount val="5"/>
                <c:pt idx="0">
                  <c:v>0</c:v>
                </c:pt>
                <c:pt idx="1">
                  <c:v>5.8823529411764705E-2</c:v>
                </c:pt>
                <c:pt idx="2">
                  <c:v>8.8235294117647065E-2</c:v>
                </c:pt>
                <c:pt idx="3">
                  <c:v>2.9411764705882353E-2</c:v>
                </c:pt>
                <c:pt idx="4">
                  <c:v>0.14705882352941177</c:v>
                </c:pt>
              </c:numCache>
            </c:numRef>
          </c:val>
          <c:extLst xmlns:c16r2="http://schemas.microsoft.com/office/drawing/2015/06/chart">
            <c:ext xmlns:c16="http://schemas.microsoft.com/office/drawing/2014/chart" uri="{C3380CC4-5D6E-409C-BE32-E72D297353CC}">
              <c16:uniqueId val="{00000003-E867-4F6F-AA3D-511DBCA3F611}"/>
            </c:ext>
          </c:extLst>
        </c:ser>
        <c:ser>
          <c:idx val="4"/>
          <c:order val="4"/>
          <c:tx>
            <c:strRef>
              <c:f>'Behaviour quant'!$A$12</c:f>
              <c:strCache>
                <c:ptCount val="1"/>
                <c:pt idx="0">
                  <c:v>Disagree</c:v>
                </c:pt>
              </c:strCache>
            </c:strRef>
          </c:tx>
          <c:spPr>
            <a:solidFill>
              <a:srgbClr val="6FC2B4"/>
            </a:solidFill>
            <a:ln>
              <a:noFill/>
            </a:ln>
            <a:effectLst/>
          </c:spPr>
          <c:invertIfNegative val="0"/>
          <c:cat>
            <c:strRef>
              <c:f>'Behaviour quant'!$B$7:$F$7</c:f>
              <c:strCache>
                <c:ptCount val="5"/>
                <c:pt idx="0">
                  <c:v>Professionalism</c:v>
                </c:pt>
                <c:pt idx="1">
                  <c:v>Ethics</c:v>
                </c:pt>
                <c:pt idx="2">
                  <c:v>Independence</c:v>
                </c:pt>
                <c:pt idx="3">
                  <c:v>Leadership</c:v>
                </c:pt>
                <c:pt idx="4">
                  <c:v>Collegiality</c:v>
                </c:pt>
              </c:strCache>
            </c:strRef>
          </c:cat>
          <c:val>
            <c:numRef>
              <c:f>'Behaviour quant'!$B$12:$F$12</c:f>
              <c:numCache>
                <c:formatCode>0.0%</c:formatCode>
                <c:ptCount val="5"/>
                <c:pt idx="0">
                  <c:v>2.9411764705882353E-2</c:v>
                </c:pt>
                <c:pt idx="1">
                  <c:v>2.9411764705882353E-2</c:v>
                </c:pt>
                <c:pt idx="2">
                  <c:v>0</c:v>
                </c:pt>
                <c:pt idx="3">
                  <c:v>5.8823529411764705E-2</c:v>
                </c:pt>
                <c:pt idx="4">
                  <c:v>0</c:v>
                </c:pt>
              </c:numCache>
            </c:numRef>
          </c:val>
          <c:extLst xmlns:c16r2="http://schemas.microsoft.com/office/drawing/2015/06/chart">
            <c:ext xmlns:c16="http://schemas.microsoft.com/office/drawing/2014/chart" uri="{C3380CC4-5D6E-409C-BE32-E72D297353CC}">
              <c16:uniqueId val="{00000004-E867-4F6F-AA3D-511DBCA3F611}"/>
            </c:ext>
          </c:extLst>
        </c:ser>
        <c:ser>
          <c:idx val="5"/>
          <c:order val="5"/>
          <c:tx>
            <c:strRef>
              <c:f>'Behaviour quant'!$A$13</c:f>
              <c:strCache>
                <c:ptCount val="1"/>
                <c:pt idx="0">
                  <c:v>Strongly disagree</c:v>
                </c:pt>
              </c:strCache>
            </c:strRef>
          </c:tx>
          <c:spPr>
            <a:solidFill>
              <a:srgbClr val="9DD4CF"/>
            </a:solidFill>
            <a:ln>
              <a:noFill/>
            </a:ln>
            <a:effectLst/>
          </c:spPr>
          <c:invertIfNegative val="0"/>
          <c:cat>
            <c:strRef>
              <c:f>'Behaviour quant'!$B$7:$F$7</c:f>
              <c:strCache>
                <c:ptCount val="5"/>
                <c:pt idx="0">
                  <c:v>Professionalism</c:v>
                </c:pt>
                <c:pt idx="1">
                  <c:v>Ethics</c:v>
                </c:pt>
                <c:pt idx="2">
                  <c:v>Independence</c:v>
                </c:pt>
                <c:pt idx="3">
                  <c:v>Leadership</c:v>
                </c:pt>
                <c:pt idx="4">
                  <c:v>Collegiality</c:v>
                </c:pt>
              </c:strCache>
            </c:strRef>
          </c:cat>
          <c:val>
            <c:numRef>
              <c:f>'Behaviour quant'!$B$13:$F$13</c:f>
              <c:numCache>
                <c:formatCode>0.0%</c:formatCode>
                <c:ptCount val="5"/>
                <c:pt idx="0">
                  <c:v>2.9411764705882353E-2</c:v>
                </c:pt>
                <c:pt idx="1">
                  <c:v>2.9411764705882353E-2</c:v>
                </c:pt>
                <c:pt idx="2">
                  <c:v>2.9411764705882353E-2</c:v>
                </c:pt>
                <c:pt idx="3">
                  <c:v>2.9411764705882353E-2</c:v>
                </c:pt>
                <c:pt idx="4">
                  <c:v>2.9411764705882353E-2</c:v>
                </c:pt>
              </c:numCache>
            </c:numRef>
          </c:val>
          <c:extLst xmlns:c16r2="http://schemas.microsoft.com/office/drawing/2015/06/chart">
            <c:ext xmlns:c16="http://schemas.microsoft.com/office/drawing/2014/chart" uri="{C3380CC4-5D6E-409C-BE32-E72D297353CC}">
              <c16:uniqueId val="{00000005-E867-4F6F-AA3D-511DBCA3F611}"/>
            </c:ext>
          </c:extLst>
        </c:ser>
        <c:dLbls>
          <c:showLegendKey val="0"/>
          <c:showVal val="0"/>
          <c:showCatName val="0"/>
          <c:showSerName val="0"/>
          <c:showPercent val="0"/>
          <c:showBubbleSize val="0"/>
        </c:dLbls>
        <c:gapWidth val="150"/>
        <c:overlap val="100"/>
        <c:axId val="806230808"/>
        <c:axId val="806229240"/>
      </c:barChart>
      <c:catAx>
        <c:axId val="806230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06229240"/>
        <c:crosses val="autoZero"/>
        <c:auto val="1"/>
        <c:lblAlgn val="ctr"/>
        <c:lblOffset val="100"/>
        <c:noMultiLvlLbl val="0"/>
      </c:catAx>
      <c:valAx>
        <c:axId val="80622924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06230808"/>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'Stakeholder engmt (category)'!$B$3</c:f>
              <c:strCache>
                <c:ptCount val="1"/>
                <c:pt idx="0">
                  <c:v>Duty holder</c:v>
                </c:pt>
              </c:strCache>
            </c:strRef>
          </c:tx>
          <c:spPr>
            <a:solidFill>
              <a:srgbClr val="004F59"/>
            </a:solidFill>
            <a:ln>
              <a:noFill/>
            </a:ln>
            <a:effectLst/>
          </c:spPr>
          <c:invertIfNegative val="0"/>
          <c:cat>
            <c:strRef>
              <c:f>'Stakeholder engmt (category)'!$D$2:$H$2</c:f>
              <c:strCache>
                <c:ptCount val="5"/>
                <c:pt idx="0">
                  <c:v>2015-16</c:v>
                </c:pt>
                <c:pt idx="1">
                  <c:v>2016-17</c:v>
                </c:pt>
                <c:pt idx="2">
                  <c:v>2017-18</c:v>
                </c:pt>
                <c:pt idx="3">
                  <c:v>2018-19</c:v>
                </c:pt>
                <c:pt idx="4">
                  <c:v>2019-20</c:v>
                </c:pt>
              </c:strCache>
              <c:extLst xmlns:c16r2="http://schemas.microsoft.com/office/drawing/2015/06/chart"/>
            </c:strRef>
          </c:cat>
          <c:val>
            <c:numRef>
              <c:f>'Stakeholder engmt (category)'!$D$3:$H$3</c:f>
              <c:numCache>
                <c:formatCode>General</c:formatCode>
                <c:ptCount val="5"/>
                <c:pt idx="0">
                  <c:v>605</c:v>
                </c:pt>
                <c:pt idx="1">
                  <c:v>453</c:v>
                </c:pt>
                <c:pt idx="2">
                  <c:v>549</c:v>
                </c:pt>
                <c:pt idx="3">
                  <c:v>617</c:v>
                </c:pt>
                <c:pt idx="4">
                  <c:v>640</c:v>
                </c:pt>
              </c:numCache>
              <c:extLst xmlns:c16r2="http://schemas.microsoft.com/office/drawing/2015/06/chart"/>
            </c:numRef>
          </c:val>
          <c:extLst xmlns:c16r2="http://schemas.microsoft.com/office/drawing/2015/06/chart">
            <c:ext xmlns:c16="http://schemas.microsoft.com/office/drawing/2014/chart" uri="{C3380CC4-5D6E-409C-BE32-E72D297353CC}">
              <c16:uniqueId val="{00000000-6FE0-4642-A093-AFEE16F49576}"/>
            </c:ext>
          </c:extLst>
        </c:ser>
        <c:ser>
          <c:idx val="1"/>
          <c:order val="1"/>
          <c:tx>
            <c:strRef>
              <c:f>'Stakeholder engmt (category)'!$B$4</c:f>
              <c:strCache>
                <c:ptCount val="1"/>
                <c:pt idx="0">
                  <c:v>International Bodies</c:v>
                </c:pt>
              </c:strCache>
            </c:strRef>
          </c:tx>
          <c:spPr>
            <a:solidFill>
              <a:srgbClr val="007680"/>
            </a:solidFill>
            <a:ln>
              <a:noFill/>
            </a:ln>
            <a:effectLst/>
          </c:spPr>
          <c:invertIfNegative val="0"/>
          <c:cat>
            <c:strRef>
              <c:f>'Stakeholder engmt (category)'!$D$2:$H$2</c:f>
              <c:strCache>
                <c:ptCount val="5"/>
                <c:pt idx="0">
                  <c:v>2015-16</c:v>
                </c:pt>
                <c:pt idx="1">
                  <c:v>2016-17</c:v>
                </c:pt>
                <c:pt idx="2">
                  <c:v>2017-18</c:v>
                </c:pt>
                <c:pt idx="3">
                  <c:v>2018-19</c:v>
                </c:pt>
                <c:pt idx="4">
                  <c:v>2019-20</c:v>
                </c:pt>
              </c:strCache>
              <c:extLst xmlns:c16r2="http://schemas.microsoft.com/office/drawing/2015/06/chart"/>
            </c:strRef>
          </c:cat>
          <c:val>
            <c:numRef>
              <c:f>'Stakeholder engmt (category)'!$D$4:$H$4</c:f>
              <c:numCache>
                <c:formatCode>General</c:formatCode>
                <c:ptCount val="5"/>
                <c:pt idx="0">
                  <c:v>24</c:v>
                </c:pt>
                <c:pt idx="1">
                  <c:v>24</c:v>
                </c:pt>
                <c:pt idx="2">
                  <c:v>37</c:v>
                </c:pt>
                <c:pt idx="3">
                  <c:v>22</c:v>
                </c:pt>
                <c:pt idx="4">
                  <c:v>22</c:v>
                </c:pt>
              </c:numCache>
              <c:extLst xmlns:c16r2="http://schemas.microsoft.com/office/drawing/2015/06/chart"/>
            </c:numRef>
          </c:val>
          <c:extLst xmlns:c16r2="http://schemas.microsoft.com/office/drawing/2015/06/chart">
            <c:ext xmlns:c16="http://schemas.microsoft.com/office/drawing/2014/chart" uri="{C3380CC4-5D6E-409C-BE32-E72D297353CC}">
              <c16:uniqueId val="{00000001-6FE0-4642-A093-AFEE16F49576}"/>
            </c:ext>
          </c:extLst>
        </c:ser>
        <c:ser>
          <c:idx val="2"/>
          <c:order val="2"/>
          <c:tx>
            <c:strRef>
              <c:f>'Stakeholder engmt (category)'!$B$5</c:f>
              <c:strCache>
                <c:ptCount val="1"/>
                <c:pt idx="0">
                  <c:v>Industry / Trade Assoc / Unions</c:v>
                </c:pt>
              </c:strCache>
            </c:strRef>
          </c:tx>
          <c:spPr>
            <a:solidFill>
              <a:srgbClr val="0097A9"/>
            </a:solidFill>
            <a:ln>
              <a:noFill/>
            </a:ln>
            <a:effectLst/>
          </c:spPr>
          <c:invertIfNegative val="0"/>
          <c:cat>
            <c:strRef>
              <c:f>'Stakeholder engmt (category)'!$D$2:$H$2</c:f>
              <c:strCache>
                <c:ptCount val="5"/>
                <c:pt idx="0">
                  <c:v>2015-16</c:v>
                </c:pt>
                <c:pt idx="1">
                  <c:v>2016-17</c:v>
                </c:pt>
                <c:pt idx="2">
                  <c:v>2017-18</c:v>
                </c:pt>
                <c:pt idx="3">
                  <c:v>2018-19</c:v>
                </c:pt>
                <c:pt idx="4">
                  <c:v>2019-20</c:v>
                </c:pt>
              </c:strCache>
              <c:extLst xmlns:c16r2="http://schemas.microsoft.com/office/drawing/2015/06/chart"/>
            </c:strRef>
          </c:cat>
          <c:val>
            <c:numRef>
              <c:f>'Stakeholder engmt (category)'!$D$5:$H$5</c:f>
              <c:numCache>
                <c:formatCode>General</c:formatCode>
                <c:ptCount val="5"/>
                <c:pt idx="0">
                  <c:v>39</c:v>
                </c:pt>
                <c:pt idx="1">
                  <c:v>39</c:v>
                </c:pt>
                <c:pt idx="2">
                  <c:v>48</c:v>
                </c:pt>
                <c:pt idx="3">
                  <c:v>55</c:v>
                </c:pt>
                <c:pt idx="4">
                  <c:v>109</c:v>
                </c:pt>
              </c:numCache>
              <c:extLst xmlns:c16r2="http://schemas.microsoft.com/office/drawing/2015/06/chart"/>
            </c:numRef>
          </c:val>
          <c:extLst xmlns:c16r2="http://schemas.microsoft.com/office/drawing/2015/06/chart">
            <c:ext xmlns:c16="http://schemas.microsoft.com/office/drawing/2014/chart" uri="{C3380CC4-5D6E-409C-BE32-E72D297353CC}">
              <c16:uniqueId val="{00000002-6FE0-4642-A093-AFEE16F49576}"/>
            </c:ext>
          </c:extLst>
        </c:ser>
        <c:ser>
          <c:idx val="3"/>
          <c:order val="3"/>
          <c:tx>
            <c:strRef>
              <c:f>'Stakeholder engmt (category)'!$B$6</c:f>
              <c:strCache>
                <c:ptCount val="1"/>
                <c:pt idx="0">
                  <c:v>Other Stakeholders</c:v>
                </c:pt>
              </c:strCache>
            </c:strRef>
          </c:tx>
          <c:spPr>
            <a:solidFill>
              <a:srgbClr val="00ABAB"/>
            </a:solidFill>
            <a:ln>
              <a:noFill/>
            </a:ln>
            <a:effectLst/>
          </c:spPr>
          <c:invertIfNegative val="0"/>
          <c:cat>
            <c:strRef>
              <c:f>'Stakeholder engmt (category)'!$D$2:$H$2</c:f>
              <c:strCache>
                <c:ptCount val="5"/>
                <c:pt idx="0">
                  <c:v>2015-16</c:v>
                </c:pt>
                <c:pt idx="1">
                  <c:v>2016-17</c:v>
                </c:pt>
                <c:pt idx="2">
                  <c:v>2017-18</c:v>
                </c:pt>
                <c:pt idx="3">
                  <c:v>2018-19</c:v>
                </c:pt>
                <c:pt idx="4">
                  <c:v>2019-20</c:v>
                </c:pt>
              </c:strCache>
              <c:extLst xmlns:c16r2="http://schemas.microsoft.com/office/drawing/2015/06/chart"/>
            </c:strRef>
          </c:cat>
          <c:val>
            <c:numRef>
              <c:f>'Stakeholder engmt (category)'!$D$6:$H$6</c:f>
              <c:numCache>
                <c:formatCode>General</c:formatCode>
                <c:ptCount val="5"/>
                <c:pt idx="0">
                  <c:v>44</c:v>
                </c:pt>
                <c:pt idx="1">
                  <c:v>52</c:v>
                </c:pt>
                <c:pt idx="2">
                  <c:v>63</c:v>
                </c:pt>
                <c:pt idx="3">
                  <c:v>73</c:v>
                </c:pt>
                <c:pt idx="4">
                  <c:v>108</c:v>
                </c:pt>
              </c:numCache>
              <c:extLst xmlns:c16r2="http://schemas.microsoft.com/office/drawing/2015/06/chart"/>
            </c:numRef>
          </c:val>
          <c:extLst xmlns:c16r2="http://schemas.microsoft.com/office/drawing/2015/06/chart">
            <c:ext xmlns:c16="http://schemas.microsoft.com/office/drawing/2014/chart" uri="{C3380CC4-5D6E-409C-BE32-E72D297353CC}">
              <c16:uniqueId val="{00000003-6FE0-4642-A093-AFEE16F49576}"/>
            </c:ext>
          </c:extLst>
        </c:ser>
        <c:ser>
          <c:idx val="5"/>
          <c:order val="5"/>
          <c:tx>
            <c:strRef>
              <c:f>'Stakeholder engmt (category)'!$B$7</c:f>
              <c:strCache>
                <c:ptCount val="1"/>
                <c:pt idx="0">
                  <c:v>State, Territory, and Federal Government</c:v>
                </c:pt>
              </c:strCache>
            </c:strRef>
          </c:tx>
          <c:spPr>
            <a:solidFill>
              <a:srgbClr val="6FC2B4"/>
            </a:solidFill>
            <a:ln>
              <a:noFill/>
            </a:ln>
            <a:effectLst/>
          </c:spPr>
          <c:invertIfNegative val="0"/>
          <c:cat>
            <c:strRef>
              <c:f>'Stakeholder engmt (category)'!$D$2:$H$2</c:f>
              <c:strCache>
                <c:ptCount val="5"/>
                <c:pt idx="0">
                  <c:v>2015-16</c:v>
                </c:pt>
                <c:pt idx="1">
                  <c:v>2016-17</c:v>
                </c:pt>
                <c:pt idx="2">
                  <c:v>2017-18</c:v>
                </c:pt>
                <c:pt idx="3">
                  <c:v>2018-19</c:v>
                </c:pt>
                <c:pt idx="4">
                  <c:v>2019-20</c:v>
                </c:pt>
              </c:strCache>
              <c:extLst xmlns:c16r2="http://schemas.microsoft.com/office/drawing/2015/06/chart"/>
            </c:strRef>
          </c:cat>
          <c:val>
            <c:numRef>
              <c:f>'Stakeholder engmt (category)'!$D$7:$H$7</c:f>
              <c:numCache>
                <c:formatCode>General</c:formatCode>
                <c:ptCount val="5"/>
                <c:pt idx="0">
                  <c:v>89</c:v>
                </c:pt>
                <c:pt idx="1">
                  <c:v>121</c:v>
                </c:pt>
                <c:pt idx="2">
                  <c:v>123</c:v>
                </c:pt>
                <c:pt idx="3">
                  <c:v>134</c:v>
                </c:pt>
                <c:pt idx="4">
                  <c:v>183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4-6FE0-4642-A093-AFEE16F49576}"/>
            </c:ext>
          </c:extLst>
        </c:ser>
        <c:dLbls>
          <c:showLegendKey val="0"/>
          <c:showVal val="0"/>
          <c:showCatName val="0"/>
          <c:showSerName val="0"/>
          <c:showPercent val="0"/>
          <c:showBubbleSize val="0"/>
        </c:dLbls>
        <c:gapWidth val="55"/>
        <c:overlap val="100"/>
        <c:axId val="983124032"/>
        <c:axId val="983123248"/>
        <c:extLst xmlns:c16r2="http://schemas.microsoft.com/office/drawing/2015/06/chart">
          <c:ext xmlns:c15="http://schemas.microsoft.com/office/drawing/2012/chart" uri="{02D57815-91ED-43cb-92C2-25804820EDAC}">
            <c15:filteredBarSeries>
              <c15:ser>
                <c:idx val="4"/>
                <c:order val="4"/>
                <c:tx>
                  <c:strRef>
                    <c:extLst xmlns:c16r2="http://schemas.microsoft.com/office/drawing/2015/06/chart">
                      <c:ext uri="{02D57815-91ED-43cb-92C2-25804820EDAC}">
                        <c15:formulaRef>
                          <c15:sqref>'Stakeholder engmt (category)'!#REF!</c15:sqref>
                        </c15:formulaRef>
                      </c:ext>
                    </c:extLst>
                    <c:strCache>
                      <c:ptCount val="1"/>
                      <c:pt idx="0">
                        <c:v>#REF!</c:v>
                      </c:pt>
                    </c:strCache>
                  </c:strRef>
                </c:tx>
                <c:spPr>
                  <a:solidFill>
                    <a:schemeClr val="accent5"/>
                  </a:solidFill>
                  <a:ln>
                    <a:noFill/>
                  </a:ln>
                  <a:effectLst/>
                </c:spPr>
                <c:invertIfNegative val="0"/>
                <c:cat>
                  <c:strRef>
                    <c:extLst xmlns:c16r2="http://schemas.microsoft.com/office/drawing/2015/06/chart">
                      <c:ext uri="{02D57815-91ED-43cb-92C2-25804820EDAC}">
                        <c15:formulaRef>
                          <c15:sqref>'Stakeholder engmt (category)'!$D$2:$H$2</c15:sqref>
                        </c15:formulaRef>
                      </c:ext>
                    </c:extLst>
                    <c:strCache>
                      <c:ptCount val="5"/>
                      <c:pt idx="0">
                        <c:v>2015-16</c:v>
                      </c:pt>
                      <c:pt idx="1">
                        <c:v>2016-17</c:v>
                      </c:pt>
                      <c:pt idx="2">
                        <c:v>2017-18</c:v>
                      </c:pt>
                      <c:pt idx="3">
                        <c:v>2018-19</c:v>
                      </c:pt>
                      <c:pt idx="4">
                        <c:v>2019-20</c:v>
                      </c:pt>
                    </c:strCache>
                  </c:strRef>
                </c:cat>
                <c:val>
                  <c:numRef>
                    <c:extLst xmlns:c16r2="http://schemas.microsoft.com/office/drawing/2015/06/chart">
                      <c:ext uri="{02D57815-91ED-43cb-92C2-25804820EDAC}">
                        <c15:formulaRef>
                          <c15:sqref>'Stakeholder engmt (category)'!#REF!</c15:sqref>
                        </c15:formulaRef>
                      </c:ext>
                    </c:extLst>
                  </c:numRef>
                </c:val>
                <c:extLst xmlns:c16r2="http://schemas.microsoft.com/office/drawing/2015/06/chart">
                  <c:ext xmlns:c16="http://schemas.microsoft.com/office/drawing/2014/chart" uri="{C3380CC4-5D6E-409C-BE32-E72D297353CC}">
                    <c16:uniqueId val="{00000005-6FE0-4642-A093-AFEE16F49576}"/>
                  </c:ext>
                </c:extLst>
              </c15:ser>
            </c15:filteredBarSeries>
          </c:ext>
        </c:extLst>
      </c:barChart>
      <c:catAx>
        <c:axId val="98312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3123248"/>
        <c:crosses val="autoZero"/>
        <c:auto val="1"/>
        <c:lblAlgn val="ctr"/>
        <c:lblOffset val="100"/>
        <c:noMultiLvlLbl val="0"/>
      </c:catAx>
      <c:valAx>
        <c:axId val="9831232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3124032"/>
        <c:crosses val="autoZero"/>
        <c:crossBetween val="between"/>
      </c:valAx>
      <c:spPr>
        <a:noFill/>
        <a:ln>
          <a:solidFill>
            <a:schemeClr val="bg2">
              <a:lumMod val="75000"/>
            </a:schemeClr>
          </a:solidFill>
        </a:ln>
        <a:effectLst/>
      </c:spPr>
    </c:plotArea>
    <c:legend>
      <c:legendPos val="r"/>
      <c:layout>
        <c:manualLayout>
          <c:xMode val="edge"/>
          <c:yMode val="edge"/>
          <c:x val="0.6558410509567133"/>
          <c:y val="4.2891445622101926E-2"/>
          <c:w val="0.33172371588266492"/>
          <c:h val="0.870840532837652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039459974093797"/>
          <c:y val="0.11935964807854742"/>
          <c:w val="0.34347331129535119"/>
          <c:h val="0.79418415030734546"/>
        </c:manualLayout>
      </c:layout>
      <c:doughnutChart>
        <c:varyColors val="1"/>
        <c:ser>
          <c:idx val="0"/>
          <c:order val="0"/>
          <c:tx>
            <c:strRef>
              <c:f>'Stakeholder engmt (topic)'!$C$2</c:f>
              <c:strCache>
                <c:ptCount val="1"/>
                <c:pt idx="0">
                  <c:v>2015-20</c:v>
                </c:pt>
              </c:strCache>
            </c:strRef>
          </c:tx>
          <c:dPt>
            <c:idx val="0"/>
            <c:bubble3D val="0"/>
            <c:spPr>
              <a:solidFill>
                <a:srgbClr val="004F59"/>
              </a:solidFill>
              <a:ln w="19050">
                <a:solidFill>
                  <a:schemeClr val="lt1"/>
                </a:solidFill>
              </a:ln>
              <a:effectLst/>
            </c:spPr>
            <c:extLst xmlns:c16r2="http://schemas.microsoft.com/office/drawing/2015/06/chart">
              <c:ext xmlns:c16="http://schemas.microsoft.com/office/drawing/2014/chart" uri="{C3380CC4-5D6E-409C-BE32-E72D297353CC}">
                <c16:uniqueId val="{00000001-C101-4DBF-B192-85533A32BAE8}"/>
              </c:ext>
            </c:extLst>
          </c:dPt>
          <c:dPt>
            <c:idx val="1"/>
            <c:bubble3D val="0"/>
            <c:spPr>
              <a:solidFill>
                <a:srgbClr val="007680"/>
              </a:solidFill>
              <a:ln w="19050">
                <a:solidFill>
                  <a:schemeClr val="lt1"/>
                </a:solidFill>
              </a:ln>
              <a:effectLst/>
            </c:spPr>
            <c:extLst xmlns:c16r2="http://schemas.microsoft.com/office/drawing/2015/06/chart">
              <c:ext xmlns:c16="http://schemas.microsoft.com/office/drawing/2014/chart" uri="{C3380CC4-5D6E-409C-BE32-E72D297353CC}">
                <c16:uniqueId val="{00000003-C101-4DBF-B192-85533A32BAE8}"/>
              </c:ext>
            </c:extLst>
          </c:dPt>
          <c:dPt>
            <c:idx val="2"/>
            <c:bubble3D val="0"/>
            <c:spPr>
              <a:solidFill>
                <a:srgbClr val="0097A9"/>
              </a:solidFill>
              <a:ln w="19050">
                <a:solidFill>
                  <a:schemeClr val="lt1"/>
                </a:solidFill>
              </a:ln>
              <a:effectLst/>
            </c:spPr>
            <c:extLst xmlns:c16r2="http://schemas.microsoft.com/office/drawing/2015/06/chart">
              <c:ext xmlns:c16="http://schemas.microsoft.com/office/drawing/2014/chart" uri="{C3380CC4-5D6E-409C-BE32-E72D297353CC}">
                <c16:uniqueId val="{00000005-C101-4DBF-B192-85533A32BAE8}"/>
              </c:ext>
            </c:extLst>
          </c:dPt>
          <c:dPt>
            <c:idx val="3"/>
            <c:bubble3D val="0"/>
            <c:spPr>
              <a:solidFill>
                <a:srgbClr val="00ABAB"/>
              </a:solidFill>
              <a:ln w="19050">
                <a:solidFill>
                  <a:schemeClr val="lt1"/>
                </a:solidFill>
              </a:ln>
              <a:effectLst/>
            </c:spPr>
            <c:extLst xmlns:c16r2="http://schemas.microsoft.com/office/drawing/2015/06/chart">
              <c:ext xmlns:c16="http://schemas.microsoft.com/office/drawing/2014/chart" uri="{C3380CC4-5D6E-409C-BE32-E72D297353CC}">
                <c16:uniqueId val="{00000007-C101-4DBF-B192-85533A32BAE8}"/>
              </c:ext>
            </c:extLst>
          </c:dPt>
          <c:dPt>
            <c:idx val="4"/>
            <c:bubble3D val="0"/>
            <c:spPr>
              <a:solidFill>
                <a:srgbClr val="6FC2B4"/>
              </a:solidFill>
              <a:ln w="19050">
                <a:solidFill>
                  <a:schemeClr val="lt1"/>
                </a:solidFill>
              </a:ln>
              <a:effectLst/>
            </c:spPr>
            <c:extLst xmlns:c16r2="http://schemas.microsoft.com/office/drawing/2015/06/chart">
              <c:ext xmlns:c16="http://schemas.microsoft.com/office/drawing/2014/chart" uri="{C3380CC4-5D6E-409C-BE32-E72D297353CC}">
                <c16:uniqueId val="{00000009-C101-4DBF-B192-85533A32BAE8}"/>
              </c:ext>
            </c:extLst>
          </c:dPt>
          <c:dPt>
            <c:idx val="5"/>
            <c:bubble3D val="0"/>
            <c:spPr>
              <a:solidFill>
                <a:srgbClr val="9DD4CF"/>
              </a:solidFill>
              <a:ln w="19050">
                <a:solidFill>
                  <a:schemeClr val="lt1"/>
                </a:solidFill>
              </a:ln>
              <a:effectLst/>
            </c:spPr>
            <c:extLst xmlns:c16r2="http://schemas.microsoft.com/office/drawing/2015/06/chart">
              <c:ext xmlns:c16="http://schemas.microsoft.com/office/drawing/2014/chart" uri="{C3380CC4-5D6E-409C-BE32-E72D297353CC}">
                <c16:uniqueId val="{0000000B-C101-4DBF-B192-85533A32BAE8}"/>
              </c:ext>
            </c:extLst>
          </c:dPt>
          <c:dPt>
            <c:idx val="6"/>
            <c:bubble3D val="0"/>
            <c:spPr>
              <a:solidFill>
                <a:schemeClr val="accent5">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C101-4DBF-B192-85533A32BAE8}"/>
              </c:ext>
            </c:extLst>
          </c:dPt>
          <c:dLbls>
            <c:dLbl>
              <c:idx val="0"/>
              <c:layout>
                <c:manualLayout>
                  <c:x val="5.6045666839647117E-2"/>
                  <c:y val="0.14212202891448175"/>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C101-4DBF-B192-85533A32BAE8}"/>
                </c:ext>
                <c:ext xmlns:c15="http://schemas.microsoft.com/office/drawing/2012/chart" uri="{CE6537A1-D6FC-4f65-9D91-7224C49458BB}"/>
              </c:extLst>
            </c:dLbl>
            <c:dLbl>
              <c:idx val="1"/>
              <c:layout>
                <c:manualLayout>
                  <c:x val="-6.850025947067985E-2"/>
                  <c:y val="3.430531732418525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C101-4DBF-B192-85533A32BAE8}"/>
                </c:ext>
                <c:ext xmlns:c15="http://schemas.microsoft.com/office/drawing/2012/chart" uri="{CE6537A1-D6FC-4f65-9D91-7224C49458BB}"/>
              </c:extLst>
            </c:dLbl>
            <c:dLbl>
              <c:idx val="2"/>
              <c:layout>
                <c:manualLayout>
                  <c:x val="-6.6424494032174361E-2"/>
                  <c:y val="6.3709875030629748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C101-4DBF-B192-85533A32BAE8}"/>
                </c:ext>
                <c:ext xmlns:c15="http://schemas.microsoft.com/office/drawing/2012/chart" uri="{CE6537A1-D6FC-4f65-9D91-7224C49458BB}"/>
              </c:extLst>
            </c:dLbl>
            <c:dLbl>
              <c:idx val="3"/>
              <c:layout>
                <c:manualLayout>
                  <c:x val="-7.2651790347690717E-2"/>
                  <c:y val="-4.9007596177407502E-3"/>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C101-4DBF-B192-85533A32BAE8}"/>
                </c:ext>
                <c:ext xmlns:c15="http://schemas.microsoft.com/office/drawing/2012/chart" uri="{CE6537A1-D6FC-4f65-9D91-7224C49458BB}"/>
              </c:extLst>
            </c:dLbl>
            <c:dLbl>
              <c:idx val="4"/>
              <c:layout>
                <c:manualLayout>
                  <c:x val="-6.6424494032174403E-2"/>
                  <c:y val="-1.4702278853222249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C101-4DBF-B192-85533A32BAE8}"/>
                </c:ext>
                <c:ext xmlns:c15="http://schemas.microsoft.com/office/drawing/2012/chart" uri="{CE6537A1-D6FC-4f65-9D91-7224C49458BB}"/>
              </c:extLst>
            </c:dLbl>
            <c:dLbl>
              <c:idx val="5"/>
              <c:layout>
                <c:manualLayout>
                  <c:x val="-8.0954852101712507E-2"/>
                  <c:y val="-8.3312913501592742E-2"/>
                </c:manualLayout>
              </c:layou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C101-4DBF-B192-85533A32BAE8}"/>
                </c:ext>
                <c:ext xmlns:c15="http://schemas.microsoft.com/office/drawing/2012/chart" uri="{CE6537A1-D6FC-4f65-9D91-7224C49458BB}"/>
              </c:extLst>
            </c:dLbl>
            <c:dLbl>
              <c:idx val="6"/>
              <c:layout>
                <c:manualLayout>
                  <c:x val="8.3030617540217885E-2"/>
                  <c:y val="-0.11215228765950692"/>
                </c:manualLayout>
              </c:layout>
              <c:numFmt formatCode="0.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D-C101-4DBF-B192-85533A32BAE8}"/>
                </c:ext>
                <c:ext xmlns:c15="http://schemas.microsoft.com/office/drawing/2012/chart" uri="{CE6537A1-D6FC-4f65-9D91-7224C49458BB}"/>
              </c:extLst>
            </c:dLbl>
            <c:numFmt formatCode="0.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'Stakeholder engmt (topic)'!$B$3:$B$9</c:f>
              <c:strCache>
                <c:ptCount val="7"/>
                <c:pt idx="0">
                  <c:v>Advice and Promotion</c:v>
                </c:pt>
                <c:pt idx="1">
                  <c:v>Assessment</c:v>
                </c:pt>
                <c:pt idx="2">
                  <c:v>Enforcement</c:v>
                </c:pt>
                <c:pt idx="3">
                  <c:v>Incident / Investigation</c:v>
                </c:pt>
                <c:pt idx="4">
                  <c:v>Inspection</c:v>
                </c:pt>
                <c:pt idx="5">
                  <c:v>Other</c:v>
                </c:pt>
                <c:pt idx="6">
                  <c:v>Safety Case Revisions</c:v>
                </c:pt>
              </c:strCache>
            </c:strRef>
          </c:cat>
          <c:val>
            <c:numRef>
              <c:f>'Stakeholder engmt (topic)'!$C$3:$C$9</c:f>
              <c:numCache>
                <c:formatCode>General</c:formatCode>
                <c:ptCount val="7"/>
                <c:pt idx="0">
                  <c:v>2180</c:v>
                </c:pt>
                <c:pt idx="1">
                  <c:v>897</c:v>
                </c:pt>
                <c:pt idx="2">
                  <c:v>136</c:v>
                </c:pt>
                <c:pt idx="3">
                  <c:v>86</c:v>
                </c:pt>
                <c:pt idx="4">
                  <c:v>767</c:v>
                </c:pt>
                <c:pt idx="5">
                  <c:v>258</c:v>
                </c:pt>
                <c:pt idx="6">
                  <c:v>1</c:v>
                </c:pt>
              </c:numCache>
            </c:numRef>
          </c:val>
          <c:extLst xmlns:c16r2="http://schemas.microsoft.com/office/drawing/2015/06/chart">
            <c:ext xmlns:c16="http://schemas.microsoft.com/office/drawing/2014/chart" uri="{C3380CC4-5D6E-409C-BE32-E72D297353CC}">
              <c16:uniqueId val="{0000000E-C101-4DBF-B192-85533A32BAE8}"/>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59496667742686804"/>
          <c:y val="2.6711563862292592E-2"/>
          <c:w val="0.40165979512031669"/>
          <c:h val="0.94196206035800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r>
              <a:rPr lang="en-AU" sz="1000"/>
              <a:t>In general, NOPSEMA's stakeholder engagement approach can be characterised as:</a:t>
            </a:r>
          </a:p>
        </c:rich>
      </c:tx>
      <c:layout>
        <c:manualLayout>
          <c:xMode val="edge"/>
          <c:yMode val="edge"/>
          <c:x val="7.0764585584634377E-3"/>
          <c:y val="2.105263157894736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autoTitleDeleted val="0"/>
    <c:plotArea>
      <c:layout>
        <c:manualLayout>
          <c:layoutTarget val="inner"/>
          <c:xMode val="edge"/>
          <c:yMode val="edge"/>
          <c:x val="0.14552535771738215"/>
          <c:y val="0.12398788212613605"/>
          <c:w val="0.81221023574122619"/>
          <c:h val="0.70668785667846568"/>
        </c:manualLayout>
      </c:layout>
      <c:barChart>
        <c:barDir val="bar"/>
        <c:grouping val="percentStacked"/>
        <c:varyColors val="0"/>
        <c:ser>
          <c:idx val="0"/>
          <c:order val="0"/>
          <c:tx>
            <c:strRef>
              <c:f>'Stk Engagement Quant'!$A$8</c:f>
              <c:strCache>
                <c:ptCount val="1"/>
                <c:pt idx="0">
                  <c:v>Strongly agree</c:v>
                </c:pt>
              </c:strCache>
            </c:strRef>
          </c:tx>
          <c:spPr>
            <a:solidFill>
              <a:srgbClr val="004F59"/>
            </a:solidFill>
            <a:ln>
              <a:noFill/>
            </a:ln>
            <a:effectLst/>
          </c:spPr>
          <c:invertIfNegative val="0"/>
          <c:cat>
            <c:strRef>
              <c:f>'Stk Engagement Quant'!$B$7:$G$7</c:f>
              <c:strCache>
                <c:ptCount val="6"/>
                <c:pt idx="0">
                  <c:v>Collaborative</c:v>
                </c:pt>
                <c:pt idx="1">
                  <c:v>Cooperative</c:v>
                </c:pt>
                <c:pt idx="2">
                  <c:v>Inclusive</c:v>
                </c:pt>
                <c:pt idx="3">
                  <c:v>Transparent</c:v>
                </c:pt>
                <c:pt idx="4">
                  <c:v>Responsive</c:v>
                </c:pt>
                <c:pt idx="5">
                  <c:v>Proactive</c:v>
                </c:pt>
              </c:strCache>
            </c:strRef>
          </c:cat>
          <c:val>
            <c:numRef>
              <c:f>'Stk Engagement Quant'!$B$8:$G$8</c:f>
              <c:numCache>
                <c:formatCode>0.0%</c:formatCode>
                <c:ptCount val="6"/>
                <c:pt idx="0">
                  <c:v>0.1111111111111111</c:v>
                </c:pt>
                <c:pt idx="1">
                  <c:v>0.1111111111111111</c:v>
                </c:pt>
                <c:pt idx="2">
                  <c:v>0.1388888888888889</c:v>
                </c:pt>
                <c:pt idx="3">
                  <c:v>0.1388888888888889</c:v>
                </c:pt>
                <c:pt idx="4">
                  <c:v>0.27777777777777779</c:v>
                </c:pt>
                <c:pt idx="5">
                  <c:v>0.1111111111111111</c:v>
                </c:pt>
              </c:numCache>
            </c:numRef>
          </c:val>
          <c:extLst xmlns:c16r2="http://schemas.microsoft.com/office/drawing/2015/06/chart">
            <c:ext xmlns:c16="http://schemas.microsoft.com/office/drawing/2014/chart" uri="{C3380CC4-5D6E-409C-BE32-E72D297353CC}">
              <c16:uniqueId val="{00000000-4B08-42CA-9693-91D36850222C}"/>
            </c:ext>
          </c:extLst>
        </c:ser>
        <c:ser>
          <c:idx val="1"/>
          <c:order val="1"/>
          <c:tx>
            <c:strRef>
              <c:f>'Stk Engagement Quant'!$A$9</c:f>
              <c:strCache>
                <c:ptCount val="1"/>
                <c:pt idx="0">
                  <c:v>Agree</c:v>
                </c:pt>
              </c:strCache>
            </c:strRef>
          </c:tx>
          <c:spPr>
            <a:solidFill>
              <a:srgbClr val="007680"/>
            </a:solidFill>
            <a:ln>
              <a:noFill/>
            </a:ln>
            <a:effectLst/>
          </c:spPr>
          <c:invertIfNegative val="0"/>
          <c:cat>
            <c:strRef>
              <c:f>'Stk Engagement Quant'!$B$7:$G$7</c:f>
              <c:strCache>
                <c:ptCount val="6"/>
                <c:pt idx="0">
                  <c:v>Collaborative</c:v>
                </c:pt>
                <c:pt idx="1">
                  <c:v>Cooperative</c:v>
                </c:pt>
                <c:pt idx="2">
                  <c:v>Inclusive</c:v>
                </c:pt>
                <c:pt idx="3">
                  <c:v>Transparent</c:v>
                </c:pt>
                <c:pt idx="4">
                  <c:v>Responsive</c:v>
                </c:pt>
                <c:pt idx="5">
                  <c:v>Proactive</c:v>
                </c:pt>
              </c:strCache>
            </c:strRef>
          </c:cat>
          <c:val>
            <c:numRef>
              <c:f>'Stk Engagement Quant'!$B$9:$G$9</c:f>
              <c:numCache>
                <c:formatCode>0.0%</c:formatCode>
                <c:ptCount val="6"/>
                <c:pt idx="0">
                  <c:v>0.3611111111111111</c:v>
                </c:pt>
                <c:pt idx="1">
                  <c:v>0.27777777777777779</c:v>
                </c:pt>
                <c:pt idx="2">
                  <c:v>0.25</c:v>
                </c:pt>
                <c:pt idx="3">
                  <c:v>0.19444444444444445</c:v>
                </c:pt>
                <c:pt idx="4">
                  <c:v>0.3888888888888889</c:v>
                </c:pt>
                <c:pt idx="5">
                  <c:v>0.27777777777777779</c:v>
                </c:pt>
              </c:numCache>
            </c:numRef>
          </c:val>
          <c:extLst xmlns:c16r2="http://schemas.microsoft.com/office/drawing/2015/06/chart">
            <c:ext xmlns:c16="http://schemas.microsoft.com/office/drawing/2014/chart" uri="{C3380CC4-5D6E-409C-BE32-E72D297353CC}">
              <c16:uniqueId val="{00000001-4B08-42CA-9693-91D36850222C}"/>
            </c:ext>
          </c:extLst>
        </c:ser>
        <c:ser>
          <c:idx val="2"/>
          <c:order val="2"/>
          <c:tx>
            <c:strRef>
              <c:f>'Stk Engagement Quant'!$A$10</c:f>
              <c:strCache>
                <c:ptCount val="1"/>
                <c:pt idx="0">
                  <c:v>Slightly agree</c:v>
                </c:pt>
              </c:strCache>
            </c:strRef>
          </c:tx>
          <c:spPr>
            <a:solidFill>
              <a:srgbClr val="0097A9"/>
            </a:solidFill>
            <a:ln>
              <a:noFill/>
            </a:ln>
            <a:effectLst/>
          </c:spPr>
          <c:invertIfNegative val="0"/>
          <c:cat>
            <c:strRef>
              <c:f>'Stk Engagement Quant'!$B$7:$G$7</c:f>
              <c:strCache>
                <c:ptCount val="6"/>
                <c:pt idx="0">
                  <c:v>Collaborative</c:v>
                </c:pt>
                <c:pt idx="1">
                  <c:v>Cooperative</c:v>
                </c:pt>
                <c:pt idx="2">
                  <c:v>Inclusive</c:v>
                </c:pt>
                <c:pt idx="3">
                  <c:v>Transparent</c:v>
                </c:pt>
                <c:pt idx="4">
                  <c:v>Responsive</c:v>
                </c:pt>
                <c:pt idx="5">
                  <c:v>Proactive</c:v>
                </c:pt>
              </c:strCache>
            </c:strRef>
          </c:cat>
          <c:val>
            <c:numRef>
              <c:f>'Stk Engagement Quant'!$B$10:$G$10</c:f>
              <c:numCache>
                <c:formatCode>0.0%</c:formatCode>
                <c:ptCount val="6"/>
                <c:pt idx="0">
                  <c:v>0.25</c:v>
                </c:pt>
                <c:pt idx="1">
                  <c:v>0.25</c:v>
                </c:pt>
                <c:pt idx="2">
                  <c:v>0.22222222222222221</c:v>
                </c:pt>
                <c:pt idx="3">
                  <c:v>0.44444444444444442</c:v>
                </c:pt>
                <c:pt idx="4">
                  <c:v>0.22222222222222221</c:v>
                </c:pt>
                <c:pt idx="5">
                  <c:v>0.44444444444444442</c:v>
                </c:pt>
              </c:numCache>
            </c:numRef>
          </c:val>
          <c:extLst xmlns:c16r2="http://schemas.microsoft.com/office/drawing/2015/06/chart">
            <c:ext xmlns:c16="http://schemas.microsoft.com/office/drawing/2014/chart" uri="{C3380CC4-5D6E-409C-BE32-E72D297353CC}">
              <c16:uniqueId val="{00000002-4B08-42CA-9693-91D36850222C}"/>
            </c:ext>
          </c:extLst>
        </c:ser>
        <c:ser>
          <c:idx val="3"/>
          <c:order val="3"/>
          <c:tx>
            <c:strRef>
              <c:f>'Stk Engagement Quant'!$A$11</c:f>
              <c:strCache>
                <c:ptCount val="1"/>
                <c:pt idx="0">
                  <c:v>Slightly disagree</c:v>
                </c:pt>
              </c:strCache>
            </c:strRef>
          </c:tx>
          <c:spPr>
            <a:solidFill>
              <a:srgbClr val="00ABAB"/>
            </a:solidFill>
            <a:ln>
              <a:noFill/>
            </a:ln>
            <a:effectLst/>
          </c:spPr>
          <c:invertIfNegative val="0"/>
          <c:cat>
            <c:strRef>
              <c:f>'Stk Engagement Quant'!$B$7:$G$7</c:f>
              <c:strCache>
                <c:ptCount val="6"/>
                <c:pt idx="0">
                  <c:v>Collaborative</c:v>
                </c:pt>
                <c:pt idx="1">
                  <c:v>Cooperative</c:v>
                </c:pt>
                <c:pt idx="2">
                  <c:v>Inclusive</c:v>
                </c:pt>
                <c:pt idx="3">
                  <c:v>Transparent</c:v>
                </c:pt>
                <c:pt idx="4">
                  <c:v>Responsive</c:v>
                </c:pt>
                <c:pt idx="5">
                  <c:v>Proactive</c:v>
                </c:pt>
              </c:strCache>
            </c:strRef>
          </c:cat>
          <c:val>
            <c:numRef>
              <c:f>'Stk Engagement Quant'!$B$11:$G$11</c:f>
              <c:numCache>
                <c:formatCode>0.0%</c:formatCode>
                <c:ptCount val="6"/>
                <c:pt idx="0">
                  <c:v>0.1388888888888889</c:v>
                </c:pt>
                <c:pt idx="1">
                  <c:v>0.22222222222222221</c:v>
                </c:pt>
                <c:pt idx="2">
                  <c:v>0.33333333333333331</c:v>
                </c:pt>
                <c:pt idx="3">
                  <c:v>0.1388888888888889</c:v>
                </c:pt>
                <c:pt idx="4">
                  <c:v>8.3333333333333329E-2</c:v>
                </c:pt>
                <c:pt idx="5">
                  <c:v>8.3333333333333329E-2</c:v>
                </c:pt>
              </c:numCache>
            </c:numRef>
          </c:val>
          <c:extLst xmlns:c16r2="http://schemas.microsoft.com/office/drawing/2015/06/chart">
            <c:ext xmlns:c16="http://schemas.microsoft.com/office/drawing/2014/chart" uri="{C3380CC4-5D6E-409C-BE32-E72D297353CC}">
              <c16:uniqueId val="{00000003-4B08-42CA-9693-91D36850222C}"/>
            </c:ext>
          </c:extLst>
        </c:ser>
        <c:ser>
          <c:idx val="4"/>
          <c:order val="4"/>
          <c:tx>
            <c:strRef>
              <c:f>'Stk Engagement Quant'!$A$12</c:f>
              <c:strCache>
                <c:ptCount val="1"/>
                <c:pt idx="0">
                  <c:v>Disagree</c:v>
                </c:pt>
              </c:strCache>
            </c:strRef>
          </c:tx>
          <c:spPr>
            <a:solidFill>
              <a:srgbClr val="6FC2B4"/>
            </a:solidFill>
            <a:ln>
              <a:noFill/>
            </a:ln>
            <a:effectLst/>
          </c:spPr>
          <c:invertIfNegative val="0"/>
          <c:cat>
            <c:strRef>
              <c:f>'Stk Engagement Quant'!$B$7:$G$7</c:f>
              <c:strCache>
                <c:ptCount val="6"/>
                <c:pt idx="0">
                  <c:v>Collaborative</c:v>
                </c:pt>
                <c:pt idx="1">
                  <c:v>Cooperative</c:v>
                </c:pt>
                <c:pt idx="2">
                  <c:v>Inclusive</c:v>
                </c:pt>
                <c:pt idx="3">
                  <c:v>Transparent</c:v>
                </c:pt>
                <c:pt idx="4">
                  <c:v>Responsive</c:v>
                </c:pt>
                <c:pt idx="5">
                  <c:v>Proactive</c:v>
                </c:pt>
              </c:strCache>
            </c:strRef>
          </c:cat>
          <c:val>
            <c:numRef>
              <c:f>'Stk Engagement Quant'!$B$12:$G$12</c:f>
              <c:numCache>
                <c:formatCode>0.0%</c:formatCode>
                <c:ptCount val="6"/>
                <c:pt idx="0">
                  <c:v>8.3333333333333329E-2</c:v>
                </c:pt>
                <c:pt idx="1">
                  <c:v>5.5555555555555552E-2</c:v>
                </c:pt>
                <c:pt idx="2">
                  <c:v>2.7777777777777776E-2</c:v>
                </c:pt>
                <c:pt idx="3">
                  <c:v>5.5555555555555552E-2</c:v>
                </c:pt>
                <c:pt idx="4">
                  <c:v>2.7777777777777776E-2</c:v>
                </c:pt>
                <c:pt idx="5">
                  <c:v>5.5555555555555552E-2</c:v>
                </c:pt>
              </c:numCache>
            </c:numRef>
          </c:val>
          <c:extLst xmlns:c16r2="http://schemas.microsoft.com/office/drawing/2015/06/chart">
            <c:ext xmlns:c16="http://schemas.microsoft.com/office/drawing/2014/chart" uri="{C3380CC4-5D6E-409C-BE32-E72D297353CC}">
              <c16:uniqueId val="{00000004-4B08-42CA-9693-91D36850222C}"/>
            </c:ext>
          </c:extLst>
        </c:ser>
        <c:ser>
          <c:idx val="5"/>
          <c:order val="5"/>
          <c:tx>
            <c:strRef>
              <c:f>'Stk Engagement Quant'!$A$13</c:f>
              <c:strCache>
                <c:ptCount val="1"/>
                <c:pt idx="0">
                  <c:v>Strongly disagree</c:v>
                </c:pt>
              </c:strCache>
            </c:strRef>
          </c:tx>
          <c:spPr>
            <a:solidFill>
              <a:srgbClr val="9DD4CF"/>
            </a:solidFill>
            <a:ln>
              <a:noFill/>
            </a:ln>
            <a:effectLst/>
          </c:spPr>
          <c:invertIfNegative val="0"/>
          <c:cat>
            <c:strRef>
              <c:f>'Stk Engagement Quant'!$B$7:$G$7</c:f>
              <c:strCache>
                <c:ptCount val="6"/>
                <c:pt idx="0">
                  <c:v>Collaborative</c:v>
                </c:pt>
                <c:pt idx="1">
                  <c:v>Cooperative</c:v>
                </c:pt>
                <c:pt idx="2">
                  <c:v>Inclusive</c:v>
                </c:pt>
                <c:pt idx="3">
                  <c:v>Transparent</c:v>
                </c:pt>
                <c:pt idx="4">
                  <c:v>Responsive</c:v>
                </c:pt>
                <c:pt idx="5">
                  <c:v>Proactive</c:v>
                </c:pt>
              </c:strCache>
            </c:strRef>
          </c:cat>
          <c:val>
            <c:numRef>
              <c:f>'Stk Engagement Quant'!$B$13:$G$13</c:f>
              <c:numCache>
                <c:formatCode>0.0%</c:formatCode>
                <c:ptCount val="6"/>
                <c:pt idx="0">
                  <c:v>2.7777777777777776E-2</c:v>
                </c:pt>
                <c:pt idx="1">
                  <c:v>8.3333333333333329E-2</c:v>
                </c:pt>
                <c:pt idx="2">
                  <c:v>2.7777777777777776E-2</c:v>
                </c:pt>
                <c:pt idx="3">
                  <c:v>2.7777777777777776E-2</c:v>
                </c:pt>
                <c:pt idx="4">
                  <c:v>0</c:v>
                </c:pt>
                <c:pt idx="5">
                  <c:v>2.7777777777777776E-2</c:v>
                </c:pt>
              </c:numCache>
            </c:numRef>
          </c:val>
          <c:extLst xmlns:c16r2="http://schemas.microsoft.com/office/drawing/2015/06/chart">
            <c:ext xmlns:c16="http://schemas.microsoft.com/office/drawing/2014/chart" uri="{C3380CC4-5D6E-409C-BE32-E72D297353CC}">
              <c16:uniqueId val="{00000005-4B08-42CA-9693-91D36850222C}"/>
            </c:ext>
          </c:extLst>
        </c:ser>
        <c:dLbls>
          <c:showLegendKey val="0"/>
          <c:showVal val="0"/>
          <c:showCatName val="0"/>
          <c:showSerName val="0"/>
          <c:showPercent val="0"/>
          <c:showBubbleSize val="0"/>
        </c:dLbls>
        <c:gapWidth val="150"/>
        <c:overlap val="100"/>
        <c:axId val="731613072"/>
        <c:axId val="806228064"/>
      </c:barChart>
      <c:catAx>
        <c:axId val="731613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06228064"/>
        <c:crosses val="autoZero"/>
        <c:auto val="1"/>
        <c:lblAlgn val="ctr"/>
        <c:lblOffset val="100"/>
        <c:noMultiLvlLbl val="0"/>
      </c:catAx>
      <c:valAx>
        <c:axId val="80622806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731613072"/>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r>
              <a:rPr lang="en-AU" sz="1000"/>
              <a:t>In general, NOPSEMA's communications to your organisation are:</a:t>
            </a:r>
          </a:p>
        </c:rich>
      </c:tx>
      <c:layout>
        <c:manualLayout>
          <c:xMode val="edge"/>
          <c:yMode val="edge"/>
          <c:x val="7.0765835799187519E-3"/>
          <c:y val="2.1559468199784406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autoTitleDeleted val="0"/>
    <c:plotArea>
      <c:layout>
        <c:manualLayout>
          <c:layoutTarget val="inner"/>
          <c:xMode val="edge"/>
          <c:yMode val="edge"/>
          <c:x val="0.13780724758901747"/>
          <c:y val="9.4174699596255115E-2"/>
          <c:w val="0.79696283341611274"/>
          <c:h val="0.74986970951304466"/>
        </c:manualLayout>
      </c:layout>
      <c:barChart>
        <c:barDir val="bar"/>
        <c:grouping val="percentStacked"/>
        <c:varyColors val="0"/>
        <c:ser>
          <c:idx val="0"/>
          <c:order val="0"/>
          <c:tx>
            <c:strRef>
              <c:f>'Comms Quant'!$A$8</c:f>
              <c:strCache>
                <c:ptCount val="1"/>
                <c:pt idx="0">
                  <c:v>Strongly agree</c:v>
                </c:pt>
              </c:strCache>
            </c:strRef>
          </c:tx>
          <c:spPr>
            <a:solidFill>
              <a:srgbClr val="004F59"/>
            </a:solidFill>
            <a:ln>
              <a:noFill/>
            </a:ln>
            <a:effectLst/>
          </c:spPr>
          <c:invertIfNegative val="0"/>
          <c:cat>
            <c:strRef>
              <c:f>'Comms Quant'!$B$7:$F$7</c:f>
              <c:strCache>
                <c:ptCount val="5"/>
                <c:pt idx="0">
                  <c:v>Relevant</c:v>
                </c:pt>
                <c:pt idx="1">
                  <c:v>Clear</c:v>
                </c:pt>
                <c:pt idx="2">
                  <c:v>Timely</c:v>
                </c:pt>
                <c:pt idx="3">
                  <c:v>Useful</c:v>
                </c:pt>
                <c:pt idx="4">
                  <c:v>Accurate</c:v>
                </c:pt>
              </c:strCache>
            </c:strRef>
          </c:cat>
          <c:val>
            <c:numRef>
              <c:f>'Comms Quant'!$B$8:$F$8</c:f>
              <c:numCache>
                <c:formatCode>0.0%</c:formatCode>
                <c:ptCount val="5"/>
                <c:pt idx="0">
                  <c:v>0.19444444444444445</c:v>
                </c:pt>
                <c:pt idx="1">
                  <c:v>0.19444444444444445</c:v>
                </c:pt>
                <c:pt idx="2">
                  <c:v>0.16666666666666666</c:v>
                </c:pt>
                <c:pt idx="3">
                  <c:v>0.1388888888888889</c:v>
                </c:pt>
                <c:pt idx="4">
                  <c:v>0.1388888888888889</c:v>
                </c:pt>
              </c:numCache>
            </c:numRef>
          </c:val>
          <c:extLst xmlns:c16r2="http://schemas.microsoft.com/office/drawing/2015/06/chart">
            <c:ext xmlns:c16="http://schemas.microsoft.com/office/drawing/2014/chart" uri="{C3380CC4-5D6E-409C-BE32-E72D297353CC}">
              <c16:uniqueId val="{00000000-5C74-4D40-9DBA-9B9FB315C8FB}"/>
            </c:ext>
          </c:extLst>
        </c:ser>
        <c:ser>
          <c:idx val="1"/>
          <c:order val="1"/>
          <c:tx>
            <c:strRef>
              <c:f>'Comms Quant'!$A$9</c:f>
              <c:strCache>
                <c:ptCount val="1"/>
                <c:pt idx="0">
                  <c:v>Agree</c:v>
                </c:pt>
              </c:strCache>
            </c:strRef>
          </c:tx>
          <c:spPr>
            <a:solidFill>
              <a:srgbClr val="007680"/>
            </a:solidFill>
            <a:ln>
              <a:noFill/>
            </a:ln>
            <a:effectLst/>
          </c:spPr>
          <c:invertIfNegative val="0"/>
          <c:cat>
            <c:strRef>
              <c:f>'Comms Quant'!$B$7:$F$7</c:f>
              <c:strCache>
                <c:ptCount val="5"/>
                <c:pt idx="0">
                  <c:v>Relevant</c:v>
                </c:pt>
                <c:pt idx="1">
                  <c:v>Clear</c:v>
                </c:pt>
                <c:pt idx="2">
                  <c:v>Timely</c:v>
                </c:pt>
                <c:pt idx="3">
                  <c:v>Useful</c:v>
                </c:pt>
                <c:pt idx="4">
                  <c:v>Accurate</c:v>
                </c:pt>
              </c:strCache>
            </c:strRef>
          </c:cat>
          <c:val>
            <c:numRef>
              <c:f>'Comms Quant'!$B$9:$F$9</c:f>
              <c:numCache>
                <c:formatCode>0.0%</c:formatCode>
                <c:ptCount val="5"/>
                <c:pt idx="0">
                  <c:v>0.55555555555555558</c:v>
                </c:pt>
                <c:pt idx="1">
                  <c:v>0.3888888888888889</c:v>
                </c:pt>
                <c:pt idx="2">
                  <c:v>0.5</c:v>
                </c:pt>
                <c:pt idx="3">
                  <c:v>0.47222222222222221</c:v>
                </c:pt>
                <c:pt idx="4">
                  <c:v>0.55555555555555558</c:v>
                </c:pt>
              </c:numCache>
            </c:numRef>
          </c:val>
          <c:extLst xmlns:c16r2="http://schemas.microsoft.com/office/drawing/2015/06/chart">
            <c:ext xmlns:c16="http://schemas.microsoft.com/office/drawing/2014/chart" uri="{C3380CC4-5D6E-409C-BE32-E72D297353CC}">
              <c16:uniqueId val="{00000001-5C74-4D40-9DBA-9B9FB315C8FB}"/>
            </c:ext>
          </c:extLst>
        </c:ser>
        <c:ser>
          <c:idx val="2"/>
          <c:order val="2"/>
          <c:tx>
            <c:strRef>
              <c:f>'Comms Quant'!$A$10</c:f>
              <c:strCache>
                <c:ptCount val="1"/>
                <c:pt idx="0">
                  <c:v>Slightly agree</c:v>
                </c:pt>
              </c:strCache>
            </c:strRef>
          </c:tx>
          <c:spPr>
            <a:solidFill>
              <a:srgbClr val="0097A9"/>
            </a:solidFill>
            <a:ln>
              <a:noFill/>
            </a:ln>
            <a:effectLst/>
          </c:spPr>
          <c:invertIfNegative val="0"/>
          <c:cat>
            <c:strRef>
              <c:f>'Comms Quant'!$B$7:$F$7</c:f>
              <c:strCache>
                <c:ptCount val="5"/>
                <c:pt idx="0">
                  <c:v>Relevant</c:v>
                </c:pt>
                <c:pt idx="1">
                  <c:v>Clear</c:v>
                </c:pt>
                <c:pt idx="2">
                  <c:v>Timely</c:v>
                </c:pt>
                <c:pt idx="3">
                  <c:v>Useful</c:v>
                </c:pt>
                <c:pt idx="4">
                  <c:v>Accurate</c:v>
                </c:pt>
              </c:strCache>
            </c:strRef>
          </c:cat>
          <c:val>
            <c:numRef>
              <c:f>'Comms Quant'!$B$10:$F$10</c:f>
              <c:numCache>
                <c:formatCode>0.0%</c:formatCode>
                <c:ptCount val="5"/>
                <c:pt idx="0">
                  <c:v>0.19444444444444445</c:v>
                </c:pt>
                <c:pt idx="1">
                  <c:v>0.19444444444444445</c:v>
                </c:pt>
                <c:pt idx="2">
                  <c:v>0.25</c:v>
                </c:pt>
                <c:pt idx="3">
                  <c:v>0.19444444444444445</c:v>
                </c:pt>
                <c:pt idx="4">
                  <c:v>0.1111111111111111</c:v>
                </c:pt>
              </c:numCache>
            </c:numRef>
          </c:val>
          <c:extLst xmlns:c16r2="http://schemas.microsoft.com/office/drawing/2015/06/chart">
            <c:ext xmlns:c16="http://schemas.microsoft.com/office/drawing/2014/chart" uri="{C3380CC4-5D6E-409C-BE32-E72D297353CC}">
              <c16:uniqueId val="{00000002-5C74-4D40-9DBA-9B9FB315C8FB}"/>
            </c:ext>
          </c:extLst>
        </c:ser>
        <c:ser>
          <c:idx val="3"/>
          <c:order val="3"/>
          <c:tx>
            <c:strRef>
              <c:f>'Comms Quant'!$A$11</c:f>
              <c:strCache>
                <c:ptCount val="1"/>
                <c:pt idx="0">
                  <c:v>Slightly disagree</c:v>
                </c:pt>
              </c:strCache>
            </c:strRef>
          </c:tx>
          <c:spPr>
            <a:solidFill>
              <a:srgbClr val="00ABAB"/>
            </a:solidFill>
            <a:ln>
              <a:noFill/>
            </a:ln>
            <a:effectLst/>
          </c:spPr>
          <c:invertIfNegative val="0"/>
          <c:cat>
            <c:strRef>
              <c:f>'Comms Quant'!$B$7:$F$7</c:f>
              <c:strCache>
                <c:ptCount val="5"/>
                <c:pt idx="0">
                  <c:v>Relevant</c:v>
                </c:pt>
                <c:pt idx="1">
                  <c:v>Clear</c:v>
                </c:pt>
                <c:pt idx="2">
                  <c:v>Timely</c:v>
                </c:pt>
                <c:pt idx="3">
                  <c:v>Useful</c:v>
                </c:pt>
                <c:pt idx="4">
                  <c:v>Accurate</c:v>
                </c:pt>
              </c:strCache>
            </c:strRef>
          </c:cat>
          <c:val>
            <c:numRef>
              <c:f>'Comms Quant'!$B$11:$F$11</c:f>
              <c:numCache>
                <c:formatCode>0.0%</c:formatCode>
                <c:ptCount val="5"/>
                <c:pt idx="0">
                  <c:v>0</c:v>
                </c:pt>
                <c:pt idx="1">
                  <c:v>2.7777777777777776E-2</c:v>
                </c:pt>
                <c:pt idx="2">
                  <c:v>5.5555555555555552E-2</c:v>
                </c:pt>
                <c:pt idx="3">
                  <c:v>0.1111111111111111</c:v>
                </c:pt>
                <c:pt idx="4">
                  <c:v>8.3333333333333329E-2</c:v>
                </c:pt>
              </c:numCache>
            </c:numRef>
          </c:val>
          <c:extLst xmlns:c16r2="http://schemas.microsoft.com/office/drawing/2015/06/chart">
            <c:ext xmlns:c16="http://schemas.microsoft.com/office/drawing/2014/chart" uri="{C3380CC4-5D6E-409C-BE32-E72D297353CC}">
              <c16:uniqueId val="{00000003-5C74-4D40-9DBA-9B9FB315C8FB}"/>
            </c:ext>
          </c:extLst>
        </c:ser>
        <c:ser>
          <c:idx val="4"/>
          <c:order val="4"/>
          <c:tx>
            <c:strRef>
              <c:f>'Comms Quant'!$A$12</c:f>
              <c:strCache>
                <c:ptCount val="1"/>
                <c:pt idx="0">
                  <c:v>Disagree</c:v>
                </c:pt>
              </c:strCache>
            </c:strRef>
          </c:tx>
          <c:spPr>
            <a:solidFill>
              <a:srgbClr val="6FC2B4"/>
            </a:solidFill>
            <a:ln>
              <a:noFill/>
            </a:ln>
            <a:effectLst/>
          </c:spPr>
          <c:invertIfNegative val="0"/>
          <c:cat>
            <c:strRef>
              <c:f>'Comms Quant'!$B$7:$F$7</c:f>
              <c:strCache>
                <c:ptCount val="5"/>
                <c:pt idx="0">
                  <c:v>Relevant</c:v>
                </c:pt>
                <c:pt idx="1">
                  <c:v>Clear</c:v>
                </c:pt>
                <c:pt idx="2">
                  <c:v>Timely</c:v>
                </c:pt>
                <c:pt idx="3">
                  <c:v>Useful</c:v>
                </c:pt>
                <c:pt idx="4">
                  <c:v>Accurate</c:v>
                </c:pt>
              </c:strCache>
            </c:strRef>
          </c:cat>
          <c:val>
            <c:numRef>
              <c:f>'Comms Quant'!$B$12:$F$12</c:f>
              <c:numCache>
                <c:formatCode>0.0%</c:formatCode>
                <c:ptCount val="5"/>
                <c:pt idx="0">
                  <c:v>2.7777777777777776E-2</c:v>
                </c:pt>
                <c:pt idx="1">
                  <c:v>0.1111111111111111</c:v>
                </c:pt>
                <c:pt idx="2">
                  <c:v>2.7777777777777776E-2</c:v>
                </c:pt>
                <c:pt idx="3">
                  <c:v>5.5555555555555552E-2</c:v>
                </c:pt>
                <c:pt idx="4">
                  <c:v>2.7777777777777776E-2</c:v>
                </c:pt>
              </c:numCache>
            </c:numRef>
          </c:val>
          <c:extLst xmlns:c16r2="http://schemas.microsoft.com/office/drawing/2015/06/chart">
            <c:ext xmlns:c16="http://schemas.microsoft.com/office/drawing/2014/chart" uri="{C3380CC4-5D6E-409C-BE32-E72D297353CC}">
              <c16:uniqueId val="{00000004-5C74-4D40-9DBA-9B9FB315C8FB}"/>
            </c:ext>
          </c:extLst>
        </c:ser>
        <c:ser>
          <c:idx val="5"/>
          <c:order val="5"/>
          <c:tx>
            <c:strRef>
              <c:f>'Comms Quant'!$A$13</c:f>
              <c:strCache>
                <c:ptCount val="1"/>
                <c:pt idx="0">
                  <c:v>Strongly disagree</c:v>
                </c:pt>
              </c:strCache>
            </c:strRef>
          </c:tx>
          <c:spPr>
            <a:solidFill>
              <a:srgbClr val="9DD4CF"/>
            </a:solidFill>
            <a:ln>
              <a:noFill/>
            </a:ln>
            <a:effectLst/>
          </c:spPr>
          <c:invertIfNegative val="0"/>
          <c:cat>
            <c:strRef>
              <c:f>'Comms Quant'!$B$7:$F$7</c:f>
              <c:strCache>
                <c:ptCount val="5"/>
                <c:pt idx="0">
                  <c:v>Relevant</c:v>
                </c:pt>
                <c:pt idx="1">
                  <c:v>Clear</c:v>
                </c:pt>
                <c:pt idx="2">
                  <c:v>Timely</c:v>
                </c:pt>
                <c:pt idx="3">
                  <c:v>Useful</c:v>
                </c:pt>
                <c:pt idx="4">
                  <c:v>Accurate</c:v>
                </c:pt>
              </c:strCache>
            </c:strRef>
          </c:cat>
          <c:val>
            <c:numRef>
              <c:f>'Comms Quant'!$B$13:$F$13</c:f>
              <c:numCache>
                <c:formatCode>0.0%</c:formatCode>
                <c:ptCount val="5"/>
                <c:pt idx="0">
                  <c:v>0</c:v>
                </c:pt>
                <c:pt idx="1">
                  <c:v>8.3333333333333329E-2</c:v>
                </c:pt>
                <c:pt idx="2">
                  <c:v>0</c:v>
                </c:pt>
                <c:pt idx="3">
                  <c:v>2.7777777777777776E-2</c:v>
                </c:pt>
                <c:pt idx="4">
                  <c:v>2.7777777777777776E-2</c:v>
                </c:pt>
              </c:numCache>
            </c:numRef>
          </c:val>
          <c:extLst xmlns:c16r2="http://schemas.microsoft.com/office/drawing/2015/06/chart">
            <c:ext xmlns:c16="http://schemas.microsoft.com/office/drawing/2014/chart" uri="{C3380CC4-5D6E-409C-BE32-E72D297353CC}">
              <c16:uniqueId val="{00000005-5C74-4D40-9DBA-9B9FB315C8FB}"/>
            </c:ext>
          </c:extLst>
        </c:ser>
        <c:dLbls>
          <c:showLegendKey val="0"/>
          <c:showVal val="0"/>
          <c:showCatName val="0"/>
          <c:showSerName val="0"/>
          <c:showPercent val="0"/>
          <c:showBubbleSize val="0"/>
        </c:dLbls>
        <c:gapWidth val="150"/>
        <c:overlap val="100"/>
        <c:axId val="989282480"/>
        <c:axId val="989283656"/>
      </c:barChart>
      <c:catAx>
        <c:axId val="989282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9283656"/>
        <c:crosses val="autoZero"/>
        <c:auto val="1"/>
        <c:lblAlgn val="ctr"/>
        <c:lblOffset val="100"/>
        <c:noMultiLvlLbl val="0"/>
      </c:catAx>
      <c:valAx>
        <c:axId val="98928365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9282480"/>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40100005747457"/>
          <c:y val="4.6550994498518829E-2"/>
          <c:w val="0.85029567471949219"/>
          <c:h val="0.75847064821510091"/>
        </c:manualLayout>
      </c:layout>
      <c:barChart>
        <c:barDir val="col"/>
        <c:grouping val="stacked"/>
        <c:varyColors val="0"/>
        <c:ser>
          <c:idx val="0"/>
          <c:order val="0"/>
          <c:tx>
            <c:strRef>
              <c:f>Sheet2!$B$8</c:f>
              <c:strCache>
                <c:ptCount val="1"/>
                <c:pt idx="0">
                  <c:v>Employee Benefits</c:v>
                </c:pt>
              </c:strCache>
            </c:strRef>
          </c:tx>
          <c:spPr>
            <a:solidFill>
              <a:srgbClr val="004F59"/>
            </a:solidFill>
            <a:ln>
              <a:noFill/>
            </a:ln>
            <a:effectLst/>
          </c:spPr>
          <c:invertIfNegative val="0"/>
          <c:cat>
            <c:strRef>
              <c:f>Sheet2!$F$7:$K$7</c:f>
              <c:strCache>
                <c:ptCount val="6"/>
                <c:pt idx="0">
                  <c:v>2014-15</c:v>
                </c:pt>
                <c:pt idx="1">
                  <c:v>2015-16</c:v>
                </c:pt>
                <c:pt idx="2">
                  <c:v>2016-17</c:v>
                </c:pt>
                <c:pt idx="3">
                  <c:v>2017-18</c:v>
                </c:pt>
                <c:pt idx="4">
                  <c:v>2018-19</c:v>
                </c:pt>
                <c:pt idx="5">
                  <c:v>2019-20</c:v>
                </c:pt>
              </c:strCache>
            </c:strRef>
          </c:cat>
          <c:val>
            <c:numRef>
              <c:f>Sheet2!$F$8:$K$8</c:f>
              <c:numCache>
                <c:formatCode>#,##0</c:formatCode>
                <c:ptCount val="6"/>
                <c:pt idx="0">
                  <c:v>23149</c:v>
                </c:pt>
                <c:pt idx="1">
                  <c:v>24661</c:v>
                </c:pt>
                <c:pt idx="2">
                  <c:v>23491</c:v>
                </c:pt>
                <c:pt idx="3">
                  <c:v>24500</c:v>
                </c:pt>
                <c:pt idx="4">
                  <c:v>26165</c:v>
                </c:pt>
                <c:pt idx="5">
                  <c:v>27941</c:v>
                </c:pt>
              </c:numCache>
            </c:numRef>
          </c:val>
          <c:extLst xmlns:c16r2="http://schemas.microsoft.com/office/drawing/2015/06/chart">
            <c:ext xmlns:c16="http://schemas.microsoft.com/office/drawing/2014/chart" uri="{C3380CC4-5D6E-409C-BE32-E72D297353CC}">
              <c16:uniqueId val="{00000000-BFB4-41D8-9476-DCA08DE18BC3}"/>
            </c:ext>
          </c:extLst>
        </c:ser>
        <c:ser>
          <c:idx val="1"/>
          <c:order val="1"/>
          <c:tx>
            <c:strRef>
              <c:f>Sheet2!$B$9</c:f>
              <c:strCache>
                <c:ptCount val="1"/>
                <c:pt idx="0">
                  <c:v>Suppliers</c:v>
                </c:pt>
              </c:strCache>
            </c:strRef>
          </c:tx>
          <c:spPr>
            <a:solidFill>
              <a:srgbClr val="0097A9"/>
            </a:solidFill>
            <a:ln>
              <a:noFill/>
            </a:ln>
            <a:effectLst/>
          </c:spPr>
          <c:invertIfNegative val="0"/>
          <c:cat>
            <c:strRef>
              <c:f>Sheet2!$F$7:$K$7</c:f>
              <c:strCache>
                <c:ptCount val="6"/>
                <c:pt idx="0">
                  <c:v>2014-15</c:v>
                </c:pt>
                <c:pt idx="1">
                  <c:v>2015-16</c:v>
                </c:pt>
                <c:pt idx="2">
                  <c:v>2016-17</c:v>
                </c:pt>
                <c:pt idx="3">
                  <c:v>2017-18</c:v>
                </c:pt>
                <c:pt idx="4">
                  <c:v>2018-19</c:v>
                </c:pt>
                <c:pt idx="5">
                  <c:v>2019-20</c:v>
                </c:pt>
              </c:strCache>
            </c:strRef>
          </c:cat>
          <c:val>
            <c:numRef>
              <c:f>Sheet2!$F$9:$K$9</c:f>
              <c:numCache>
                <c:formatCode>#,##0</c:formatCode>
                <c:ptCount val="6"/>
                <c:pt idx="0">
                  <c:v>7438</c:v>
                </c:pt>
                <c:pt idx="1">
                  <c:v>7004</c:v>
                </c:pt>
                <c:pt idx="2">
                  <c:v>5907</c:v>
                </c:pt>
                <c:pt idx="3">
                  <c:v>6489</c:v>
                </c:pt>
                <c:pt idx="4">
                  <c:v>7465</c:v>
                </c:pt>
                <c:pt idx="5">
                  <c:v>4506</c:v>
                </c:pt>
              </c:numCache>
            </c:numRef>
          </c:val>
          <c:extLst xmlns:c16r2="http://schemas.microsoft.com/office/drawing/2015/06/chart">
            <c:ext xmlns:c16="http://schemas.microsoft.com/office/drawing/2014/chart" uri="{C3380CC4-5D6E-409C-BE32-E72D297353CC}">
              <c16:uniqueId val="{00000001-BFB4-41D8-9476-DCA08DE18BC3}"/>
            </c:ext>
          </c:extLst>
        </c:ser>
        <c:ser>
          <c:idx val="2"/>
          <c:order val="2"/>
          <c:tx>
            <c:strRef>
              <c:f>Sheet2!$B$10</c:f>
              <c:strCache>
                <c:ptCount val="1"/>
                <c:pt idx="0">
                  <c:v>Depreciation and amortisation</c:v>
                </c:pt>
              </c:strCache>
            </c:strRef>
          </c:tx>
          <c:spPr>
            <a:solidFill>
              <a:srgbClr val="6FC2B4"/>
            </a:solidFill>
            <a:ln>
              <a:noFill/>
            </a:ln>
            <a:effectLst/>
          </c:spPr>
          <c:invertIfNegative val="0"/>
          <c:cat>
            <c:strRef>
              <c:f>Sheet2!$F$7:$K$7</c:f>
              <c:strCache>
                <c:ptCount val="6"/>
                <c:pt idx="0">
                  <c:v>2014-15</c:v>
                </c:pt>
                <c:pt idx="1">
                  <c:v>2015-16</c:v>
                </c:pt>
                <c:pt idx="2">
                  <c:v>2016-17</c:v>
                </c:pt>
                <c:pt idx="3">
                  <c:v>2017-18</c:v>
                </c:pt>
                <c:pt idx="4">
                  <c:v>2018-19</c:v>
                </c:pt>
                <c:pt idx="5">
                  <c:v>2019-20</c:v>
                </c:pt>
              </c:strCache>
            </c:strRef>
          </c:cat>
          <c:val>
            <c:numRef>
              <c:f>Sheet2!$F$10:$K$10</c:f>
              <c:numCache>
                <c:formatCode>#,##0</c:formatCode>
                <c:ptCount val="6"/>
                <c:pt idx="0">
                  <c:v>1625</c:v>
                </c:pt>
                <c:pt idx="1">
                  <c:v>1769</c:v>
                </c:pt>
                <c:pt idx="2">
                  <c:v>1771</c:v>
                </c:pt>
                <c:pt idx="3" formatCode="General">
                  <c:v>749</c:v>
                </c:pt>
                <c:pt idx="4" formatCode="General">
                  <c:v>911</c:v>
                </c:pt>
                <c:pt idx="5">
                  <c:v>3532</c:v>
                </c:pt>
              </c:numCache>
            </c:numRef>
          </c:val>
          <c:extLst xmlns:c16r2="http://schemas.microsoft.com/office/drawing/2015/06/chart">
            <c:ext xmlns:c16="http://schemas.microsoft.com/office/drawing/2014/chart" uri="{C3380CC4-5D6E-409C-BE32-E72D297353CC}">
              <c16:uniqueId val="{00000002-BFB4-41D8-9476-DCA08DE18BC3}"/>
            </c:ext>
          </c:extLst>
        </c:ser>
        <c:dLbls>
          <c:showLegendKey val="0"/>
          <c:showVal val="0"/>
          <c:showCatName val="0"/>
          <c:showSerName val="0"/>
          <c:showPercent val="0"/>
          <c:showBubbleSize val="0"/>
        </c:dLbls>
        <c:gapWidth val="150"/>
        <c:overlap val="100"/>
        <c:axId val="989286008"/>
        <c:axId val="989284832"/>
      </c:barChart>
      <c:catAx>
        <c:axId val="989286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9284832"/>
        <c:crosses val="autoZero"/>
        <c:auto val="1"/>
        <c:lblAlgn val="ctr"/>
        <c:lblOffset val="100"/>
        <c:noMultiLvlLbl val="0"/>
      </c:catAx>
      <c:valAx>
        <c:axId val="98928483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Expesnes ( AUD 000's)</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9286008"/>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Sheet2!$B$99</c:f>
              <c:strCache>
                <c:ptCount val="1"/>
                <c:pt idx="0">
                  <c:v>Total assessments completed</c:v>
                </c:pt>
              </c:strCache>
            </c:strRef>
          </c:tx>
          <c:spPr>
            <a:solidFill>
              <a:srgbClr val="004F59"/>
            </a:solidFill>
            <a:ln>
              <a:noFill/>
            </a:ln>
            <a:effectLst/>
          </c:spPr>
          <c:invertIfNegative val="0"/>
          <c:cat>
            <c:strRef>
              <c:f>Sheet2!$C$98:$H$98</c:f>
              <c:strCache>
                <c:ptCount val="6"/>
                <c:pt idx="0">
                  <c:v>2014-15</c:v>
                </c:pt>
                <c:pt idx="1">
                  <c:v>2015-16</c:v>
                </c:pt>
                <c:pt idx="2">
                  <c:v>2016-17</c:v>
                </c:pt>
                <c:pt idx="3">
                  <c:v>2017-18</c:v>
                </c:pt>
                <c:pt idx="4">
                  <c:v>2018-19</c:v>
                </c:pt>
                <c:pt idx="5">
                  <c:v>2019-20</c:v>
                </c:pt>
              </c:strCache>
            </c:strRef>
          </c:cat>
          <c:val>
            <c:numRef>
              <c:f>Sheet2!$C$99:$H$99</c:f>
              <c:numCache>
                <c:formatCode>General</c:formatCode>
                <c:ptCount val="6"/>
                <c:pt idx="0">
                  <c:v>457</c:v>
                </c:pt>
                <c:pt idx="1">
                  <c:v>338</c:v>
                </c:pt>
                <c:pt idx="2">
                  <c:v>460</c:v>
                </c:pt>
                <c:pt idx="3">
                  <c:v>418</c:v>
                </c:pt>
                <c:pt idx="4">
                  <c:v>366</c:v>
                </c:pt>
                <c:pt idx="5">
                  <c:v>369</c:v>
                </c:pt>
              </c:numCache>
            </c:numRef>
          </c:val>
          <c:extLst xmlns:c16r2="http://schemas.microsoft.com/office/drawing/2015/06/chart">
            <c:ext xmlns:c16="http://schemas.microsoft.com/office/drawing/2014/chart" uri="{C3380CC4-5D6E-409C-BE32-E72D297353CC}">
              <c16:uniqueId val="{00000000-7AC4-441B-A1F8-5945A92E8A6C}"/>
            </c:ext>
          </c:extLst>
        </c:ser>
        <c:ser>
          <c:idx val="1"/>
          <c:order val="1"/>
          <c:tx>
            <c:strRef>
              <c:f>Sheet2!$B$100</c:f>
              <c:strCache>
                <c:ptCount val="1"/>
                <c:pt idx="0">
                  <c:v>Total inspections</c:v>
                </c:pt>
              </c:strCache>
            </c:strRef>
          </c:tx>
          <c:spPr>
            <a:solidFill>
              <a:srgbClr val="0097A9"/>
            </a:solidFill>
            <a:ln>
              <a:noFill/>
            </a:ln>
            <a:effectLst/>
          </c:spPr>
          <c:invertIfNegative val="0"/>
          <c:cat>
            <c:strRef>
              <c:f>Sheet2!$C$98:$H$98</c:f>
              <c:strCache>
                <c:ptCount val="6"/>
                <c:pt idx="0">
                  <c:v>2014-15</c:v>
                </c:pt>
                <c:pt idx="1">
                  <c:v>2015-16</c:v>
                </c:pt>
                <c:pt idx="2">
                  <c:v>2016-17</c:v>
                </c:pt>
                <c:pt idx="3">
                  <c:v>2017-18</c:v>
                </c:pt>
                <c:pt idx="4">
                  <c:v>2018-19</c:v>
                </c:pt>
                <c:pt idx="5">
                  <c:v>2019-20</c:v>
                </c:pt>
              </c:strCache>
            </c:strRef>
          </c:cat>
          <c:val>
            <c:numRef>
              <c:f>Sheet2!$C$100:$H$100</c:f>
              <c:numCache>
                <c:formatCode>General</c:formatCode>
                <c:ptCount val="6"/>
                <c:pt idx="0">
                  <c:v>188</c:v>
                </c:pt>
                <c:pt idx="1">
                  <c:v>165</c:v>
                </c:pt>
                <c:pt idx="2">
                  <c:v>127</c:v>
                </c:pt>
                <c:pt idx="3">
                  <c:v>178</c:v>
                </c:pt>
                <c:pt idx="4">
                  <c:v>175</c:v>
                </c:pt>
                <c:pt idx="5">
                  <c:v>217</c:v>
                </c:pt>
              </c:numCache>
            </c:numRef>
          </c:val>
          <c:extLst xmlns:c16r2="http://schemas.microsoft.com/office/drawing/2015/06/chart">
            <c:ext xmlns:c16="http://schemas.microsoft.com/office/drawing/2014/chart" uri="{C3380CC4-5D6E-409C-BE32-E72D297353CC}">
              <c16:uniqueId val="{00000001-7AC4-441B-A1F8-5945A92E8A6C}"/>
            </c:ext>
          </c:extLst>
        </c:ser>
        <c:ser>
          <c:idx val="2"/>
          <c:order val="2"/>
          <c:tx>
            <c:strRef>
              <c:f>Sheet2!$B$101</c:f>
              <c:strCache>
                <c:ptCount val="1"/>
                <c:pt idx="0">
                  <c:v>Total enforcements and non-statutory compliance actions</c:v>
                </c:pt>
              </c:strCache>
            </c:strRef>
          </c:tx>
          <c:spPr>
            <a:solidFill>
              <a:srgbClr val="6FC2B4"/>
            </a:solidFill>
            <a:ln>
              <a:noFill/>
            </a:ln>
            <a:effectLst/>
          </c:spPr>
          <c:invertIfNegative val="0"/>
          <c:cat>
            <c:strRef>
              <c:f>Sheet2!$C$98:$H$98</c:f>
              <c:strCache>
                <c:ptCount val="6"/>
                <c:pt idx="0">
                  <c:v>2014-15</c:v>
                </c:pt>
                <c:pt idx="1">
                  <c:v>2015-16</c:v>
                </c:pt>
                <c:pt idx="2">
                  <c:v>2016-17</c:v>
                </c:pt>
                <c:pt idx="3">
                  <c:v>2017-18</c:v>
                </c:pt>
                <c:pt idx="4">
                  <c:v>2018-19</c:v>
                </c:pt>
                <c:pt idx="5">
                  <c:v>2019-20</c:v>
                </c:pt>
              </c:strCache>
            </c:strRef>
          </c:cat>
          <c:val>
            <c:numRef>
              <c:f>Sheet2!$C$101:$H$101</c:f>
              <c:numCache>
                <c:formatCode>General</c:formatCode>
                <c:ptCount val="6"/>
                <c:pt idx="0">
                  <c:v>24</c:v>
                </c:pt>
                <c:pt idx="1">
                  <c:v>24</c:v>
                </c:pt>
                <c:pt idx="2">
                  <c:v>42</c:v>
                </c:pt>
                <c:pt idx="3">
                  <c:v>28</c:v>
                </c:pt>
                <c:pt idx="4">
                  <c:v>34</c:v>
                </c:pt>
                <c:pt idx="5">
                  <c:v>29</c:v>
                </c:pt>
              </c:numCache>
            </c:numRef>
          </c:val>
          <c:extLst xmlns:c16r2="http://schemas.microsoft.com/office/drawing/2015/06/chart">
            <c:ext xmlns:c16="http://schemas.microsoft.com/office/drawing/2014/chart" uri="{C3380CC4-5D6E-409C-BE32-E72D297353CC}">
              <c16:uniqueId val="{00000002-7AC4-441B-A1F8-5945A92E8A6C}"/>
            </c:ext>
          </c:extLst>
        </c:ser>
        <c:dLbls>
          <c:showLegendKey val="0"/>
          <c:showVal val="0"/>
          <c:showCatName val="0"/>
          <c:showSerName val="0"/>
          <c:showPercent val="0"/>
          <c:showBubbleSize val="0"/>
        </c:dLbls>
        <c:gapWidth val="150"/>
        <c:overlap val="100"/>
        <c:axId val="983125600"/>
        <c:axId val="986145088"/>
      </c:barChart>
      <c:catAx>
        <c:axId val="98312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6145088"/>
        <c:crosses val="autoZero"/>
        <c:auto val="1"/>
        <c:lblAlgn val="ctr"/>
        <c:lblOffset val="100"/>
        <c:noMultiLvlLbl val="0"/>
      </c:catAx>
      <c:valAx>
        <c:axId val="9861450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3125600"/>
        <c:crosses val="autoZero"/>
        <c:crossBetween val="between"/>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Sheet1!$B$95</c:f>
              <c:strCache>
                <c:ptCount val="1"/>
                <c:pt idx="0">
                  <c:v>Regulatory employee expenses per assessment</c:v>
                </c:pt>
              </c:strCache>
            </c:strRef>
          </c:tx>
          <c:spPr>
            <a:ln w="28575" cap="rnd">
              <a:solidFill>
                <a:srgbClr val="00ABAB"/>
              </a:solidFill>
              <a:round/>
            </a:ln>
            <a:effectLst/>
          </c:spPr>
          <c:marker>
            <c:symbol val="none"/>
          </c:marker>
          <c:trendline>
            <c:spPr>
              <a:ln w="19050" cap="rnd">
                <a:solidFill>
                  <a:srgbClr val="00ABAB"/>
                </a:solidFill>
                <a:prstDash val="sysDot"/>
              </a:ln>
              <a:effectLst/>
            </c:spPr>
            <c:trendlineType val="linear"/>
            <c:dispRSqr val="0"/>
            <c:dispEq val="0"/>
          </c:trendline>
          <c:cat>
            <c:strRef>
              <c:f>Sheet1!$C$55:$H$55</c:f>
              <c:strCache>
                <c:ptCount val="6"/>
                <c:pt idx="0">
                  <c:v>2014-15</c:v>
                </c:pt>
                <c:pt idx="1">
                  <c:v>2015-16</c:v>
                </c:pt>
                <c:pt idx="2">
                  <c:v>2016-17</c:v>
                </c:pt>
                <c:pt idx="3">
                  <c:v>2017-18</c:v>
                </c:pt>
                <c:pt idx="4">
                  <c:v>2018-19</c:v>
                </c:pt>
                <c:pt idx="5">
                  <c:v>2019-20</c:v>
                </c:pt>
              </c:strCache>
            </c:strRef>
          </c:cat>
          <c:val>
            <c:numRef>
              <c:f>Sheet1!$C$95:$H$95</c:f>
              <c:numCache>
                <c:formatCode>General</c:formatCode>
                <c:ptCount val="6"/>
                <c:pt idx="0">
                  <c:v>37042.556503198291</c:v>
                </c:pt>
                <c:pt idx="1">
                  <c:v>46634.984886649872</c:v>
                </c:pt>
                <c:pt idx="2">
                  <c:v>49539.60281690141</c:v>
                </c:pt>
                <c:pt idx="3">
                  <c:v>36702.533604887984</c:v>
                </c:pt>
                <c:pt idx="4">
                  <c:v>52093.030812324927</c:v>
                </c:pt>
                <c:pt idx="5">
                  <c:v>52291.914438502674</c:v>
                </c:pt>
              </c:numCache>
            </c:numRef>
          </c:val>
          <c:smooth val="0"/>
          <c:extLst xmlns:c16r2="http://schemas.microsoft.com/office/drawing/2015/06/chart">
            <c:ext xmlns:c16="http://schemas.microsoft.com/office/drawing/2014/chart" uri="{C3380CC4-5D6E-409C-BE32-E72D297353CC}">
              <c16:uniqueId val="{00000001-B9B1-4E4A-BCB4-0B6AE90A2FDF}"/>
            </c:ext>
          </c:extLst>
        </c:ser>
        <c:ser>
          <c:idx val="1"/>
          <c:order val="1"/>
          <c:tx>
            <c:strRef>
              <c:f>Sheet1!$B$96</c:f>
              <c:strCache>
                <c:ptCount val="1"/>
                <c:pt idx="0">
                  <c:v>Regulatory employee expenses per inspection</c:v>
                </c:pt>
              </c:strCache>
            </c:strRef>
          </c:tx>
          <c:spPr>
            <a:ln w="28575" cap="rnd">
              <a:solidFill>
                <a:srgbClr val="004F59"/>
              </a:solidFill>
              <a:round/>
            </a:ln>
            <a:effectLst/>
          </c:spPr>
          <c:marker>
            <c:symbol val="none"/>
          </c:marker>
          <c:trendline>
            <c:spPr>
              <a:ln w="19050" cap="rnd">
                <a:solidFill>
                  <a:srgbClr val="004F59"/>
                </a:solidFill>
                <a:prstDash val="sysDot"/>
              </a:ln>
              <a:effectLst/>
            </c:spPr>
            <c:trendlineType val="linear"/>
            <c:dispRSqr val="0"/>
            <c:dispEq val="0"/>
          </c:trendline>
          <c:cat>
            <c:strRef>
              <c:f>Sheet1!$C$55:$H$55</c:f>
              <c:strCache>
                <c:ptCount val="6"/>
                <c:pt idx="0">
                  <c:v>2014-15</c:v>
                </c:pt>
                <c:pt idx="1">
                  <c:v>2015-16</c:v>
                </c:pt>
                <c:pt idx="2">
                  <c:v>2016-17</c:v>
                </c:pt>
                <c:pt idx="3">
                  <c:v>2017-18</c:v>
                </c:pt>
                <c:pt idx="4">
                  <c:v>2018-19</c:v>
                </c:pt>
                <c:pt idx="5">
                  <c:v>2019-20</c:v>
                </c:pt>
              </c:strCache>
            </c:strRef>
          </c:cat>
          <c:val>
            <c:numRef>
              <c:f>Sheet1!$C$96:$H$96</c:f>
              <c:numCache>
                <c:formatCode>General</c:formatCode>
                <c:ptCount val="6"/>
                <c:pt idx="0">
                  <c:v>118992.86986301369</c:v>
                </c:pt>
                <c:pt idx="1">
                  <c:v>94944.046153846153</c:v>
                </c:pt>
                <c:pt idx="2">
                  <c:v>122982.93006993007</c:v>
                </c:pt>
                <c:pt idx="3">
                  <c:v>124282.3724137931</c:v>
                </c:pt>
                <c:pt idx="4">
                  <c:v>106880.52873563218</c:v>
                </c:pt>
                <c:pt idx="5">
                  <c:v>101860.29166666667</c:v>
                </c:pt>
              </c:numCache>
            </c:numRef>
          </c:val>
          <c:smooth val="0"/>
          <c:extLst xmlns:c16r2="http://schemas.microsoft.com/office/drawing/2015/06/chart">
            <c:ext xmlns:c16="http://schemas.microsoft.com/office/drawing/2014/chart" uri="{C3380CC4-5D6E-409C-BE32-E72D297353CC}">
              <c16:uniqueId val="{00000003-B9B1-4E4A-BCB4-0B6AE90A2FDF}"/>
            </c:ext>
          </c:extLst>
        </c:ser>
        <c:dLbls>
          <c:showLegendKey val="0"/>
          <c:showVal val="0"/>
          <c:showCatName val="0"/>
          <c:showSerName val="0"/>
          <c:showPercent val="0"/>
          <c:showBubbleSize val="0"/>
        </c:dLbls>
        <c:smooth val="0"/>
        <c:axId val="986145872"/>
        <c:axId val="986146264"/>
      </c:lineChart>
      <c:catAx>
        <c:axId val="986145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6146264"/>
        <c:crosses val="autoZero"/>
        <c:auto val="1"/>
        <c:lblAlgn val="ctr"/>
        <c:lblOffset val="100"/>
        <c:noMultiLvlLbl val="0"/>
      </c:catAx>
      <c:valAx>
        <c:axId val="98614626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Regulatory employee cost per activity</a:t>
                </a:r>
              </a:p>
            </c:rich>
          </c:tx>
          <c:layout>
            <c:manualLayout>
              <c:xMode val="edge"/>
              <c:yMode val="edge"/>
              <c:x val="1.0177081213108081E-2"/>
              <c:y val="0.1017240307273148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6145872"/>
        <c:crosses val="autoZero"/>
        <c:crossBetween val="between"/>
      </c:valAx>
      <c:spPr>
        <a:noFill/>
        <a:ln>
          <a:solidFill>
            <a:schemeClr val="bg2">
              <a:lumMod val="75000"/>
            </a:schemeClr>
          </a:solidFill>
        </a:ln>
        <a:effectLst/>
      </c:spPr>
    </c:plotArea>
    <c:legend>
      <c:legendPos val="b"/>
      <c:legendEntry>
        <c:idx val="2"/>
        <c:delete val="1"/>
      </c:legendEntry>
      <c:legendEntry>
        <c:idx val="3"/>
        <c:delete val="1"/>
      </c:legendEntry>
      <c:layout>
        <c:manualLayout>
          <c:xMode val="edge"/>
          <c:yMode val="edge"/>
          <c:x val="2.056699965221628E-2"/>
          <c:y val="0.87379360243286164"/>
          <c:w val="0.95683042418395037"/>
          <c:h val="0.115438271221122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486781277606343E-2"/>
          <c:y val="4.3461082576056895E-2"/>
          <c:w val="0.83579959923677827"/>
          <c:h val="0.79334737444662562"/>
        </c:manualLayout>
      </c:layout>
      <c:barChart>
        <c:barDir val="col"/>
        <c:grouping val="clustered"/>
        <c:varyColors val="0"/>
        <c:ser>
          <c:idx val="0"/>
          <c:order val="1"/>
          <c:tx>
            <c:strRef>
              <c:f>'5 - Decommissioning'!$M$3</c:f>
              <c:strCache>
                <c:ptCount val="1"/>
                <c:pt idx="0">
                  <c:v>Decommissioning</c:v>
                </c:pt>
              </c:strCache>
            </c:strRef>
          </c:tx>
          <c:spPr>
            <a:solidFill>
              <a:srgbClr val="007680"/>
            </a:solidFill>
            <a:ln>
              <a:noFill/>
            </a:ln>
            <a:effectLst/>
          </c:spPr>
          <c:invertIfNegative val="0"/>
          <c:cat>
            <c:strRef>
              <c:f>'5 - Decommissioning'!$I$4:$I$34</c:f>
              <c:strCach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strCache>
            </c:strRef>
          </c:cat>
          <c:val>
            <c:numRef>
              <c:f>'5 - Decommissioning'!$M$4:$M$34</c:f>
              <c:numCache>
                <c:formatCode>General</c:formatCode>
                <c:ptCount val="31"/>
                <c:pt idx="0">
                  <c:v>0.1139423767686</c:v>
                </c:pt>
                <c:pt idx="1">
                  <c:v>0.3095316911346</c:v>
                </c:pt>
                <c:pt idx="2">
                  <c:v>0.22690059028079998</c:v>
                </c:pt>
                <c:pt idx="3">
                  <c:v>0.24918928412460001</c:v>
                </c:pt>
                <c:pt idx="4">
                  <c:v>1.66523889204E-2</c:v>
                </c:pt>
                <c:pt idx="5">
                  <c:v>0</c:v>
                </c:pt>
                <c:pt idx="6">
                  <c:v>0.60769950093000003</c:v>
                </c:pt>
                <c:pt idx="7">
                  <c:v>0.66696440591880002</c:v>
                </c:pt>
                <c:pt idx="8">
                  <c:v>0.45069923832540004</c:v>
                </c:pt>
                <c:pt idx="9">
                  <c:v>0.2608168984482</c:v>
                </c:pt>
                <c:pt idx="10">
                  <c:v>7.1014941484800004E-2</c:v>
                </c:pt>
                <c:pt idx="11">
                  <c:v>0.19423421730780002</c:v>
                </c:pt>
                <c:pt idx="12">
                  <c:v>0.38298274322999998</c:v>
                </c:pt>
                <c:pt idx="13">
                  <c:v>0.51956077578000004</c:v>
                </c:pt>
                <c:pt idx="14">
                  <c:v>0.83673583846919997</c:v>
                </c:pt>
                <c:pt idx="15">
                  <c:v>0.34953958557300002</c:v>
                </c:pt>
                <c:pt idx="16">
                  <c:v>0.45075727770599999</c:v>
                </c:pt>
                <c:pt idx="17">
                  <c:v>0.72538790272200004</c:v>
                </c:pt>
                <c:pt idx="18">
                  <c:v>0.1072687400418</c:v>
                </c:pt>
                <c:pt idx="19">
                  <c:v>0.49148476701179999</c:v>
                </c:pt>
                <c:pt idx="20">
                  <c:v>0.18176392045260001</c:v>
                </c:pt>
                <c:pt idx="21">
                  <c:v>0.2013673690428</c:v>
                </c:pt>
                <c:pt idx="22">
                  <c:v>2.1670126295400001E-2</c:v>
                </c:pt>
                <c:pt idx="23">
                  <c:v>0.28516332125639998</c:v>
                </c:pt>
                <c:pt idx="24">
                  <c:v>0.25111455190199999</c:v>
                </c:pt>
                <c:pt idx="25">
                  <c:v>6.1412605612679999E-2</c:v>
                </c:pt>
                <c:pt idx="26">
                  <c:v>1.3097580788645999</c:v>
                </c:pt>
                <c:pt idx="27">
                  <c:v>0.65631509286</c:v>
                </c:pt>
                <c:pt idx="28">
                  <c:v>0.34583861576039998</c:v>
                </c:pt>
                <c:pt idx="29">
                  <c:v>0.910704643185</c:v>
                </c:pt>
                <c:pt idx="30">
                  <c:v>0.17079005978639999</c:v>
                </c:pt>
              </c:numCache>
            </c:numRef>
          </c:val>
          <c:extLst xmlns:c16r2="http://schemas.microsoft.com/office/drawing/2015/06/chart">
            <c:ext xmlns:c16="http://schemas.microsoft.com/office/drawing/2014/chart" uri="{C3380CC4-5D6E-409C-BE32-E72D297353CC}">
              <c16:uniqueId val="{00000000-A704-420E-860A-D36C54429E58}"/>
            </c:ext>
          </c:extLst>
        </c:ser>
        <c:dLbls>
          <c:showLegendKey val="0"/>
          <c:showVal val="0"/>
          <c:showCatName val="0"/>
          <c:showSerName val="0"/>
          <c:showPercent val="0"/>
          <c:showBubbleSize val="0"/>
        </c:dLbls>
        <c:gapWidth val="150"/>
        <c:axId val="244914776"/>
        <c:axId val="244917128"/>
      </c:barChart>
      <c:lineChart>
        <c:grouping val="standard"/>
        <c:varyColors val="0"/>
        <c:ser>
          <c:idx val="3"/>
          <c:order val="0"/>
          <c:tx>
            <c:strRef>
              <c:f>'5 - Decommissioning'!$N$3</c:f>
              <c:strCache>
                <c:ptCount val="1"/>
                <c:pt idx="0">
                  <c:v>Cumulative (RHS)</c:v>
                </c:pt>
              </c:strCache>
            </c:strRef>
          </c:tx>
          <c:spPr>
            <a:ln w="28575" cap="rnd">
              <a:solidFill>
                <a:srgbClr val="9DD4CF"/>
              </a:solidFill>
              <a:round/>
            </a:ln>
            <a:effectLst/>
          </c:spPr>
          <c:marker>
            <c:symbol val="none"/>
          </c:marker>
          <c:cat>
            <c:strRef>
              <c:f>'5 - Decommissioning'!$I$4:$I$34</c:f>
              <c:strCache>
                <c:ptCount val="3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pt idx="21">
                  <c:v>2041</c:v>
                </c:pt>
                <c:pt idx="22">
                  <c:v>2042</c:v>
                </c:pt>
                <c:pt idx="23">
                  <c:v>2043</c:v>
                </c:pt>
                <c:pt idx="24">
                  <c:v>2044</c:v>
                </c:pt>
                <c:pt idx="25">
                  <c:v>2045</c:v>
                </c:pt>
                <c:pt idx="26">
                  <c:v>2046</c:v>
                </c:pt>
                <c:pt idx="27">
                  <c:v>2047</c:v>
                </c:pt>
                <c:pt idx="28">
                  <c:v>2048</c:v>
                </c:pt>
                <c:pt idx="29">
                  <c:v>2049</c:v>
                </c:pt>
                <c:pt idx="30">
                  <c:v>2050</c:v>
                </c:pt>
              </c:strCache>
            </c:strRef>
          </c:cat>
          <c:val>
            <c:numRef>
              <c:f>'5 - Decommissioning'!$N$4:$N$34</c:f>
              <c:numCache>
                <c:formatCode>General</c:formatCode>
                <c:ptCount val="31"/>
                <c:pt idx="0">
                  <c:v>0.11394237676860001</c:v>
                </c:pt>
                <c:pt idx="1">
                  <c:v>0.42347406790319997</c:v>
                </c:pt>
                <c:pt idx="2">
                  <c:v>0.65037465818399998</c:v>
                </c:pt>
                <c:pt idx="3">
                  <c:v>0.89956394230859993</c:v>
                </c:pt>
                <c:pt idx="4">
                  <c:v>0.91621633122900004</c:v>
                </c:pt>
                <c:pt idx="5">
                  <c:v>0.91621633122900004</c:v>
                </c:pt>
                <c:pt idx="6">
                  <c:v>1.5239158321590001</c:v>
                </c:pt>
                <c:pt idx="7">
                  <c:v>2.1908802380778001</c:v>
                </c:pt>
                <c:pt idx="8">
                  <c:v>2.6415794764032001</c:v>
                </c:pt>
                <c:pt idx="9">
                  <c:v>2.9023963748514006</c:v>
                </c:pt>
                <c:pt idx="10">
                  <c:v>2.9734113163362008</c:v>
                </c:pt>
                <c:pt idx="11">
                  <c:v>3.1676455336440013</c:v>
                </c:pt>
                <c:pt idx="12">
                  <c:v>3.5506282768740012</c:v>
                </c:pt>
                <c:pt idx="13">
                  <c:v>4.0701890526540012</c:v>
                </c:pt>
                <c:pt idx="14">
                  <c:v>4.9069248911232011</c:v>
                </c:pt>
                <c:pt idx="15">
                  <c:v>5.256464476696201</c:v>
                </c:pt>
                <c:pt idx="16">
                  <c:v>5.7072217544022017</c:v>
                </c:pt>
                <c:pt idx="17">
                  <c:v>6.4326096571242015</c:v>
                </c:pt>
                <c:pt idx="18">
                  <c:v>6.5398783971660004</c:v>
                </c:pt>
                <c:pt idx="19">
                  <c:v>7.0313631641778009</c:v>
                </c:pt>
                <c:pt idx="20">
                  <c:v>7.2131270846304005</c:v>
                </c:pt>
                <c:pt idx="21">
                  <c:v>7.4144944536731998</c:v>
                </c:pt>
                <c:pt idx="22">
                  <c:v>7.4361645799685991</c:v>
                </c:pt>
                <c:pt idx="23">
                  <c:v>7.7213279012249991</c:v>
                </c:pt>
                <c:pt idx="24">
                  <c:v>7.9724424531269991</c:v>
                </c:pt>
                <c:pt idx="25">
                  <c:v>8.0338550587396789</c:v>
                </c:pt>
                <c:pt idx="26">
                  <c:v>9.3436131376042795</c:v>
                </c:pt>
                <c:pt idx="27">
                  <c:v>9.9999282304642776</c:v>
                </c:pt>
                <c:pt idx="28">
                  <c:v>10.345766846224679</c:v>
                </c:pt>
                <c:pt idx="29">
                  <c:v>11.256471489409678</c:v>
                </c:pt>
                <c:pt idx="30">
                  <c:v>11.427261549196079</c:v>
                </c:pt>
              </c:numCache>
            </c:numRef>
          </c:val>
          <c:smooth val="0"/>
          <c:extLst xmlns:c16r2="http://schemas.microsoft.com/office/drawing/2015/06/chart">
            <c:ext xmlns:c16="http://schemas.microsoft.com/office/drawing/2014/chart" uri="{C3380CC4-5D6E-409C-BE32-E72D297353CC}">
              <c16:uniqueId val="{00000001-A704-420E-860A-D36C54429E58}"/>
            </c:ext>
          </c:extLst>
        </c:ser>
        <c:dLbls>
          <c:showLegendKey val="0"/>
          <c:showVal val="0"/>
          <c:showCatName val="0"/>
          <c:showSerName val="0"/>
          <c:showPercent val="0"/>
          <c:showBubbleSize val="0"/>
        </c:dLbls>
        <c:marker val="1"/>
        <c:smooth val="0"/>
        <c:axId val="244914384"/>
        <c:axId val="244917912"/>
      </c:lineChart>
      <c:catAx>
        <c:axId val="244914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244917128"/>
        <c:crosses val="autoZero"/>
        <c:auto val="1"/>
        <c:lblAlgn val="ctr"/>
        <c:lblOffset val="100"/>
        <c:tickLblSkip val="5"/>
        <c:noMultiLvlLbl val="0"/>
      </c:catAx>
      <c:valAx>
        <c:axId val="244917128"/>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Billion AUD</a:t>
                </a:r>
              </a:p>
            </c:rich>
          </c:tx>
          <c:layout>
            <c:manualLayout>
              <c:xMode val="edge"/>
              <c:yMode val="edge"/>
              <c:x val="8.1078341947907161E-3"/>
              <c:y val="0.327452035702174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244914776"/>
        <c:crosses val="autoZero"/>
        <c:crossBetween val="between"/>
      </c:valAx>
      <c:valAx>
        <c:axId val="244917912"/>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Billion AUD</a:t>
                </a:r>
              </a:p>
            </c:rich>
          </c:tx>
          <c:layout>
            <c:manualLayout>
              <c:xMode val="edge"/>
              <c:yMode val="edge"/>
              <c:x val="0.9616094050876659"/>
              <c:y val="0.3195500206883463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244914384"/>
        <c:crosses val="max"/>
        <c:crossBetween val="between"/>
      </c:valAx>
      <c:catAx>
        <c:axId val="244914384"/>
        <c:scaling>
          <c:orientation val="minMax"/>
        </c:scaling>
        <c:delete val="1"/>
        <c:axPos val="b"/>
        <c:numFmt formatCode="General" sourceLinked="1"/>
        <c:majorTickMark val="out"/>
        <c:minorTickMark val="none"/>
        <c:tickLblPos val="nextTo"/>
        <c:crossAx val="244917912"/>
        <c:crosses val="autoZero"/>
        <c:auto val="1"/>
        <c:lblAlgn val="ctr"/>
        <c:lblOffset val="100"/>
        <c:noMultiLvlLbl val="0"/>
      </c:catAx>
      <c:spPr>
        <a:noFill/>
        <a:ln>
          <a:solidFill>
            <a:schemeClr val="bg2">
              <a:lumMod val="75000"/>
            </a:schemeClr>
          </a:solidFill>
        </a:ln>
        <a:effectLst/>
      </c:spPr>
    </c:plotArea>
    <c:legend>
      <c:legendPos val="b"/>
      <c:layout>
        <c:manualLayout>
          <c:xMode val="edge"/>
          <c:yMode val="edge"/>
          <c:x val="0.24616517796935461"/>
          <c:y val="0.92560035092413129"/>
          <c:w val="0.50766948445825544"/>
          <c:h val="6.6497634062040151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1653807133384"/>
          <c:y val="5.4307250538406328E-2"/>
          <c:w val="0.57744477036319286"/>
          <c:h val="0.84349164269039234"/>
        </c:manualLayout>
      </c:layout>
      <c:lineChart>
        <c:grouping val="standard"/>
        <c:varyColors val="0"/>
        <c:ser>
          <c:idx val="0"/>
          <c:order val="0"/>
          <c:tx>
            <c:strRef>
              <c:f>Sheet1!$B$64</c:f>
              <c:strCache>
                <c:ptCount val="1"/>
                <c:pt idx="0">
                  <c:v>Environment Division </c:v>
                </c:pt>
              </c:strCache>
            </c:strRef>
          </c:tx>
          <c:spPr>
            <a:ln w="28575" cap="rnd">
              <a:solidFill>
                <a:schemeClr val="tx1">
                  <a:lumMod val="50000"/>
                  <a:lumOff val="50000"/>
                </a:schemeClr>
              </a:solidFill>
              <a:round/>
            </a:ln>
            <a:effectLst/>
          </c:spPr>
          <c:marker>
            <c:symbol val="none"/>
          </c:marker>
          <c:cat>
            <c:strRef>
              <c:f>Sheet1!$C$55:$H$55</c:f>
              <c:strCache>
                <c:ptCount val="6"/>
                <c:pt idx="0">
                  <c:v>2014-15</c:v>
                </c:pt>
                <c:pt idx="1">
                  <c:v>2015-16</c:v>
                </c:pt>
                <c:pt idx="2">
                  <c:v>2016-17</c:v>
                </c:pt>
                <c:pt idx="3">
                  <c:v>2017-18</c:v>
                </c:pt>
                <c:pt idx="4">
                  <c:v>2018-19</c:v>
                </c:pt>
                <c:pt idx="5">
                  <c:v>2019-20</c:v>
                </c:pt>
              </c:strCache>
            </c:strRef>
          </c:cat>
          <c:val>
            <c:numRef>
              <c:f>Sheet1!$C$64:$H$64</c:f>
              <c:numCache>
                <c:formatCode>0</c:formatCode>
                <c:ptCount val="6"/>
                <c:pt idx="0">
                  <c:v>237982.33812949641</c:v>
                </c:pt>
                <c:pt idx="1">
                  <c:v>252170.56856187293</c:v>
                </c:pt>
                <c:pt idx="2">
                  <c:v>243364.63917525773</c:v>
                </c:pt>
                <c:pt idx="3">
                  <c:v>262623.84615384613</c:v>
                </c:pt>
                <c:pt idx="4">
                  <c:v>243886.53333333333</c:v>
                </c:pt>
                <c:pt idx="5">
                  <c:v>245012.02531645569</c:v>
                </c:pt>
              </c:numCache>
            </c:numRef>
          </c:val>
          <c:smooth val="0"/>
          <c:extLst xmlns:c16r2="http://schemas.microsoft.com/office/drawing/2015/06/chart">
            <c:ext xmlns:c16="http://schemas.microsoft.com/office/drawing/2014/chart" uri="{C3380CC4-5D6E-409C-BE32-E72D297353CC}">
              <c16:uniqueId val="{00000000-0A25-430F-8843-07AD346DE95F}"/>
            </c:ext>
          </c:extLst>
        </c:ser>
        <c:ser>
          <c:idx val="1"/>
          <c:order val="1"/>
          <c:tx>
            <c:strRef>
              <c:f>Sheet1!$B$65</c:f>
              <c:strCache>
                <c:ptCount val="1"/>
                <c:pt idx="0">
                  <c:v>Safety and Integrity Division</c:v>
                </c:pt>
              </c:strCache>
            </c:strRef>
          </c:tx>
          <c:spPr>
            <a:ln w="28575" cap="rnd">
              <a:solidFill>
                <a:srgbClr val="9DD4CF"/>
              </a:solidFill>
              <a:round/>
            </a:ln>
            <a:effectLst/>
          </c:spPr>
          <c:marker>
            <c:symbol val="none"/>
          </c:marker>
          <c:cat>
            <c:strRef>
              <c:f>Sheet1!$C$55:$H$55</c:f>
              <c:strCache>
                <c:ptCount val="6"/>
                <c:pt idx="0">
                  <c:v>2014-15</c:v>
                </c:pt>
                <c:pt idx="1">
                  <c:v>2015-16</c:v>
                </c:pt>
                <c:pt idx="2">
                  <c:v>2016-17</c:v>
                </c:pt>
                <c:pt idx="3">
                  <c:v>2017-18</c:v>
                </c:pt>
                <c:pt idx="4">
                  <c:v>2018-19</c:v>
                </c:pt>
                <c:pt idx="5">
                  <c:v>2019-20</c:v>
                </c:pt>
              </c:strCache>
            </c:strRef>
          </c:cat>
          <c:val>
            <c:numRef>
              <c:f>Sheet1!$C$65:$H$65</c:f>
              <c:numCache>
                <c:formatCode>0</c:formatCode>
                <c:ptCount val="6"/>
                <c:pt idx="0">
                  <c:v>242275.90090090092</c:v>
                </c:pt>
                <c:pt idx="1">
                  <c:v>258825.21226415096</c:v>
                </c:pt>
                <c:pt idx="2">
                  <c:v>260016.03960396041</c:v>
                </c:pt>
                <c:pt idx="3">
                  <c:v>236412.04793028324</c:v>
                </c:pt>
                <c:pt idx="4">
                  <c:v>251238.6636971047</c:v>
                </c:pt>
                <c:pt idx="5">
                  <c:v>264905.73991031392</c:v>
                </c:pt>
              </c:numCache>
            </c:numRef>
          </c:val>
          <c:smooth val="0"/>
          <c:extLst xmlns:c16r2="http://schemas.microsoft.com/office/drawing/2015/06/chart">
            <c:ext xmlns:c16="http://schemas.microsoft.com/office/drawing/2014/chart" uri="{C3380CC4-5D6E-409C-BE32-E72D297353CC}">
              <c16:uniqueId val="{00000001-0A25-430F-8843-07AD346DE95F}"/>
            </c:ext>
          </c:extLst>
        </c:ser>
        <c:ser>
          <c:idx val="2"/>
          <c:order val="2"/>
          <c:tx>
            <c:strRef>
              <c:f>Sheet1!$B$66</c:f>
              <c:strCache>
                <c:ptCount val="1"/>
                <c:pt idx="0">
                  <c:v>Regulatory Support Division (excl. Corporate Support)</c:v>
                </c:pt>
              </c:strCache>
            </c:strRef>
          </c:tx>
          <c:spPr>
            <a:ln w="28575" cap="rnd">
              <a:solidFill>
                <a:srgbClr val="00ABAB"/>
              </a:solidFill>
              <a:round/>
            </a:ln>
            <a:effectLst/>
          </c:spPr>
          <c:marker>
            <c:symbol val="none"/>
          </c:marker>
          <c:cat>
            <c:strRef>
              <c:f>Sheet1!$C$55:$H$55</c:f>
              <c:strCache>
                <c:ptCount val="6"/>
                <c:pt idx="0">
                  <c:v>2014-15</c:v>
                </c:pt>
                <c:pt idx="1">
                  <c:v>2015-16</c:v>
                </c:pt>
                <c:pt idx="2">
                  <c:v>2016-17</c:v>
                </c:pt>
                <c:pt idx="3">
                  <c:v>2017-18</c:v>
                </c:pt>
                <c:pt idx="4">
                  <c:v>2018-19</c:v>
                </c:pt>
                <c:pt idx="5">
                  <c:v>2019-20</c:v>
                </c:pt>
              </c:strCache>
            </c:strRef>
          </c:cat>
          <c:val>
            <c:numRef>
              <c:f>Sheet1!$C$66:$H$66</c:f>
              <c:numCache>
                <c:formatCode>0</c:formatCode>
                <c:ptCount val="6"/>
                <c:pt idx="0">
                  <c:v>201691.67512690357</c:v>
                </c:pt>
                <c:pt idx="1">
                  <c:v>214348.79120879123</c:v>
                </c:pt>
                <c:pt idx="2">
                  <c:v>221981.7901234568</c:v>
                </c:pt>
                <c:pt idx="3">
                  <c:v>199116.35416666669</c:v>
                </c:pt>
                <c:pt idx="4">
                  <c:v>205569.6846846847</c:v>
                </c:pt>
                <c:pt idx="5">
                  <c:v>205519.6638655462</c:v>
                </c:pt>
              </c:numCache>
            </c:numRef>
          </c:val>
          <c:smooth val="0"/>
          <c:extLst xmlns:c16r2="http://schemas.microsoft.com/office/drawing/2015/06/chart">
            <c:ext xmlns:c16="http://schemas.microsoft.com/office/drawing/2014/chart" uri="{C3380CC4-5D6E-409C-BE32-E72D297353CC}">
              <c16:uniqueId val="{00000002-0A25-430F-8843-07AD346DE95F}"/>
            </c:ext>
          </c:extLst>
        </c:ser>
        <c:ser>
          <c:idx val="3"/>
          <c:order val="3"/>
          <c:tx>
            <c:strRef>
              <c:f>Sheet1!$B$67</c:f>
              <c:strCache>
                <c:ptCount val="1"/>
                <c:pt idx="0">
                  <c:v>Legal</c:v>
                </c:pt>
              </c:strCache>
            </c:strRef>
          </c:tx>
          <c:spPr>
            <a:ln w="28575" cap="rnd">
              <a:solidFill>
                <a:srgbClr val="0097A9"/>
              </a:solidFill>
              <a:round/>
            </a:ln>
            <a:effectLst/>
          </c:spPr>
          <c:marker>
            <c:symbol val="none"/>
          </c:marker>
          <c:cat>
            <c:strRef>
              <c:f>Sheet1!$C$55:$H$55</c:f>
              <c:strCache>
                <c:ptCount val="6"/>
                <c:pt idx="0">
                  <c:v>2014-15</c:v>
                </c:pt>
                <c:pt idx="1">
                  <c:v>2015-16</c:v>
                </c:pt>
                <c:pt idx="2">
                  <c:v>2016-17</c:v>
                </c:pt>
                <c:pt idx="3">
                  <c:v>2017-18</c:v>
                </c:pt>
                <c:pt idx="4">
                  <c:v>2018-19</c:v>
                </c:pt>
                <c:pt idx="5">
                  <c:v>2019-20</c:v>
                </c:pt>
              </c:strCache>
            </c:strRef>
          </c:cat>
          <c:val>
            <c:numRef>
              <c:f>Sheet1!$C$67:$H$67</c:f>
              <c:numCache>
                <c:formatCode>0</c:formatCode>
                <c:ptCount val="6"/>
                <c:pt idx="0">
                  <c:v>147249.77777777778</c:v>
                </c:pt>
                <c:pt idx="1">
                  <c:v>149212.44444444444</c:v>
                </c:pt>
                <c:pt idx="2">
                  <c:v>143425.77777777778</c:v>
                </c:pt>
                <c:pt idx="3">
                  <c:v>185898</c:v>
                </c:pt>
                <c:pt idx="4">
                  <c:v>131323.83333333334</c:v>
                </c:pt>
                <c:pt idx="5">
                  <c:v>218415.25</c:v>
                </c:pt>
              </c:numCache>
            </c:numRef>
          </c:val>
          <c:smooth val="0"/>
          <c:extLst xmlns:c16r2="http://schemas.microsoft.com/office/drawing/2015/06/chart">
            <c:ext xmlns:c16="http://schemas.microsoft.com/office/drawing/2014/chart" uri="{C3380CC4-5D6E-409C-BE32-E72D297353CC}">
              <c16:uniqueId val="{00000003-0A25-430F-8843-07AD346DE95F}"/>
            </c:ext>
          </c:extLst>
        </c:ser>
        <c:ser>
          <c:idx val="4"/>
          <c:order val="4"/>
          <c:tx>
            <c:strRef>
              <c:f>Sheet1!$B$68</c:f>
              <c:strCache>
                <c:ptCount val="1"/>
                <c:pt idx="0">
                  <c:v>Corporate support</c:v>
                </c:pt>
              </c:strCache>
            </c:strRef>
          </c:tx>
          <c:spPr>
            <a:ln w="28575" cap="rnd">
              <a:solidFill>
                <a:srgbClr val="004F59"/>
              </a:solidFill>
              <a:round/>
            </a:ln>
            <a:effectLst/>
          </c:spPr>
          <c:marker>
            <c:symbol val="none"/>
          </c:marker>
          <c:cat>
            <c:strRef>
              <c:f>Sheet1!$C$55:$H$55</c:f>
              <c:strCache>
                <c:ptCount val="6"/>
                <c:pt idx="0">
                  <c:v>2014-15</c:v>
                </c:pt>
                <c:pt idx="1">
                  <c:v>2015-16</c:v>
                </c:pt>
                <c:pt idx="2">
                  <c:v>2016-17</c:v>
                </c:pt>
                <c:pt idx="3">
                  <c:v>2017-18</c:v>
                </c:pt>
                <c:pt idx="4">
                  <c:v>2018-19</c:v>
                </c:pt>
                <c:pt idx="5">
                  <c:v>2019-20</c:v>
                </c:pt>
              </c:strCache>
            </c:strRef>
          </c:cat>
          <c:val>
            <c:numRef>
              <c:f>Sheet1!$C$68:$H$68</c:f>
              <c:numCache>
                <c:formatCode>0</c:formatCode>
                <c:ptCount val="6"/>
                <c:pt idx="0">
                  <c:v>127953.06818181818</c:v>
                </c:pt>
                <c:pt idx="1">
                  <c:v>126855.68421052632</c:v>
                </c:pt>
                <c:pt idx="2">
                  <c:v>121656.37362637364</c:v>
                </c:pt>
                <c:pt idx="3">
                  <c:v>138801.55913978495</c:v>
                </c:pt>
                <c:pt idx="4">
                  <c:v>131335.46296296295</c:v>
                </c:pt>
                <c:pt idx="5">
                  <c:v>147762.1717171717</c:v>
                </c:pt>
              </c:numCache>
            </c:numRef>
          </c:val>
          <c:smooth val="0"/>
          <c:extLst xmlns:c16r2="http://schemas.microsoft.com/office/drawing/2015/06/chart">
            <c:ext xmlns:c16="http://schemas.microsoft.com/office/drawing/2014/chart" uri="{C3380CC4-5D6E-409C-BE32-E72D297353CC}">
              <c16:uniqueId val="{00000004-0A25-430F-8843-07AD346DE95F}"/>
            </c:ext>
          </c:extLst>
        </c:ser>
        <c:dLbls>
          <c:showLegendKey val="0"/>
          <c:showVal val="0"/>
          <c:showCatName val="0"/>
          <c:showSerName val="0"/>
          <c:showPercent val="0"/>
          <c:showBubbleSize val="0"/>
        </c:dLbls>
        <c:smooth val="0"/>
        <c:axId val="986147832"/>
        <c:axId val="986148224"/>
      </c:lineChart>
      <c:catAx>
        <c:axId val="9861478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6148224"/>
        <c:crosses val="autoZero"/>
        <c:auto val="1"/>
        <c:lblAlgn val="ctr"/>
        <c:lblOffset val="100"/>
        <c:noMultiLvlLbl val="0"/>
      </c:catAx>
      <c:valAx>
        <c:axId val="98614822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Employee expenses (AUD) per FTE</a:t>
                </a:r>
              </a:p>
            </c:rich>
          </c:tx>
          <c:layout>
            <c:manualLayout>
              <c:xMode val="edge"/>
              <c:yMode val="edge"/>
              <c:x val="1.624530409178597E-2"/>
              <c:y val="0.22332500522861778"/>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6147832"/>
        <c:crosses val="autoZero"/>
        <c:crossBetween val="between"/>
      </c:valAx>
      <c:spPr>
        <a:noFill/>
        <a:ln>
          <a:solidFill>
            <a:schemeClr val="bg2">
              <a:lumMod val="75000"/>
            </a:schemeClr>
          </a:solidFill>
        </a:ln>
        <a:effectLst/>
      </c:spPr>
    </c:plotArea>
    <c:legend>
      <c:legendPos val="r"/>
      <c:layout>
        <c:manualLayout>
          <c:xMode val="edge"/>
          <c:yMode val="edge"/>
          <c:x val="0.73633727553778594"/>
          <c:y val="6.3991186350419754E-2"/>
          <c:w val="0.25147874639337459"/>
          <c:h val="0.8842185893144145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Sheet1!$B$73</c:f>
              <c:strCache>
                <c:ptCount val="1"/>
                <c:pt idx="0">
                  <c:v>Corporate support (FTE), LHS</c:v>
                </c:pt>
              </c:strCache>
            </c:strRef>
          </c:tx>
          <c:spPr>
            <a:ln w="28575" cap="rnd">
              <a:solidFill>
                <a:srgbClr val="00ABAB"/>
              </a:solidFill>
              <a:round/>
            </a:ln>
            <a:effectLst/>
          </c:spPr>
          <c:marker>
            <c:symbol val="none"/>
          </c:marker>
          <c:trendline>
            <c:spPr>
              <a:ln w="19050" cap="rnd">
                <a:solidFill>
                  <a:srgbClr val="00ABAB"/>
                </a:solidFill>
                <a:prstDash val="sysDot"/>
              </a:ln>
              <a:effectLst/>
            </c:spPr>
            <c:trendlineType val="linear"/>
            <c:dispRSqr val="0"/>
            <c:dispEq val="0"/>
          </c:trendline>
          <c:cat>
            <c:strRef>
              <c:f>Sheet1!$C$55:$H$55</c:f>
              <c:strCache>
                <c:ptCount val="6"/>
                <c:pt idx="0">
                  <c:v>2014-15</c:v>
                </c:pt>
                <c:pt idx="1">
                  <c:v>2015-16</c:v>
                </c:pt>
                <c:pt idx="2">
                  <c:v>2016-17</c:v>
                </c:pt>
                <c:pt idx="3">
                  <c:v>2017-18</c:v>
                </c:pt>
                <c:pt idx="4">
                  <c:v>2018-19</c:v>
                </c:pt>
                <c:pt idx="5">
                  <c:v>2019-20</c:v>
                </c:pt>
              </c:strCache>
            </c:strRef>
          </c:cat>
          <c:val>
            <c:numRef>
              <c:f>Sheet1!$C$73:$H$73</c:f>
              <c:numCache>
                <c:formatCode>0%</c:formatCode>
                <c:ptCount val="6"/>
                <c:pt idx="0">
                  <c:v>0.15438596491228071</c:v>
                </c:pt>
                <c:pt idx="1">
                  <c:v>0.16666666666666666</c:v>
                </c:pt>
                <c:pt idx="2">
                  <c:v>0.16789667896678964</c:v>
                </c:pt>
                <c:pt idx="3">
                  <c:v>0.16173913043478261</c:v>
                </c:pt>
                <c:pt idx="4">
                  <c:v>0.17321571772253408</c:v>
                </c:pt>
                <c:pt idx="5">
                  <c:v>0.15993537964458807</c:v>
                </c:pt>
              </c:numCache>
            </c:numRef>
          </c:val>
          <c:smooth val="0"/>
          <c:extLst xmlns:c16r2="http://schemas.microsoft.com/office/drawing/2015/06/chart">
            <c:ext xmlns:c16="http://schemas.microsoft.com/office/drawing/2014/chart" uri="{C3380CC4-5D6E-409C-BE32-E72D297353CC}">
              <c16:uniqueId val="{00000001-400F-401B-AFAD-23A2BCB7E70C}"/>
            </c:ext>
          </c:extLst>
        </c:ser>
        <c:dLbls>
          <c:showLegendKey val="0"/>
          <c:showVal val="0"/>
          <c:showCatName val="0"/>
          <c:showSerName val="0"/>
          <c:showPercent val="0"/>
          <c:showBubbleSize val="0"/>
        </c:dLbls>
        <c:marker val="1"/>
        <c:smooth val="0"/>
        <c:axId val="507681376"/>
        <c:axId val="507680200"/>
      </c:lineChart>
      <c:lineChart>
        <c:grouping val="standard"/>
        <c:varyColors val="0"/>
        <c:ser>
          <c:idx val="1"/>
          <c:order val="1"/>
          <c:tx>
            <c:strRef>
              <c:f>Sheet1!$B$74</c:f>
              <c:strCache>
                <c:ptCount val="1"/>
                <c:pt idx="0">
                  <c:v>Corporate support (Employee expense), RHS</c:v>
                </c:pt>
              </c:strCache>
            </c:strRef>
          </c:tx>
          <c:spPr>
            <a:ln w="28575" cap="rnd">
              <a:solidFill>
                <a:srgbClr val="004F59"/>
              </a:solidFill>
              <a:round/>
            </a:ln>
            <a:effectLst/>
          </c:spPr>
          <c:marker>
            <c:symbol val="none"/>
          </c:marker>
          <c:trendline>
            <c:spPr>
              <a:ln w="19050" cap="rnd">
                <a:solidFill>
                  <a:srgbClr val="004F59"/>
                </a:solidFill>
                <a:prstDash val="sysDot"/>
              </a:ln>
              <a:effectLst/>
            </c:spPr>
            <c:trendlineType val="linear"/>
            <c:dispRSqr val="0"/>
            <c:dispEq val="0"/>
          </c:trendline>
          <c:cat>
            <c:strRef>
              <c:f>Sheet1!$C$55:$H$55</c:f>
              <c:strCache>
                <c:ptCount val="6"/>
                <c:pt idx="0">
                  <c:v>2014-15</c:v>
                </c:pt>
                <c:pt idx="1">
                  <c:v>2015-16</c:v>
                </c:pt>
                <c:pt idx="2">
                  <c:v>2016-17</c:v>
                </c:pt>
                <c:pt idx="3">
                  <c:v>2017-18</c:v>
                </c:pt>
                <c:pt idx="4">
                  <c:v>2018-19</c:v>
                </c:pt>
                <c:pt idx="5">
                  <c:v>2019-20</c:v>
                </c:pt>
              </c:strCache>
            </c:strRef>
          </c:cat>
          <c:val>
            <c:numRef>
              <c:f>Sheet1!$C$74:$H$74</c:f>
              <c:numCache>
                <c:formatCode>0%</c:formatCode>
                <c:ptCount val="6"/>
                <c:pt idx="0">
                  <c:v>9.2823249673146688E-2</c:v>
                </c:pt>
                <c:pt idx="1">
                  <c:v>9.4531220829846649E-2</c:v>
                </c:pt>
                <c:pt idx="2">
                  <c:v>9.2094055354693671E-2</c:v>
                </c:pt>
                <c:pt idx="3">
                  <c:v>0.10257381220281232</c:v>
                </c:pt>
                <c:pt idx="4">
                  <c:v>0.10590917942324934</c:v>
                </c:pt>
                <c:pt idx="5">
                  <c:v>0.10357199700820195</c:v>
                </c:pt>
              </c:numCache>
            </c:numRef>
          </c:val>
          <c:smooth val="0"/>
          <c:extLst xmlns:c16r2="http://schemas.microsoft.com/office/drawing/2015/06/chart">
            <c:ext xmlns:c16="http://schemas.microsoft.com/office/drawing/2014/chart" uri="{C3380CC4-5D6E-409C-BE32-E72D297353CC}">
              <c16:uniqueId val="{00000003-400F-401B-AFAD-23A2BCB7E70C}"/>
            </c:ext>
          </c:extLst>
        </c:ser>
        <c:dLbls>
          <c:showLegendKey val="0"/>
          <c:showVal val="0"/>
          <c:showCatName val="0"/>
          <c:showSerName val="0"/>
          <c:showPercent val="0"/>
          <c:showBubbleSize val="0"/>
        </c:dLbls>
        <c:marker val="1"/>
        <c:smooth val="0"/>
        <c:axId val="507680984"/>
        <c:axId val="507682160"/>
      </c:lineChart>
      <c:catAx>
        <c:axId val="50768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507680200"/>
        <c:crosses val="autoZero"/>
        <c:auto val="1"/>
        <c:lblAlgn val="ctr"/>
        <c:lblOffset val="100"/>
        <c:noMultiLvlLbl val="0"/>
      </c:catAx>
      <c:valAx>
        <c:axId val="507680200"/>
        <c:scaling>
          <c:orientation val="minMax"/>
          <c:max val="0.25"/>
          <c:min val="5.000000000000001E-2"/>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Proportion of total FTEs</a:t>
                </a:r>
              </a:p>
            </c:rich>
          </c:tx>
          <c:layout>
            <c:manualLayout>
              <c:xMode val="edge"/>
              <c:yMode val="edge"/>
              <c:x val="1.2197601138442773E-2"/>
              <c:y val="0.231256677086218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507681376"/>
        <c:crosses val="autoZero"/>
        <c:crossBetween val="between"/>
        <c:majorUnit val="5.000000000000001E-2"/>
      </c:valAx>
      <c:valAx>
        <c:axId val="507682160"/>
        <c:scaling>
          <c:orientation val="minMax"/>
          <c:max val="0.25"/>
          <c:min val="5.000000000000001E-2"/>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Proportion of total employee expenses</a:t>
                </a:r>
              </a:p>
            </c:rich>
          </c:tx>
          <c:layout>
            <c:manualLayout>
              <c:xMode val="edge"/>
              <c:yMode val="edge"/>
              <c:x val="0.95743037202683456"/>
              <c:y val="0.1130763491247011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507680984"/>
        <c:crosses val="max"/>
        <c:crossBetween val="between"/>
        <c:majorUnit val="5.000000000000001E-2"/>
      </c:valAx>
      <c:catAx>
        <c:axId val="507680984"/>
        <c:scaling>
          <c:orientation val="minMax"/>
        </c:scaling>
        <c:delete val="1"/>
        <c:axPos val="b"/>
        <c:numFmt formatCode="General" sourceLinked="1"/>
        <c:majorTickMark val="out"/>
        <c:minorTickMark val="none"/>
        <c:tickLblPos val="nextTo"/>
        <c:crossAx val="507682160"/>
        <c:crosses val="autoZero"/>
        <c:auto val="1"/>
        <c:lblAlgn val="ctr"/>
        <c:lblOffset val="100"/>
        <c:noMultiLvlLbl val="0"/>
      </c:catAx>
      <c:spPr>
        <a:noFill/>
        <a:ln>
          <a:solidFill>
            <a:schemeClr val="bg2">
              <a:lumMod val="75000"/>
            </a:schemeClr>
          </a:solidFill>
        </a:ln>
        <a:effectLst/>
      </c:spPr>
    </c:plotArea>
    <c:legend>
      <c:legendPos val="b"/>
      <c:legendEntry>
        <c:idx val="2"/>
        <c:delete val="1"/>
      </c:legendEntry>
      <c:legendEntry>
        <c:idx val="3"/>
        <c:delete val="1"/>
      </c:legendEntry>
      <c:layout>
        <c:manualLayout>
          <c:xMode val="edge"/>
          <c:yMode val="edge"/>
          <c:x val="4.9999919963247125E-2"/>
          <c:y val="0.93241008190559105"/>
          <c:w val="0.9"/>
          <c:h val="6.041116719706519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97050330529087"/>
          <c:y val="4.4123545928600079E-2"/>
          <c:w val="0.61459314378616547"/>
          <c:h val="0.86171990234072726"/>
        </c:manualLayout>
      </c:layout>
      <c:barChart>
        <c:barDir val="col"/>
        <c:grouping val="stacked"/>
        <c:varyColors val="0"/>
        <c:ser>
          <c:idx val="0"/>
          <c:order val="0"/>
          <c:tx>
            <c:strRef>
              <c:f>Sheet1!$B$78</c:f>
              <c:strCache>
                <c:ptCount val="1"/>
                <c:pt idx="0">
                  <c:v>Environment Division </c:v>
                </c:pt>
              </c:strCache>
            </c:strRef>
          </c:tx>
          <c:spPr>
            <a:solidFill>
              <a:srgbClr val="004F59"/>
            </a:solidFill>
            <a:ln>
              <a:noFill/>
            </a:ln>
            <a:effectLst/>
          </c:spPr>
          <c:invertIfNegative val="0"/>
          <c:cat>
            <c:strRef>
              <c:f>Sheet1!$C$55:$H$55</c:f>
              <c:strCache>
                <c:ptCount val="6"/>
                <c:pt idx="0">
                  <c:v>2014-15</c:v>
                </c:pt>
                <c:pt idx="1">
                  <c:v>2015-16</c:v>
                </c:pt>
                <c:pt idx="2">
                  <c:v>2016-17</c:v>
                </c:pt>
                <c:pt idx="3">
                  <c:v>2017-18</c:v>
                </c:pt>
                <c:pt idx="4">
                  <c:v>2018-19</c:v>
                </c:pt>
                <c:pt idx="5">
                  <c:v>2019-20</c:v>
                </c:pt>
              </c:strCache>
            </c:strRef>
          </c:cat>
          <c:val>
            <c:numRef>
              <c:f>Sheet1!$C$78:$H$78</c:f>
              <c:numCache>
                <c:formatCode>General</c:formatCode>
                <c:ptCount val="6"/>
                <c:pt idx="0">
                  <c:v>6615.9089999999997</c:v>
                </c:pt>
                <c:pt idx="1">
                  <c:v>7539.9</c:v>
                </c:pt>
                <c:pt idx="2">
                  <c:v>7081.9110000000001</c:v>
                </c:pt>
                <c:pt idx="3">
                  <c:v>7169.6309999999994</c:v>
                </c:pt>
                <c:pt idx="4">
                  <c:v>7316.5959999999995</c:v>
                </c:pt>
                <c:pt idx="5">
                  <c:v>7742.38</c:v>
                </c:pt>
              </c:numCache>
            </c:numRef>
          </c:val>
          <c:extLst xmlns:c16r2="http://schemas.microsoft.com/office/drawing/2015/06/chart">
            <c:ext xmlns:c16="http://schemas.microsoft.com/office/drawing/2014/chart" uri="{C3380CC4-5D6E-409C-BE32-E72D297353CC}">
              <c16:uniqueId val="{00000000-9CF1-4751-994A-A2EB41A163CF}"/>
            </c:ext>
          </c:extLst>
        </c:ser>
        <c:ser>
          <c:idx val="1"/>
          <c:order val="1"/>
          <c:tx>
            <c:strRef>
              <c:f>Sheet1!$B$79</c:f>
              <c:strCache>
                <c:ptCount val="1"/>
                <c:pt idx="0">
                  <c:v>Safety and Integrity Division</c:v>
                </c:pt>
              </c:strCache>
            </c:strRef>
          </c:tx>
          <c:spPr>
            <a:solidFill>
              <a:srgbClr val="007680"/>
            </a:solidFill>
            <a:ln>
              <a:noFill/>
            </a:ln>
            <a:effectLst/>
          </c:spPr>
          <c:invertIfNegative val="0"/>
          <c:cat>
            <c:strRef>
              <c:f>Sheet1!$C$55:$H$55</c:f>
              <c:strCache>
                <c:ptCount val="6"/>
                <c:pt idx="0">
                  <c:v>2014-15</c:v>
                </c:pt>
                <c:pt idx="1">
                  <c:v>2015-16</c:v>
                </c:pt>
                <c:pt idx="2">
                  <c:v>2016-17</c:v>
                </c:pt>
                <c:pt idx="3">
                  <c:v>2017-18</c:v>
                </c:pt>
                <c:pt idx="4">
                  <c:v>2018-19</c:v>
                </c:pt>
                <c:pt idx="5">
                  <c:v>2019-20</c:v>
                </c:pt>
              </c:strCache>
            </c:strRef>
          </c:cat>
          <c:val>
            <c:numRef>
              <c:f>Sheet1!$C$79:$H$79</c:f>
              <c:numCache>
                <c:formatCode>General</c:formatCode>
                <c:ptCount val="6"/>
                <c:pt idx="0">
                  <c:v>10757.05</c:v>
                </c:pt>
                <c:pt idx="1">
                  <c:v>10974.189</c:v>
                </c:pt>
                <c:pt idx="2">
                  <c:v>10504.647999999999</c:v>
                </c:pt>
                <c:pt idx="3">
                  <c:v>10851.313</c:v>
                </c:pt>
                <c:pt idx="4">
                  <c:v>11280.616</c:v>
                </c:pt>
                <c:pt idx="5">
                  <c:v>11814.796000000002</c:v>
                </c:pt>
              </c:numCache>
            </c:numRef>
          </c:val>
          <c:extLst xmlns:c16r2="http://schemas.microsoft.com/office/drawing/2015/06/chart">
            <c:ext xmlns:c16="http://schemas.microsoft.com/office/drawing/2014/chart" uri="{C3380CC4-5D6E-409C-BE32-E72D297353CC}">
              <c16:uniqueId val="{00000001-9CF1-4751-994A-A2EB41A163CF}"/>
            </c:ext>
          </c:extLst>
        </c:ser>
        <c:ser>
          <c:idx val="2"/>
          <c:order val="2"/>
          <c:tx>
            <c:strRef>
              <c:f>Sheet1!$B$80</c:f>
              <c:strCache>
                <c:ptCount val="1"/>
                <c:pt idx="0">
                  <c:v>Regulatory Support Division (excl. Corporate Support)</c:v>
                </c:pt>
              </c:strCache>
            </c:strRef>
          </c:tx>
          <c:spPr>
            <a:solidFill>
              <a:srgbClr val="0097A9"/>
            </a:solidFill>
            <a:ln>
              <a:noFill/>
            </a:ln>
            <a:effectLst/>
          </c:spPr>
          <c:invertIfNegative val="0"/>
          <c:cat>
            <c:strRef>
              <c:f>Sheet1!$C$55:$H$55</c:f>
              <c:strCache>
                <c:ptCount val="6"/>
                <c:pt idx="0">
                  <c:v>2014-15</c:v>
                </c:pt>
                <c:pt idx="1">
                  <c:v>2015-16</c:v>
                </c:pt>
                <c:pt idx="2">
                  <c:v>2016-17</c:v>
                </c:pt>
                <c:pt idx="3">
                  <c:v>2017-18</c:v>
                </c:pt>
                <c:pt idx="4">
                  <c:v>2018-19</c:v>
                </c:pt>
                <c:pt idx="5">
                  <c:v>2019-20</c:v>
                </c:pt>
              </c:strCache>
            </c:strRef>
          </c:cat>
          <c:val>
            <c:numRef>
              <c:f>Sheet1!$C$80:$H$80</c:f>
              <c:numCache>
                <c:formatCode>General</c:formatCode>
                <c:ptCount val="6"/>
                <c:pt idx="0">
                  <c:v>3973.3260000000005</c:v>
                </c:pt>
                <c:pt idx="1">
                  <c:v>3901.1480000000001</c:v>
                </c:pt>
                <c:pt idx="2">
                  <c:v>3596.105</c:v>
                </c:pt>
                <c:pt idx="3">
                  <c:v>3823.0340000000001</c:v>
                </c:pt>
                <c:pt idx="4">
                  <c:v>4563.6469999999999</c:v>
                </c:pt>
                <c:pt idx="5">
                  <c:v>4891.3680000000004</c:v>
                </c:pt>
              </c:numCache>
            </c:numRef>
          </c:val>
          <c:extLst xmlns:c16r2="http://schemas.microsoft.com/office/drawing/2015/06/chart">
            <c:ext xmlns:c16="http://schemas.microsoft.com/office/drawing/2014/chart" uri="{C3380CC4-5D6E-409C-BE32-E72D297353CC}">
              <c16:uniqueId val="{00000002-9CF1-4751-994A-A2EB41A163CF}"/>
            </c:ext>
          </c:extLst>
        </c:ser>
        <c:ser>
          <c:idx val="3"/>
          <c:order val="3"/>
          <c:tx>
            <c:strRef>
              <c:f>Sheet1!$B$81</c:f>
              <c:strCache>
                <c:ptCount val="1"/>
                <c:pt idx="0">
                  <c:v>Legal</c:v>
                </c:pt>
              </c:strCache>
            </c:strRef>
          </c:tx>
          <c:spPr>
            <a:solidFill>
              <a:srgbClr val="6FC2B4"/>
            </a:solidFill>
            <a:ln>
              <a:noFill/>
            </a:ln>
            <a:effectLst/>
          </c:spPr>
          <c:invertIfNegative val="0"/>
          <c:cat>
            <c:strRef>
              <c:f>Sheet1!$C$55:$H$55</c:f>
              <c:strCache>
                <c:ptCount val="6"/>
                <c:pt idx="0">
                  <c:v>2014-15</c:v>
                </c:pt>
                <c:pt idx="1">
                  <c:v>2015-16</c:v>
                </c:pt>
                <c:pt idx="2">
                  <c:v>2016-17</c:v>
                </c:pt>
                <c:pt idx="3">
                  <c:v>2017-18</c:v>
                </c:pt>
                <c:pt idx="4">
                  <c:v>2018-19</c:v>
                </c:pt>
                <c:pt idx="5">
                  <c:v>2019-20</c:v>
                </c:pt>
              </c:strCache>
            </c:strRef>
          </c:cat>
          <c:val>
            <c:numRef>
              <c:f>Sheet1!$C$81:$H$81</c:f>
              <c:numCache>
                <c:formatCode>General</c:formatCode>
                <c:ptCount val="6"/>
                <c:pt idx="0">
                  <c:v>662.62400000000002</c:v>
                </c:pt>
                <c:pt idx="1">
                  <c:v>671.45600000000002</c:v>
                </c:pt>
                <c:pt idx="2">
                  <c:v>645.41600000000005</c:v>
                </c:pt>
                <c:pt idx="3">
                  <c:v>743.59199999999998</c:v>
                </c:pt>
                <c:pt idx="4">
                  <c:v>787.94299999999998</c:v>
                </c:pt>
                <c:pt idx="5">
                  <c:v>873.66099999999994</c:v>
                </c:pt>
              </c:numCache>
            </c:numRef>
          </c:val>
          <c:extLst xmlns:c16r2="http://schemas.microsoft.com/office/drawing/2015/06/chart">
            <c:ext xmlns:c16="http://schemas.microsoft.com/office/drawing/2014/chart" uri="{C3380CC4-5D6E-409C-BE32-E72D297353CC}">
              <c16:uniqueId val="{00000003-9CF1-4751-994A-A2EB41A163CF}"/>
            </c:ext>
          </c:extLst>
        </c:ser>
        <c:ser>
          <c:idx val="4"/>
          <c:order val="4"/>
          <c:tx>
            <c:strRef>
              <c:f>Sheet1!$B$82</c:f>
              <c:strCache>
                <c:ptCount val="1"/>
                <c:pt idx="0">
                  <c:v>Corporate support</c:v>
                </c:pt>
              </c:strCache>
            </c:strRef>
          </c:tx>
          <c:spPr>
            <a:solidFill>
              <a:srgbClr val="9DD4CF"/>
            </a:solidFill>
            <a:ln>
              <a:noFill/>
            </a:ln>
            <a:effectLst/>
          </c:spPr>
          <c:invertIfNegative val="0"/>
          <c:cat>
            <c:strRef>
              <c:f>Sheet1!$C$55:$H$55</c:f>
              <c:strCache>
                <c:ptCount val="6"/>
                <c:pt idx="0">
                  <c:v>2014-15</c:v>
                </c:pt>
                <c:pt idx="1">
                  <c:v>2015-16</c:v>
                </c:pt>
                <c:pt idx="2">
                  <c:v>2016-17</c:v>
                </c:pt>
                <c:pt idx="3">
                  <c:v>2017-18</c:v>
                </c:pt>
                <c:pt idx="4">
                  <c:v>2018-19</c:v>
                </c:pt>
                <c:pt idx="5">
                  <c:v>2019-20</c:v>
                </c:pt>
              </c:strCache>
            </c:strRef>
          </c:cat>
          <c:val>
            <c:numRef>
              <c:f>Sheet1!$C$82:$H$82</c:f>
              <c:numCache>
                <c:formatCode>General</c:formatCode>
                <c:ptCount val="6"/>
                <c:pt idx="0">
                  <c:v>2251.9740000000002</c:v>
                </c:pt>
                <c:pt idx="1">
                  <c:v>2410.2579999999998</c:v>
                </c:pt>
                <c:pt idx="2">
                  <c:v>2214.1460000000002</c:v>
                </c:pt>
                <c:pt idx="3">
                  <c:v>2581.7090000000003</c:v>
                </c:pt>
                <c:pt idx="4">
                  <c:v>2836.846</c:v>
                </c:pt>
                <c:pt idx="5">
                  <c:v>2925.6909999999998</c:v>
                </c:pt>
              </c:numCache>
            </c:numRef>
          </c:val>
          <c:extLst xmlns:c16r2="http://schemas.microsoft.com/office/drawing/2015/06/chart">
            <c:ext xmlns:c16="http://schemas.microsoft.com/office/drawing/2014/chart" uri="{C3380CC4-5D6E-409C-BE32-E72D297353CC}">
              <c16:uniqueId val="{00000004-9CF1-4751-994A-A2EB41A163CF}"/>
            </c:ext>
          </c:extLst>
        </c:ser>
        <c:dLbls>
          <c:showLegendKey val="0"/>
          <c:showVal val="0"/>
          <c:showCatName val="0"/>
          <c:showSerName val="0"/>
          <c:showPercent val="0"/>
          <c:showBubbleSize val="0"/>
        </c:dLbls>
        <c:gapWidth val="55"/>
        <c:overlap val="100"/>
        <c:axId val="507683336"/>
        <c:axId val="507680592"/>
      </c:barChart>
      <c:catAx>
        <c:axId val="50768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507680592"/>
        <c:crosses val="autoZero"/>
        <c:auto val="1"/>
        <c:lblAlgn val="ctr"/>
        <c:lblOffset val="100"/>
        <c:noMultiLvlLbl val="0"/>
      </c:catAx>
      <c:valAx>
        <c:axId val="50768059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sz="900" b="0" i="0" baseline="0">
                    <a:effectLst/>
                  </a:rPr>
                  <a:t>Employee expenses (AUD 000's)</a:t>
                </a:r>
                <a:endParaRPr lang="en-AU" sz="200">
                  <a:effectLst/>
                </a:endParaRPr>
              </a:p>
            </c:rich>
          </c:tx>
          <c:layout>
            <c:manualLayout>
              <c:xMode val="edge"/>
              <c:yMode val="edge"/>
              <c:x val="4.0724903278354712E-3"/>
              <c:y val="0.20827754211446461"/>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507683336"/>
        <c:crosses val="autoZero"/>
        <c:crossBetween val="between"/>
      </c:valAx>
      <c:spPr>
        <a:noFill/>
        <a:ln>
          <a:solidFill>
            <a:srgbClr val="E7E6E6">
              <a:lumMod val="75000"/>
            </a:srgbClr>
          </a:solidFill>
        </a:ln>
        <a:effectLst/>
      </c:spPr>
    </c:plotArea>
    <c:legend>
      <c:legendPos val="r"/>
      <c:layout>
        <c:manualLayout>
          <c:xMode val="edge"/>
          <c:yMode val="edge"/>
          <c:x val="0.72574487291104495"/>
          <c:y val="5.0129338525825066E-2"/>
          <c:w val="0.26203765610544866"/>
          <c:h val="0.8556177770197498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E7E6E6">
          <a:lumMod val="75000"/>
        </a:srgb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66056816427358E-2"/>
          <c:y val="4.6928327645051192E-2"/>
          <c:w val="0.88487211157428847"/>
          <c:h val="0.78112722044556704"/>
        </c:manualLayout>
      </c:layout>
      <c:barChart>
        <c:barDir val="col"/>
        <c:grouping val="clustered"/>
        <c:varyColors val="0"/>
        <c:ser>
          <c:idx val="0"/>
          <c:order val="0"/>
          <c:tx>
            <c:strRef>
              <c:f>'Breakdwon rev &amp; exp'!$A$31</c:f>
              <c:strCache>
                <c:ptCount val="1"/>
                <c:pt idx="0">
                  <c:v>Safety</c:v>
                </c:pt>
              </c:strCache>
            </c:strRef>
          </c:tx>
          <c:spPr>
            <a:solidFill>
              <a:srgbClr val="004F59"/>
            </a:solidFill>
            <a:ln>
              <a:noFill/>
            </a:ln>
            <a:effectLst/>
          </c:spPr>
          <c:invertIfNegative val="0"/>
          <c:cat>
            <c:strRef>
              <c:f>'Breakdwon rev &amp; exp'!$B$30:$F$30</c:f>
              <c:strCache>
                <c:ptCount val="5"/>
                <c:pt idx="0">
                  <c:v>2014-15</c:v>
                </c:pt>
                <c:pt idx="1">
                  <c:v>2015-16</c:v>
                </c:pt>
                <c:pt idx="2">
                  <c:v>2016-17</c:v>
                </c:pt>
                <c:pt idx="3">
                  <c:v>2017-18</c:v>
                </c:pt>
                <c:pt idx="4">
                  <c:v>2018-19</c:v>
                </c:pt>
              </c:strCache>
            </c:strRef>
          </c:cat>
          <c:val>
            <c:numRef>
              <c:f>'Breakdwon rev &amp; exp'!$B$31:$F$31</c:f>
              <c:numCache>
                <c:formatCode>General</c:formatCode>
                <c:ptCount val="5"/>
                <c:pt idx="0">
                  <c:v>15914</c:v>
                </c:pt>
                <c:pt idx="1">
                  <c:v>14774</c:v>
                </c:pt>
                <c:pt idx="2">
                  <c:v>18074</c:v>
                </c:pt>
                <c:pt idx="3">
                  <c:v>16260</c:v>
                </c:pt>
                <c:pt idx="4">
                  <c:v>17439</c:v>
                </c:pt>
              </c:numCache>
            </c:numRef>
          </c:val>
          <c:extLst xmlns:c16r2="http://schemas.microsoft.com/office/drawing/2015/06/chart">
            <c:ext xmlns:c16="http://schemas.microsoft.com/office/drawing/2014/chart" uri="{C3380CC4-5D6E-409C-BE32-E72D297353CC}">
              <c16:uniqueId val="{00000000-1D9A-4C33-9FBD-AF6FE41EBCF1}"/>
            </c:ext>
          </c:extLst>
        </c:ser>
        <c:ser>
          <c:idx val="1"/>
          <c:order val="1"/>
          <c:tx>
            <c:strRef>
              <c:f>'Breakdwon rev &amp; exp'!$A$32</c:f>
              <c:strCache>
                <c:ptCount val="1"/>
                <c:pt idx="0">
                  <c:v>Wells</c:v>
                </c:pt>
              </c:strCache>
            </c:strRef>
          </c:tx>
          <c:spPr>
            <a:solidFill>
              <a:srgbClr val="0097A9"/>
            </a:solidFill>
            <a:ln>
              <a:noFill/>
            </a:ln>
            <a:effectLst/>
          </c:spPr>
          <c:invertIfNegative val="0"/>
          <c:cat>
            <c:strRef>
              <c:f>'Breakdwon rev &amp; exp'!$B$30:$F$30</c:f>
              <c:strCache>
                <c:ptCount val="5"/>
                <c:pt idx="0">
                  <c:v>2014-15</c:v>
                </c:pt>
                <c:pt idx="1">
                  <c:v>2015-16</c:v>
                </c:pt>
                <c:pt idx="2">
                  <c:v>2016-17</c:v>
                </c:pt>
                <c:pt idx="3">
                  <c:v>2017-18</c:v>
                </c:pt>
                <c:pt idx="4">
                  <c:v>2018-19</c:v>
                </c:pt>
              </c:strCache>
            </c:strRef>
          </c:cat>
          <c:val>
            <c:numRef>
              <c:f>'Breakdwon rev &amp; exp'!$B$32:$F$32</c:f>
              <c:numCache>
                <c:formatCode>General</c:formatCode>
                <c:ptCount val="5"/>
                <c:pt idx="0">
                  <c:v>3843</c:v>
                </c:pt>
                <c:pt idx="1">
                  <c:v>4773</c:v>
                </c:pt>
                <c:pt idx="2">
                  <c:v>5938</c:v>
                </c:pt>
                <c:pt idx="3">
                  <c:v>4555</c:v>
                </c:pt>
                <c:pt idx="4">
                  <c:v>4579</c:v>
                </c:pt>
              </c:numCache>
            </c:numRef>
          </c:val>
          <c:extLst xmlns:c16r2="http://schemas.microsoft.com/office/drawing/2015/06/chart">
            <c:ext xmlns:c16="http://schemas.microsoft.com/office/drawing/2014/chart" uri="{C3380CC4-5D6E-409C-BE32-E72D297353CC}">
              <c16:uniqueId val="{00000001-1D9A-4C33-9FBD-AF6FE41EBCF1}"/>
            </c:ext>
          </c:extLst>
        </c:ser>
        <c:ser>
          <c:idx val="2"/>
          <c:order val="2"/>
          <c:tx>
            <c:strRef>
              <c:f>'Breakdwon rev &amp; exp'!$A$33</c:f>
              <c:strCache>
                <c:ptCount val="1"/>
                <c:pt idx="0">
                  <c:v>Environment</c:v>
                </c:pt>
              </c:strCache>
            </c:strRef>
          </c:tx>
          <c:spPr>
            <a:solidFill>
              <a:srgbClr val="6FC2B4"/>
            </a:solidFill>
            <a:ln>
              <a:noFill/>
            </a:ln>
            <a:effectLst/>
          </c:spPr>
          <c:invertIfNegative val="0"/>
          <c:cat>
            <c:strRef>
              <c:f>'Breakdwon rev &amp; exp'!$B$30:$F$30</c:f>
              <c:strCache>
                <c:ptCount val="5"/>
                <c:pt idx="0">
                  <c:v>2014-15</c:v>
                </c:pt>
                <c:pt idx="1">
                  <c:v>2015-16</c:v>
                </c:pt>
                <c:pt idx="2">
                  <c:v>2016-17</c:v>
                </c:pt>
                <c:pt idx="3">
                  <c:v>2017-18</c:v>
                </c:pt>
                <c:pt idx="4">
                  <c:v>2018-19</c:v>
                </c:pt>
              </c:strCache>
            </c:strRef>
          </c:cat>
          <c:val>
            <c:numRef>
              <c:f>'Breakdwon rev &amp; exp'!$B$33:$F$33</c:f>
              <c:numCache>
                <c:formatCode>General</c:formatCode>
                <c:ptCount val="5"/>
                <c:pt idx="0">
                  <c:v>19683</c:v>
                </c:pt>
                <c:pt idx="1">
                  <c:v>10773</c:v>
                </c:pt>
                <c:pt idx="2">
                  <c:v>11956</c:v>
                </c:pt>
                <c:pt idx="3">
                  <c:v>10762</c:v>
                </c:pt>
                <c:pt idx="4">
                  <c:v>10248</c:v>
                </c:pt>
              </c:numCache>
            </c:numRef>
          </c:val>
          <c:extLst xmlns:c16r2="http://schemas.microsoft.com/office/drawing/2015/06/chart">
            <c:ext xmlns:c16="http://schemas.microsoft.com/office/drawing/2014/chart" uri="{C3380CC4-5D6E-409C-BE32-E72D297353CC}">
              <c16:uniqueId val="{00000002-1D9A-4C33-9FBD-AF6FE41EBCF1}"/>
            </c:ext>
          </c:extLst>
        </c:ser>
        <c:dLbls>
          <c:showLegendKey val="0"/>
          <c:showVal val="0"/>
          <c:showCatName val="0"/>
          <c:showSerName val="0"/>
          <c:showPercent val="0"/>
          <c:showBubbleSize val="0"/>
        </c:dLbls>
        <c:gapWidth val="219"/>
        <c:overlap val="-27"/>
        <c:axId val="983859192"/>
        <c:axId val="983856840"/>
      </c:barChart>
      <c:catAx>
        <c:axId val="98385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3856840"/>
        <c:crosses val="autoZero"/>
        <c:auto val="1"/>
        <c:lblAlgn val="ctr"/>
        <c:lblOffset val="100"/>
        <c:noMultiLvlLbl val="0"/>
      </c:catAx>
      <c:valAx>
        <c:axId val="9838568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3859192"/>
        <c:crosses val="autoZero"/>
        <c:crossBetween val="between"/>
        <c:dispUnits>
          <c:builtInUnit val="thousands"/>
          <c:dispUnitsLbl>
            <c:layout>
              <c:manualLayout>
                <c:xMode val="edge"/>
                <c:yMode val="edge"/>
                <c:x val="1.0212418300653595E-2"/>
                <c:y val="0.35409556313993173"/>
              </c:manualLayout>
            </c:layout>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US"/>
                    <a:t>$ Million</a:t>
                  </a:r>
                </a:p>
              </c:rich>
            </c:tx>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ispUnitsLbl>
        </c:dispUnits>
      </c:valAx>
      <c:spPr>
        <a:noFill/>
        <a:ln>
          <a:solidFill>
            <a:schemeClr val="bg2">
              <a:lumMod val="75000"/>
            </a:schemeClr>
          </a:solidFill>
        </a:ln>
        <a:effectLst/>
      </c:spPr>
    </c:plotArea>
    <c:legend>
      <c:legendPos val="b"/>
      <c:layout>
        <c:manualLayout>
          <c:xMode val="edge"/>
          <c:yMode val="edge"/>
          <c:x val="0.3285436287375843"/>
          <c:y val="0.91539867243557016"/>
          <c:w val="0.34291258169934641"/>
          <c:h val="7.180269275214318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no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387412252531513E-2"/>
          <c:y val="4.5370179418436789E-2"/>
          <c:w val="0.88401139604826962"/>
          <c:h val="0.78209712855804348"/>
        </c:manualLayout>
      </c:layout>
      <c:barChart>
        <c:barDir val="col"/>
        <c:grouping val="clustered"/>
        <c:varyColors val="0"/>
        <c:ser>
          <c:idx val="0"/>
          <c:order val="0"/>
          <c:tx>
            <c:strRef>
              <c:f>'Historical financials'!$A$2</c:f>
              <c:strCache>
                <c:ptCount val="1"/>
                <c:pt idx="0">
                  <c:v>Expenses</c:v>
                </c:pt>
              </c:strCache>
            </c:strRef>
          </c:tx>
          <c:spPr>
            <a:solidFill>
              <a:srgbClr val="004F59"/>
            </a:solidFill>
            <a:ln>
              <a:noFill/>
            </a:ln>
            <a:effectLst/>
          </c:spPr>
          <c:invertIfNegative val="0"/>
          <c:trendline>
            <c:spPr>
              <a:ln w="19050" cap="rnd">
                <a:solidFill>
                  <a:srgbClr val="007680"/>
                </a:solidFill>
                <a:prstDash val="sysDot"/>
              </a:ln>
              <a:effectLst/>
            </c:spPr>
            <c:trendlineType val="linear"/>
            <c:dispRSqr val="0"/>
            <c:dispEq val="0"/>
          </c:trendline>
          <c:cat>
            <c:strRef>
              <c:f>'Historical financials'!$B$1:$F$1</c:f>
              <c:strCache>
                <c:ptCount val="5"/>
                <c:pt idx="0">
                  <c:v>2014-15</c:v>
                </c:pt>
                <c:pt idx="1">
                  <c:v>2015-16</c:v>
                </c:pt>
                <c:pt idx="2">
                  <c:v>2016-17</c:v>
                </c:pt>
                <c:pt idx="3">
                  <c:v>2017-18</c:v>
                </c:pt>
                <c:pt idx="4">
                  <c:v>2018-19</c:v>
                </c:pt>
              </c:strCache>
            </c:strRef>
          </c:cat>
          <c:val>
            <c:numRef>
              <c:f>'Historical financials'!$B$2:$F$2</c:f>
              <c:numCache>
                <c:formatCode>General</c:formatCode>
                <c:ptCount val="5"/>
                <c:pt idx="0">
                  <c:v>32212</c:v>
                </c:pt>
                <c:pt idx="1">
                  <c:v>33434</c:v>
                </c:pt>
                <c:pt idx="2">
                  <c:v>31169</c:v>
                </c:pt>
                <c:pt idx="3">
                  <c:v>31738</c:v>
                </c:pt>
                <c:pt idx="4">
                  <c:v>34541</c:v>
                </c:pt>
              </c:numCache>
            </c:numRef>
          </c:val>
          <c:extLst xmlns:c16r2="http://schemas.microsoft.com/office/drawing/2015/06/chart">
            <c:ext xmlns:c16="http://schemas.microsoft.com/office/drawing/2014/chart" uri="{C3380CC4-5D6E-409C-BE32-E72D297353CC}">
              <c16:uniqueId val="{00000001-092A-4D61-BC80-271F715DFBA6}"/>
            </c:ext>
          </c:extLst>
        </c:ser>
        <c:ser>
          <c:idx val="1"/>
          <c:order val="1"/>
          <c:tx>
            <c:strRef>
              <c:f>'Historical financials'!$A$3</c:f>
              <c:strCache>
                <c:ptCount val="1"/>
                <c:pt idx="0">
                  <c:v>Revenue</c:v>
                </c:pt>
              </c:strCache>
            </c:strRef>
          </c:tx>
          <c:spPr>
            <a:solidFill>
              <a:srgbClr val="0097A9"/>
            </a:solidFill>
            <a:ln>
              <a:noFill/>
            </a:ln>
            <a:effectLst/>
          </c:spPr>
          <c:invertIfNegative val="0"/>
          <c:trendline>
            <c:spPr>
              <a:ln w="19050" cap="rnd">
                <a:solidFill>
                  <a:srgbClr val="6FC2B4"/>
                </a:solidFill>
                <a:prstDash val="sysDot"/>
              </a:ln>
              <a:effectLst/>
            </c:spPr>
            <c:trendlineType val="linear"/>
            <c:dispRSqr val="0"/>
            <c:dispEq val="0"/>
          </c:trendline>
          <c:cat>
            <c:strRef>
              <c:f>'Historical financials'!$B$1:$F$1</c:f>
              <c:strCache>
                <c:ptCount val="5"/>
                <c:pt idx="0">
                  <c:v>2014-15</c:v>
                </c:pt>
                <c:pt idx="1">
                  <c:v>2015-16</c:v>
                </c:pt>
                <c:pt idx="2">
                  <c:v>2016-17</c:v>
                </c:pt>
                <c:pt idx="3">
                  <c:v>2017-18</c:v>
                </c:pt>
                <c:pt idx="4">
                  <c:v>2018-19</c:v>
                </c:pt>
              </c:strCache>
            </c:strRef>
          </c:cat>
          <c:val>
            <c:numRef>
              <c:f>'Historical financials'!$B$3:$F$3</c:f>
              <c:numCache>
                <c:formatCode>General</c:formatCode>
                <c:ptCount val="5"/>
                <c:pt idx="0">
                  <c:v>39713</c:v>
                </c:pt>
                <c:pt idx="1">
                  <c:v>30607</c:v>
                </c:pt>
                <c:pt idx="2">
                  <c:v>36232</c:v>
                </c:pt>
                <c:pt idx="3">
                  <c:v>31960</c:v>
                </c:pt>
                <c:pt idx="4">
                  <c:v>33109</c:v>
                </c:pt>
              </c:numCache>
            </c:numRef>
          </c:val>
          <c:extLst xmlns:c16r2="http://schemas.microsoft.com/office/drawing/2015/06/chart">
            <c:ext xmlns:c16="http://schemas.microsoft.com/office/drawing/2014/chart" uri="{C3380CC4-5D6E-409C-BE32-E72D297353CC}">
              <c16:uniqueId val="{00000003-092A-4D61-BC80-271F715DFBA6}"/>
            </c:ext>
          </c:extLst>
        </c:ser>
        <c:ser>
          <c:idx val="2"/>
          <c:order val="2"/>
          <c:tx>
            <c:strRef>
              <c:f>'Historical financials'!$A$4</c:f>
              <c:strCache>
                <c:ptCount val="1"/>
                <c:pt idx="0">
                  <c:v>Balance</c:v>
                </c:pt>
              </c:strCache>
            </c:strRef>
          </c:tx>
          <c:spPr>
            <a:solidFill>
              <a:srgbClr val="6FC2B4"/>
            </a:solidFill>
            <a:ln>
              <a:noFill/>
            </a:ln>
            <a:effectLst/>
          </c:spPr>
          <c:invertIfNegative val="0"/>
          <c:cat>
            <c:strRef>
              <c:f>'Historical financials'!$B$1:$F$1</c:f>
              <c:strCache>
                <c:ptCount val="5"/>
                <c:pt idx="0">
                  <c:v>2014-15</c:v>
                </c:pt>
                <c:pt idx="1">
                  <c:v>2015-16</c:v>
                </c:pt>
                <c:pt idx="2">
                  <c:v>2016-17</c:v>
                </c:pt>
                <c:pt idx="3">
                  <c:v>2017-18</c:v>
                </c:pt>
                <c:pt idx="4">
                  <c:v>2018-19</c:v>
                </c:pt>
              </c:strCache>
            </c:strRef>
          </c:cat>
          <c:val>
            <c:numRef>
              <c:f>'Historical financials'!$B$4:$F$4</c:f>
              <c:numCache>
                <c:formatCode>General</c:formatCode>
                <c:ptCount val="5"/>
                <c:pt idx="0">
                  <c:v>7501</c:v>
                </c:pt>
                <c:pt idx="1">
                  <c:v>-2827</c:v>
                </c:pt>
                <c:pt idx="2">
                  <c:v>5063</c:v>
                </c:pt>
                <c:pt idx="3">
                  <c:v>222</c:v>
                </c:pt>
                <c:pt idx="4">
                  <c:v>-1432</c:v>
                </c:pt>
              </c:numCache>
            </c:numRef>
          </c:val>
          <c:extLst xmlns:c16r2="http://schemas.microsoft.com/office/drawing/2015/06/chart">
            <c:ext xmlns:c16="http://schemas.microsoft.com/office/drawing/2014/chart" uri="{C3380CC4-5D6E-409C-BE32-E72D297353CC}">
              <c16:uniqueId val="{00000004-092A-4D61-BC80-271F715DFBA6}"/>
            </c:ext>
          </c:extLst>
        </c:ser>
        <c:dLbls>
          <c:showLegendKey val="0"/>
          <c:showVal val="0"/>
          <c:showCatName val="0"/>
          <c:showSerName val="0"/>
          <c:showPercent val="0"/>
          <c:showBubbleSize val="0"/>
        </c:dLbls>
        <c:gapWidth val="219"/>
        <c:axId val="983859976"/>
        <c:axId val="983857232"/>
      </c:barChart>
      <c:lineChart>
        <c:grouping val="standard"/>
        <c:varyColors val="0"/>
        <c:ser>
          <c:idx val="3"/>
          <c:order val="3"/>
          <c:tx>
            <c:strRef>
              <c:f>'Historical financials'!$A$5</c:f>
              <c:strCache>
                <c:ptCount val="1"/>
                <c:pt idx="0">
                  <c:v>Cumulative balance</c:v>
                </c:pt>
              </c:strCache>
            </c:strRef>
          </c:tx>
          <c:spPr>
            <a:ln w="28575" cap="rnd">
              <a:solidFill>
                <a:schemeClr val="tx1">
                  <a:lumMod val="50000"/>
                  <a:lumOff val="50000"/>
                </a:schemeClr>
              </a:solidFill>
              <a:round/>
            </a:ln>
            <a:effectLst/>
          </c:spPr>
          <c:marker>
            <c:symbol val="none"/>
          </c:marker>
          <c:cat>
            <c:strRef>
              <c:f>'Historical financials'!$B$1:$F$1</c:f>
              <c:strCache>
                <c:ptCount val="5"/>
                <c:pt idx="0">
                  <c:v>2014-15</c:v>
                </c:pt>
                <c:pt idx="1">
                  <c:v>2015-16</c:v>
                </c:pt>
                <c:pt idx="2">
                  <c:v>2016-17</c:v>
                </c:pt>
                <c:pt idx="3">
                  <c:v>2017-18</c:v>
                </c:pt>
                <c:pt idx="4">
                  <c:v>2018-19</c:v>
                </c:pt>
              </c:strCache>
            </c:strRef>
          </c:cat>
          <c:val>
            <c:numRef>
              <c:f>'Historical financials'!$B$5:$F$5</c:f>
              <c:numCache>
                <c:formatCode>General</c:formatCode>
                <c:ptCount val="5"/>
                <c:pt idx="0">
                  <c:v>12542</c:v>
                </c:pt>
                <c:pt idx="1">
                  <c:v>9715</c:v>
                </c:pt>
                <c:pt idx="2">
                  <c:v>14778</c:v>
                </c:pt>
                <c:pt idx="3">
                  <c:v>15000</c:v>
                </c:pt>
                <c:pt idx="4">
                  <c:v>13568</c:v>
                </c:pt>
              </c:numCache>
            </c:numRef>
          </c:val>
          <c:smooth val="0"/>
          <c:extLst xmlns:c16r2="http://schemas.microsoft.com/office/drawing/2015/06/chart">
            <c:ext xmlns:c16="http://schemas.microsoft.com/office/drawing/2014/chart" uri="{C3380CC4-5D6E-409C-BE32-E72D297353CC}">
              <c16:uniqueId val="{00000005-092A-4D61-BC80-271F715DFBA6}"/>
            </c:ext>
          </c:extLst>
        </c:ser>
        <c:dLbls>
          <c:showLegendKey val="0"/>
          <c:showVal val="0"/>
          <c:showCatName val="0"/>
          <c:showSerName val="0"/>
          <c:showPercent val="0"/>
          <c:showBubbleSize val="0"/>
        </c:dLbls>
        <c:marker val="1"/>
        <c:smooth val="0"/>
        <c:axId val="983859976"/>
        <c:axId val="983857232"/>
      </c:lineChart>
      <c:catAx>
        <c:axId val="9838599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3857232"/>
        <c:crosses val="autoZero"/>
        <c:auto val="1"/>
        <c:lblAlgn val="ctr"/>
        <c:lblOffset val="100"/>
        <c:noMultiLvlLbl val="0"/>
      </c:catAx>
      <c:valAx>
        <c:axId val="983857232"/>
        <c:scaling>
          <c:orientation val="minMax"/>
          <c:max val="45000"/>
          <c:min val="-10000"/>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r>
                  <a:rPr lang="en-AU"/>
                  <a:t>$ Million</a:t>
                </a:r>
              </a:p>
            </c:rich>
          </c:tx>
          <c:layout>
            <c:manualLayout>
              <c:xMode val="edge"/>
              <c:yMode val="edge"/>
              <c:x val="1.027326895418122E-2"/>
              <c:y val="0.3631975421509102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3859976"/>
        <c:crosses val="autoZero"/>
        <c:crossBetween val="between"/>
        <c:majorUnit val="10000"/>
        <c:dispUnits>
          <c:builtInUnit val="thousands"/>
        </c:dispUnits>
      </c:valAx>
      <c:spPr>
        <a:noFill/>
        <a:ln>
          <a:solidFill>
            <a:schemeClr val="bg2">
              <a:lumMod val="75000"/>
            </a:schemeClr>
          </a:solidFill>
        </a:ln>
        <a:effectLst/>
      </c:spPr>
    </c:plotArea>
    <c:legend>
      <c:legendPos val="b"/>
      <c:legendEntry>
        <c:idx val="4"/>
        <c:delete val="1"/>
      </c:legendEntry>
      <c:legendEntry>
        <c:idx val="5"/>
        <c:delete val="1"/>
      </c:legendEntry>
      <c:layout>
        <c:manualLayout>
          <c:xMode val="edge"/>
          <c:yMode val="edge"/>
          <c:x val="0.12835519301611853"/>
          <c:y val="0.91408310504804136"/>
          <c:w val="0.74328945218399989"/>
          <c:h val="6.941864789070885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r>
              <a:rPr lang="en-AU" sz="1000"/>
              <a:t>NOPSEMA's levy and fee structure is:</a:t>
            </a:r>
          </a:p>
        </c:rich>
      </c:tx>
      <c:layout>
        <c:manualLayout>
          <c:xMode val="edge"/>
          <c:yMode val="edge"/>
          <c:x val="1.2029002239822662E-2"/>
          <c:y val="2.456140350877193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endParaRPr lang="en-US"/>
        </a:p>
      </c:txPr>
    </c:title>
    <c:autoTitleDeleted val="0"/>
    <c:plotArea>
      <c:layout/>
      <c:barChart>
        <c:barDir val="bar"/>
        <c:grouping val="percentStacked"/>
        <c:varyColors val="0"/>
        <c:ser>
          <c:idx val="0"/>
          <c:order val="0"/>
          <c:tx>
            <c:strRef>
              <c:f>'Levy quant'!$A$8</c:f>
              <c:strCache>
                <c:ptCount val="1"/>
                <c:pt idx="0">
                  <c:v>Strongly agree</c:v>
                </c:pt>
              </c:strCache>
            </c:strRef>
          </c:tx>
          <c:spPr>
            <a:solidFill>
              <a:srgbClr val="004F59"/>
            </a:solidFill>
            <a:ln>
              <a:noFill/>
            </a:ln>
            <a:effectLst/>
          </c:spPr>
          <c:invertIfNegative val="0"/>
          <c:cat>
            <c:strRef>
              <c:f>'Levy quant'!$B$7:$F$7</c:f>
              <c:strCache>
                <c:ptCount val="5"/>
                <c:pt idx="0">
                  <c:v>Transparent in its calculation</c:v>
                </c:pt>
                <c:pt idx="1">
                  <c:v>Fair and equitable across the industry</c:v>
                </c:pt>
                <c:pt idx="2">
                  <c:v>Consistent in its application</c:v>
                </c:pt>
                <c:pt idx="3">
                  <c:v>Reasonable in its level</c:v>
                </c:pt>
                <c:pt idx="4">
                  <c:v>Commensurate in its amount to NOPSEMA's role</c:v>
                </c:pt>
              </c:strCache>
            </c:strRef>
          </c:cat>
          <c:val>
            <c:numRef>
              <c:f>'Levy quant'!$B$8:$F$8</c:f>
              <c:numCache>
                <c:formatCode>0.0%</c:formatCode>
                <c:ptCount val="5"/>
                <c:pt idx="0">
                  <c:v>0.25</c:v>
                </c:pt>
                <c:pt idx="1">
                  <c:v>0.125</c:v>
                </c:pt>
                <c:pt idx="2">
                  <c:v>0.125</c:v>
                </c:pt>
                <c:pt idx="3">
                  <c:v>0</c:v>
                </c:pt>
                <c:pt idx="4">
                  <c:v>0.125</c:v>
                </c:pt>
              </c:numCache>
            </c:numRef>
          </c:val>
          <c:extLst xmlns:c16r2="http://schemas.microsoft.com/office/drawing/2015/06/chart">
            <c:ext xmlns:c16="http://schemas.microsoft.com/office/drawing/2014/chart" uri="{C3380CC4-5D6E-409C-BE32-E72D297353CC}">
              <c16:uniqueId val="{00000000-A649-4A58-B827-DA48644EC3D9}"/>
            </c:ext>
          </c:extLst>
        </c:ser>
        <c:ser>
          <c:idx val="1"/>
          <c:order val="1"/>
          <c:tx>
            <c:strRef>
              <c:f>'Levy quant'!$A$9</c:f>
              <c:strCache>
                <c:ptCount val="1"/>
                <c:pt idx="0">
                  <c:v>Agree</c:v>
                </c:pt>
              </c:strCache>
            </c:strRef>
          </c:tx>
          <c:spPr>
            <a:solidFill>
              <a:srgbClr val="007680"/>
            </a:solidFill>
            <a:ln>
              <a:noFill/>
            </a:ln>
            <a:effectLst/>
          </c:spPr>
          <c:invertIfNegative val="0"/>
          <c:cat>
            <c:strRef>
              <c:f>'Levy quant'!$B$7:$F$7</c:f>
              <c:strCache>
                <c:ptCount val="5"/>
                <c:pt idx="0">
                  <c:v>Transparent in its calculation</c:v>
                </c:pt>
                <c:pt idx="1">
                  <c:v>Fair and equitable across the industry</c:v>
                </c:pt>
                <c:pt idx="2">
                  <c:v>Consistent in its application</c:v>
                </c:pt>
                <c:pt idx="3">
                  <c:v>Reasonable in its level</c:v>
                </c:pt>
                <c:pt idx="4">
                  <c:v>Commensurate in its amount to NOPSEMA's role</c:v>
                </c:pt>
              </c:strCache>
            </c:strRef>
          </c:cat>
          <c:val>
            <c:numRef>
              <c:f>'Levy quant'!$B$9:$F$9</c:f>
              <c:numCache>
                <c:formatCode>0.0%</c:formatCode>
                <c:ptCount val="5"/>
                <c:pt idx="0">
                  <c:v>0.125</c:v>
                </c:pt>
                <c:pt idx="1">
                  <c:v>0.375</c:v>
                </c:pt>
                <c:pt idx="2">
                  <c:v>0.375</c:v>
                </c:pt>
                <c:pt idx="3">
                  <c:v>0.25</c:v>
                </c:pt>
                <c:pt idx="4">
                  <c:v>0.25</c:v>
                </c:pt>
              </c:numCache>
            </c:numRef>
          </c:val>
          <c:extLst xmlns:c16r2="http://schemas.microsoft.com/office/drawing/2015/06/chart">
            <c:ext xmlns:c16="http://schemas.microsoft.com/office/drawing/2014/chart" uri="{C3380CC4-5D6E-409C-BE32-E72D297353CC}">
              <c16:uniqueId val="{00000001-A649-4A58-B827-DA48644EC3D9}"/>
            </c:ext>
          </c:extLst>
        </c:ser>
        <c:ser>
          <c:idx val="2"/>
          <c:order val="2"/>
          <c:tx>
            <c:strRef>
              <c:f>'Levy quant'!$A$10</c:f>
              <c:strCache>
                <c:ptCount val="1"/>
                <c:pt idx="0">
                  <c:v>Slightly agree</c:v>
                </c:pt>
              </c:strCache>
            </c:strRef>
          </c:tx>
          <c:spPr>
            <a:solidFill>
              <a:srgbClr val="0097A9"/>
            </a:solidFill>
            <a:ln>
              <a:noFill/>
            </a:ln>
            <a:effectLst/>
          </c:spPr>
          <c:invertIfNegative val="0"/>
          <c:cat>
            <c:strRef>
              <c:f>'Levy quant'!$B$7:$F$7</c:f>
              <c:strCache>
                <c:ptCount val="5"/>
                <c:pt idx="0">
                  <c:v>Transparent in its calculation</c:v>
                </c:pt>
                <c:pt idx="1">
                  <c:v>Fair and equitable across the industry</c:v>
                </c:pt>
                <c:pt idx="2">
                  <c:v>Consistent in its application</c:v>
                </c:pt>
                <c:pt idx="3">
                  <c:v>Reasonable in its level</c:v>
                </c:pt>
                <c:pt idx="4">
                  <c:v>Commensurate in its amount to NOPSEMA's role</c:v>
                </c:pt>
              </c:strCache>
            </c:strRef>
          </c:cat>
          <c:val>
            <c:numRef>
              <c:f>'Levy quant'!$B$10:$F$10</c:f>
              <c:numCache>
                <c:formatCode>0.0%</c:formatCode>
                <c:ptCount val="5"/>
                <c:pt idx="0">
                  <c:v>0.375</c:v>
                </c:pt>
                <c:pt idx="1">
                  <c:v>0.125</c:v>
                </c:pt>
                <c:pt idx="2">
                  <c:v>0.5</c:v>
                </c:pt>
                <c:pt idx="3">
                  <c:v>0.5</c:v>
                </c:pt>
                <c:pt idx="4">
                  <c:v>0.375</c:v>
                </c:pt>
              </c:numCache>
            </c:numRef>
          </c:val>
          <c:extLst xmlns:c16r2="http://schemas.microsoft.com/office/drawing/2015/06/chart">
            <c:ext xmlns:c16="http://schemas.microsoft.com/office/drawing/2014/chart" uri="{C3380CC4-5D6E-409C-BE32-E72D297353CC}">
              <c16:uniqueId val="{00000002-A649-4A58-B827-DA48644EC3D9}"/>
            </c:ext>
          </c:extLst>
        </c:ser>
        <c:ser>
          <c:idx val="3"/>
          <c:order val="3"/>
          <c:tx>
            <c:strRef>
              <c:f>'Levy quant'!$A$11</c:f>
              <c:strCache>
                <c:ptCount val="1"/>
                <c:pt idx="0">
                  <c:v>Slightly disagree</c:v>
                </c:pt>
              </c:strCache>
            </c:strRef>
          </c:tx>
          <c:spPr>
            <a:solidFill>
              <a:srgbClr val="6FC2B4"/>
            </a:solidFill>
            <a:ln>
              <a:noFill/>
            </a:ln>
            <a:effectLst/>
          </c:spPr>
          <c:invertIfNegative val="0"/>
          <c:cat>
            <c:strRef>
              <c:f>'Levy quant'!$B$7:$F$7</c:f>
              <c:strCache>
                <c:ptCount val="5"/>
                <c:pt idx="0">
                  <c:v>Transparent in its calculation</c:v>
                </c:pt>
                <c:pt idx="1">
                  <c:v>Fair and equitable across the industry</c:v>
                </c:pt>
                <c:pt idx="2">
                  <c:v>Consistent in its application</c:v>
                </c:pt>
                <c:pt idx="3">
                  <c:v>Reasonable in its level</c:v>
                </c:pt>
                <c:pt idx="4">
                  <c:v>Commensurate in its amount to NOPSEMA's role</c:v>
                </c:pt>
              </c:strCache>
            </c:strRef>
          </c:cat>
          <c:val>
            <c:numRef>
              <c:f>'Levy quant'!$B$11:$F$11</c:f>
              <c:numCache>
                <c:formatCode>0.0%</c:formatCode>
                <c:ptCount val="5"/>
                <c:pt idx="0">
                  <c:v>0.25</c:v>
                </c:pt>
                <c:pt idx="1">
                  <c:v>0.375</c:v>
                </c:pt>
                <c:pt idx="2">
                  <c:v>0</c:v>
                </c:pt>
                <c:pt idx="3">
                  <c:v>0.25</c:v>
                </c:pt>
                <c:pt idx="4">
                  <c:v>0.25</c:v>
                </c:pt>
              </c:numCache>
            </c:numRef>
          </c:val>
          <c:extLst xmlns:c16r2="http://schemas.microsoft.com/office/drawing/2015/06/chart">
            <c:ext xmlns:c16="http://schemas.microsoft.com/office/drawing/2014/chart" uri="{C3380CC4-5D6E-409C-BE32-E72D297353CC}">
              <c16:uniqueId val="{00000003-A649-4A58-B827-DA48644EC3D9}"/>
            </c:ext>
          </c:extLst>
        </c:ser>
        <c:dLbls>
          <c:showLegendKey val="0"/>
          <c:showVal val="0"/>
          <c:showCatName val="0"/>
          <c:showSerName val="0"/>
          <c:showPercent val="0"/>
          <c:showBubbleSize val="0"/>
        </c:dLbls>
        <c:gapWidth val="150"/>
        <c:overlap val="100"/>
        <c:axId val="983858016"/>
        <c:axId val="983859584"/>
      </c:barChart>
      <c:catAx>
        <c:axId val="983858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endParaRPr lang="en-US"/>
          </a:p>
        </c:txPr>
        <c:crossAx val="983859584"/>
        <c:crosses val="autoZero"/>
        <c:auto val="1"/>
        <c:lblAlgn val="ctr"/>
        <c:lblOffset val="100"/>
        <c:noMultiLvlLbl val="0"/>
      </c:catAx>
      <c:valAx>
        <c:axId val="98385958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endParaRPr lang="en-US"/>
          </a:p>
        </c:txPr>
        <c:crossAx val="983858016"/>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endParaRPr lang="en-US"/>
        </a:p>
      </c:txPr>
    </c:legend>
    <c:plotVisOnly val="1"/>
    <c:dispBlanksAs val="gap"/>
    <c:showDLblsOverMax val="0"/>
  </c:chart>
  <c:spPr>
    <a:no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'[Workbook - NOPIMS and RMS extracts - assessments, inspections, compliance, petroleum activities 2015-2019 Deloitte.xlsx]Active facility numbers'!$B$9</c:f>
              <c:strCache>
                <c:ptCount val="1"/>
                <c:pt idx="0">
                  <c:v>Platforms - M</c:v>
                </c:pt>
              </c:strCache>
            </c:strRef>
          </c:tx>
          <c:spPr>
            <a:solidFill>
              <a:schemeClr val="accent5">
                <a:lumMod val="50000"/>
              </a:schemeClr>
            </a:solidFill>
            <a:ln>
              <a:noFill/>
            </a:ln>
            <a:effectLst/>
          </c:spPr>
          <c:invertIfNegative val="0"/>
          <c:cat>
            <c:numRef>
              <c:f>'[Workbook - NOPIMS and RMS extracts - assessments, inspections, compliance, petroleum activities 2015-2019 Deloitte.xlsx]Active facility numbers'!$C$8:$G$8</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facility numbers'!$C$9:$G$9</c:f>
              <c:numCache>
                <c:formatCode>General</c:formatCode>
                <c:ptCount val="5"/>
                <c:pt idx="0">
                  <c:v>17</c:v>
                </c:pt>
                <c:pt idx="1">
                  <c:v>17</c:v>
                </c:pt>
                <c:pt idx="2">
                  <c:v>18</c:v>
                </c:pt>
                <c:pt idx="3">
                  <c:v>18</c:v>
                </c:pt>
                <c:pt idx="4">
                  <c:v>18</c:v>
                </c:pt>
              </c:numCache>
            </c:numRef>
          </c:val>
          <c:extLst xmlns:c16r2="http://schemas.microsoft.com/office/drawing/2015/06/chart">
            <c:ext xmlns:c16="http://schemas.microsoft.com/office/drawing/2014/chart" uri="{C3380CC4-5D6E-409C-BE32-E72D297353CC}">
              <c16:uniqueId val="{00000000-3232-4F86-8437-EABB19133538}"/>
            </c:ext>
          </c:extLst>
        </c:ser>
        <c:ser>
          <c:idx val="1"/>
          <c:order val="1"/>
          <c:tx>
            <c:strRef>
              <c:f>'[Workbook - NOPIMS and RMS extracts - assessments, inspections, compliance, petroleum activities 2015-2019 Deloitte.xlsx]Active facility numbers'!$B$10</c:f>
              <c:strCache>
                <c:ptCount val="1"/>
                <c:pt idx="0">
                  <c:v>Platforms - NNM</c:v>
                </c:pt>
              </c:strCache>
            </c:strRef>
          </c:tx>
          <c:spPr>
            <a:solidFill>
              <a:schemeClr val="accent5">
                <a:lumMod val="75000"/>
              </a:schemeClr>
            </a:solidFill>
            <a:ln>
              <a:noFill/>
            </a:ln>
            <a:effectLst/>
          </c:spPr>
          <c:invertIfNegative val="0"/>
          <c:cat>
            <c:numRef>
              <c:f>'[Workbook - NOPIMS and RMS extracts - assessments, inspections, compliance, petroleum activities 2015-2019 Deloitte.xlsx]Active facility numbers'!$C$8:$G$8</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facility numbers'!$C$10:$G$10</c:f>
              <c:numCache>
                <c:formatCode>General</c:formatCode>
                <c:ptCount val="5"/>
                <c:pt idx="0">
                  <c:v>10</c:v>
                </c:pt>
                <c:pt idx="1">
                  <c:v>17</c:v>
                </c:pt>
                <c:pt idx="2">
                  <c:v>16</c:v>
                </c:pt>
                <c:pt idx="3">
                  <c:v>16</c:v>
                </c:pt>
                <c:pt idx="4">
                  <c:v>16</c:v>
                </c:pt>
              </c:numCache>
            </c:numRef>
          </c:val>
          <c:extLst xmlns:c16r2="http://schemas.microsoft.com/office/drawing/2015/06/chart">
            <c:ext xmlns:c16="http://schemas.microsoft.com/office/drawing/2014/chart" uri="{C3380CC4-5D6E-409C-BE32-E72D297353CC}">
              <c16:uniqueId val="{00000001-3232-4F86-8437-EABB19133538}"/>
            </c:ext>
          </c:extLst>
        </c:ser>
        <c:ser>
          <c:idx val="2"/>
          <c:order val="2"/>
          <c:tx>
            <c:strRef>
              <c:f>'[Workbook - NOPIMS and RMS extracts - assessments, inspections, compliance, petroleum activities 2015-2019 Deloitte.xlsx]Active facility numbers'!$B$11</c:f>
              <c:strCache>
                <c:ptCount val="1"/>
                <c:pt idx="0">
                  <c:v>FPSOs</c:v>
                </c:pt>
              </c:strCache>
            </c:strRef>
          </c:tx>
          <c:spPr>
            <a:solidFill>
              <a:schemeClr val="accent5"/>
            </a:solidFill>
            <a:ln>
              <a:noFill/>
            </a:ln>
            <a:effectLst/>
          </c:spPr>
          <c:invertIfNegative val="0"/>
          <c:cat>
            <c:numRef>
              <c:f>'[Workbook - NOPIMS and RMS extracts - assessments, inspections, compliance, petroleum activities 2015-2019 Deloitte.xlsx]Active facility numbers'!$C$8:$G$8</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facility numbers'!$C$11:$G$11</c:f>
              <c:numCache>
                <c:formatCode>General</c:formatCode>
                <c:ptCount val="5"/>
                <c:pt idx="0">
                  <c:v>11</c:v>
                </c:pt>
                <c:pt idx="1">
                  <c:v>10</c:v>
                </c:pt>
                <c:pt idx="2">
                  <c:v>11</c:v>
                </c:pt>
                <c:pt idx="3">
                  <c:v>11</c:v>
                </c:pt>
                <c:pt idx="4">
                  <c:v>9</c:v>
                </c:pt>
              </c:numCache>
            </c:numRef>
          </c:val>
          <c:extLst xmlns:c16r2="http://schemas.microsoft.com/office/drawing/2015/06/chart">
            <c:ext xmlns:c16="http://schemas.microsoft.com/office/drawing/2014/chart" uri="{C3380CC4-5D6E-409C-BE32-E72D297353CC}">
              <c16:uniqueId val="{00000002-3232-4F86-8437-EABB19133538}"/>
            </c:ext>
          </c:extLst>
        </c:ser>
        <c:ser>
          <c:idx val="3"/>
          <c:order val="3"/>
          <c:tx>
            <c:strRef>
              <c:f>'[Workbook - NOPIMS and RMS extracts - assessments, inspections, compliance, petroleum activities 2015-2019 Deloitte.xlsx]Active facility numbers'!$B$12</c:f>
              <c:strCache>
                <c:ptCount val="1"/>
                <c:pt idx="0">
                  <c:v>MODUs</c:v>
                </c:pt>
              </c:strCache>
            </c:strRef>
          </c:tx>
          <c:spPr>
            <a:solidFill>
              <a:srgbClr val="00ABAB"/>
            </a:solidFill>
            <a:ln>
              <a:noFill/>
            </a:ln>
            <a:effectLst/>
          </c:spPr>
          <c:invertIfNegative val="0"/>
          <c:cat>
            <c:numRef>
              <c:f>'[Workbook - NOPIMS and RMS extracts - assessments, inspections, compliance, petroleum activities 2015-2019 Deloitte.xlsx]Active facility numbers'!$C$8:$G$8</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facility numbers'!$C$12:$G$12</c:f>
              <c:numCache>
                <c:formatCode>General</c:formatCode>
                <c:ptCount val="5"/>
                <c:pt idx="0">
                  <c:v>13</c:v>
                </c:pt>
                <c:pt idx="1">
                  <c:v>8</c:v>
                </c:pt>
                <c:pt idx="2">
                  <c:v>5</c:v>
                </c:pt>
                <c:pt idx="3">
                  <c:v>7</c:v>
                </c:pt>
                <c:pt idx="4">
                  <c:v>8</c:v>
                </c:pt>
              </c:numCache>
            </c:numRef>
          </c:val>
          <c:extLst xmlns:c16r2="http://schemas.microsoft.com/office/drawing/2015/06/chart">
            <c:ext xmlns:c16="http://schemas.microsoft.com/office/drawing/2014/chart" uri="{C3380CC4-5D6E-409C-BE32-E72D297353CC}">
              <c16:uniqueId val="{00000003-3232-4F86-8437-EABB19133538}"/>
            </c:ext>
          </c:extLst>
        </c:ser>
        <c:ser>
          <c:idx val="4"/>
          <c:order val="4"/>
          <c:tx>
            <c:strRef>
              <c:f>'[Workbook - NOPIMS and RMS extracts - assessments, inspections, compliance, petroleum activities 2015-2019 Deloitte.xlsx]Active facility numbers'!$B$13</c:f>
              <c:strCache>
                <c:ptCount val="1"/>
                <c:pt idx="0">
                  <c:v>Vessels</c:v>
                </c:pt>
              </c:strCache>
            </c:strRef>
          </c:tx>
          <c:spPr>
            <a:solidFill>
              <a:srgbClr val="6FC2B4"/>
            </a:solidFill>
            <a:ln>
              <a:noFill/>
            </a:ln>
            <a:effectLst/>
          </c:spPr>
          <c:invertIfNegative val="0"/>
          <c:cat>
            <c:numRef>
              <c:f>'[Workbook - NOPIMS and RMS extracts - assessments, inspections, compliance, petroleum activities 2015-2019 Deloitte.xlsx]Active facility numbers'!$C$8:$G$8</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facility numbers'!$C$13:$G$13</c:f>
              <c:numCache>
                <c:formatCode>General</c:formatCode>
                <c:ptCount val="5"/>
                <c:pt idx="0">
                  <c:v>16</c:v>
                </c:pt>
                <c:pt idx="1">
                  <c:v>12</c:v>
                </c:pt>
                <c:pt idx="2">
                  <c:v>14</c:v>
                </c:pt>
                <c:pt idx="3">
                  <c:v>19</c:v>
                </c:pt>
                <c:pt idx="4">
                  <c:v>11</c:v>
                </c:pt>
              </c:numCache>
            </c:numRef>
          </c:val>
          <c:extLst xmlns:c16r2="http://schemas.microsoft.com/office/drawing/2015/06/chart">
            <c:ext xmlns:c16="http://schemas.microsoft.com/office/drawing/2014/chart" uri="{C3380CC4-5D6E-409C-BE32-E72D297353CC}">
              <c16:uniqueId val="{00000004-3232-4F86-8437-EABB19133538}"/>
            </c:ext>
          </c:extLst>
        </c:ser>
        <c:ser>
          <c:idx val="5"/>
          <c:order val="5"/>
          <c:tx>
            <c:strRef>
              <c:f>'[Workbook - NOPIMS and RMS extracts - assessments, inspections, compliance, petroleum activities 2015-2019 Deloitte.xlsx]Active facility numbers'!$B$14</c:f>
              <c:strCache>
                <c:ptCount val="1"/>
                <c:pt idx="0">
                  <c:v>Pipelines</c:v>
                </c:pt>
              </c:strCache>
            </c:strRef>
          </c:tx>
          <c:spPr>
            <a:solidFill>
              <a:srgbClr val="6FC2B4"/>
            </a:solidFill>
            <a:ln>
              <a:noFill/>
            </a:ln>
            <a:effectLst/>
          </c:spPr>
          <c:invertIfNegative val="0"/>
          <c:cat>
            <c:numRef>
              <c:f>'[Workbook - NOPIMS and RMS extracts - assessments, inspections, compliance, petroleum activities 2015-2019 Deloitte.xlsx]Active facility numbers'!$C$8:$G$8</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facility numbers'!$C$14:$G$14</c:f>
              <c:numCache>
                <c:formatCode>General</c:formatCode>
                <c:ptCount val="5"/>
                <c:pt idx="0">
                  <c:v>81</c:v>
                </c:pt>
                <c:pt idx="1">
                  <c:v>85</c:v>
                </c:pt>
                <c:pt idx="2">
                  <c:v>87</c:v>
                </c:pt>
                <c:pt idx="3">
                  <c:v>88</c:v>
                </c:pt>
                <c:pt idx="4">
                  <c:v>89</c:v>
                </c:pt>
              </c:numCache>
            </c:numRef>
          </c:val>
          <c:extLst xmlns:c16r2="http://schemas.microsoft.com/office/drawing/2015/06/chart">
            <c:ext xmlns:c16="http://schemas.microsoft.com/office/drawing/2014/chart" uri="{C3380CC4-5D6E-409C-BE32-E72D297353CC}">
              <c16:uniqueId val="{00000005-3232-4F86-8437-EABB19133538}"/>
            </c:ext>
          </c:extLst>
        </c:ser>
        <c:ser>
          <c:idx val="6"/>
          <c:order val="6"/>
          <c:tx>
            <c:strRef>
              <c:f>'[Workbook - NOPIMS and RMS extracts - assessments, inspections, compliance, petroleum activities 2015-2019 Deloitte.xlsx]Active facility numbers'!$B$15</c:f>
              <c:strCache>
                <c:ptCount val="1"/>
                <c:pt idx="0">
                  <c:v>Other</c:v>
                </c:pt>
              </c:strCache>
            </c:strRef>
          </c:tx>
          <c:spPr>
            <a:solidFill>
              <a:srgbClr val="9DD4CF"/>
            </a:solidFill>
            <a:ln>
              <a:noFill/>
            </a:ln>
            <a:effectLst/>
          </c:spPr>
          <c:invertIfNegative val="0"/>
          <c:cat>
            <c:numRef>
              <c:f>'[Workbook - NOPIMS and RMS extracts - assessments, inspections, compliance, petroleum activities 2015-2019 Deloitte.xlsx]Active facility numbers'!$C$8:$G$8</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facility numbers'!$C$15:$G$15</c:f>
              <c:numCache>
                <c:formatCode>General</c:formatCode>
                <c:ptCount val="5"/>
                <c:pt idx="2">
                  <c:v>5</c:v>
                </c:pt>
                <c:pt idx="3">
                  <c:v>6</c:v>
                </c:pt>
                <c:pt idx="4">
                  <c:v>7</c:v>
                </c:pt>
              </c:numCache>
            </c:numRef>
          </c:val>
          <c:extLst xmlns:c16r2="http://schemas.microsoft.com/office/drawing/2015/06/chart">
            <c:ext xmlns:c16="http://schemas.microsoft.com/office/drawing/2014/chart" uri="{C3380CC4-5D6E-409C-BE32-E72D297353CC}">
              <c16:uniqueId val="{00000006-3232-4F86-8437-EABB19133538}"/>
            </c:ext>
          </c:extLst>
        </c:ser>
        <c:dLbls>
          <c:showLegendKey val="0"/>
          <c:showVal val="0"/>
          <c:showCatName val="0"/>
          <c:showSerName val="0"/>
          <c:showPercent val="0"/>
          <c:showBubbleSize val="0"/>
        </c:dLbls>
        <c:gapWidth val="150"/>
        <c:overlap val="100"/>
        <c:axId val="856774776"/>
        <c:axId val="856775168"/>
      </c:barChart>
      <c:catAx>
        <c:axId val="856774776"/>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56775168"/>
        <c:crosses val="autoZero"/>
        <c:auto val="1"/>
        <c:lblAlgn val="ctr"/>
        <c:lblOffset val="100"/>
        <c:noMultiLvlLbl val="0"/>
      </c:catAx>
      <c:valAx>
        <c:axId val="85677516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56774776"/>
        <c:crosses val="autoZero"/>
        <c:crossBetween val="between"/>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'[Workbook - NOPIMS and RMS extracts - assessments, inspections, compliance, petroleum activities 2015-2019 Deloitte.xlsx]Active petroleum activities'!$B$12</c:f>
              <c:strCache>
                <c:ptCount val="1"/>
                <c:pt idx="0">
                  <c:v>Drilling</c:v>
                </c:pt>
              </c:strCache>
            </c:strRef>
          </c:tx>
          <c:spPr>
            <a:solidFill>
              <a:schemeClr val="accent5">
                <a:lumMod val="50000"/>
              </a:schemeClr>
            </a:solidFill>
            <a:ln>
              <a:noFill/>
            </a:ln>
            <a:effectLst/>
          </c:spPr>
          <c:invertIfNegative val="0"/>
          <c:cat>
            <c:numRef>
              <c:f>'[Workbook - NOPIMS and RMS extracts - assessments, inspections, compliance, petroleum activities 2015-2019 Deloitte.xlsx]Active petroleum activities'!$C$11:$G$11</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petroleum activities'!$C$12:$G$12</c:f>
              <c:numCache>
                <c:formatCode>General</c:formatCode>
                <c:ptCount val="5"/>
                <c:pt idx="0">
                  <c:v>14</c:v>
                </c:pt>
                <c:pt idx="1">
                  <c:v>14</c:v>
                </c:pt>
                <c:pt idx="2">
                  <c:v>11</c:v>
                </c:pt>
                <c:pt idx="3">
                  <c:v>13</c:v>
                </c:pt>
                <c:pt idx="4">
                  <c:v>14</c:v>
                </c:pt>
              </c:numCache>
            </c:numRef>
          </c:val>
          <c:extLst xmlns:c16r2="http://schemas.microsoft.com/office/drawing/2015/06/chart">
            <c:ext xmlns:c16="http://schemas.microsoft.com/office/drawing/2014/chart" uri="{C3380CC4-5D6E-409C-BE32-E72D297353CC}">
              <c16:uniqueId val="{00000000-380A-495F-A26F-829F871F480F}"/>
            </c:ext>
          </c:extLst>
        </c:ser>
        <c:ser>
          <c:idx val="2"/>
          <c:order val="1"/>
          <c:tx>
            <c:strRef>
              <c:f>'[Workbook - NOPIMS and RMS extracts - assessments, inspections, compliance, petroleum activities 2015-2019 Deloitte.xlsx]Active petroleum activities'!$B$13</c:f>
              <c:strCache>
                <c:ptCount val="1"/>
                <c:pt idx="0">
                  <c:v>Other</c:v>
                </c:pt>
              </c:strCache>
            </c:strRef>
          </c:tx>
          <c:spPr>
            <a:solidFill>
              <a:schemeClr val="accent5">
                <a:lumMod val="75000"/>
              </a:schemeClr>
            </a:solidFill>
            <a:ln>
              <a:noFill/>
            </a:ln>
            <a:effectLst/>
          </c:spPr>
          <c:invertIfNegative val="0"/>
          <c:cat>
            <c:numRef>
              <c:f>'[Workbook - NOPIMS and RMS extracts - assessments, inspections, compliance, petroleum activities 2015-2019 Deloitte.xlsx]Active petroleum activities'!$C$11:$G$11</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petroleum activities'!$C$13:$G$13</c:f>
              <c:numCache>
                <c:formatCode>General</c:formatCode>
                <c:ptCount val="5"/>
                <c:pt idx="0">
                  <c:v>14</c:v>
                </c:pt>
                <c:pt idx="1">
                  <c:v>12</c:v>
                </c:pt>
                <c:pt idx="2">
                  <c:v>10</c:v>
                </c:pt>
                <c:pt idx="3">
                  <c:v>7</c:v>
                </c:pt>
                <c:pt idx="4">
                  <c:v>11</c:v>
                </c:pt>
              </c:numCache>
            </c:numRef>
          </c:val>
          <c:extLst xmlns:c16r2="http://schemas.microsoft.com/office/drawing/2015/06/chart">
            <c:ext xmlns:c16="http://schemas.microsoft.com/office/drawing/2014/chart" uri="{C3380CC4-5D6E-409C-BE32-E72D297353CC}">
              <c16:uniqueId val="{00000001-380A-495F-A26F-829F871F480F}"/>
            </c:ext>
          </c:extLst>
        </c:ser>
        <c:ser>
          <c:idx val="4"/>
          <c:order val="2"/>
          <c:tx>
            <c:strRef>
              <c:f>'[Workbook - NOPIMS and RMS extracts - assessments, inspections, compliance, petroleum activities 2015-2019 Deloitte.xlsx]Active petroleum activities'!$B$15</c:f>
              <c:strCache>
                <c:ptCount val="1"/>
                <c:pt idx="0">
                  <c:v>Construction</c:v>
                </c:pt>
              </c:strCache>
            </c:strRef>
          </c:tx>
          <c:spPr>
            <a:solidFill>
              <a:schemeClr val="accent5"/>
            </a:solidFill>
            <a:ln>
              <a:noFill/>
            </a:ln>
            <a:effectLst/>
          </c:spPr>
          <c:invertIfNegative val="0"/>
          <c:cat>
            <c:numRef>
              <c:f>'[Workbook - NOPIMS and RMS extracts - assessments, inspections, compliance, petroleum activities 2015-2019 Deloitte.xlsx]Active petroleum activities'!$C$11:$G$11</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petroleum activities'!$C$15:$G$15</c:f>
              <c:numCache>
                <c:formatCode>General</c:formatCode>
                <c:ptCount val="5"/>
                <c:pt idx="0">
                  <c:v>4</c:v>
                </c:pt>
                <c:pt idx="1">
                  <c:v>8</c:v>
                </c:pt>
                <c:pt idx="2">
                  <c:v>4</c:v>
                </c:pt>
                <c:pt idx="3">
                  <c:v>6</c:v>
                </c:pt>
                <c:pt idx="4">
                  <c:v>5</c:v>
                </c:pt>
              </c:numCache>
            </c:numRef>
          </c:val>
          <c:extLst xmlns:c16r2="http://schemas.microsoft.com/office/drawing/2015/06/chart">
            <c:ext xmlns:c16="http://schemas.microsoft.com/office/drawing/2014/chart" uri="{C3380CC4-5D6E-409C-BE32-E72D297353CC}">
              <c16:uniqueId val="{00000002-380A-495F-A26F-829F871F480F}"/>
            </c:ext>
          </c:extLst>
        </c:ser>
        <c:ser>
          <c:idx val="5"/>
          <c:order val="3"/>
          <c:tx>
            <c:strRef>
              <c:f>'[Workbook - NOPIMS and RMS extracts - assessments, inspections, compliance, petroleum activities 2015-2019 Deloitte.xlsx]Active petroleum activities'!$B$16</c:f>
              <c:strCache>
                <c:ptCount val="1"/>
                <c:pt idx="0">
                  <c:v>Operations</c:v>
                </c:pt>
              </c:strCache>
            </c:strRef>
          </c:tx>
          <c:spPr>
            <a:solidFill>
              <a:srgbClr val="00ABAB"/>
            </a:solidFill>
            <a:ln>
              <a:noFill/>
            </a:ln>
            <a:effectLst/>
          </c:spPr>
          <c:invertIfNegative val="0"/>
          <c:cat>
            <c:numRef>
              <c:f>'[Workbook - NOPIMS and RMS extracts - assessments, inspections, compliance, petroleum activities 2015-2019 Deloitte.xlsx]Active petroleum activities'!$C$11:$G$11</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petroleum activities'!$C$16:$G$16</c:f>
              <c:numCache>
                <c:formatCode>General</c:formatCode>
                <c:ptCount val="5"/>
                <c:pt idx="0">
                  <c:v>4</c:v>
                </c:pt>
                <c:pt idx="1">
                  <c:v>4</c:v>
                </c:pt>
                <c:pt idx="2">
                  <c:v>7</c:v>
                </c:pt>
                <c:pt idx="3">
                  <c:v>4</c:v>
                </c:pt>
                <c:pt idx="4">
                  <c:v>3</c:v>
                </c:pt>
              </c:numCache>
            </c:numRef>
          </c:val>
          <c:extLst xmlns:c16r2="http://schemas.microsoft.com/office/drawing/2015/06/chart">
            <c:ext xmlns:c16="http://schemas.microsoft.com/office/drawing/2014/chart" uri="{C3380CC4-5D6E-409C-BE32-E72D297353CC}">
              <c16:uniqueId val="{00000003-380A-495F-A26F-829F871F480F}"/>
            </c:ext>
          </c:extLst>
        </c:ser>
        <c:ser>
          <c:idx val="6"/>
          <c:order val="4"/>
          <c:tx>
            <c:strRef>
              <c:f>'[Workbook - NOPIMS and RMS extracts - assessments, inspections, compliance, petroleum activities 2015-2019 Deloitte.xlsx]Active petroleum activities'!$B$17</c:f>
              <c:strCache>
                <c:ptCount val="1"/>
                <c:pt idx="0">
                  <c:v>Decommissioning</c:v>
                </c:pt>
              </c:strCache>
            </c:strRef>
          </c:tx>
          <c:spPr>
            <a:solidFill>
              <a:srgbClr val="9DD4CF"/>
            </a:solidFill>
            <a:ln>
              <a:noFill/>
            </a:ln>
            <a:effectLst/>
          </c:spPr>
          <c:invertIfNegative val="0"/>
          <c:cat>
            <c:numRef>
              <c:f>'[Workbook - NOPIMS and RMS extracts - assessments, inspections, compliance, petroleum activities 2015-2019 Deloitte.xlsx]Active petroleum activities'!$C$11:$G$11</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Deloitte.xlsx]Active petroleum activities'!$C$17:$G$17</c:f>
              <c:numCache>
                <c:formatCode>General</c:formatCode>
                <c:ptCount val="5"/>
                <c:pt idx="0">
                  <c:v>0</c:v>
                </c:pt>
                <c:pt idx="1">
                  <c:v>0</c:v>
                </c:pt>
                <c:pt idx="2">
                  <c:v>0</c:v>
                </c:pt>
                <c:pt idx="3">
                  <c:v>1</c:v>
                </c:pt>
                <c:pt idx="4">
                  <c:v>0</c:v>
                </c:pt>
              </c:numCache>
            </c:numRef>
          </c:val>
          <c:extLst xmlns:c16r2="http://schemas.microsoft.com/office/drawing/2015/06/chart">
            <c:ext xmlns:c16="http://schemas.microsoft.com/office/drawing/2014/chart" uri="{C3380CC4-5D6E-409C-BE32-E72D297353CC}">
              <c16:uniqueId val="{00000004-380A-495F-A26F-829F871F480F}"/>
            </c:ext>
          </c:extLst>
        </c:ser>
        <c:dLbls>
          <c:showLegendKey val="0"/>
          <c:showVal val="0"/>
          <c:showCatName val="0"/>
          <c:showSerName val="0"/>
          <c:showPercent val="0"/>
          <c:showBubbleSize val="0"/>
        </c:dLbls>
        <c:gapWidth val="150"/>
        <c:overlap val="100"/>
        <c:axId val="856772816"/>
        <c:axId val="856774384"/>
      </c:barChart>
      <c:catAx>
        <c:axId val="856772816"/>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56774384"/>
        <c:crosses val="autoZero"/>
        <c:auto val="1"/>
        <c:lblAlgn val="ctr"/>
        <c:lblOffset val="100"/>
        <c:noMultiLvlLbl val="0"/>
      </c:catAx>
      <c:valAx>
        <c:axId val="8567743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56772816"/>
        <c:crosses val="autoZero"/>
        <c:crossBetween val="between"/>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'[Workbook - NOPIMS and RMS extracts - assessments, inspections, compliance, petroleum activities 2015-2019 Deloitte.xlsx]EP assessments'!$Y$17</c:f>
              <c:strCache>
                <c:ptCount val="1"/>
                <c:pt idx="0">
                  <c:v>In progress</c:v>
                </c:pt>
              </c:strCache>
            </c:strRef>
          </c:tx>
          <c:spPr>
            <a:solidFill>
              <a:schemeClr val="accent5">
                <a:lumMod val="50000"/>
              </a:schemeClr>
            </a:solidFill>
            <a:ln>
              <a:noFill/>
            </a:ln>
            <a:effectLst/>
          </c:spPr>
          <c:invertIfNegative val="0"/>
          <c:cat>
            <c:numRef>
              <c:f>'[Workbook - NOPIMS and RMS extracts - assessments, inspections, compliance, petroleum activities 2015-2019 Deloitte.xlsx]EP assessments'!$Z$16:$AD$16</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Deloitte.xlsx]EP assessments'!$Z$17:$AD$17</c:f>
              <c:numCache>
                <c:formatCode>General</c:formatCode>
                <c:ptCount val="5"/>
                <c:pt idx="4">
                  <c:v>1</c:v>
                </c:pt>
              </c:numCache>
            </c:numRef>
          </c:val>
          <c:extLst xmlns:c16r2="http://schemas.microsoft.com/office/drawing/2015/06/chart">
            <c:ext xmlns:c16="http://schemas.microsoft.com/office/drawing/2014/chart" uri="{C3380CC4-5D6E-409C-BE32-E72D297353CC}">
              <c16:uniqueId val="{00000000-CE56-4568-A078-A496547422B2}"/>
            </c:ext>
          </c:extLst>
        </c:ser>
        <c:ser>
          <c:idx val="2"/>
          <c:order val="1"/>
          <c:tx>
            <c:strRef>
              <c:f>'[Workbook - NOPIMS and RMS extracts - assessments, inspections, compliance, petroleum activities 2015-2019 Deloitte.xlsx]EP assessments'!$Y$18</c:f>
              <c:strCache>
                <c:ptCount val="1"/>
                <c:pt idx="0">
                  <c:v>Accepted</c:v>
                </c:pt>
              </c:strCache>
            </c:strRef>
          </c:tx>
          <c:spPr>
            <a:solidFill>
              <a:schemeClr val="accent5"/>
            </a:solidFill>
            <a:ln>
              <a:noFill/>
            </a:ln>
            <a:effectLst/>
          </c:spPr>
          <c:invertIfNegative val="0"/>
          <c:cat>
            <c:numRef>
              <c:f>'[Workbook - NOPIMS and RMS extracts - assessments, inspections, compliance, petroleum activities 2015-2019 Deloitte.xlsx]EP assessments'!$Z$16:$AD$16</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Deloitte.xlsx]EP assessments'!$Z$18:$AD$18</c:f>
              <c:numCache>
                <c:formatCode>General</c:formatCode>
                <c:ptCount val="5"/>
                <c:pt idx="0">
                  <c:v>31</c:v>
                </c:pt>
                <c:pt idx="1">
                  <c:v>17</c:v>
                </c:pt>
                <c:pt idx="2">
                  <c:v>20</c:v>
                </c:pt>
                <c:pt idx="3">
                  <c:v>21</c:v>
                </c:pt>
                <c:pt idx="4">
                  <c:v>27</c:v>
                </c:pt>
              </c:numCache>
            </c:numRef>
          </c:val>
          <c:extLst xmlns:c16r2="http://schemas.microsoft.com/office/drawing/2015/06/chart">
            <c:ext xmlns:c16="http://schemas.microsoft.com/office/drawing/2014/chart" uri="{C3380CC4-5D6E-409C-BE32-E72D297353CC}">
              <c16:uniqueId val="{00000001-CE56-4568-A078-A496547422B2}"/>
            </c:ext>
          </c:extLst>
        </c:ser>
        <c:ser>
          <c:idx val="3"/>
          <c:order val="2"/>
          <c:tx>
            <c:strRef>
              <c:f>'[Workbook - NOPIMS and RMS extracts - assessments, inspections, compliance, petroleum activities 2015-2019 Deloitte.xlsx]EP assessments'!$Y$19</c:f>
              <c:strCache>
                <c:ptCount val="1"/>
                <c:pt idx="0">
                  <c:v>Not accepted</c:v>
                </c:pt>
              </c:strCache>
            </c:strRef>
          </c:tx>
          <c:spPr>
            <a:solidFill>
              <a:srgbClr val="00ABAB"/>
            </a:solidFill>
            <a:ln>
              <a:noFill/>
            </a:ln>
            <a:effectLst/>
          </c:spPr>
          <c:invertIfNegative val="0"/>
          <c:cat>
            <c:numRef>
              <c:f>'[Workbook - NOPIMS and RMS extracts - assessments, inspections, compliance, petroleum activities 2015-2019 Deloitte.xlsx]EP assessments'!$Z$16:$AD$16</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Deloitte.xlsx]EP assessments'!$Z$19:$AD$19</c:f>
              <c:numCache>
                <c:formatCode>General</c:formatCode>
                <c:ptCount val="5"/>
                <c:pt idx="0">
                  <c:v>3</c:v>
                </c:pt>
                <c:pt idx="1">
                  <c:v>1</c:v>
                </c:pt>
              </c:numCache>
            </c:numRef>
          </c:val>
          <c:extLst xmlns:c16r2="http://schemas.microsoft.com/office/drawing/2015/06/chart">
            <c:ext xmlns:c16="http://schemas.microsoft.com/office/drawing/2014/chart" uri="{C3380CC4-5D6E-409C-BE32-E72D297353CC}">
              <c16:uniqueId val="{00000002-CE56-4568-A078-A496547422B2}"/>
            </c:ext>
          </c:extLst>
        </c:ser>
        <c:ser>
          <c:idx val="4"/>
          <c:order val="3"/>
          <c:tx>
            <c:strRef>
              <c:f>'[Workbook - NOPIMS and RMS extracts - assessments, inspections, compliance, petroleum activities 2015-2019 Deloitte.xlsx]EP assessments'!$Y$20</c:f>
              <c:strCache>
                <c:ptCount val="1"/>
                <c:pt idx="0">
                  <c:v>Recalled</c:v>
                </c:pt>
              </c:strCache>
            </c:strRef>
          </c:tx>
          <c:spPr>
            <a:solidFill>
              <a:srgbClr val="6FC2B4"/>
            </a:solidFill>
            <a:ln>
              <a:noFill/>
            </a:ln>
            <a:effectLst/>
          </c:spPr>
          <c:invertIfNegative val="0"/>
          <c:cat>
            <c:numRef>
              <c:f>'[Workbook - NOPIMS and RMS extracts - assessments, inspections, compliance, petroleum activities 2015-2019 Deloitte.xlsx]EP assessments'!$Z$16:$AD$16</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Deloitte.xlsx]EP assessments'!$Z$20:$AD$20</c:f>
              <c:numCache>
                <c:formatCode>General</c:formatCode>
                <c:ptCount val="5"/>
                <c:pt idx="0">
                  <c:v>3</c:v>
                </c:pt>
                <c:pt idx="1">
                  <c:v>1</c:v>
                </c:pt>
              </c:numCache>
            </c:numRef>
          </c:val>
          <c:extLst xmlns:c16r2="http://schemas.microsoft.com/office/drawing/2015/06/chart">
            <c:ext xmlns:c16="http://schemas.microsoft.com/office/drawing/2014/chart" uri="{C3380CC4-5D6E-409C-BE32-E72D297353CC}">
              <c16:uniqueId val="{00000003-CE56-4568-A078-A496547422B2}"/>
            </c:ext>
          </c:extLst>
        </c:ser>
        <c:ser>
          <c:idx val="5"/>
          <c:order val="4"/>
          <c:tx>
            <c:strRef>
              <c:f>'[Workbook - NOPIMS and RMS extracts - assessments, inspections, compliance, petroleum activities 2015-2019 Deloitte.xlsx]EP assessments'!$Y$21</c:f>
              <c:strCache>
                <c:ptCount val="1"/>
                <c:pt idx="0">
                  <c:v>Returned</c:v>
                </c:pt>
              </c:strCache>
            </c:strRef>
          </c:tx>
          <c:spPr>
            <a:solidFill>
              <a:srgbClr val="9DD4CF"/>
            </a:solidFill>
            <a:ln>
              <a:noFill/>
            </a:ln>
            <a:effectLst/>
          </c:spPr>
          <c:invertIfNegative val="0"/>
          <c:cat>
            <c:numRef>
              <c:f>'[Workbook - NOPIMS and RMS extracts - assessments, inspections, compliance, petroleum activities 2015-2019 Deloitte.xlsx]EP assessments'!$Z$16:$AD$16</c:f>
              <c:numCache>
                <c:formatCode>General</c:formatCode>
                <c:ptCount val="5"/>
                <c:pt idx="0">
                  <c:v>2015</c:v>
                </c:pt>
                <c:pt idx="1">
                  <c:v>2016</c:v>
                </c:pt>
                <c:pt idx="2">
                  <c:v>2017</c:v>
                </c:pt>
                <c:pt idx="3">
                  <c:v>2018</c:v>
                </c:pt>
                <c:pt idx="4">
                  <c:v>2019</c:v>
                </c:pt>
              </c:numCache>
            </c:numRef>
          </c:cat>
          <c:val>
            <c:numRef>
              <c:f>'[Workbook - NOPIMS and RMS extracts - assessments, inspections, compliance, petroleum activities 2015-2019 Deloitte.xlsx]EP assessments'!$Z$21:$AD$21</c:f>
              <c:numCache>
                <c:formatCode>General</c:formatCode>
                <c:ptCount val="5"/>
                <c:pt idx="1">
                  <c:v>1</c:v>
                </c:pt>
              </c:numCache>
            </c:numRef>
          </c:val>
          <c:extLst xmlns:c16r2="http://schemas.microsoft.com/office/drawing/2015/06/chart">
            <c:ext xmlns:c16="http://schemas.microsoft.com/office/drawing/2014/chart" uri="{C3380CC4-5D6E-409C-BE32-E72D297353CC}">
              <c16:uniqueId val="{00000004-CE56-4568-A078-A496547422B2}"/>
            </c:ext>
          </c:extLst>
        </c:ser>
        <c:dLbls>
          <c:showLegendKey val="0"/>
          <c:showVal val="0"/>
          <c:showCatName val="0"/>
          <c:showSerName val="0"/>
          <c:showPercent val="0"/>
          <c:showBubbleSize val="0"/>
        </c:dLbls>
        <c:gapWidth val="150"/>
        <c:overlap val="100"/>
        <c:axId val="856769288"/>
        <c:axId val="856773992"/>
      </c:barChart>
      <c:catAx>
        <c:axId val="856769288"/>
        <c:scaling>
          <c:orientation val="minMax"/>
        </c:scaling>
        <c:delete val="0"/>
        <c:axPos val="b"/>
        <c:numFmt formatCode="General" sourceLinked="1"/>
        <c:majorTickMark val="none"/>
        <c:minorTickMark val="none"/>
        <c:tickLblPos val="nextTo"/>
        <c:spPr>
          <a:noFill/>
          <a:ln w="9525" cap="flat" cmpd="sng" algn="ctr">
            <a:solidFill>
              <a:schemeClr val="bg2">
                <a:lumMod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56773992"/>
        <c:crosses val="autoZero"/>
        <c:auto val="1"/>
        <c:lblAlgn val="ctr"/>
        <c:lblOffset val="100"/>
        <c:noMultiLvlLbl val="0"/>
      </c:catAx>
      <c:valAx>
        <c:axId val="8567739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56769288"/>
        <c:crosses val="autoZero"/>
        <c:crossBetween val="between"/>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r>
              <a:rPr lang="en-AU" sz="1000"/>
              <a:t>Through your organisation's interactions, NOPSEMA:</a:t>
            </a:r>
          </a:p>
        </c:rich>
      </c:tx>
      <c:layout>
        <c:manualLayout>
          <c:xMode val="edge"/>
          <c:yMode val="edge"/>
          <c:x val="7.0764585584634377E-3"/>
          <c:y val="2.105263157894736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autoTitleDeleted val="0"/>
    <c:plotArea>
      <c:layout/>
      <c:barChart>
        <c:barDir val="bar"/>
        <c:grouping val="percentStacked"/>
        <c:varyColors val="0"/>
        <c:ser>
          <c:idx val="0"/>
          <c:order val="0"/>
          <c:tx>
            <c:strRef>
              <c:f>'Innovation quant'!$A$8</c:f>
              <c:strCache>
                <c:ptCount val="1"/>
                <c:pt idx="0">
                  <c:v>Strongly agree</c:v>
                </c:pt>
              </c:strCache>
            </c:strRef>
          </c:tx>
          <c:spPr>
            <a:solidFill>
              <a:srgbClr val="004F59"/>
            </a:solidFill>
            <a:ln>
              <a:noFill/>
            </a:ln>
            <a:effectLst/>
          </c:spPr>
          <c:invertIfNegative val="0"/>
          <c:cat>
            <c:strRef>
              <c:f>'Innovation quant'!$B$7:$D$7</c:f>
              <c:strCache>
                <c:ptCount val="3"/>
                <c:pt idx="0">
                  <c:v>Demonstrates it is an innovative regulator</c:v>
                </c:pt>
                <c:pt idx="1">
                  <c:v>Regularly seeks feedback on how it can improve the delivery of its functions**</c:v>
                </c:pt>
                <c:pt idx="2">
                  <c:v>Utilises relevant industry leading practice in delivering regulatory activities*</c:v>
                </c:pt>
              </c:strCache>
            </c:strRef>
          </c:cat>
          <c:val>
            <c:numRef>
              <c:f>'Innovation quant'!$B$8:$D$8</c:f>
              <c:numCache>
                <c:formatCode>0.0%</c:formatCode>
                <c:ptCount val="3"/>
                <c:pt idx="0">
                  <c:v>2.9411764705882353E-2</c:v>
                </c:pt>
                <c:pt idx="1">
                  <c:v>5.8823529411764705E-2</c:v>
                </c:pt>
                <c:pt idx="2">
                  <c:v>8.8235294117647065E-2</c:v>
                </c:pt>
              </c:numCache>
            </c:numRef>
          </c:val>
          <c:extLst xmlns:c16r2="http://schemas.microsoft.com/office/drawing/2015/06/chart">
            <c:ext xmlns:c16="http://schemas.microsoft.com/office/drawing/2014/chart" uri="{C3380CC4-5D6E-409C-BE32-E72D297353CC}">
              <c16:uniqueId val="{00000000-9E8C-4B43-91E2-923480A20BC3}"/>
            </c:ext>
          </c:extLst>
        </c:ser>
        <c:ser>
          <c:idx val="1"/>
          <c:order val="1"/>
          <c:tx>
            <c:strRef>
              <c:f>'Innovation quant'!$A$9</c:f>
              <c:strCache>
                <c:ptCount val="1"/>
                <c:pt idx="0">
                  <c:v>Agree</c:v>
                </c:pt>
              </c:strCache>
            </c:strRef>
          </c:tx>
          <c:spPr>
            <a:solidFill>
              <a:srgbClr val="007680"/>
            </a:solidFill>
            <a:ln>
              <a:noFill/>
            </a:ln>
            <a:effectLst/>
          </c:spPr>
          <c:invertIfNegative val="0"/>
          <c:cat>
            <c:strRef>
              <c:f>'Innovation quant'!$B$7:$D$7</c:f>
              <c:strCache>
                <c:ptCount val="3"/>
                <c:pt idx="0">
                  <c:v>Demonstrates it is an innovative regulator</c:v>
                </c:pt>
                <c:pt idx="1">
                  <c:v>Regularly seeks feedback on how it can improve the delivery of its functions**</c:v>
                </c:pt>
                <c:pt idx="2">
                  <c:v>Utilises relevant industry leading practice in delivering regulatory activities*</c:v>
                </c:pt>
              </c:strCache>
            </c:strRef>
          </c:cat>
          <c:val>
            <c:numRef>
              <c:f>'Innovation quant'!$B$9:$D$9</c:f>
              <c:numCache>
                <c:formatCode>0.0%</c:formatCode>
                <c:ptCount val="3"/>
                <c:pt idx="0">
                  <c:v>0.3235294117647059</c:v>
                </c:pt>
                <c:pt idx="1">
                  <c:v>0.29411764705882354</c:v>
                </c:pt>
                <c:pt idx="2">
                  <c:v>0.35294117647058826</c:v>
                </c:pt>
              </c:numCache>
            </c:numRef>
          </c:val>
          <c:extLst xmlns:c16r2="http://schemas.microsoft.com/office/drawing/2015/06/chart">
            <c:ext xmlns:c16="http://schemas.microsoft.com/office/drawing/2014/chart" uri="{C3380CC4-5D6E-409C-BE32-E72D297353CC}">
              <c16:uniqueId val="{00000001-9E8C-4B43-91E2-923480A20BC3}"/>
            </c:ext>
          </c:extLst>
        </c:ser>
        <c:ser>
          <c:idx val="2"/>
          <c:order val="2"/>
          <c:tx>
            <c:strRef>
              <c:f>'Innovation quant'!$A$10</c:f>
              <c:strCache>
                <c:ptCount val="1"/>
                <c:pt idx="0">
                  <c:v>Slightly agree</c:v>
                </c:pt>
              </c:strCache>
            </c:strRef>
          </c:tx>
          <c:spPr>
            <a:solidFill>
              <a:srgbClr val="0097A9"/>
            </a:solidFill>
            <a:ln>
              <a:noFill/>
            </a:ln>
            <a:effectLst/>
          </c:spPr>
          <c:invertIfNegative val="0"/>
          <c:cat>
            <c:strRef>
              <c:f>'Innovation quant'!$B$7:$D$7</c:f>
              <c:strCache>
                <c:ptCount val="3"/>
                <c:pt idx="0">
                  <c:v>Demonstrates it is an innovative regulator</c:v>
                </c:pt>
                <c:pt idx="1">
                  <c:v>Regularly seeks feedback on how it can improve the delivery of its functions**</c:v>
                </c:pt>
                <c:pt idx="2">
                  <c:v>Utilises relevant industry leading practice in delivering regulatory activities*</c:v>
                </c:pt>
              </c:strCache>
            </c:strRef>
          </c:cat>
          <c:val>
            <c:numRef>
              <c:f>'Innovation quant'!$B$10:$D$10</c:f>
              <c:numCache>
                <c:formatCode>0.0%</c:formatCode>
                <c:ptCount val="3"/>
                <c:pt idx="0">
                  <c:v>0.29411764705882354</c:v>
                </c:pt>
                <c:pt idx="1">
                  <c:v>0.23529411764705882</c:v>
                </c:pt>
                <c:pt idx="2">
                  <c:v>0.23529411764705882</c:v>
                </c:pt>
              </c:numCache>
            </c:numRef>
          </c:val>
          <c:extLst xmlns:c16r2="http://schemas.microsoft.com/office/drawing/2015/06/chart">
            <c:ext xmlns:c16="http://schemas.microsoft.com/office/drawing/2014/chart" uri="{C3380CC4-5D6E-409C-BE32-E72D297353CC}">
              <c16:uniqueId val="{00000002-9E8C-4B43-91E2-923480A20BC3}"/>
            </c:ext>
          </c:extLst>
        </c:ser>
        <c:ser>
          <c:idx val="3"/>
          <c:order val="3"/>
          <c:tx>
            <c:strRef>
              <c:f>'Innovation quant'!$A$11</c:f>
              <c:strCache>
                <c:ptCount val="1"/>
                <c:pt idx="0">
                  <c:v>Slightly disagree</c:v>
                </c:pt>
              </c:strCache>
            </c:strRef>
          </c:tx>
          <c:spPr>
            <a:solidFill>
              <a:srgbClr val="00ABAB"/>
            </a:solidFill>
            <a:ln>
              <a:noFill/>
            </a:ln>
            <a:effectLst/>
          </c:spPr>
          <c:invertIfNegative val="0"/>
          <c:cat>
            <c:strRef>
              <c:f>'Innovation quant'!$B$7:$D$7</c:f>
              <c:strCache>
                <c:ptCount val="3"/>
                <c:pt idx="0">
                  <c:v>Demonstrates it is an innovative regulator</c:v>
                </c:pt>
                <c:pt idx="1">
                  <c:v>Regularly seeks feedback on how it can improve the delivery of its functions**</c:v>
                </c:pt>
                <c:pt idx="2">
                  <c:v>Utilises relevant industry leading practice in delivering regulatory activities*</c:v>
                </c:pt>
              </c:strCache>
            </c:strRef>
          </c:cat>
          <c:val>
            <c:numRef>
              <c:f>'Innovation quant'!$B$11:$D$11</c:f>
              <c:numCache>
                <c:formatCode>0.0%</c:formatCode>
                <c:ptCount val="3"/>
                <c:pt idx="0">
                  <c:v>0.17647058823529413</c:v>
                </c:pt>
                <c:pt idx="1">
                  <c:v>0.23529411764705882</c:v>
                </c:pt>
                <c:pt idx="2">
                  <c:v>0.14705882352941177</c:v>
                </c:pt>
              </c:numCache>
            </c:numRef>
          </c:val>
          <c:extLst xmlns:c16r2="http://schemas.microsoft.com/office/drawing/2015/06/chart">
            <c:ext xmlns:c16="http://schemas.microsoft.com/office/drawing/2014/chart" uri="{C3380CC4-5D6E-409C-BE32-E72D297353CC}">
              <c16:uniqueId val="{00000003-9E8C-4B43-91E2-923480A20BC3}"/>
            </c:ext>
          </c:extLst>
        </c:ser>
        <c:ser>
          <c:idx val="4"/>
          <c:order val="4"/>
          <c:tx>
            <c:strRef>
              <c:f>'Innovation quant'!$A$12</c:f>
              <c:strCache>
                <c:ptCount val="1"/>
                <c:pt idx="0">
                  <c:v>Disagree</c:v>
                </c:pt>
              </c:strCache>
            </c:strRef>
          </c:tx>
          <c:spPr>
            <a:solidFill>
              <a:srgbClr val="6FC2B4"/>
            </a:solidFill>
            <a:ln>
              <a:noFill/>
            </a:ln>
            <a:effectLst/>
          </c:spPr>
          <c:invertIfNegative val="0"/>
          <c:cat>
            <c:strRef>
              <c:f>'Innovation quant'!$B$7:$D$7</c:f>
              <c:strCache>
                <c:ptCount val="3"/>
                <c:pt idx="0">
                  <c:v>Demonstrates it is an innovative regulator</c:v>
                </c:pt>
                <c:pt idx="1">
                  <c:v>Regularly seeks feedback on how it can improve the delivery of its functions**</c:v>
                </c:pt>
                <c:pt idx="2">
                  <c:v>Utilises relevant industry leading practice in delivering regulatory activities*</c:v>
                </c:pt>
              </c:strCache>
            </c:strRef>
          </c:cat>
          <c:val>
            <c:numRef>
              <c:f>'Innovation quant'!$B$12:$D$12</c:f>
              <c:numCache>
                <c:formatCode>0.0%</c:formatCode>
                <c:ptCount val="3"/>
                <c:pt idx="0">
                  <c:v>0.11764705882352941</c:v>
                </c:pt>
                <c:pt idx="1">
                  <c:v>8.8235294117647065E-2</c:v>
                </c:pt>
                <c:pt idx="2">
                  <c:v>5.8823529411764705E-2</c:v>
                </c:pt>
              </c:numCache>
            </c:numRef>
          </c:val>
          <c:extLst xmlns:c16r2="http://schemas.microsoft.com/office/drawing/2015/06/chart">
            <c:ext xmlns:c16="http://schemas.microsoft.com/office/drawing/2014/chart" uri="{C3380CC4-5D6E-409C-BE32-E72D297353CC}">
              <c16:uniqueId val="{00000004-9E8C-4B43-91E2-923480A20BC3}"/>
            </c:ext>
          </c:extLst>
        </c:ser>
        <c:ser>
          <c:idx val="5"/>
          <c:order val="5"/>
          <c:tx>
            <c:strRef>
              <c:f>'Innovation quant'!$A$13</c:f>
              <c:strCache>
                <c:ptCount val="1"/>
                <c:pt idx="0">
                  <c:v>Strongly disagree</c:v>
                </c:pt>
              </c:strCache>
            </c:strRef>
          </c:tx>
          <c:spPr>
            <a:solidFill>
              <a:srgbClr val="9DD4CF"/>
            </a:solidFill>
            <a:ln>
              <a:noFill/>
            </a:ln>
            <a:effectLst/>
          </c:spPr>
          <c:invertIfNegative val="0"/>
          <c:cat>
            <c:strRef>
              <c:f>'Innovation quant'!$B$7:$D$7</c:f>
              <c:strCache>
                <c:ptCount val="3"/>
                <c:pt idx="0">
                  <c:v>Demonstrates it is an innovative regulator</c:v>
                </c:pt>
                <c:pt idx="1">
                  <c:v>Regularly seeks feedback on how it can improve the delivery of its functions**</c:v>
                </c:pt>
                <c:pt idx="2">
                  <c:v>Utilises relevant industry leading practice in delivering regulatory activities*</c:v>
                </c:pt>
              </c:strCache>
            </c:strRef>
          </c:cat>
          <c:val>
            <c:numRef>
              <c:f>'Innovation quant'!$B$13:$D$13</c:f>
              <c:numCache>
                <c:formatCode>0.0%</c:formatCode>
                <c:ptCount val="3"/>
                <c:pt idx="0">
                  <c:v>2.9411764705882353E-2</c:v>
                </c:pt>
                <c:pt idx="1">
                  <c:v>5.8823529411764705E-2</c:v>
                </c:pt>
                <c:pt idx="2">
                  <c:v>2.9411764705882353E-2</c:v>
                </c:pt>
              </c:numCache>
            </c:numRef>
          </c:val>
          <c:extLst xmlns:c16r2="http://schemas.microsoft.com/office/drawing/2015/06/chart">
            <c:ext xmlns:c16="http://schemas.microsoft.com/office/drawing/2014/chart" uri="{C3380CC4-5D6E-409C-BE32-E72D297353CC}">
              <c16:uniqueId val="{00000005-9E8C-4B43-91E2-923480A20BC3}"/>
            </c:ext>
          </c:extLst>
        </c:ser>
        <c:dLbls>
          <c:showLegendKey val="0"/>
          <c:showVal val="0"/>
          <c:showCatName val="0"/>
          <c:showSerName val="0"/>
          <c:showPercent val="0"/>
          <c:showBubbleSize val="0"/>
        </c:dLbls>
        <c:gapWidth val="150"/>
        <c:overlap val="100"/>
        <c:axId val="856773600"/>
        <c:axId val="856775560"/>
      </c:barChart>
      <c:catAx>
        <c:axId val="8567736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56775560"/>
        <c:crosses val="autoZero"/>
        <c:auto val="1"/>
        <c:lblAlgn val="ctr"/>
        <c:lblOffset val="100"/>
        <c:noMultiLvlLbl val="0"/>
      </c:catAx>
      <c:valAx>
        <c:axId val="85677556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856773600"/>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r>
              <a:rPr lang="en-AU" sz="1000"/>
              <a:t>NOPSEMA has made a positive contribution towards:</a:t>
            </a:r>
          </a:p>
        </c:rich>
      </c:tx>
      <c:layout>
        <c:manualLayout>
          <c:xMode val="edge"/>
          <c:yMode val="edge"/>
          <c:x val="7.0764585584634377E-3"/>
          <c:y val="2.105263157894736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endParaRPr lang="en-US"/>
        </a:p>
      </c:txPr>
    </c:title>
    <c:autoTitleDeleted val="0"/>
    <c:plotArea>
      <c:layout>
        <c:manualLayout>
          <c:layoutTarget val="inner"/>
          <c:xMode val="edge"/>
          <c:yMode val="edge"/>
          <c:x val="0.47272987465053007"/>
          <c:y val="0.12817926117444275"/>
          <c:w val="0.48458047221709227"/>
          <c:h val="0.68844407881850589"/>
        </c:manualLayout>
      </c:layout>
      <c:barChart>
        <c:barDir val="bar"/>
        <c:grouping val="percentStacked"/>
        <c:varyColors val="0"/>
        <c:ser>
          <c:idx val="0"/>
          <c:order val="0"/>
          <c:tx>
            <c:strRef>
              <c:f>'Reg outcomes quant'!$A$8</c:f>
              <c:strCache>
                <c:ptCount val="1"/>
                <c:pt idx="0">
                  <c:v>Strongly agree</c:v>
                </c:pt>
              </c:strCache>
            </c:strRef>
          </c:tx>
          <c:spPr>
            <a:solidFill>
              <a:srgbClr val="004F59"/>
            </a:solidFill>
            <a:ln>
              <a:noFill/>
            </a:ln>
            <a:effectLst/>
          </c:spPr>
          <c:invertIfNegative val="0"/>
          <c:cat>
            <c:strRef>
              <c:f>'Reg outcomes quant'!$B$7:$E$7</c:f>
              <c:strCache>
                <c:ptCount val="4"/>
                <c:pt idx="0">
                  <c:v>Fostering a positive safety culture in the industry</c:v>
                </c:pt>
                <c:pt idx="1">
                  <c:v>Facilitating proactive and preventative approaches to environmental management</c:v>
                </c:pt>
                <c:pt idx="2">
                  <c:v>Enabling continual improvement in safety and environmental management of the petroleum industry in Australia</c:v>
                </c:pt>
                <c:pt idx="3">
                  <c:v>Increasing community confidence in the management of the offshore petroleum industry</c:v>
                </c:pt>
              </c:strCache>
            </c:strRef>
          </c:cat>
          <c:val>
            <c:numRef>
              <c:f>'Reg outcomes quant'!$B$8:$E$8</c:f>
              <c:numCache>
                <c:formatCode>0.0%</c:formatCode>
                <c:ptCount val="4"/>
                <c:pt idx="0">
                  <c:v>0.23529411764705882</c:v>
                </c:pt>
                <c:pt idx="1">
                  <c:v>0.23529411764705882</c:v>
                </c:pt>
                <c:pt idx="2">
                  <c:v>0.17647058823529413</c:v>
                </c:pt>
                <c:pt idx="3">
                  <c:v>5.8823529411764705E-2</c:v>
                </c:pt>
              </c:numCache>
            </c:numRef>
          </c:val>
          <c:extLst xmlns:c16r2="http://schemas.microsoft.com/office/drawing/2015/06/chart">
            <c:ext xmlns:c16="http://schemas.microsoft.com/office/drawing/2014/chart" uri="{C3380CC4-5D6E-409C-BE32-E72D297353CC}">
              <c16:uniqueId val="{00000000-B9AE-4F15-A253-1C4643BAFD3C}"/>
            </c:ext>
          </c:extLst>
        </c:ser>
        <c:ser>
          <c:idx val="1"/>
          <c:order val="1"/>
          <c:tx>
            <c:strRef>
              <c:f>'Reg outcomes quant'!$A$9</c:f>
              <c:strCache>
                <c:ptCount val="1"/>
                <c:pt idx="0">
                  <c:v>Agree</c:v>
                </c:pt>
              </c:strCache>
            </c:strRef>
          </c:tx>
          <c:spPr>
            <a:solidFill>
              <a:srgbClr val="007680"/>
            </a:solidFill>
            <a:ln>
              <a:noFill/>
            </a:ln>
            <a:effectLst/>
          </c:spPr>
          <c:invertIfNegative val="0"/>
          <c:cat>
            <c:strRef>
              <c:f>'Reg outcomes quant'!$B$7:$E$7</c:f>
              <c:strCache>
                <c:ptCount val="4"/>
                <c:pt idx="0">
                  <c:v>Fostering a positive safety culture in the industry</c:v>
                </c:pt>
                <c:pt idx="1">
                  <c:v>Facilitating proactive and preventative approaches to environmental management</c:v>
                </c:pt>
                <c:pt idx="2">
                  <c:v>Enabling continual improvement in safety and environmental management of the petroleum industry in Australia</c:v>
                </c:pt>
                <c:pt idx="3">
                  <c:v>Increasing community confidence in the management of the offshore petroleum industry</c:v>
                </c:pt>
              </c:strCache>
            </c:strRef>
          </c:cat>
          <c:val>
            <c:numRef>
              <c:f>'Reg outcomes quant'!$B$9:$E$9</c:f>
              <c:numCache>
                <c:formatCode>0.0%</c:formatCode>
                <c:ptCount val="4"/>
                <c:pt idx="0">
                  <c:v>0.41176470588235292</c:v>
                </c:pt>
                <c:pt idx="1">
                  <c:v>0.29411764705882354</c:v>
                </c:pt>
                <c:pt idx="2">
                  <c:v>0.35294117647058826</c:v>
                </c:pt>
                <c:pt idx="3">
                  <c:v>0.44117647058823528</c:v>
                </c:pt>
              </c:numCache>
            </c:numRef>
          </c:val>
          <c:extLst xmlns:c16r2="http://schemas.microsoft.com/office/drawing/2015/06/chart">
            <c:ext xmlns:c16="http://schemas.microsoft.com/office/drawing/2014/chart" uri="{C3380CC4-5D6E-409C-BE32-E72D297353CC}">
              <c16:uniqueId val="{00000001-B9AE-4F15-A253-1C4643BAFD3C}"/>
            </c:ext>
          </c:extLst>
        </c:ser>
        <c:ser>
          <c:idx val="2"/>
          <c:order val="2"/>
          <c:tx>
            <c:strRef>
              <c:f>'Reg outcomes quant'!$A$10</c:f>
              <c:strCache>
                <c:ptCount val="1"/>
                <c:pt idx="0">
                  <c:v>Slightly agree</c:v>
                </c:pt>
              </c:strCache>
            </c:strRef>
          </c:tx>
          <c:spPr>
            <a:solidFill>
              <a:srgbClr val="0097A9"/>
            </a:solidFill>
            <a:ln>
              <a:noFill/>
            </a:ln>
            <a:effectLst/>
          </c:spPr>
          <c:invertIfNegative val="0"/>
          <c:cat>
            <c:strRef>
              <c:f>'Reg outcomes quant'!$B$7:$E$7</c:f>
              <c:strCache>
                <c:ptCount val="4"/>
                <c:pt idx="0">
                  <c:v>Fostering a positive safety culture in the industry</c:v>
                </c:pt>
                <c:pt idx="1">
                  <c:v>Facilitating proactive and preventative approaches to environmental management</c:v>
                </c:pt>
                <c:pt idx="2">
                  <c:v>Enabling continual improvement in safety and environmental management of the petroleum industry in Australia</c:v>
                </c:pt>
                <c:pt idx="3">
                  <c:v>Increasing community confidence in the management of the offshore petroleum industry</c:v>
                </c:pt>
              </c:strCache>
            </c:strRef>
          </c:cat>
          <c:val>
            <c:numRef>
              <c:f>'Reg outcomes quant'!$B$10:$E$10</c:f>
              <c:numCache>
                <c:formatCode>0.0%</c:formatCode>
                <c:ptCount val="4"/>
                <c:pt idx="0">
                  <c:v>8.8235294117647065E-2</c:v>
                </c:pt>
                <c:pt idx="1">
                  <c:v>0.23529411764705882</c:v>
                </c:pt>
                <c:pt idx="2">
                  <c:v>0.17647058823529413</c:v>
                </c:pt>
                <c:pt idx="3">
                  <c:v>0.23529411764705882</c:v>
                </c:pt>
              </c:numCache>
            </c:numRef>
          </c:val>
          <c:extLst xmlns:c16r2="http://schemas.microsoft.com/office/drawing/2015/06/chart">
            <c:ext xmlns:c16="http://schemas.microsoft.com/office/drawing/2014/chart" uri="{C3380CC4-5D6E-409C-BE32-E72D297353CC}">
              <c16:uniqueId val="{00000002-B9AE-4F15-A253-1C4643BAFD3C}"/>
            </c:ext>
          </c:extLst>
        </c:ser>
        <c:ser>
          <c:idx val="3"/>
          <c:order val="3"/>
          <c:tx>
            <c:strRef>
              <c:f>'Reg outcomes quant'!$A$11</c:f>
              <c:strCache>
                <c:ptCount val="1"/>
                <c:pt idx="0">
                  <c:v>Slightly disagree</c:v>
                </c:pt>
              </c:strCache>
            </c:strRef>
          </c:tx>
          <c:spPr>
            <a:solidFill>
              <a:srgbClr val="00ABAB"/>
            </a:solidFill>
            <a:ln>
              <a:noFill/>
            </a:ln>
            <a:effectLst/>
          </c:spPr>
          <c:invertIfNegative val="0"/>
          <c:cat>
            <c:strRef>
              <c:f>'Reg outcomes quant'!$B$7:$E$7</c:f>
              <c:strCache>
                <c:ptCount val="4"/>
                <c:pt idx="0">
                  <c:v>Fostering a positive safety culture in the industry</c:v>
                </c:pt>
                <c:pt idx="1">
                  <c:v>Facilitating proactive and preventative approaches to environmental management</c:v>
                </c:pt>
                <c:pt idx="2">
                  <c:v>Enabling continual improvement in safety and environmental management of the petroleum industry in Australia</c:v>
                </c:pt>
                <c:pt idx="3">
                  <c:v>Increasing community confidence in the management of the offshore petroleum industry</c:v>
                </c:pt>
              </c:strCache>
            </c:strRef>
          </c:cat>
          <c:val>
            <c:numRef>
              <c:f>'Reg outcomes quant'!$B$11:$E$11</c:f>
              <c:numCache>
                <c:formatCode>0.0%</c:formatCode>
                <c:ptCount val="4"/>
                <c:pt idx="0">
                  <c:v>8.8235294117647065E-2</c:v>
                </c:pt>
                <c:pt idx="1">
                  <c:v>0.14705882352941177</c:v>
                </c:pt>
                <c:pt idx="2">
                  <c:v>8.8235294117647065E-2</c:v>
                </c:pt>
                <c:pt idx="3">
                  <c:v>0.17647058823529413</c:v>
                </c:pt>
              </c:numCache>
            </c:numRef>
          </c:val>
          <c:extLst xmlns:c16r2="http://schemas.microsoft.com/office/drawing/2015/06/chart">
            <c:ext xmlns:c16="http://schemas.microsoft.com/office/drawing/2014/chart" uri="{C3380CC4-5D6E-409C-BE32-E72D297353CC}">
              <c16:uniqueId val="{00000003-B9AE-4F15-A253-1C4643BAFD3C}"/>
            </c:ext>
          </c:extLst>
        </c:ser>
        <c:ser>
          <c:idx val="4"/>
          <c:order val="4"/>
          <c:tx>
            <c:strRef>
              <c:f>'Reg outcomes quant'!$A$12</c:f>
              <c:strCache>
                <c:ptCount val="1"/>
                <c:pt idx="0">
                  <c:v>Disagree</c:v>
                </c:pt>
              </c:strCache>
            </c:strRef>
          </c:tx>
          <c:spPr>
            <a:solidFill>
              <a:srgbClr val="6FC2B4"/>
            </a:solidFill>
            <a:ln>
              <a:noFill/>
            </a:ln>
            <a:effectLst/>
          </c:spPr>
          <c:invertIfNegative val="0"/>
          <c:cat>
            <c:strRef>
              <c:f>'Reg outcomes quant'!$B$7:$E$7</c:f>
              <c:strCache>
                <c:ptCount val="4"/>
                <c:pt idx="0">
                  <c:v>Fostering a positive safety culture in the industry</c:v>
                </c:pt>
                <c:pt idx="1">
                  <c:v>Facilitating proactive and preventative approaches to environmental management</c:v>
                </c:pt>
                <c:pt idx="2">
                  <c:v>Enabling continual improvement in safety and environmental management of the petroleum industry in Australia</c:v>
                </c:pt>
                <c:pt idx="3">
                  <c:v>Increasing community confidence in the management of the offshore petroleum industry</c:v>
                </c:pt>
              </c:strCache>
            </c:strRef>
          </c:cat>
          <c:val>
            <c:numRef>
              <c:f>'Reg outcomes quant'!$B$12:$E$12</c:f>
              <c:numCache>
                <c:formatCode>0.0%</c:formatCode>
                <c:ptCount val="4"/>
                <c:pt idx="0">
                  <c:v>2.9411764705882353E-2</c:v>
                </c:pt>
                <c:pt idx="1">
                  <c:v>2.9411764705882353E-2</c:v>
                </c:pt>
                <c:pt idx="2">
                  <c:v>5.8823529411764705E-2</c:v>
                </c:pt>
                <c:pt idx="3">
                  <c:v>2.9411764705882353E-2</c:v>
                </c:pt>
              </c:numCache>
            </c:numRef>
          </c:val>
          <c:extLst xmlns:c16r2="http://schemas.microsoft.com/office/drawing/2015/06/chart">
            <c:ext xmlns:c16="http://schemas.microsoft.com/office/drawing/2014/chart" uri="{C3380CC4-5D6E-409C-BE32-E72D297353CC}">
              <c16:uniqueId val="{00000004-B9AE-4F15-A253-1C4643BAFD3C}"/>
            </c:ext>
          </c:extLst>
        </c:ser>
        <c:ser>
          <c:idx val="5"/>
          <c:order val="5"/>
          <c:tx>
            <c:strRef>
              <c:f>'Reg outcomes quant'!$A$13</c:f>
              <c:strCache>
                <c:ptCount val="1"/>
                <c:pt idx="0">
                  <c:v>Strongly disagree</c:v>
                </c:pt>
              </c:strCache>
            </c:strRef>
          </c:tx>
          <c:spPr>
            <a:solidFill>
              <a:srgbClr val="9DD4CF"/>
            </a:solidFill>
            <a:ln>
              <a:noFill/>
            </a:ln>
            <a:effectLst/>
          </c:spPr>
          <c:invertIfNegative val="0"/>
          <c:cat>
            <c:strRef>
              <c:f>'Reg outcomes quant'!$B$7:$E$7</c:f>
              <c:strCache>
                <c:ptCount val="4"/>
                <c:pt idx="0">
                  <c:v>Fostering a positive safety culture in the industry</c:v>
                </c:pt>
                <c:pt idx="1">
                  <c:v>Facilitating proactive and preventative approaches to environmental management</c:v>
                </c:pt>
                <c:pt idx="2">
                  <c:v>Enabling continual improvement in safety and environmental management of the petroleum industry in Australia</c:v>
                </c:pt>
                <c:pt idx="3">
                  <c:v>Increasing community confidence in the management of the offshore petroleum industry</c:v>
                </c:pt>
              </c:strCache>
            </c:strRef>
          </c:cat>
          <c:val>
            <c:numRef>
              <c:f>'Reg outcomes quant'!$B$13:$E$13</c:f>
              <c:numCache>
                <c:formatCode>0.0%</c:formatCode>
                <c:ptCount val="4"/>
                <c:pt idx="0">
                  <c:v>0</c:v>
                </c:pt>
                <c:pt idx="1">
                  <c:v>0</c:v>
                </c:pt>
                <c:pt idx="2">
                  <c:v>0</c:v>
                </c:pt>
                <c:pt idx="3">
                  <c:v>2.9411764705882353E-2</c:v>
                </c:pt>
              </c:numCache>
            </c:numRef>
          </c:val>
          <c:extLst xmlns:c16r2="http://schemas.microsoft.com/office/drawing/2015/06/chart">
            <c:ext xmlns:c16="http://schemas.microsoft.com/office/drawing/2014/chart" uri="{C3380CC4-5D6E-409C-BE32-E72D297353CC}">
              <c16:uniqueId val="{00000005-B9AE-4F15-A253-1C4643BAFD3C}"/>
            </c:ext>
          </c:extLst>
        </c:ser>
        <c:dLbls>
          <c:showLegendKey val="0"/>
          <c:showVal val="0"/>
          <c:showCatName val="0"/>
          <c:showSerName val="0"/>
          <c:showPercent val="0"/>
          <c:showBubbleSize val="0"/>
        </c:dLbls>
        <c:gapWidth val="150"/>
        <c:overlap val="100"/>
        <c:axId val="997074688"/>
        <c:axId val="997076256"/>
      </c:barChart>
      <c:catAx>
        <c:axId val="997074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endParaRPr lang="en-US"/>
          </a:p>
        </c:txPr>
        <c:crossAx val="997076256"/>
        <c:crosses val="autoZero"/>
        <c:auto val="1"/>
        <c:lblAlgn val="ctr"/>
        <c:lblOffset val="100"/>
        <c:noMultiLvlLbl val="0"/>
      </c:catAx>
      <c:valAx>
        <c:axId val="99707625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endParaRPr lang="en-US"/>
          </a:p>
        </c:txPr>
        <c:crossAx val="997074688"/>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endParaRPr lang="en-US"/>
        </a:p>
      </c:txPr>
    </c:legend>
    <c:plotVisOnly val="1"/>
    <c:dispBlanksAs val="gap"/>
    <c:showDLblsOverMax val="0"/>
  </c:chart>
  <c:spPr>
    <a:noFill/>
    <a:ln w="9525" cap="flat" cmpd="sng" algn="ctr">
      <a:solidFill>
        <a:schemeClr val="bg2">
          <a:lumMod val="75000"/>
        </a:schemeClr>
      </a:solidFill>
      <a:round/>
    </a:ln>
    <a:effectLst/>
  </c:spPr>
  <c:txPr>
    <a:bodyPr/>
    <a:lstStyle/>
    <a:p>
      <a:pPr>
        <a:defRPr>
          <a:solidFill>
            <a:sysClr val="windowText" lastClr="000000"/>
          </a:solidFill>
          <a:latin typeface="Calibri Light" panose="020F0302020204030204" pitchFamily="34" charset="0"/>
          <a:ea typeface="OpenSansRegular" panose="020B0606030504020204" pitchFamily="34" charset="0"/>
          <a:cs typeface="Calibri Light" panose="020F030202020403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r>
              <a:rPr lang="en-AU" sz="1000"/>
              <a:t>NOPSEMA's strategic direction is:</a:t>
            </a:r>
          </a:p>
        </c:rich>
      </c:tx>
      <c:layout>
        <c:manualLayout>
          <c:xMode val="edge"/>
          <c:yMode val="edge"/>
          <c:x val="7.0764585584634377E-3"/>
          <c:y val="2.1052631578947368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autoTitleDeleted val="0"/>
    <c:plotArea>
      <c:layout/>
      <c:barChart>
        <c:barDir val="bar"/>
        <c:grouping val="percentStacked"/>
        <c:varyColors val="0"/>
        <c:ser>
          <c:idx val="0"/>
          <c:order val="0"/>
          <c:tx>
            <c:strRef>
              <c:f>'Strategic Direction Quant'!$A$8</c:f>
              <c:strCache>
                <c:ptCount val="1"/>
                <c:pt idx="0">
                  <c:v>Strongly agree</c:v>
                </c:pt>
              </c:strCache>
            </c:strRef>
          </c:tx>
          <c:spPr>
            <a:solidFill>
              <a:srgbClr val="004F59"/>
            </a:solidFill>
            <a:ln>
              <a:noFill/>
            </a:ln>
            <a:effectLst/>
          </c:spPr>
          <c:invertIfNegative val="0"/>
          <c:cat>
            <c:strRef>
              <c:f>'Strategic Direction Quant'!$B$7:$F$7</c:f>
              <c:strCache>
                <c:ptCount val="5"/>
                <c:pt idx="0">
                  <c:v>Clear</c:v>
                </c:pt>
                <c:pt idx="1">
                  <c:v>Relevant (to the industry)</c:v>
                </c:pt>
                <c:pt idx="2">
                  <c:v>Agile</c:v>
                </c:pt>
                <c:pt idx="3">
                  <c:v>Adaptive</c:v>
                </c:pt>
                <c:pt idx="4">
                  <c:v>Scalable</c:v>
                </c:pt>
              </c:strCache>
            </c:strRef>
          </c:cat>
          <c:val>
            <c:numRef>
              <c:f>'Strategic Direction Quant'!$B$8:$F$8</c:f>
              <c:numCache>
                <c:formatCode>0.0%</c:formatCode>
                <c:ptCount val="5"/>
                <c:pt idx="0">
                  <c:v>0.125</c:v>
                </c:pt>
                <c:pt idx="1">
                  <c:v>0.125</c:v>
                </c:pt>
                <c:pt idx="2">
                  <c:v>0</c:v>
                </c:pt>
                <c:pt idx="3">
                  <c:v>2.5000000000000001E-2</c:v>
                </c:pt>
                <c:pt idx="4">
                  <c:v>0.05</c:v>
                </c:pt>
              </c:numCache>
            </c:numRef>
          </c:val>
          <c:extLst xmlns:c16r2="http://schemas.microsoft.com/office/drawing/2015/06/chart">
            <c:ext xmlns:c16="http://schemas.microsoft.com/office/drawing/2014/chart" uri="{C3380CC4-5D6E-409C-BE32-E72D297353CC}">
              <c16:uniqueId val="{00000000-F99D-4EB3-9714-04EEEA6BA319}"/>
            </c:ext>
          </c:extLst>
        </c:ser>
        <c:ser>
          <c:idx val="1"/>
          <c:order val="1"/>
          <c:tx>
            <c:strRef>
              <c:f>'Strategic Direction Quant'!$A$9</c:f>
              <c:strCache>
                <c:ptCount val="1"/>
                <c:pt idx="0">
                  <c:v>Agree</c:v>
                </c:pt>
              </c:strCache>
            </c:strRef>
          </c:tx>
          <c:spPr>
            <a:solidFill>
              <a:srgbClr val="007680"/>
            </a:solidFill>
            <a:ln>
              <a:noFill/>
            </a:ln>
            <a:effectLst/>
          </c:spPr>
          <c:invertIfNegative val="0"/>
          <c:cat>
            <c:strRef>
              <c:f>'Strategic Direction Quant'!$B$7:$F$7</c:f>
              <c:strCache>
                <c:ptCount val="5"/>
                <c:pt idx="0">
                  <c:v>Clear</c:v>
                </c:pt>
                <c:pt idx="1">
                  <c:v>Relevant (to the industry)</c:v>
                </c:pt>
                <c:pt idx="2">
                  <c:v>Agile</c:v>
                </c:pt>
                <c:pt idx="3">
                  <c:v>Adaptive</c:v>
                </c:pt>
                <c:pt idx="4">
                  <c:v>Scalable</c:v>
                </c:pt>
              </c:strCache>
            </c:strRef>
          </c:cat>
          <c:val>
            <c:numRef>
              <c:f>'Strategic Direction Quant'!$B$9:$F$9</c:f>
              <c:numCache>
                <c:formatCode>0.0%</c:formatCode>
                <c:ptCount val="5"/>
                <c:pt idx="0">
                  <c:v>0.3</c:v>
                </c:pt>
                <c:pt idx="1">
                  <c:v>0.45</c:v>
                </c:pt>
                <c:pt idx="2">
                  <c:v>0.17499999999999999</c:v>
                </c:pt>
                <c:pt idx="3">
                  <c:v>0.27500000000000002</c:v>
                </c:pt>
                <c:pt idx="4">
                  <c:v>0.3</c:v>
                </c:pt>
              </c:numCache>
            </c:numRef>
          </c:val>
          <c:extLst xmlns:c16r2="http://schemas.microsoft.com/office/drawing/2015/06/chart">
            <c:ext xmlns:c16="http://schemas.microsoft.com/office/drawing/2014/chart" uri="{C3380CC4-5D6E-409C-BE32-E72D297353CC}">
              <c16:uniqueId val="{00000001-F99D-4EB3-9714-04EEEA6BA319}"/>
            </c:ext>
          </c:extLst>
        </c:ser>
        <c:ser>
          <c:idx val="2"/>
          <c:order val="2"/>
          <c:tx>
            <c:strRef>
              <c:f>'Strategic Direction Quant'!$A$10</c:f>
              <c:strCache>
                <c:ptCount val="1"/>
                <c:pt idx="0">
                  <c:v>Slightly agree</c:v>
                </c:pt>
              </c:strCache>
            </c:strRef>
          </c:tx>
          <c:spPr>
            <a:solidFill>
              <a:srgbClr val="0097A9"/>
            </a:solidFill>
            <a:ln>
              <a:noFill/>
            </a:ln>
            <a:effectLst/>
          </c:spPr>
          <c:invertIfNegative val="0"/>
          <c:cat>
            <c:strRef>
              <c:f>'Strategic Direction Quant'!$B$7:$F$7</c:f>
              <c:strCache>
                <c:ptCount val="5"/>
                <c:pt idx="0">
                  <c:v>Clear</c:v>
                </c:pt>
                <c:pt idx="1">
                  <c:v>Relevant (to the industry)</c:v>
                </c:pt>
                <c:pt idx="2">
                  <c:v>Agile</c:v>
                </c:pt>
                <c:pt idx="3">
                  <c:v>Adaptive</c:v>
                </c:pt>
                <c:pt idx="4">
                  <c:v>Scalable</c:v>
                </c:pt>
              </c:strCache>
            </c:strRef>
          </c:cat>
          <c:val>
            <c:numRef>
              <c:f>'Strategic Direction Quant'!$B$10:$F$10</c:f>
              <c:numCache>
                <c:formatCode>0.0%</c:formatCode>
                <c:ptCount val="5"/>
                <c:pt idx="0">
                  <c:v>0.32500000000000001</c:v>
                </c:pt>
                <c:pt idx="1">
                  <c:v>0.3</c:v>
                </c:pt>
                <c:pt idx="2">
                  <c:v>0.375</c:v>
                </c:pt>
                <c:pt idx="3">
                  <c:v>0.32500000000000001</c:v>
                </c:pt>
                <c:pt idx="4">
                  <c:v>0.2</c:v>
                </c:pt>
              </c:numCache>
            </c:numRef>
          </c:val>
          <c:extLst xmlns:c16r2="http://schemas.microsoft.com/office/drawing/2015/06/chart">
            <c:ext xmlns:c16="http://schemas.microsoft.com/office/drawing/2014/chart" uri="{C3380CC4-5D6E-409C-BE32-E72D297353CC}">
              <c16:uniqueId val="{00000002-F99D-4EB3-9714-04EEEA6BA319}"/>
            </c:ext>
          </c:extLst>
        </c:ser>
        <c:ser>
          <c:idx val="3"/>
          <c:order val="3"/>
          <c:tx>
            <c:strRef>
              <c:f>'Strategic Direction Quant'!$A$11</c:f>
              <c:strCache>
                <c:ptCount val="1"/>
                <c:pt idx="0">
                  <c:v>Slightly disagree</c:v>
                </c:pt>
              </c:strCache>
            </c:strRef>
          </c:tx>
          <c:spPr>
            <a:solidFill>
              <a:srgbClr val="00ABAB"/>
            </a:solidFill>
            <a:ln>
              <a:noFill/>
            </a:ln>
            <a:effectLst/>
          </c:spPr>
          <c:invertIfNegative val="0"/>
          <c:cat>
            <c:strRef>
              <c:f>'Strategic Direction Quant'!$B$7:$F$7</c:f>
              <c:strCache>
                <c:ptCount val="5"/>
                <c:pt idx="0">
                  <c:v>Clear</c:v>
                </c:pt>
                <c:pt idx="1">
                  <c:v>Relevant (to the industry)</c:v>
                </c:pt>
                <c:pt idx="2">
                  <c:v>Agile</c:v>
                </c:pt>
                <c:pt idx="3">
                  <c:v>Adaptive</c:v>
                </c:pt>
                <c:pt idx="4">
                  <c:v>Scalable</c:v>
                </c:pt>
              </c:strCache>
            </c:strRef>
          </c:cat>
          <c:val>
            <c:numRef>
              <c:f>'Strategic Direction Quant'!$B$11:$F$11</c:f>
              <c:numCache>
                <c:formatCode>0.0%</c:formatCode>
                <c:ptCount val="5"/>
                <c:pt idx="0">
                  <c:v>7.4999999999999997E-2</c:v>
                </c:pt>
                <c:pt idx="1">
                  <c:v>2.5000000000000001E-2</c:v>
                </c:pt>
                <c:pt idx="2">
                  <c:v>0.15</c:v>
                </c:pt>
                <c:pt idx="3">
                  <c:v>0.17499999999999999</c:v>
                </c:pt>
                <c:pt idx="4">
                  <c:v>0.15</c:v>
                </c:pt>
              </c:numCache>
            </c:numRef>
          </c:val>
          <c:extLst xmlns:c16r2="http://schemas.microsoft.com/office/drawing/2015/06/chart">
            <c:ext xmlns:c16="http://schemas.microsoft.com/office/drawing/2014/chart" uri="{C3380CC4-5D6E-409C-BE32-E72D297353CC}">
              <c16:uniqueId val="{00000003-F99D-4EB3-9714-04EEEA6BA319}"/>
            </c:ext>
          </c:extLst>
        </c:ser>
        <c:ser>
          <c:idx val="4"/>
          <c:order val="4"/>
          <c:tx>
            <c:strRef>
              <c:f>'Strategic Direction Quant'!$A$12</c:f>
              <c:strCache>
                <c:ptCount val="1"/>
                <c:pt idx="0">
                  <c:v>Disagree</c:v>
                </c:pt>
              </c:strCache>
            </c:strRef>
          </c:tx>
          <c:spPr>
            <a:solidFill>
              <a:srgbClr val="6FC2B4"/>
            </a:solidFill>
            <a:ln>
              <a:noFill/>
            </a:ln>
            <a:effectLst/>
          </c:spPr>
          <c:invertIfNegative val="0"/>
          <c:cat>
            <c:strRef>
              <c:f>'Strategic Direction Quant'!$B$7:$F$7</c:f>
              <c:strCache>
                <c:ptCount val="5"/>
                <c:pt idx="0">
                  <c:v>Clear</c:v>
                </c:pt>
                <c:pt idx="1">
                  <c:v>Relevant (to the industry)</c:v>
                </c:pt>
                <c:pt idx="2">
                  <c:v>Agile</c:v>
                </c:pt>
                <c:pt idx="3">
                  <c:v>Adaptive</c:v>
                </c:pt>
                <c:pt idx="4">
                  <c:v>Scalable</c:v>
                </c:pt>
              </c:strCache>
            </c:strRef>
          </c:cat>
          <c:val>
            <c:numRef>
              <c:f>'Strategic Direction Quant'!$B$12:$F$12</c:f>
              <c:numCache>
                <c:formatCode>0.0%</c:formatCode>
                <c:ptCount val="5"/>
                <c:pt idx="0">
                  <c:v>0.1</c:v>
                </c:pt>
                <c:pt idx="1">
                  <c:v>2.5000000000000001E-2</c:v>
                </c:pt>
                <c:pt idx="2">
                  <c:v>0.125</c:v>
                </c:pt>
                <c:pt idx="3">
                  <c:v>0.05</c:v>
                </c:pt>
                <c:pt idx="4">
                  <c:v>0.1</c:v>
                </c:pt>
              </c:numCache>
            </c:numRef>
          </c:val>
          <c:extLst xmlns:c16r2="http://schemas.microsoft.com/office/drawing/2015/06/chart">
            <c:ext xmlns:c16="http://schemas.microsoft.com/office/drawing/2014/chart" uri="{C3380CC4-5D6E-409C-BE32-E72D297353CC}">
              <c16:uniqueId val="{00000004-F99D-4EB3-9714-04EEEA6BA319}"/>
            </c:ext>
          </c:extLst>
        </c:ser>
        <c:ser>
          <c:idx val="5"/>
          <c:order val="5"/>
          <c:tx>
            <c:strRef>
              <c:f>'Strategic Direction Quant'!$A$13</c:f>
              <c:strCache>
                <c:ptCount val="1"/>
                <c:pt idx="0">
                  <c:v>Strongly disagree</c:v>
                </c:pt>
              </c:strCache>
            </c:strRef>
          </c:tx>
          <c:spPr>
            <a:solidFill>
              <a:srgbClr val="9DD4CF"/>
            </a:solidFill>
            <a:ln>
              <a:noFill/>
            </a:ln>
            <a:effectLst/>
          </c:spPr>
          <c:invertIfNegative val="0"/>
          <c:cat>
            <c:strRef>
              <c:f>'Strategic Direction Quant'!$B$7:$F$7</c:f>
              <c:strCache>
                <c:ptCount val="5"/>
                <c:pt idx="0">
                  <c:v>Clear</c:v>
                </c:pt>
                <c:pt idx="1">
                  <c:v>Relevant (to the industry)</c:v>
                </c:pt>
                <c:pt idx="2">
                  <c:v>Agile</c:v>
                </c:pt>
                <c:pt idx="3">
                  <c:v>Adaptive</c:v>
                </c:pt>
                <c:pt idx="4">
                  <c:v>Scalable</c:v>
                </c:pt>
              </c:strCache>
            </c:strRef>
          </c:cat>
          <c:val>
            <c:numRef>
              <c:f>'Strategic Direction Quant'!$B$13:$F$13</c:f>
              <c:numCache>
                <c:formatCode>0.0%</c:formatCode>
                <c:ptCount val="5"/>
                <c:pt idx="0">
                  <c:v>2.5000000000000001E-2</c:v>
                </c:pt>
                <c:pt idx="1">
                  <c:v>2.5000000000000001E-2</c:v>
                </c:pt>
                <c:pt idx="2">
                  <c:v>0.125</c:v>
                </c:pt>
                <c:pt idx="3">
                  <c:v>0.1</c:v>
                </c:pt>
                <c:pt idx="4">
                  <c:v>0.05</c:v>
                </c:pt>
              </c:numCache>
            </c:numRef>
          </c:val>
          <c:extLst xmlns:c16r2="http://schemas.microsoft.com/office/drawing/2015/06/chart">
            <c:ext xmlns:c16="http://schemas.microsoft.com/office/drawing/2014/chart" uri="{C3380CC4-5D6E-409C-BE32-E72D297353CC}">
              <c16:uniqueId val="{00000005-F99D-4EB3-9714-04EEEA6BA319}"/>
            </c:ext>
          </c:extLst>
        </c:ser>
        <c:dLbls>
          <c:showLegendKey val="0"/>
          <c:showVal val="0"/>
          <c:showCatName val="0"/>
          <c:showSerName val="0"/>
          <c:showPercent val="0"/>
          <c:showBubbleSize val="0"/>
        </c:dLbls>
        <c:gapWidth val="150"/>
        <c:overlap val="100"/>
        <c:axId val="997073512"/>
        <c:axId val="997075472"/>
      </c:barChart>
      <c:catAx>
        <c:axId val="997073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97075472"/>
        <c:crosses val="autoZero"/>
        <c:auto val="1"/>
        <c:lblAlgn val="ctr"/>
        <c:lblOffset val="100"/>
        <c:noMultiLvlLbl val="0"/>
      </c:catAx>
      <c:valAx>
        <c:axId val="997075472"/>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97073512"/>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179671884080179E-2"/>
          <c:y val="3.4034384755160053E-2"/>
          <c:w val="0.91251700289288662"/>
          <c:h val="0.80639780433537178"/>
        </c:manualLayout>
      </c:layout>
      <c:barChart>
        <c:barDir val="col"/>
        <c:grouping val="clustered"/>
        <c:varyColors val="0"/>
        <c:ser>
          <c:idx val="3"/>
          <c:order val="3"/>
          <c:tx>
            <c:strRef>
              <c:f>Sheet1!$J$3</c:f>
              <c:strCache>
                <c:ptCount val="1"/>
                <c:pt idx="0">
                  <c:v>2015</c:v>
                </c:pt>
              </c:strCache>
            </c:strRef>
          </c:tx>
          <c:spPr>
            <a:solidFill>
              <a:srgbClr val="004F5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Sheet1!$F$4:$F$9</c:f>
              <c:strCache>
                <c:ptCount val="6"/>
                <c:pt idx="0">
                  <c:v>Safety Case (New)</c:v>
                </c:pt>
                <c:pt idx="1">
                  <c:v>Safety Case (Revision)</c:v>
                </c:pt>
                <c:pt idx="2">
                  <c:v>WOMP (New)</c:v>
                </c:pt>
                <c:pt idx="3">
                  <c:v>WOMP (Revision)</c:v>
                </c:pt>
                <c:pt idx="4">
                  <c:v>EP (New)</c:v>
                </c:pt>
                <c:pt idx="5">
                  <c:v>EP (Revision)</c:v>
                </c:pt>
              </c:strCache>
            </c:strRef>
          </c:cat>
          <c:val>
            <c:numRef>
              <c:f>Sheet1!$J$4:$J$9</c:f>
              <c:numCache>
                <c:formatCode>[$-10409]0;\(0\);""</c:formatCode>
                <c:ptCount val="6"/>
                <c:pt idx="0">
                  <c:v>27</c:v>
                </c:pt>
                <c:pt idx="1">
                  <c:v>75</c:v>
                </c:pt>
                <c:pt idx="2" formatCode="General">
                  <c:v>21</c:v>
                </c:pt>
                <c:pt idx="3" formatCode="General">
                  <c:v>9</c:v>
                </c:pt>
                <c:pt idx="4">
                  <c:v>37</c:v>
                </c:pt>
                <c:pt idx="5">
                  <c:v>7</c:v>
                </c:pt>
              </c:numCache>
            </c:numRef>
          </c:val>
          <c:extLst xmlns:c16r2="http://schemas.microsoft.com/office/drawing/2015/06/chart">
            <c:ext xmlns:c16="http://schemas.microsoft.com/office/drawing/2014/chart" uri="{C3380CC4-5D6E-409C-BE32-E72D297353CC}">
              <c16:uniqueId val="{00000000-C8D7-40FF-89FF-BB760AC705DD}"/>
            </c:ext>
          </c:extLst>
        </c:ser>
        <c:ser>
          <c:idx val="4"/>
          <c:order val="4"/>
          <c:tx>
            <c:strRef>
              <c:f>Sheet1!$K$3</c:f>
              <c:strCache>
                <c:ptCount val="1"/>
                <c:pt idx="0">
                  <c:v>2016</c:v>
                </c:pt>
              </c:strCache>
            </c:strRef>
          </c:tx>
          <c:spPr>
            <a:solidFill>
              <a:srgbClr val="00768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Sheet1!$F$4:$F$9</c:f>
              <c:strCache>
                <c:ptCount val="6"/>
                <c:pt idx="0">
                  <c:v>Safety Case (New)</c:v>
                </c:pt>
                <c:pt idx="1">
                  <c:v>Safety Case (Revision)</c:v>
                </c:pt>
                <c:pt idx="2">
                  <c:v>WOMP (New)</c:v>
                </c:pt>
                <c:pt idx="3">
                  <c:v>WOMP (Revision)</c:v>
                </c:pt>
                <c:pt idx="4">
                  <c:v>EP (New)</c:v>
                </c:pt>
                <c:pt idx="5">
                  <c:v>EP (Revision)</c:v>
                </c:pt>
              </c:strCache>
            </c:strRef>
          </c:cat>
          <c:val>
            <c:numRef>
              <c:f>Sheet1!$K$4:$K$9</c:f>
              <c:numCache>
                <c:formatCode>[$-10409]0;\(0\);""</c:formatCode>
                <c:ptCount val="6"/>
                <c:pt idx="0">
                  <c:v>14</c:v>
                </c:pt>
                <c:pt idx="1">
                  <c:v>59</c:v>
                </c:pt>
                <c:pt idx="2">
                  <c:v>45</c:v>
                </c:pt>
                <c:pt idx="4">
                  <c:v>20</c:v>
                </c:pt>
                <c:pt idx="5">
                  <c:v>11</c:v>
                </c:pt>
              </c:numCache>
            </c:numRef>
          </c:val>
          <c:extLst xmlns:c16r2="http://schemas.microsoft.com/office/drawing/2015/06/chart">
            <c:ext xmlns:c16="http://schemas.microsoft.com/office/drawing/2014/chart" uri="{C3380CC4-5D6E-409C-BE32-E72D297353CC}">
              <c16:uniqueId val="{00000001-C8D7-40FF-89FF-BB760AC705DD}"/>
            </c:ext>
          </c:extLst>
        </c:ser>
        <c:ser>
          <c:idx val="5"/>
          <c:order val="5"/>
          <c:tx>
            <c:strRef>
              <c:f>Sheet1!$L$3</c:f>
              <c:strCache>
                <c:ptCount val="1"/>
                <c:pt idx="0">
                  <c:v>2017</c:v>
                </c:pt>
              </c:strCache>
            </c:strRef>
          </c:tx>
          <c:spPr>
            <a:solidFill>
              <a:srgbClr val="0097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Sheet1!$F$4:$F$9</c:f>
              <c:strCache>
                <c:ptCount val="6"/>
                <c:pt idx="0">
                  <c:v>Safety Case (New)</c:v>
                </c:pt>
                <c:pt idx="1">
                  <c:v>Safety Case (Revision)</c:v>
                </c:pt>
                <c:pt idx="2">
                  <c:v>WOMP (New)</c:v>
                </c:pt>
                <c:pt idx="3">
                  <c:v>WOMP (Revision)</c:v>
                </c:pt>
                <c:pt idx="4">
                  <c:v>EP (New)</c:v>
                </c:pt>
                <c:pt idx="5">
                  <c:v>EP (Revision)</c:v>
                </c:pt>
              </c:strCache>
            </c:strRef>
          </c:cat>
          <c:val>
            <c:numRef>
              <c:f>Sheet1!$L$4:$L$9</c:f>
              <c:numCache>
                <c:formatCode>[$-10409]0;\(0\);""</c:formatCode>
                <c:ptCount val="6"/>
                <c:pt idx="0">
                  <c:v>27</c:v>
                </c:pt>
                <c:pt idx="1">
                  <c:v>76</c:v>
                </c:pt>
                <c:pt idx="2">
                  <c:v>30</c:v>
                </c:pt>
                <c:pt idx="3">
                  <c:v>10</c:v>
                </c:pt>
                <c:pt idx="4">
                  <c:v>20</c:v>
                </c:pt>
                <c:pt idx="5">
                  <c:v>20</c:v>
                </c:pt>
              </c:numCache>
            </c:numRef>
          </c:val>
          <c:extLst xmlns:c16r2="http://schemas.microsoft.com/office/drawing/2015/06/chart">
            <c:ext xmlns:c16="http://schemas.microsoft.com/office/drawing/2014/chart" uri="{C3380CC4-5D6E-409C-BE32-E72D297353CC}">
              <c16:uniqueId val="{00000002-C8D7-40FF-89FF-BB760AC705DD}"/>
            </c:ext>
          </c:extLst>
        </c:ser>
        <c:ser>
          <c:idx val="6"/>
          <c:order val="6"/>
          <c:tx>
            <c:strRef>
              <c:f>Sheet1!$M$3</c:f>
              <c:strCache>
                <c:ptCount val="1"/>
                <c:pt idx="0">
                  <c:v>2018</c:v>
                </c:pt>
              </c:strCache>
            </c:strRef>
          </c:tx>
          <c:spPr>
            <a:solidFill>
              <a:srgbClr val="00ABA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Sheet1!$F$4:$F$9</c:f>
              <c:strCache>
                <c:ptCount val="6"/>
                <c:pt idx="0">
                  <c:v>Safety Case (New)</c:v>
                </c:pt>
                <c:pt idx="1">
                  <c:v>Safety Case (Revision)</c:v>
                </c:pt>
                <c:pt idx="2">
                  <c:v>WOMP (New)</c:v>
                </c:pt>
                <c:pt idx="3">
                  <c:v>WOMP (Revision)</c:v>
                </c:pt>
                <c:pt idx="4">
                  <c:v>EP (New)</c:v>
                </c:pt>
                <c:pt idx="5">
                  <c:v>EP (Revision)</c:v>
                </c:pt>
              </c:strCache>
            </c:strRef>
          </c:cat>
          <c:val>
            <c:numRef>
              <c:f>Sheet1!$M$4:$M$9</c:f>
              <c:numCache>
                <c:formatCode>[$-10409]0;\(0\);""</c:formatCode>
                <c:ptCount val="6"/>
                <c:pt idx="0">
                  <c:v>11</c:v>
                </c:pt>
                <c:pt idx="1">
                  <c:v>86</c:v>
                </c:pt>
                <c:pt idx="2">
                  <c:v>8</c:v>
                </c:pt>
                <c:pt idx="3">
                  <c:v>11</c:v>
                </c:pt>
                <c:pt idx="4">
                  <c:v>21</c:v>
                </c:pt>
                <c:pt idx="5">
                  <c:v>15</c:v>
                </c:pt>
              </c:numCache>
            </c:numRef>
          </c:val>
          <c:extLst xmlns:c16r2="http://schemas.microsoft.com/office/drawing/2015/06/chart">
            <c:ext xmlns:c16="http://schemas.microsoft.com/office/drawing/2014/chart" uri="{C3380CC4-5D6E-409C-BE32-E72D297353CC}">
              <c16:uniqueId val="{00000003-C8D7-40FF-89FF-BB760AC705DD}"/>
            </c:ext>
          </c:extLst>
        </c:ser>
        <c:ser>
          <c:idx val="7"/>
          <c:order val="7"/>
          <c:tx>
            <c:strRef>
              <c:f>Sheet1!$N$3</c:f>
              <c:strCache>
                <c:ptCount val="1"/>
                <c:pt idx="0">
                  <c:v>2019</c:v>
                </c:pt>
              </c:strCache>
            </c:strRef>
          </c:tx>
          <c:spPr>
            <a:solidFill>
              <a:srgbClr val="6FC2B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Sheet1!$F$4:$F$9</c:f>
              <c:strCache>
                <c:ptCount val="6"/>
                <c:pt idx="0">
                  <c:v>Safety Case (New)</c:v>
                </c:pt>
                <c:pt idx="1">
                  <c:v>Safety Case (Revision)</c:v>
                </c:pt>
                <c:pt idx="2">
                  <c:v>WOMP (New)</c:v>
                </c:pt>
                <c:pt idx="3">
                  <c:v>WOMP (Revision)</c:v>
                </c:pt>
                <c:pt idx="4">
                  <c:v>EP (New)</c:v>
                </c:pt>
                <c:pt idx="5">
                  <c:v>EP (Revision)</c:v>
                </c:pt>
              </c:strCache>
            </c:strRef>
          </c:cat>
          <c:val>
            <c:numRef>
              <c:f>Sheet1!$N$4:$N$9</c:f>
              <c:numCache>
                <c:formatCode>[$-10409]0;\(0\);""</c:formatCode>
                <c:ptCount val="6"/>
                <c:pt idx="0">
                  <c:v>14</c:v>
                </c:pt>
                <c:pt idx="1">
                  <c:v>59</c:v>
                </c:pt>
                <c:pt idx="2">
                  <c:v>15</c:v>
                </c:pt>
                <c:pt idx="3">
                  <c:v>13</c:v>
                </c:pt>
                <c:pt idx="4">
                  <c:v>30</c:v>
                </c:pt>
                <c:pt idx="5">
                  <c:v>13</c:v>
                </c:pt>
              </c:numCache>
            </c:numRef>
          </c:val>
          <c:extLst xmlns:c16r2="http://schemas.microsoft.com/office/drawing/2015/06/chart">
            <c:ext xmlns:c16="http://schemas.microsoft.com/office/drawing/2014/chart" uri="{C3380CC4-5D6E-409C-BE32-E72D297353CC}">
              <c16:uniqueId val="{00000004-C8D7-40FF-89FF-BB760AC705DD}"/>
            </c:ext>
          </c:extLst>
        </c:ser>
        <c:ser>
          <c:idx val="8"/>
          <c:order val="8"/>
          <c:tx>
            <c:strRef>
              <c:f>Sheet1!$O$3</c:f>
              <c:strCache>
                <c:ptCount val="1"/>
                <c:pt idx="0">
                  <c:v>Jan - Sep 2020</c:v>
                </c:pt>
              </c:strCache>
            </c:strRef>
          </c:tx>
          <c:spPr>
            <a:solidFill>
              <a:srgbClr val="9DD4C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Sheet1!$F$4:$F$9</c:f>
              <c:strCache>
                <c:ptCount val="6"/>
                <c:pt idx="0">
                  <c:v>Safety Case (New)</c:v>
                </c:pt>
                <c:pt idx="1">
                  <c:v>Safety Case (Revision)</c:v>
                </c:pt>
                <c:pt idx="2">
                  <c:v>WOMP (New)</c:v>
                </c:pt>
                <c:pt idx="3">
                  <c:v>WOMP (Revision)</c:v>
                </c:pt>
                <c:pt idx="4">
                  <c:v>EP (New)</c:v>
                </c:pt>
                <c:pt idx="5">
                  <c:v>EP (Revision)</c:v>
                </c:pt>
              </c:strCache>
            </c:strRef>
          </c:cat>
          <c:val>
            <c:numRef>
              <c:f>Sheet1!$O$4:$O$9</c:f>
              <c:numCache>
                <c:formatCode>[$-10409]0;\(0\);""</c:formatCode>
                <c:ptCount val="6"/>
                <c:pt idx="0">
                  <c:v>6</c:v>
                </c:pt>
                <c:pt idx="1">
                  <c:v>47</c:v>
                </c:pt>
                <c:pt idx="2">
                  <c:v>13</c:v>
                </c:pt>
                <c:pt idx="3">
                  <c:v>8</c:v>
                </c:pt>
                <c:pt idx="4" formatCode="General">
                  <c:v>24</c:v>
                </c:pt>
                <c:pt idx="5" formatCode="General">
                  <c:v>6</c:v>
                </c:pt>
              </c:numCache>
            </c:numRef>
          </c:val>
          <c:extLst xmlns:c16r2="http://schemas.microsoft.com/office/drawing/2015/06/chart">
            <c:ext xmlns:c16="http://schemas.microsoft.com/office/drawing/2014/chart" uri="{C3380CC4-5D6E-409C-BE32-E72D297353CC}">
              <c16:uniqueId val="{00000005-C8D7-40FF-89FF-BB760AC705DD}"/>
            </c:ext>
          </c:extLst>
        </c:ser>
        <c:dLbls>
          <c:dLblPos val="outEnd"/>
          <c:showLegendKey val="0"/>
          <c:showVal val="1"/>
          <c:showCatName val="0"/>
          <c:showSerName val="0"/>
          <c:showPercent val="0"/>
          <c:showBubbleSize val="0"/>
        </c:dLbls>
        <c:gapWidth val="219"/>
        <c:overlap val="-27"/>
        <c:axId val="997076648"/>
        <c:axId val="99707312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Sheet1!$G$3</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Sheet1!$F$4:$F$9</c15:sqref>
                        </c15:formulaRef>
                      </c:ext>
                    </c:extLst>
                    <c:strCache>
                      <c:ptCount val="6"/>
                      <c:pt idx="0">
                        <c:v>Safety Case (New)</c:v>
                      </c:pt>
                      <c:pt idx="1">
                        <c:v>Safety Case (Revision)</c:v>
                      </c:pt>
                      <c:pt idx="2">
                        <c:v>WOMP (New)</c:v>
                      </c:pt>
                      <c:pt idx="3">
                        <c:v>WOMP (Revision)</c:v>
                      </c:pt>
                      <c:pt idx="4">
                        <c:v>EP (New)</c:v>
                      </c:pt>
                      <c:pt idx="5">
                        <c:v>EP (Revision)</c:v>
                      </c:pt>
                    </c:strCache>
                  </c:strRef>
                </c:cat>
                <c:val>
                  <c:numRef>
                    <c:extLst xmlns:c16r2="http://schemas.microsoft.com/office/drawing/2015/06/chart">
                      <c:ext uri="{02D57815-91ED-43cb-92C2-25804820EDAC}">
                        <c15:formulaRef>
                          <c15:sqref>Sheet1!$G$4:$G$9</c15:sqref>
                        </c15:formulaRef>
                      </c:ext>
                    </c:extLst>
                    <c:numCache>
                      <c:formatCode>General</c:formatCode>
                      <c:ptCount val="6"/>
                    </c:numCache>
                  </c:numRef>
                </c:val>
                <c:extLst xmlns:c16r2="http://schemas.microsoft.com/office/drawing/2015/06/chart">
                  <c:ext xmlns:c16="http://schemas.microsoft.com/office/drawing/2014/chart" uri="{C3380CC4-5D6E-409C-BE32-E72D297353CC}">
                    <c16:uniqueId val="{00000006-C8D7-40FF-89FF-BB760AC705DD}"/>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Sheet1!$H$3</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Sheet1!$F$4:$F$9</c15:sqref>
                        </c15:formulaRef>
                      </c:ext>
                    </c:extLst>
                    <c:strCache>
                      <c:ptCount val="6"/>
                      <c:pt idx="0">
                        <c:v>Safety Case (New)</c:v>
                      </c:pt>
                      <c:pt idx="1">
                        <c:v>Safety Case (Revision)</c:v>
                      </c:pt>
                      <c:pt idx="2">
                        <c:v>WOMP (New)</c:v>
                      </c:pt>
                      <c:pt idx="3">
                        <c:v>WOMP (Revision)</c:v>
                      </c:pt>
                      <c:pt idx="4">
                        <c:v>EP (New)</c:v>
                      </c:pt>
                      <c:pt idx="5">
                        <c:v>EP (Revision)</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Sheet1!$H$4:$H$9</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7-C8D7-40FF-89FF-BB760AC705DD}"/>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Sheet1!$I$3</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Sheet1!$F$4:$F$9</c15:sqref>
                        </c15:formulaRef>
                      </c:ext>
                    </c:extLst>
                    <c:strCache>
                      <c:ptCount val="6"/>
                      <c:pt idx="0">
                        <c:v>Safety Case (New)</c:v>
                      </c:pt>
                      <c:pt idx="1">
                        <c:v>Safety Case (Revision)</c:v>
                      </c:pt>
                      <c:pt idx="2">
                        <c:v>WOMP (New)</c:v>
                      </c:pt>
                      <c:pt idx="3">
                        <c:v>WOMP (Revision)</c:v>
                      </c:pt>
                      <c:pt idx="4">
                        <c:v>EP (New)</c:v>
                      </c:pt>
                      <c:pt idx="5">
                        <c:v>EP (Revision)</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Sheet1!$I$4:$I$9</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8-C8D7-40FF-89FF-BB760AC705DD}"/>
                  </c:ext>
                </c:extLst>
              </c15:ser>
            </c15:filteredBarSeries>
          </c:ext>
        </c:extLst>
      </c:barChart>
      <c:catAx>
        <c:axId val="997076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97073120"/>
        <c:crosses val="autoZero"/>
        <c:auto val="1"/>
        <c:lblAlgn val="ctr"/>
        <c:lblOffset val="100"/>
        <c:noMultiLvlLbl val="0"/>
      </c:catAx>
      <c:valAx>
        <c:axId val="997073120"/>
        <c:scaling>
          <c:orientation val="minMax"/>
        </c:scaling>
        <c:delete val="0"/>
        <c:axPos val="l"/>
        <c:numFmt formatCode="[$-10409]0;\(0\);&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97076648"/>
        <c:crosses val="autoZero"/>
        <c:crossBetween val="between"/>
      </c:valAx>
      <c:spPr>
        <a:noFill/>
        <a:ln w="25400">
          <a:noFill/>
        </a:ln>
        <a:effectLst/>
      </c:spPr>
    </c:plotArea>
    <c:legend>
      <c:legendPos val="t"/>
      <c:layout>
        <c:manualLayout>
          <c:xMode val="edge"/>
          <c:yMode val="edge"/>
          <c:x val="6.3631690199309032E-2"/>
          <c:y val="0.9349112426035503"/>
          <c:w val="0.87476419462165766"/>
          <c:h val="6.164779698395688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581942768102894E-2"/>
          <c:y val="5.4088003705419177E-2"/>
          <c:w val="0.92411473200886385"/>
          <c:h val="0.75172981318511656"/>
        </c:manualLayout>
      </c:layout>
      <c:barChart>
        <c:barDir val="col"/>
        <c:grouping val="clustered"/>
        <c:varyColors val="0"/>
        <c:ser>
          <c:idx val="3"/>
          <c:order val="3"/>
          <c:tx>
            <c:strRef>
              <c:f>Sheet1!$J$31</c:f>
              <c:strCache>
                <c:ptCount val="1"/>
                <c:pt idx="0">
                  <c:v>2015</c:v>
                </c:pt>
              </c:strCache>
            </c:strRef>
          </c:tx>
          <c:spPr>
            <a:solidFill>
              <a:srgbClr val="004F5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Sheet1!$F$32:$F$37</c:f>
              <c:strCache>
                <c:ptCount val="6"/>
                <c:pt idx="0">
                  <c:v>Safety Case (New)</c:v>
                </c:pt>
                <c:pt idx="1">
                  <c:v>Safety Case (Revision)</c:v>
                </c:pt>
                <c:pt idx="2">
                  <c:v>WOMP (New)</c:v>
                </c:pt>
                <c:pt idx="3">
                  <c:v>WOMP (Revision)</c:v>
                </c:pt>
                <c:pt idx="4">
                  <c:v>EP (New)</c:v>
                </c:pt>
                <c:pt idx="5">
                  <c:v>EP (Revision)</c:v>
                </c:pt>
              </c:strCache>
            </c:strRef>
          </c:cat>
          <c:val>
            <c:numRef>
              <c:f>Sheet1!$J$32:$J$37</c:f>
              <c:numCache>
                <c:formatCode>[$-10409]0;\(0\);""</c:formatCode>
                <c:ptCount val="6"/>
                <c:pt idx="0">
                  <c:v>25</c:v>
                </c:pt>
                <c:pt idx="1">
                  <c:v>72</c:v>
                </c:pt>
                <c:pt idx="2">
                  <c:v>22</c:v>
                </c:pt>
                <c:pt idx="3">
                  <c:v>7</c:v>
                </c:pt>
                <c:pt idx="4">
                  <c:v>39</c:v>
                </c:pt>
                <c:pt idx="5">
                  <c:v>12</c:v>
                </c:pt>
              </c:numCache>
            </c:numRef>
          </c:val>
          <c:extLst xmlns:c16r2="http://schemas.microsoft.com/office/drawing/2015/06/chart">
            <c:ext xmlns:c16="http://schemas.microsoft.com/office/drawing/2014/chart" uri="{C3380CC4-5D6E-409C-BE32-E72D297353CC}">
              <c16:uniqueId val="{00000000-1F95-4EA2-BD55-ED6F5A302A2F}"/>
            </c:ext>
          </c:extLst>
        </c:ser>
        <c:ser>
          <c:idx val="4"/>
          <c:order val="4"/>
          <c:tx>
            <c:strRef>
              <c:f>Sheet1!$K$31</c:f>
              <c:strCache>
                <c:ptCount val="1"/>
                <c:pt idx="0">
                  <c:v>2016</c:v>
                </c:pt>
              </c:strCache>
            </c:strRef>
          </c:tx>
          <c:spPr>
            <a:solidFill>
              <a:srgbClr val="00768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Sheet1!$F$32:$F$37</c:f>
              <c:strCache>
                <c:ptCount val="6"/>
                <c:pt idx="0">
                  <c:v>Safety Case (New)</c:v>
                </c:pt>
                <c:pt idx="1">
                  <c:v>Safety Case (Revision)</c:v>
                </c:pt>
                <c:pt idx="2">
                  <c:v>WOMP (New)</c:v>
                </c:pt>
                <c:pt idx="3">
                  <c:v>WOMP (Revision)</c:v>
                </c:pt>
                <c:pt idx="4">
                  <c:v>EP (New)</c:v>
                </c:pt>
                <c:pt idx="5">
                  <c:v>EP (Revision)</c:v>
                </c:pt>
              </c:strCache>
            </c:strRef>
          </c:cat>
          <c:val>
            <c:numRef>
              <c:f>Sheet1!$K$32:$K$37</c:f>
              <c:numCache>
                <c:formatCode>[$-10409]0;\(0\);""</c:formatCode>
                <c:ptCount val="6"/>
                <c:pt idx="0">
                  <c:v>19</c:v>
                </c:pt>
                <c:pt idx="1">
                  <c:v>56</c:v>
                </c:pt>
                <c:pt idx="2">
                  <c:v>29</c:v>
                </c:pt>
                <c:pt idx="3" formatCode="General">
                  <c:v>2</c:v>
                </c:pt>
                <c:pt idx="4">
                  <c:v>23</c:v>
                </c:pt>
                <c:pt idx="5">
                  <c:v>9</c:v>
                </c:pt>
              </c:numCache>
            </c:numRef>
          </c:val>
          <c:extLst xmlns:c16r2="http://schemas.microsoft.com/office/drawing/2015/06/chart">
            <c:ext xmlns:c16="http://schemas.microsoft.com/office/drawing/2014/chart" uri="{C3380CC4-5D6E-409C-BE32-E72D297353CC}">
              <c16:uniqueId val="{00000001-1F95-4EA2-BD55-ED6F5A302A2F}"/>
            </c:ext>
          </c:extLst>
        </c:ser>
        <c:ser>
          <c:idx val="5"/>
          <c:order val="5"/>
          <c:tx>
            <c:strRef>
              <c:f>Sheet1!$L$31</c:f>
              <c:strCache>
                <c:ptCount val="1"/>
                <c:pt idx="0">
                  <c:v>2017</c:v>
                </c:pt>
              </c:strCache>
            </c:strRef>
          </c:tx>
          <c:spPr>
            <a:solidFill>
              <a:srgbClr val="0097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Sheet1!$F$32:$F$37</c:f>
              <c:strCache>
                <c:ptCount val="6"/>
                <c:pt idx="0">
                  <c:v>Safety Case (New)</c:v>
                </c:pt>
                <c:pt idx="1">
                  <c:v>Safety Case (Revision)</c:v>
                </c:pt>
                <c:pt idx="2">
                  <c:v>WOMP (New)</c:v>
                </c:pt>
                <c:pt idx="3">
                  <c:v>WOMP (Revision)</c:v>
                </c:pt>
                <c:pt idx="4">
                  <c:v>EP (New)</c:v>
                </c:pt>
                <c:pt idx="5">
                  <c:v>EP (Revision)</c:v>
                </c:pt>
              </c:strCache>
            </c:strRef>
          </c:cat>
          <c:val>
            <c:numRef>
              <c:f>Sheet1!$L$32:$L$37</c:f>
              <c:numCache>
                <c:formatCode>[$-10409]0;\(0\);""</c:formatCode>
                <c:ptCount val="6"/>
                <c:pt idx="0">
                  <c:v>26</c:v>
                </c:pt>
                <c:pt idx="1">
                  <c:v>78</c:v>
                </c:pt>
                <c:pt idx="2">
                  <c:v>37</c:v>
                </c:pt>
                <c:pt idx="3">
                  <c:v>7</c:v>
                </c:pt>
                <c:pt idx="4">
                  <c:v>16</c:v>
                </c:pt>
                <c:pt idx="5">
                  <c:v>17</c:v>
                </c:pt>
              </c:numCache>
            </c:numRef>
          </c:val>
          <c:extLst xmlns:c16r2="http://schemas.microsoft.com/office/drawing/2015/06/chart">
            <c:ext xmlns:c16="http://schemas.microsoft.com/office/drawing/2014/chart" uri="{C3380CC4-5D6E-409C-BE32-E72D297353CC}">
              <c16:uniqueId val="{00000002-1F95-4EA2-BD55-ED6F5A302A2F}"/>
            </c:ext>
          </c:extLst>
        </c:ser>
        <c:ser>
          <c:idx val="6"/>
          <c:order val="6"/>
          <c:tx>
            <c:strRef>
              <c:f>Sheet1!$M$31</c:f>
              <c:strCache>
                <c:ptCount val="1"/>
                <c:pt idx="0">
                  <c:v>2018</c:v>
                </c:pt>
              </c:strCache>
            </c:strRef>
          </c:tx>
          <c:spPr>
            <a:solidFill>
              <a:srgbClr val="00ABAB"/>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Sheet1!$F$32:$F$37</c:f>
              <c:strCache>
                <c:ptCount val="6"/>
                <c:pt idx="0">
                  <c:v>Safety Case (New)</c:v>
                </c:pt>
                <c:pt idx="1">
                  <c:v>Safety Case (Revision)</c:v>
                </c:pt>
                <c:pt idx="2">
                  <c:v>WOMP (New)</c:v>
                </c:pt>
                <c:pt idx="3">
                  <c:v>WOMP (Revision)</c:v>
                </c:pt>
                <c:pt idx="4">
                  <c:v>EP (New)</c:v>
                </c:pt>
                <c:pt idx="5">
                  <c:v>EP (Revision)</c:v>
                </c:pt>
              </c:strCache>
            </c:strRef>
          </c:cat>
          <c:val>
            <c:numRef>
              <c:f>Sheet1!$M$32:$M$37</c:f>
              <c:numCache>
                <c:formatCode>[$-10409]0;\(0\);""</c:formatCode>
                <c:ptCount val="6"/>
                <c:pt idx="0">
                  <c:v>13</c:v>
                </c:pt>
                <c:pt idx="1">
                  <c:v>84</c:v>
                </c:pt>
                <c:pt idx="2">
                  <c:v>13</c:v>
                </c:pt>
                <c:pt idx="3">
                  <c:v>11</c:v>
                </c:pt>
                <c:pt idx="4">
                  <c:v>22</c:v>
                </c:pt>
                <c:pt idx="5">
                  <c:v>16</c:v>
                </c:pt>
              </c:numCache>
            </c:numRef>
          </c:val>
          <c:extLst xmlns:c16r2="http://schemas.microsoft.com/office/drawing/2015/06/chart">
            <c:ext xmlns:c16="http://schemas.microsoft.com/office/drawing/2014/chart" uri="{C3380CC4-5D6E-409C-BE32-E72D297353CC}">
              <c16:uniqueId val="{00000003-1F95-4EA2-BD55-ED6F5A302A2F}"/>
            </c:ext>
          </c:extLst>
        </c:ser>
        <c:ser>
          <c:idx val="7"/>
          <c:order val="7"/>
          <c:tx>
            <c:strRef>
              <c:f>Sheet1!$N$31</c:f>
              <c:strCache>
                <c:ptCount val="1"/>
                <c:pt idx="0">
                  <c:v>2019</c:v>
                </c:pt>
              </c:strCache>
            </c:strRef>
          </c:tx>
          <c:spPr>
            <a:solidFill>
              <a:srgbClr val="6FC2B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Sheet1!$F$32:$F$37</c:f>
              <c:strCache>
                <c:ptCount val="6"/>
                <c:pt idx="0">
                  <c:v>Safety Case (New)</c:v>
                </c:pt>
                <c:pt idx="1">
                  <c:v>Safety Case (Revision)</c:v>
                </c:pt>
                <c:pt idx="2">
                  <c:v>WOMP (New)</c:v>
                </c:pt>
                <c:pt idx="3">
                  <c:v>WOMP (Revision)</c:v>
                </c:pt>
                <c:pt idx="4">
                  <c:v>EP (New)</c:v>
                </c:pt>
                <c:pt idx="5">
                  <c:v>EP (Revision)</c:v>
                </c:pt>
              </c:strCache>
            </c:strRef>
          </c:cat>
          <c:val>
            <c:numRef>
              <c:f>Sheet1!$N$32:$N$37</c:f>
              <c:numCache>
                <c:formatCode>[$-10409]0;\(0\);""</c:formatCode>
                <c:ptCount val="6"/>
                <c:pt idx="0">
                  <c:v>13</c:v>
                </c:pt>
                <c:pt idx="1">
                  <c:v>59</c:v>
                </c:pt>
                <c:pt idx="2">
                  <c:v>14</c:v>
                </c:pt>
                <c:pt idx="3">
                  <c:v>11</c:v>
                </c:pt>
                <c:pt idx="4">
                  <c:v>28</c:v>
                </c:pt>
                <c:pt idx="5">
                  <c:v>12</c:v>
                </c:pt>
              </c:numCache>
            </c:numRef>
          </c:val>
          <c:extLst xmlns:c16r2="http://schemas.microsoft.com/office/drawing/2015/06/chart">
            <c:ext xmlns:c16="http://schemas.microsoft.com/office/drawing/2014/chart" uri="{C3380CC4-5D6E-409C-BE32-E72D297353CC}">
              <c16:uniqueId val="{00000004-1F95-4EA2-BD55-ED6F5A302A2F}"/>
            </c:ext>
          </c:extLst>
        </c:ser>
        <c:ser>
          <c:idx val="8"/>
          <c:order val="8"/>
          <c:tx>
            <c:strRef>
              <c:f>Sheet1!$O$31</c:f>
              <c:strCache>
                <c:ptCount val="1"/>
                <c:pt idx="0">
                  <c:v>Jan - Sep 2020</c:v>
                </c:pt>
              </c:strCache>
            </c:strRef>
          </c:tx>
          <c:spPr>
            <a:solidFill>
              <a:srgbClr val="9DD4C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Sheet1!$F$32:$F$37</c:f>
              <c:strCache>
                <c:ptCount val="6"/>
                <c:pt idx="0">
                  <c:v>Safety Case (New)</c:v>
                </c:pt>
                <c:pt idx="1">
                  <c:v>Safety Case (Revision)</c:v>
                </c:pt>
                <c:pt idx="2">
                  <c:v>WOMP (New)</c:v>
                </c:pt>
                <c:pt idx="3">
                  <c:v>WOMP (Revision)</c:v>
                </c:pt>
                <c:pt idx="4">
                  <c:v>EP (New)</c:v>
                </c:pt>
                <c:pt idx="5">
                  <c:v>EP (Revision)</c:v>
                </c:pt>
              </c:strCache>
            </c:strRef>
          </c:cat>
          <c:val>
            <c:numRef>
              <c:f>Sheet1!$O$32:$O$37</c:f>
              <c:numCache>
                <c:formatCode>[$-10409]0;\(0\);""</c:formatCode>
                <c:ptCount val="6"/>
                <c:pt idx="0">
                  <c:v>5</c:v>
                </c:pt>
                <c:pt idx="1">
                  <c:v>46</c:v>
                </c:pt>
                <c:pt idx="2">
                  <c:v>13</c:v>
                </c:pt>
                <c:pt idx="3">
                  <c:v>8</c:v>
                </c:pt>
                <c:pt idx="4" formatCode="General">
                  <c:v>21</c:v>
                </c:pt>
                <c:pt idx="5" formatCode="General">
                  <c:v>5</c:v>
                </c:pt>
              </c:numCache>
            </c:numRef>
          </c:val>
          <c:extLst xmlns:c16r2="http://schemas.microsoft.com/office/drawing/2015/06/chart">
            <c:ext xmlns:c16="http://schemas.microsoft.com/office/drawing/2014/chart" uri="{C3380CC4-5D6E-409C-BE32-E72D297353CC}">
              <c16:uniqueId val="{00000005-1F95-4EA2-BD55-ED6F5A302A2F}"/>
            </c:ext>
          </c:extLst>
        </c:ser>
        <c:dLbls>
          <c:dLblPos val="outEnd"/>
          <c:showLegendKey val="0"/>
          <c:showVal val="1"/>
          <c:showCatName val="0"/>
          <c:showSerName val="0"/>
          <c:showPercent val="0"/>
          <c:showBubbleSize val="0"/>
        </c:dLbls>
        <c:gapWidth val="219"/>
        <c:overlap val="-27"/>
        <c:axId val="988505592"/>
        <c:axId val="988506768"/>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Sheet1!$G$31</c15:sqref>
                        </c15:formulaRef>
                      </c:ext>
                    </c:extLst>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6r2="http://schemas.microsoft.com/office/drawing/2015/06/chart">
                      <c:ext uri="{02D57815-91ED-43cb-92C2-25804820EDAC}">
                        <c15:formulaRef>
                          <c15:sqref>Sheet1!$F$32:$F$37</c15:sqref>
                        </c15:formulaRef>
                      </c:ext>
                    </c:extLst>
                    <c:strCache>
                      <c:ptCount val="6"/>
                      <c:pt idx="0">
                        <c:v>Safety Case (New)</c:v>
                      </c:pt>
                      <c:pt idx="1">
                        <c:v>Safety Case (Revision)</c:v>
                      </c:pt>
                      <c:pt idx="2">
                        <c:v>WOMP (New)</c:v>
                      </c:pt>
                      <c:pt idx="3">
                        <c:v>WOMP (Revision)</c:v>
                      </c:pt>
                      <c:pt idx="4">
                        <c:v>EP (New)</c:v>
                      </c:pt>
                      <c:pt idx="5">
                        <c:v>EP (Revision)</c:v>
                      </c:pt>
                    </c:strCache>
                  </c:strRef>
                </c:cat>
                <c:val>
                  <c:numRef>
                    <c:extLst xmlns:c16r2="http://schemas.microsoft.com/office/drawing/2015/06/chart">
                      <c:ext uri="{02D57815-91ED-43cb-92C2-25804820EDAC}">
                        <c15:formulaRef>
                          <c15:sqref>Sheet1!$G$32:$G$37</c15:sqref>
                        </c15:formulaRef>
                      </c:ext>
                    </c:extLst>
                    <c:numCache>
                      <c:formatCode>General</c:formatCode>
                      <c:ptCount val="6"/>
                    </c:numCache>
                  </c:numRef>
                </c:val>
                <c:extLst xmlns:c16r2="http://schemas.microsoft.com/office/drawing/2015/06/chart">
                  <c:ext xmlns:c16="http://schemas.microsoft.com/office/drawing/2014/chart" uri="{C3380CC4-5D6E-409C-BE32-E72D297353CC}">
                    <c16:uniqueId val="{00000006-1F95-4EA2-BD55-ED6F5A302A2F}"/>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Sheet1!$H$31</c15:sqref>
                        </c15:formulaRef>
                      </c:ext>
                    </c:extLst>
                    <c:strCache>
                      <c:ptCount val="1"/>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Sheet1!$F$32:$F$37</c15:sqref>
                        </c15:formulaRef>
                      </c:ext>
                    </c:extLst>
                    <c:strCache>
                      <c:ptCount val="6"/>
                      <c:pt idx="0">
                        <c:v>Safety Case (New)</c:v>
                      </c:pt>
                      <c:pt idx="1">
                        <c:v>Safety Case (Revision)</c:v>
                      </c:pt>
                      <c:pt idx="2">
                        <c:v>WOMP (New)</c:v>
                      </c:pt>
                      <c:pt idx="3">
                        <c:v>WOMP (Revision)</c:v>
                      </c:pt>
                      <c:pt idx="4">
                        <c:v>EP (New)</c:v>
                      </c:pt>
                      <c:pt idx="5">
                        <c:v>EP (Revision)</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Sheet1!$H$32:$H$37</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7-1F95-4EA2-BD55-ED6F5A302A2F}"/>
                  </c:ext>
                </c:extLst>
              </c15:ser>
            </c15:filteredBarSeries>
            <c15:filteredBarSeries>
              <c15:ser>
                <c:idx val="2"/>
                <c:order val="2"/>
                <c:tx>
                  <c:strRef>
                    <c:extLst xmlns:c15="http://schemas.microsoft.com/office/drawing/2012/chart" xmlns:c16r2="http://schemas.microsoft.com/office/drawing/2015/06/chart">
                      <c:ext xmlns:c15="http://schemas.microsoft.com/office/drawing/2012/chart" uri="{02D57815-91ED-43cb-92C2-25804820EDAC}">
                        <c15:formulaRef>
                          <c15:sqref>Sheet1!$I$31</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dLblPos val="outEnd"/>
                  <c:showLegendKey val="0"/>
                  <c:showVal val="1"/>
                  <c:showCatName val="0"/>
                  <c:showSerName val="0"/>
                  <c:showPercent val="0"/>
                  <c:showBubbleSize val="0"/>
                  <c:showLeaderLines val="0"/>
                  <c:extLst xmlns:c15="http://schemas.microsoft.com/office/drawing/2012/char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xmlns:c16r2="http://schemas.microsoft.com/office/drawing/2015/06/chart">
                      <c:ext xmlns:c15="http://schemas.microsoft.com/office/drawing/2012/chart" uri="{02D57815-91ED-43cb-92C2-25804820EDAC}">
                        <c15:formulaRef>
                          <c15:sqref>Sheet1!$F$32:$F$37</c15:sqref>
                        </c15:formulaRef>
                      </c:ext>
                    </c:extLst>
                    <c:strCache>
                      <c:ptCount val="6"/>
                      <c:pt idx="0">
                        <c:v>Safety Case (New)</c:v>
                      </c:pt>
                      <c:pt idx="1">
                        <c:v>Safety Case (Revision)</c:v>
                      </c:pt>
                      <c:pt idx="2">
                        <c:v>WOMP (New)</c:v>
                      </c:pt>
                      <c:pt idx="3">
                        <c:v>WOMP (Revision)</c:v>
                      </c:pt>
                      <c:pt idx="4">
                        <c:v>EP (New)</c:v>
                      </c:pt>
                      <c:pt idx="5">
                        <c:v>EP (Revision)</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Sheet1!$I$32:$I$37</c15:sqref>
                        </c15:formulaRef>
                      </c:ext>
                    </c:extLst>
                    <c:numCache>
                      <c:formatCode>General</c:formatCode>
                      <c:ptCount val="6"/>
                    </c:numCache>
                  </c:numRef>
                </c:val>
                <c:extLst xmlns:c15="http://schemas.microsoft.com/office/drawing/2012/chart" xmlns:c16r2="http://schemas.microsoft.com/office/drawing/2015/06/chart">
                  <c:ext xmlns:c16="http://schemas.microsoft.com/office/drawing/2014/chart" uri="{C3380CC4-5D6E-409C-BE32-E72D297353CC}">
                    <c16:uniqueId val="{00000008-1F95-4EA2-BD55-ED6F5A302A2F}"/>
                  </c:ext>
                </c:extLst>
              </c15:ser>
            </c15:filteredBarSeries>
          </c:ext>
        </c:extLst>
      </c:barChart>
      <c:catAx>
        <c:axId val="98850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8506768"/>
        <c:crosses val="autoZero"/>
        <c:auto val="1"/>
        <c:lblAlgn val="ctr"/>
        <c:lblOffset val="100"/>
        <c:noMultiLvlLbl val="0"/>
      </c:catAx>
      <c:valAx>
        <c:axId val="988506768"/>
        <c:scaling>
          <c:orientation val="minMax"/>
        </c:scaling>
        <c:delete val="0"/>
        <c:axPos val="l"/>
        <c:numFmt formatCode="[$-10409]0;\(0\);&quot;&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8505592"/>
        <c:crosses val="autoZero"/>
        <c:crossBetween val="between"/>
      </c:valAx>
      <c:spPr>
        <a:noFill/>
        <a:ln w="25400">
          <a:noFill/>
        </a:ln>
        <a:effectLst/>
      </c:spPr>
    </c:plotArea>
    <c:legend>
      <c:legendPos val="t"/>
      <c:layout>
        <c:manualLayout>
          <c:xMode val="edge"/>
          <c:yMode val="edge"/>
          <c:x val="0.10418319060482403"/>
          <c:y val="0.93586269196025296"/>
          <c:w val="0.77946816866869728"/>
          <c:h val="5.646871376850251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r>
              <a:rPr lang="en-AU" sz="1000"/>
              <a:t>I am satisfied with the level of effort required from my organisation to meet NOPSEMA's:</a:t>
            </a:r>
          </a:p>
        </c:rich>
      </c:tx>
      <c:layout>
        <c:manualLayout>
          <c:xMode val="edge"/>
          <c:yMode val="edge"/>
          <c:x val="7.0764585584634377E-3"/>
          <c:y val="2.1052631578947368E-2"/>
        </c:manualLayout>
      </c:layout>
      <c:overlay val="0"/>
      <c:spPr>
        <a:noFill/>
        <a:ln>
          <a:noFill/>
        </a:ln>
        <a:effectLst/>
      </c:spPr>
      <c:txPr>
        <a:bodyPr rot="0" spcFirstLastPara="1" vertOverflow="ellipsis" vert="horz" wrap="square" anchor="ctr" anchorCtr="1"/>
        <a:lstStyle/>
        <a:p>
          <a:pPr algn="l">
            <a:defRPr sz="1000" b="0" i="0" u="none" strike="noStrike" kern="1200" spc="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title>
    <c:autoTitleDeleted val="0"/>
    <c:plotArea>
      <c:layout/>
      <c:barChart>
        <c:barDir val="bar"/>
        <c:grouping val="percentStacked"/>
        <c:varyColors val="0"/>
        <c:ser>
          <c:idx val="0"/>
          <c:order val="0"/>
          <c:tx>
            <c:strRef>
              <c:f>'Level of effort quant'!$A$8</c:f>
              <c:strCache>
                <c:ptCount val="1"/>
                <c:pt idx="0">
                  <c:v>Strongly agree</c:v>
                </c:pt>
              </c:strCache>
            </c:strRef>
          </c:tx>
          <c:spPr>
            <a:solidFill>
              <a:srgbClr val="004F59"/>
            </a:solidFill>
            <a:ln>
              <a:noFill/>
            </a:ln>
            <a:effectLst/>
          </c:spPr>
          <c:invertIfNegative val="0"/>
          <c:cat>
            <c:strRef>
              <c:f>'Level of effort quant'!$B$7:$H$7</c:f>
              <c:strCache>
                <c:ptCount val="7"/>
                <c:pt idx="0">
                  <c:v>Criteria for acceptance of safety cases</c:v>
                </c:pt>
                <c:pt idx="1">
                  <c:v>Criteria for acceptance of well operations management plans</c:v>
                </c:pt>
                <c:pt idx="2">
                  <c:v>Criteria for acceptance of offshore project proposals</c:v>
                </c:pt>
                <c:pt idx="3">
                  <c:v>Criteria for acceptance of environment plans</c:v>
                </c:pt>
                <c:pt idx="4">
                  <c:v>Recommendations for improvement made through its inspection regime</c:v>
                </c:pt>
                <c:pt idx="5">
                  <c:v>Requirements for demonstrating ALARP*</c:v>
                </c:pt>
                <c:pt idx="6">
                  <c:v>Requirements for demonstrating acceptability with regard to environmental impacts and risks</c:v>
                </c:pt>
              </c:strCache>
            </c:strRef>
          </c:cat>
          <c:val>
            <c:numRef>
              <c:f>'Level of effort quant'!$B$8:$H$8</c:f>
              <c:numCache>
                <c:formatCode>0.0%</c:formatCode>
                <c:ptCount val="7"/>
                <c:pt idx="0">
                  <c:v>5.8823529411764705E-2</c:v>
                </c:pt>
                <c:pt idx="1">
                  <c:v>2.9411764705882353E-2</c:v>
                </c:pt>
                <c:pt idx="2">
                  <c:v>2.9411764705882353E-2</c:v>
                </c:pt>
                <c:pt idx="3">
                  <c:v>5.8823529411764705E-2</c:v>
                </c:pt>
                <c:pt idx="4">
                  <c:v>5.8823529411764705E-2</c:v>
                </c:pt>
                <c:pt idx="5">
                  <c:v>5.8823529411764705E-2</c:v>
                </c:pt>
                <c:pt idx="6">
                  <c:v>5.8823529411764705E-2</c:v>
                </c:pt>
              </c:numCache>
            </c:numRef>
          </c:val>
          <c:extLst xmlns:c16r2="http://schemas.microsoft.com/office/drawing/2015/06/chart">
            <c:ext xmlns:c16="http://schemas.microsoft.com/office/drawing/2014/chart" uri="{C3380CC4-5D6E-409C-BE32-E72D297353CC}">
              <c16:uniqueId val="{00000000-5051-4B61-BCF4-6C63D09A08A0}"/>
            </c:ext>
          </c:extLst>
        </c:ser>
        <c:ser>
          <c:idx val="1"/>
          <c:order val="1"/>
          <c:tx>
            <c:strRef>
              <c:f>'Level of effort quant'!$A$9</c:f>
              <c:strCache>
                <c:ptCount val="1"/>
                <c:pt idx="0">
                  <c:v>Agree</c:v>
                </c:pt>
              </c:strCache>
            </c:strRef>
          </c:tx>
          <c:spPr>
            <a:solidFill>
              <a:srgbClr val="007680"/>
            </a:solidFill>
            <a:ln>
              <a:noFill/>
            </a:ln>
            <a:effectLst/>
          </c:spPr>
          <c:invertIfNegative val="0"/>
          <c:cat>
            <c:strRef>
              <c:f>'Level of effort quant'!$B$7:$H$7</c:f>
              <c:strCache>
                <c:ptCount val="7"/>
                <c:pt idx="0">
                  <c:v>Criteria for acceptance of safety cases</c:v>
                </c:pt>
                <c:pt idx="1">
                  <c:v>Criteria for acceptance of well operations management plans</c:v>
                </c:pt>
                <c:pt idx="2">
                  <c:v>Criteria for acceptance of offshore project proposals</c:v>
                </c:pt>
                <c:pt idx="3">
                  <c:v>Criteria for acceptance of environment plans</c:v>
                </c:pt>
                <c:pt idx="4">
                  <c:v>Recommendations for improvement made through its inspection regime</c:v>
                </c:pt>
                <c:pt idx="5">
                  <c:v>Requirements for demonstrating ALARP*</c:v>
                </c:pt>
                <c:pt idx="6">
                  <c:v>Requirements for demonstrating acceptability with regard to environmental impacts and risks</c:v>
                </c:pt>
              </c:strCache>
            </c:strRef>
          </c:cat>
          <c:val>
            <c:numRef>
              <c:f>'Level of effort quant'!$B$9:$H$9</c:f>
              <c:numCache>
                <c:formatCode>0.0%</c:formatCode>
                <c:ptCount val="7"/>
                <c:pt idx="0">
                  <c:v>0.11764705882352941</c:v>
                </c:pt>
                <c:pt idx="1">
                  <c:v>0.11764705882352941</c:v>
                </c:pt>
                <c:pt idx="2">
                  <c:v>5.8823529411764705E-2</c:v>
                </c:pt>
                <c:pt idx="3">
                  <c:v>0.11764705882352941</c:v>
                </c:pt>
                <c:pt idx="4">
                  <c:v>0.20588235294117646</c:v>
                </c:pt>
                <c:pt idx="5">
                  <c:v>8.8235294117647065E-2</c:v>
                </c:pt>
                <c:pt idx="6">
                  <c:v>5.8823529411764705E-2</c:v>
                </c:pt>
              </c:numCache>
            </c:numRef>
          </c:val>
          <c:extLst xmlns:c16r2="http://schemas.microsoft.com/office/drawing/2015/06/chart">
            <c:ext xmlns:c16="http://schemas.microsoft.com/office/drawing/2014/chart" uri="{C3380CC4-5D6E-409C-BE32-E72D297353CC}">
              <c16:uniqueId val="{00000001-5051-4B61-BCF4-6C63D09A08A0}"/>
            </c:ext>
          </c:extLst>
        </c:ser>
        <c:ser>
          <c:idx val="2"/>
          <c:order val="2"/>
          <c:tx>
            <c:strRef>
              <c:f>'Level of effort quant'!$A$10</c:f>
              <c:strCache>
                <c:ptCount val="1"/>
                <c:pt idx="0">
                  <c:v>Slightly agree</c:v>
                </c:pt>
              </c:strCache>
            </c:strRef>
          </c:tx>
          <c:spPr>
            <a:solidFill>
              <a:srgbClr val="0097A9"/>
            </a:solidFill>
            <a:ln>
              <a:noFill/>
            </a:ln>
            <a:effectLst/>
          </c:spPr>
          <c:invertIfNegative val="0"/>
          <c:cat>
            <c:strRef>
              <c:f>'Level of effort quant'!$B$7:$H$7</c:f>
              <c:strCache>
                <c:ptCount val="7"/>
                <c:pt idx="0">
                  <c:v>Criteria for acceptance of safety cases</c:v>
                </c:pt>
                <c:pt idx="1">
                  <c:v>Criteria for acceptance of well operations management plans</c:v>
                </c:pt>
                <c:pt idx="2">
                  <c:v>Criteria for acceptance of offshore project proposals</c:v>
                </c:pt>
                <c:pt idx="3">
                  <c:v>Criteria for acceptance of environment plans</c:v>
                </c:pt>
                <c:pt idx="4">
                  <c:v>Recommendations for improvement made through its inspection regime</c:v>
                </c:pt>
                <c:pt idx="5">
                  <c:v>Requirements for demonstrating ALARP*</c:v>
                </c:pt>
                <c:pt idx="6">
                  <c:v>Requirements for demonstrating acceptability with regard to environmental impacts and risks</c:v>
                </c:pt>
              </c:strCache>
            </c:strRef>
          </c:cat>
          <c:val>
            <c:numRef>
              <c:f>'Level of effort quant'!$B$10:$H$10</c:f>
              <c:numCache>
                <c:formatCode>0.0%</c:formatCode>
                <c:ptCount val="7"/>
                <c:pt idx="0">
                  <c:v>8.8235294117647065E-2</c:v>
                </c:pt>
                <c:pt idx="1">
                  <c:v>5.8823529411764705E-2</c:v>
                </c:pt>
                <c:pt idx="2">
                  <c:v>0.11764705882352941</c:v>
                </c:pt>
                <c:pt idx="3">
                  <c:v>8.8235294117647065E-2</c:v>
                </c:pt>
                <c:pt idx="4">
                  <c:v>0.11764705882352941</c:v>
                </c:pt>
                <c:pt idx="5">
                  <c:v>0.17647058823529413</c:v>
                </c:pt>
                <c:pt idx="6">
                  <c:v>8.8235294117647065E-2</c:v>
                </c:pt>
              </c:numCache>
            </c:numRef>
          </c:val>
          <c:extLst xmlns:c16r2="http://schemas.microsoft.com/office/drawing/2015/06/chart">
            <c:ext xmlns:c16="http://schemas.microsoft.com/office/drawing/2014/chart" uri="{C3380CC4-5D6E-409C-BE32-E72D297353CC}">
              <c16:uniqueId val="{00000002-5051-4B61-BCF4-6C63D09A08A0}"/>
            </c:ext>
          </c:extLst>
        </c:ser>
        <c:ser>
          <c:idx val="3"/>
          <c:order val="3"/>
          <c:tx>
            <c:strRef>
              <c:f>'Level of effort quant'!$A$11</c:f>
              <c:strCache>
                <c:ptCount val="1"/>
                <c:pt idx="0">
                  <c:v>Slightly disagree</c:v>
                </c:pt>
              </c:strCache>
            </c:strRef>
          </c:tx>
          <c:spPr>
            <a:solidFill>
              <a:srgbClr val="00ABAB"/>
            </a:solidFill>
            <a:ln>
              <a:noFill/>
            </a:ln>
            <a:effectLst/>
          </c:spPr>
          <c:invertIfNegative val="0"/>
          <c:cat>
            <c:strRef>
              <c:f>'Level of effort quant'!$B$7:$H$7</c:f>
              <c:strCache>
                <c:ptCount val="7"/>
                <c:pt idx="0">
                  <c:v>Criteria for acceptance of safety cases</c:v>
                </c:pt>
                <c:pt idx="1">
                  <c:v>Criteria for acceptance of well operations management plans</c:v>
                </c:pt>
                <c:pt idx="2">
                  <c:v>Criteria for acceptance of offshore project proposals</c:v>
                </c:pt>
                <c:pt idx="3">
                  <c:v>Criteria for acceptance of environment plans</c:v>
                </c:pt>
                <c:pt idx="4">
                  <c:v>Recommendations for improvement made through its inspection regime</c:v>
                </c:pt>
                <c:pt idx="5">
                  <c:v>Requirements for demonstrating ALARP*</c:v>
                </c:pt>
                <c:pt idx="6">
                  <c:v>Requirements for demonstrating acceptability with regard to environmental impacts and risks</c:v>
                </c:pt>
              </c:strCache>
            </c:strRef>
          </c:cat>
          <c:val>
            <c:numRef>
              <c:f>'Level of effort quant'!$B$11:$H$11</c:f>
              <c:numCache>
                <c:formatCode>0.0%</c:formatCode>
                <c:ptCount val="7"/>
                <c:pt idx="0">
                  <c:v>8.8235294117647065E-2</c:v>
                </c:pt>
                <c:pt idx="1">
                  <c:v>2.9411764705882353E-2</c:v>
                </c:pt>
                <c:pt idx="2">
                  <c:v>0</c:v>
                </c:pt>
                <c:pt idx="3">
                  <c:v>5.8823529411764705E-2</c:v>
                </c:pt>
                <c:pt idx="4">
                  <c:v>2.9411764705882353E-2</c:v>
                </c:pt>
                <c:pt idx="5">
                  <c:v>8.8235294117647065E-2</c:v>
                </c:pt>
                <c:pt idx="6">
                  <c:v>0.11764705882352941</c:v>
                </c:pt>
              </c:numCache>
            </c:numRef>
          </c:val>
          <c:extLst xmlns:c16r2="http://schemas.microsoft.com/office/drawing/2015/06/chart">
            <c:ext xmlns:c16="http://schemas.microsoft.com/office/drawing/2014/chart" uri="{C3380CC4-5D6E-409C-BE32-E72D297353CC}">
              <c16:uniqueId val="{00000003-5051-4B61-BCF4-6C63D09A08A0}"/>
            </c:ext>
          </c:extLst>
        </c:ser>
        <c:ser>
          <c:idx val="4"/>
          <c:order val="4"/>
          <c:tx>
            <c:strRef>
              <c:f>'Level of effort quant'!$A$12</c:f>
              <c:strCache>
                <c:ptCount val="1"/>
                <c:pt idx="0">
                  <c:v>Disagree</c:v>
                </c:pt>
              </c:strCache>
            </c:strRef>
          </c:tx>
          <c:spPr>
            <a:solidFill>
              <a:srgbClr val="6FC2B4"/>
            </a:solidFill>
            <a:ln>
              <a:noFill/>
            </a:ln>
            <a:effectLst/>
          </c:spPr>
          <c:invertIfNegative val="0"/>
          <c:cat>
            <c:strRef>
              <c:f>'Level of effort quant'!$B$7:$H$7</c:f>
              <c:strCache>
                <c:ptCount val="7"/>
                <c:pt idx="0">
                  <c:v>Criteria for acceptance of safety cases</c:v>
                </c:pt>
                <c:pt idx="1">
                  <c:v>Criteria for acceptance of well operations management plans</c:v>
                </c:pt>
                <c:pt idx="2">
                  <c:v>Criteria for acceptance of offshore project proposals</c:v>
                </c:pt>
                <c:pt idx="3">
                  <c:v>Criteria for acceptance of environment plans</c:v>
                </c:pt>
                <c:pt idx="4">
                  <c:v>Recommendations for improvement made through its inspection regime</c:v>
                </c:pt>
                <c:pt idx="5">
                  <c:v>Requirements for demonstrating ALARP*</c:v>
                </c:pt>
                <c:pt idx="6">
                  <c:v>Requirements for demonstrating acceptability with regard to environmental impacts and risks</c:v>
                </c:pt>
              </c:strCache>
            </c:strRef>
          </c:cat>
          <c:val>
            <c:numRef>
              <c:f>'Level of effort quant'!$B$12:$H$12</c:f>
              <c:numCache>
                <c:formatCode>0.0%</c:formatCode>
                <c:ptCount val="7"/>
                <c:pt idx="0">
                  <c:v>0</c:v>
                </c:pt>
                <c:pt idx="1">
                  <c:v>0</c:v>
                </c:pt>
                <c:pt idx="2">
                  <c:v>8.8235294117647065E-2</c:v>
                </c:pt>
                <c:pt idx="3">
                  <c:v>8.8235294117647065E-2</c:v>
                </c:pt>
                <c:pt idx="4">
                  <c:v>5.8823529411764705E-2</c:v>
                </c:pt>
                <c:pt idx="5">
                  <c:v>0.11764705882352941</c:v>
                </c:pt>
                <c:pt idx="6">
                  <c:v>0.17647058823529413</c:v>
                </c:pt>
              </c:numCache>
            </c:numRef>
          </c:val>
          <c:extLst xmlns:c16r2="http://schemas.microsoft.com/office/drawing/2015/06/chart">
            <c:ext xmlns:c16="http://schemas.microsoft.com/office/drawing/2014/chart" uri="{C3380CC4-5D6E-409C-BE32-E72D297353CC}">
              <c16:uniqueId val="{00000004-5051-4B61-BCF4-6C63D09A08A0}"/>
            </c:ext>
          </c:extLst>
        </c:ser>
        <c:ser>
          <c:idx val="5"/>
          <c:order val="5"/>
          <c:tx>
            <c:strRef>
              <c:f>'Level of effort quant'!$A$13</c:f>
              <c:strCache>
                <c:ptCount val="1"/>
                <c:pt idx="0">
                  <c:v>Strongly disagree</c:v>
                </c:pt>
              </c:strCache>
            </c:strRef>
          </c:tx>
          <c:spPr>
            <a:solidFill>
              <a:srgbClr val="9DD4CF"/>
            </a:solidFill>
            <a:ln>
              <a:noFill/>
            </a:ln>
            <a:effectLst/>
          </c:spPr>
          <c:invertIfNegative val="0"/>
          <c:cat>
            <c:strRef>
              <c:f>'Level of effort quant'!$B$7:$H$7</c:f>
              <c:strCache>
                <c:ptCount val="7"/>
                <c:pt idx="0">
                  <c:v>Criteria for acceptance of safety cases</c:v>
                </c:pt>
                <c:pt idx="1">
                  <c:v>Criteria for acceptance of well operations management plans</c:v>
                </c:pt>
                <c:pt idx="2">
                  <c:v>Criteria for acceptance of offshore project proposals</c:v>
                </c:pt>
                <c:pt idx="3">
                  <c:v>Criteria for acceptance of environment plans</c:v>
                </c:pt>
                <c:pt idx="4">
                  <c:v>Recommendations for improvement made through its inspection regime</c:v>
                </c:pt>
                <c:pt idx="5">
                  <c:v>Requirements for demonstrating ALARP*</c:v>
                </c:pt>
                <c:pt idx="6">
                  <c:v>Requirements for demonstrating acceptability with regard to environmental impacts and risks</c:v>
                </c:pt>
              </c:strCache>
            </c:strRef>
          </c:cat>
          <c:val>
            <c:numRef>
              <c:f>'Level of effort quant'!$B$13:$H$13</c:f>
              <c:numCache>
                <c:formatCode>0.0%</c:formatCode>
                <c:ptCount val="7"/>
                <c:pt idx="0">
                  <c:v>2.9411764705882353E-2</c:v>
                </c:pt>
                <c:pt idx="1">
                  <c:v>0</c:v>
                </c:pt>
                <c:pt idx="2">
                  <c:v>2.9411764705882353E-2</c:v>
                </c:pt>
                <c:pt idx="3">
                  <c:v>8.8235294117647065E-2</c:v>
                </c:pt>
                <c:pt idx="4">
                  <c:v>0</c:v>
                </c:pt>
                <c:pt idx="5">
                  <c:v>5.8823529411764705E-2</c:v>
                </c:pt>
                <c:pt idx="6">
                  <c:v>5.8823529411764705E-2</c:v>
                </c:pt>
              </c:numCache>
            </c:numRef>
          </c:val>
          <c:extLst xmlns:c16r2="http://schemas.microsoft.com/office/drawing/2015/06/chart">
            <c:ext xmlns:c16="http://schemas.microsoft.com/office/drawing/2014/chart" uri="{C3380CC4-5D6E-409C-BE32-E72D297353CC}">
              <c16:uniqueId val="{00000005-5051-4B61-BCF4-6C63D09A08A0}"/>
            </c:ext>
          </c:extLst>
        </c:ser>
        <c:dLbls>
          <c:showLegendKey val="0"/>
          <c:showVal val="0"/>
          <c:showCatName val="0"/>
          <c:showSerName val="0"/>
          <c:showPercent val="0"/>
          <c:showBubbleSize val="0"/>
        </c:dLbls>
        <c:gapWidth val="150"/>
        <c:overlap val="100"/>
        <c:axId val="988504808"/>
        <c:axId val="988506376"/>
      </c:barChart>
      <c:catAx>
        <c:axId val="988504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8506376"/>
        <c:crosses val="autoZero"/>
        <c:auto val="1"/>
        <c:lblAlgn val="ctr"/>
        <c:lblOffset val="100"/>
        <c:noMultiLvlLbl val="0"/>
      </c:catAx>
      <c:valAx>
        <c:axId val="98850637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988504808"/>
        <c:crosses val="autoZero"/>
        <c:crossBetween val="between"/>
        <c:majorUnit val="0.2"/>
      </c:valAx>
      <c:spPr>
        <a:noFill/>
        <a:ln>
          <a:solidFill>
            <a:schemeClr val="bg2">
              <a:lumMod val="75000"/>
            </a:scheme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chart>
  <c:spPr>
    <a:solidFill>
      <a:schemeClr val="bg1"/>
    </a:solidFill>
    <a:ln w="9525" cap="flat" cmpd="sng" algn="ctr">
      <a:solidFill>
        <a:schemeClr val="bg2">
          <a:lumMod val="75000"/>
        </a:schemeClr>
      </a:solidFill>
      <a:round/>
    </a:ln>
    <a:effectLst/>
  </c:spPr>
  <c:txPr>
    <a:bodyPr/>
    <a:lstStyle/>
    <a:p>
      <a:pPr>
        <a:defRPr>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'Incidents Injuries Enforcements'!$BC$17</c:f>
              <c:strCache>
                <c:ptCount val="1"/>
                <c:pt idx="0">
                  <c:v>Total Accidents (fatalities, serious injuries)</c:v>
                </c:pt>
              </c:strCache>
            </c:strRef>
          </c:tx>
          <c:spPr>
            <a:solidFill>
              <a:srgbClr val="004F5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'Incidents Injuries Enforcements'!$BD$16:$BI$16</c:f>
              <c:strCache>
                <c:ptCount val="6"/>
                <c:pt idx="0">
                  <c:v>2015</c:v>
                </c:pt>
                <c:pt idx="1">
                  <c:v>2016</c:v>
                </c:pt>
                <c:pt idx="2">
                  <c:v>2017</c:v>
                </c:pt>
                <c:pt idx="3">
                  <c:v>2018</c:v>
                </c:pt>
                <c:pt idx="4">
                  <c:v>2019</c:v>
                </c:pt>
                <c:pt idx="5">
                  <c:v>Jan - Sep 2020</c:v>
                </c:pt>
              </c:strCache>
            </c:strRef>
          </c:cat>
          <c:val>
            <c:numRef>
              <c:f>'Incidents Injuries Enforcements'!$BD$17:$BI$17</c:f>
              <c:numCache>
                <c:formatCode>General</c:formatCode>
                <c:ptCount val="6"/>
                <c:pt idx="0">
                  <c:v>12</c:v>
                </c:pt>
                <c:pt idx="1">
                  <c:v>4</c:v>
                </c:pt>
                <c:pt idx="2">
                  <c:v>10</c:v>
                </c:pt>
                <c:pt idx="3">
                  <c:v>15</c:v>
                </c:pt>
                <c:pt idx="4">
                  <c:v>9</c:v>
                </c:pt>
                <c:pt idx="5">
                  <c:v>6</c:v>
                </c:pt>
              </c:numCache>
            </c:numRef>
          </c:val>
          <c:extLst xmlns:c16r2="http://schemas.microsoft.com/office/drawing/2015/06/chart">
            <c:ext xmlns:c16="http://schemas.microsoft.com/office/drawing/2014/chart" uri="{C3380CC4-5D6E-409C-BE32-E72D297353CC}">
              <c16:uniqueId val="{00000000-F9A2-4451-9976-E31C99944479}"/>
            </c:ext>
          </c:extLst>
        </c:ser>
        <c:ser>
          <c:idx val="1"/>
          <c:order val="1"/>
          <c:tx>
            <c:strRef>
              <c:f>'Incidents Injuries Enforcements'!$BC$18</c:f>
              <c:strCache>
                <c:ptCount val="1"/>
                <c:pt idx="0">
                  <c:v>Total Well Integrity incidents</c:v>
                </c:pt>
              </c:strCache>
            </c:strRef>
          </c:tx>
          <c:spPr>
            <a:solidFill>
              <a:srgbClr val="00768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'Incidents Injuries Enforcements'!$BD$16:$BI$16</c:f>
              <c:strCache>
                <c:ptCount val="6"/>
                <c:pt idx="0">
                  <c:v>2015</c:v>
                </c:pt>
                <c:pt idx="1">
                  <c:v>2016</c:v>
                </c:pt>
                <c:pt idx="2">
                  <c:v>2017</c:v>
                </c:pt>
                <c:pt idx="3">
                  <c:v>2018</c:v>
                </c:pt>
                <c:pt idx="4">
                  <c:v>2019</c:v>
                </c:pt>
                <c:pt idx="5">
                  <c:v>Jan - Sep 2020</c:v>
                </c:pt>
              </c:strCache>
            </c:strRef>
          </c:cat>
          <c:val>
            <c:numRef>
              <c:f>'Incidents Injuries Enforcements'!$BD$18:$BI$18</c:f>
              <c:numCache>
                <c:formatCode>General</c:formatCode>
                <c:ptCount val="6"/>
                <c:pt idx="1">
                  <c:v>31</c:v>
                </c:pt>
                <c:pt idx="2">
                  <c:v>27</c:v>
                </c:pt>
                <c:pt idx="3">
                  <c:v>60</c:v>
                </c:pt>
                <c:pt idx="4">
                  <c:v>72</c:v>
                </c:pt>
                <c:pt idx="5">
                  <c:v>46</c:v>
                </c:pt>
              </c:numCache>
            </c:numRef>
          </c:val>
          <c:extLst xmlns:c16r2="http://schemas.microsoft.com/office/drawing/2015/06/chart">
            <c:ext xmlns:c16="http://schemas.microsoft.com/office/drawing/2014/chart" uri="{C3380CC4-5D6E-409C-BE32-E72D297353CC}">
              <c16:uniqueId val="{00000001-F9A2-4451-9976-E31C99944479}"/>
            </c:ext>
          </c:extLst>
        </c:ser>
        <c:ser>
          <c:idx val="2"/>
          <c:order val="2"/>
          <c:tx>
            <c:strRef>
              <c:f>'Incidents Injuries Enforcements'!$BC$19</c:f>
              <c:strCache>
                <c:ptCount val="1"/>
                <c:pt idx="0">
                  <c:v>Total Environment Reportable incidents</c:v>
                </c:pt>
              </c:strCache>
            </c:strRef>
          </c:tx>
          <c:spPr>
            <a:solidFill>
              <a:srgbClr val="0097A9"/>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'Incidents Injuries Enforcements'!$BD$16:$BI$16</c:f>
              <c:strCache>
                <c:ptCount val="6"/>
                <c:pt idx="0">
                  <c:v>2015</c:v>
                </c:pt>
                <c:pt idx="1">
                  <c:v>2016</c:v>
                </c:pt>
                <c:pt idx="2">
                  <c:v>2017</c:v>
                </c:pt>
                <c:pt idx="3">
                  <c:v>2018</c:v>
                </c:pt>
                <c:pt idx="4">
                  <c:v>2019</c:v>
                </c:pt>
                <c:pt idx="5">
                  <c:v>Jan - Sep 2020</c:v>
                </c:pt>
              </c:strCache>
            </c:strRef>
          </c:cat>
          <c:val>
            <c:numRef>
              <c:f>'Incidents Injuries Enforcements'!$BD$19:$BI$19</c:f>
              <c:numCache>
                <c:formatCode>General</c:formatCode>
                <c:ptCount val="6"/>
                <c:pt idx="0">
                  <c:v>13</c:v>
                </c:pt>
                <c:pt idx="1">
                  <c:v>8</c:v>
                </c:pt>
                <c:pt idx="2">
                  <c:v>12</c:v>
                </c:pt>
                <c:pt idx="3">
                  <c:v>16</c:v>
                </c:pt>
                <c:pt idx="4">
                  <c:v>14</c:v>
                </c:pt>
                <c:pt idx="5">
                  <c:v>6</c:v>
                </c:pt>
              </c:numCache>
            </c:numRef>
          </c:val>
          <c:extLst xmlns:c16r2="http://schemas.microsoft.com/office/drawing/2015/06/chart">
            <c:ext xmlns:c16="http://schemas.microsoft.com/office/drawing/2014/chart" uri="{C3380CC4-5D6E-409C-BE32-E72D297353CC}">
              <c16:uniqueId val="{00000002-F9A2-4451-9976-E31C99944479}"/>
            </c:ext>
          </c:extLst>
        </c:ser>
        <c:dLbls>
          <c:showLegendKey val="0"/>
          <c:showVal val="0"/>
          <c:showCatName val="0"/>
          <c:showSerName val="0"/>
          <c:showPercent val="0"/>
          <c:showBubbleSize val="0"/>
        </c:dLbls>
        <c:gapWidth val="219"/>
        <c:overlap val="-27"/>
        <c:axId val="731611504"/>
        <c:axId val="731609936"/>
      </c:barChart>
      <c:catAx>
        <c:axId val="73161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731609936"/>
        <c:crosses val="autoZero"/>
        <c:auto val="1"/>
        <c:lblAlgn val="ctr"/>
        <c:lblOffset val="100"/>
        <c:noMultiLvlLbl val="0"/>
      </c:catAx>
      <c:valAx>
        <c:axId val="731609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73161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2">
          <a:lumMod val="75000"/>
        </a:scheme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20659905926958E-2"/>
          <c:y val="3.9483129935391242E-2"/>
          <c:w val="0.66258200579422466"/>
          <c:h val="0.86908388963942318"/>
        </c:manualLayout>
      </c:layout>
      <c:barChart>
        <c:barDir val="col"/>
        <c:grouping val="stacked"/>
        <c:varyColors val="0"/>
        <c:ser>
          <c:idx val="0"/>
          <c:order val="0"/>
          <c:tx>
            <c:strRef>
              <c:f>Sheet1!$B$56</c:f>
              <c:strCache>
                <c:ptCount val="1"/>
                <c:pt idx="0">
                  <c:v>Environment Division </c:v>
                </c:pt>
              </c:strCache>
            </c:strRef>
          </c:tx>
          <c:spPr>
            <a:solidFill>
              <a:srgbClr val="004F59"/>
            </a:solidFill>
            <a:ln>
              <a:noFill/>
            </a:ln>
            <a:effectLst/>
          </c:spPr>
          <c:invertIfNegative val="0"/>
          <c:cat>
            <c:strRef>
              <c:f>Sheet1!$C$55:$H$55</c:f>
              <c:strCache>
                <c:ptCount val="6"/>
                <c:pt idx="0">
                  <c:v>2014-15</c:v>
                </c:pt>
                <c:pt idx="1">
                  <c:v>2015-16</c:v>
                </c:pt>
                <c:pt idx="2">
                  <c:v>2016-17</c:v>
                </c:pt>
                <c:pt idx="3">
                  <c:v>2017-18</c:v>
                </c:pt>
                <c:pt idx="4">
                  <c:v>2018-19</c:v>
                </c:pt>
                <c:pt idx="5">
                  <c:v>2019-20</c:v>
                </c:pt>
              </c:strCache>
            </c:strRef>
          </c:cat>
          <c:val>
            <c:numRef>
              <c:f>Sheet1!$C$56:$H$56</c:f>
              <c:numCache>
                <c:formatCode>General</c:formatCode>
                <c:ptCount val="6"/>
                <c:pt idx="0">
                  <c:v>27.8</c:v>
                </c:pt>
                <c:pt idx="1">
                  <c:v>29.9</c:v>
                </c:pt>
                <c:pt idx="2">
                  <c:v>29.1</c:v>
                </c:pt>
                <c:pt idx="3">
                  <c:v>27.3</c:v>
                </c:pt>
                <c:pt idx="4" formatCode="0.0">
                  <c:v>30</c:v>
                </c:pt>
                <c:pt idx="5">
                  <c:v>31.6</c:v>
                </c:pt>
              </c:numCache>
            </c:numRef>
          </c:val>
          <c:extLst xmlns:c16r2="http://schemas.microsoft.com/office/drawing/2015/06/chart">
            <c:ext xmlns:c16="http://schemas.microsoft.com/office/drawing/2014/chart" uri="{C3380CC4-5D6E-409C-BE32-E72D297353CC}">
              <c16:uniqueId val="{00000000-64D1-413A-9FED-B510F8FC3BE7}"/>
            </c:ext>
          </c:extLst>
        </c:ser>
        <c:ser>
          <c:idx val="1"/>
          <c:order val="1"/>
          <c:tx>
            <c:strRef>
              <c:f>Sheet1!$B$57</c:f>
              <c:strCache>
                <c:ptCount val="1"/>
                <c:pt idx="0">
                  <c:v>Safety and Integrity Division</c:v>
                </c:pt>
              </c:strCache>
            </c:strRef>
          </c:tx>
          <c:spPr>
            <a:solidFill>
              <a:srgbClr val="007680"/>
            </a:solidFill>
            <a:ln>
              <a:noFill/>
            </a:ln>
            <a:effectLst/>
          </c:spPr>
          <c:invertIfNegative val="0"/>
          <c:cat>
            <c:strRef>
              <c:f>Sheet1!$C$55:$H$55</c:f>
              <c:strCache>
                <c:ptCount val="6"/>
                <c:pt idx="0">
                  <c:v>2014-15</c:v>
                </c:pt>
                <c:pt idx="1">
                  <c:v>2015-16</c:v>
                </c:pt>
                <c:pt idx="2">
                  <c:v>2016-17</c:v>
                </c:pt>
                <c:pt idx="3">
                  <c:v>2017-18</c:v>
                </c:pt>
                <c:pt idx="4">
                  <c:v>2018-19</c:v>
                </c:pt>
                <c:pt idx="5">
                  <c:v>2019-20</c:v>
                </c:pt>
              </c:strCache>
            </c:strRef>
          </c:cat>
          <c:val>
            <c:numRef>
              <c:f>Sheet1!$C$57:$H$57</c:f>
              <c:numCache>
                <c:formatCode>General</c:formatCode>
                <c:ptCount val="6"/>
                <c:pt idx="0">
                  <c:v>44.4</c:v>
                </c:pt>
                <c:pt idx="1">
                  <c:v>42.4</c:v>
                </c:pt>
                <c:pt idx="2">
                  <c:v>40.4</c:v>
                </c:pt>
                <c:pt idx="3">
                  <c:v>45.9</c:v>
                </c:pt>
                <c:pt idx="4" formatCode="0.0">
                  <c:v>44.9</c:v>
                </c:pt>
                <c:pt idx="5">
                  <c:v>44.6</c:v>
                </c:pt>
              </c:numCache>
            </c:numRef>
          </c:val>
          <c:extLst xmlns:c16r2="http://schemas.microsoft.com/office/drawing/2015/06/chart">
            <c:ext xmlns:c16="http://schemas.microsoft.com/office/drawing/2014/chart" uri="{C3380CC4-5D6E-409C-BE32-E72D297353CC}">
              <c16:uniqueId val="{00000001-64D1-413A-9FED-B510F8FC3BE7}"/>
            </c:ext>
          </c:extLst>
        </c:ser>
        <c:ser>
          <c:idx val="2"/>
          <c:order val="2"/>
          <c:tx>
            <c:strRef>
              <c:f>Sheet1!$B$58</c:f>
              <c:strCache>
                <c:ptCount val="1"/>
                <c:pt idx="0">
                  <c:v>Regulatory Support Division (excl. Corporate Support)</c:v>
                </c:pt>
              </c:strCache>
            </c:strRef>
          </c:tx>
          <c:spPr>
            <a:solidFill>
              <a:srgbClr val="0097A9"/>
            </a:solidFill>
            <a:ln>
              <a:noFill/>
            </a:ln>
            <a:effectLst/>
          </c:spPr>
          <c:invertIfNegative val="0"/>
          <c:cat>
            <c:strRef>
              <c:f>Sheet1!$C$55:$H$55</c:f>
              <c:strCache>
                <c:ptCount val="6"/>
                <c:pt idx="0">
                  <c:v>2014-15</c:v>
                </c:pt>
                <c:pt idx="1">
                  <c:v>2015-16</c:v>
                </c:pt>
                <c:pt idx="2">
                  <c:v>2016-17</c:v>
                </c:pt>
                <c:pt idx="3">
                  <c:v>2017-18</c:v>
                </c:pt>
                <c:pt idx="4">
                  <c:v>2018-19</c:v>
                </c:pt>
                <c:pt idx="5">
                  <c:v>2019-20</c:v>
                </c:pt>
              </c:strCache>
            </c:strRef>
          </c:cat>
          <c:val>
            <c:numRef>
              <c:f>Sheet1!$C$58:$H$58</c:f>
              <c:numCache>
                <c:formatCode>General</c:formatCode>
                <c:ptCount val="6"/>
                <c:pt idx="0">
                  <c:v>19.7</c:v>
                </c:pt>
                <c:pt idx="1">
                  <c:v>18.2</c:v>
                </c:pt>
                <c:pt idx="2">
                  <c:v>16.2</c:v>
                </c:pt>
                <c:pt idx="3">
                  <c:v>19.2</c:v>
                </c:pt>
                <c:pt idx="4" formatCode="0.0">
                  <c:v>22.2</c:v>
                </c:pt>
                <c:pt idx="5">
                  <c:v>23.8</c:v>
                </c:pt>
              </c:numCache>
            </c:numRef>
          </c:val>
          <c:extLst xmlns:c16r2="http://schemas.microsoft.com/office/drawing/2015/06/chart">
            <c:ext xmlns:c16="http://schemas.microsoft.com/office/drawing/2014/chart" uri="{C3380CC4-5D6E-409C-BE32-E72D297353CC}">
              <c16:uniqueId val="{00000002-64D1-413A-9FED-B510F8FC3BE7}"/>
            </c:ext>
          </c:extLst>
        </c:ser>
        <c:ser>
          <c:idx val="3"/>
          <c:order val="3"/>
          <c:tx>
            <c:strRef>
              <c:f>Sheet1!$B$59</c:f>
              <c:strCache>
                <c:ptCount val="1"/>
                <c:pt idx="0">
                  <c:v>Legal</c:v>
                </c:pt>
              </c:strCache>
            </c:strRef>
          </c:tx>
          <c:spPr>
            <a:solidFill>
              <a:srgbClr val="00ABAB"/>
            </a:solidFill>
            <a:ln>
              <a:noFill/>
            </a:ln>
            <a:effectLst/>
          </c:spPr>
          <c:invertIfNegative val="0"/>
          <c:cat>
            <c:strRef>
              <c:f>Sheet1!$C$55:$H$55</c:f>
              <c:strCache>
                <c:ptCount val="6"/>
                <c:pt idx="0">
                  <c:v>2014-15</c:v>
                </c:pt>
                <c:pt idx="1">
                  <c:v>2015-16</c:v>
                </c:pt>
                <c:pt idx="2">
                  <c:v>2016-17</c:v>
                </c:pt>
                <c:pt idx="3">
                  <c:v>2017-18</c:v>
                </c:pt>
                <c:pt idx="4">
                  <c:v>2018-19</c:v>
                </c:pt>
                <c:pt idx="5">
                  <c:v>2019-20</c:v>
                </c:pt>
              </c:strCache>
            </c:strRef>
          </c:cat>
          <c:val>
            <c:numRef>
              <c:f>Sheet1!$C$59:$H$59</c:f>
              <c:numCache>
                <c:formatCode>General</c:formatCode>
                <c:ptCount val="6"/>
                <c:pt idx="0">
                  <c:v>4.5</c:v>
                </c:pt>
                <c:pt idx="1">
                  <c:v>4.5</c:v>
                </c:pt>
                <c:pt idx="2">
                  <c:v>4.5</c:v>
                </c:pt>
                <c:pt idx="3">
                  <c:v>4</c:v>
                </c:pt>
                <c:pt idx="4" formatCode="0.0">
                  <c:v>6</c:v>
                </c:pt>
                <c:pt idx="5">
                  <c:v>4</c:v>
                </c:pt>
              </c:numCache>
            </c:numRef>
          </c:val>
          <c:extLst xmlns:c16r2="http://schemas.microsoft.com/office/drawing/2015/06/chart">
            <c:ext xmlns:c16="http://schemas.microsoft.com/office/drawing/2014/chart" uri="{C3380CC4-5D6E-409C-BE32-E72D297353CC}">
              <c16:uniqueId val="{00000003-64D1-413A-9FED-B510F8FC3BE7}"/>
            </c:ext>
          </c:extLst>
        </c:ser>
        <c:ser>
          <c:idx val="4"/>
          <c:order val="4"/>
          <c:tx>
            <c:strRef>
              <c:f>Sheet1!$B$60</c:f>
              <c:strCache>
                <c:ptCount val="1"/>
                <c:pt idx="0">
                  <c:v>Corporate support</c:v>
                </c:pt>
              </c:strCache>
            </c:strRef>
          </c:tx>
          <c:spPr>
            <a:solidFill>
              <a:srgbClr val="6FC2B4"/>
            </a:solidFill>
            <a:ln>
              <a:noFill/>
            </a:ln>
            <a:effectLst/>
          </c:spPr>
          <c:invertIfNegative val="0"/>
          <c:cat>
            <c:strRef>
              <c:f>Sheet1!$C$55:$H$55</c:f>
              <c:strCache>
                <c:ptCount val="6"/>
                <c:pt idx="0">
                  <c:v>2014-15</c:v>
                </c:pt>
                <c:pt idx="1">
                  <c:v>2015-16</c:v>
                </c:pt>
                <c:pt idx="2">
                  <c:v>2016-17</c:v>
                </c:pt>
                <c:pt idx="3">
                  <c:v>2017-18</c:v>
                </c:pt>
                <c:pt idx="4">
                  <c:v>2018-19</c:v>
                </c:pt>
                <c:pt idx="5">
                  <c:v>2019-20</c:v>
                </c:pt>
              </c:strCache>
            </c:strRef>
          </c:cat>
          <c:val>
            <c:numRef>
              <c:f>Sheet1!$C$60:$H$60</c:f>
              <c:numCache>
                <c:formatCode>General</c:formatCode>
                <c:ptCount val="6"/>
                <c:pt idx="0">
                  <c:v>17.600000000000001</c:v>
                </c:pt>
                <c:pt idx="1">
                  <c:v>19</c:v>
                </c:pt>
                <c:pt idx="2">
                  <c:v>18.2</c:v>
                </c:pt>
                <c:pt idx="3">
                  <c:v>18.600000000000001</c:v>
                </c:pt>
                <c:pt idx="4" formatCode="0.0">
                  <c:v>21.6</c:v>
                </c:pt>
                <c:pt idx="5">
                  <c:v>19.8</c:v>
                </c:pt>
              </c:numCache>
            </c:numRef>
          </c:val>
          <c:extLst xmlns:c16r2="http://schemas.microsoft.com/office/drawing/2015/06/chart">
            <c:ext xmlns:c16="http://schemas.microsoft.com/office/drawing/2014/chart" uri="{C3380CC4-5D6E-409C-BE32-E72D297353CC}">
              <c16:uniqueId val="{00000004-64D1-413A-9FED-B510F8FC3BE7}"/>
            </c:ext>
          </c:extLst>
        </c:ser>
        <c:dLbls>
          <c:showLegendKey val="0"/>
          <c:showVal val="0"/>
          <c:showCatName val="0"/>
          <c:showSerName val="0"/>
          <c:showPercent val="0"/>
          <c:showBubbleSize val="0"/>
        </c:dLbls>
        <c:gapWidth val="55"/>
        <c:overlap val="100"/>
        <c:axId val="731609544"/>
        <c:axId val="731611896"/>
      </c:barChart>
      <c:catAx>
        <c:axId val="731609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731611896"/>
        <c:crosses val="autoZero"/>
        <c:auto val="1"/>
        <c:lblAlgn val="ctr"/>
        <c:lblOffset val="100"/>
        <c:noMultiLvlLbl val="0"/>
      </c:catAx>
      <c:valAx>
        <c:axId val="731611896"/>
        <c:scaling>
          <c:orientation val="minMax"/>
          <c:max val="130"/>
          <c:min val="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crossAx val="731609544"/>
        <c:crosses val="autoZero"/>
        <c:crossBetween val="between"/>
        <c:majorUnit val="10"/>
      </c:valAx>
      <c:spPr>
        <a:noFill/>
        <a:ln>
          <a:solidFill>
            <a:srgbClr val="E7E6E6">
              <a:lumMod val="75000"/>
            </a:srgbClr>
          </a:solidFill>
        </a:ln>
        <a:effectLst/>
      </c:spPr>
    </c:plotArea>
    <c:legend>
      <c:legendPos val="r"/>
      <c:layout>
        <c:manualLayout>
          <c:xMode val="edge"/>
          <c:yMode val="edge"/>
          <c:x val="0.73496716524892225"/>
          <c:y val="8.6673525105844182E-2"/>
          <c:w val="0.25267571396022209"/>
          <c:h val="0.8733148306210467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libri Light" panose="020F0302020204030204" pitchFamily="34" charset="0"/>
              <a:ea typeface="+mn-ea"/>
              <a:cs typeface="Calibri Light" panose="020F0302020204030204" pitchFamily="34"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E7E6E6">
          <a:lumMod val="75000"/>
        </a:srgbClr>
      </a:solidFill>
      <a:round/>
    </a:ln>
    <a:effectLst/>
  </c:spPr>
  <c:txPr>
    <a:bodyPr/>
    <a:lstStyle/>
    <a:p>
      <a:pPr>
        <a:defRPr sz="900">
          <a:solidFill>
            <a:sysClr val="windowText" lastClr="000000"/>
          </a:solidFill>
          <a:latin typeface="Calibri Light" panose="020F0302020204030204" pitchFamily="34" charset="0"/>
          <a:cs typeface="Calibri Light" panose="020F0302020204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Deloitte">
  <a:themeElements>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gray">
        <a:solidFill>
          <a:schemeClr val="accent3"/>
        </a:solidFill>
        <a:ln w="19050" algn="ctr">
          <a:solidFill>
            <a:schemeClr val="accent3"/>
          </a:solidFill>
          <a:miter lim="800000"/>
          <a:headEnd/>
          <a:tailEnd/>
        </a:ln>
      </a:spPr>
      <a:bodyPr wrap="square" lIns="88900" tIns="88900" rIns="88900" bIns="88900" rtlCol="0" anchor="ctr"/>
      <a:lstStyle>
        <a:defPPr algn="ctr">
          <a:lnSpc>
            <a:spcPct val="106000"/>
          </a:lnSpc>
          <a:buFont typeface="Wingdings 2" pitchFamily="18" charset="2"/>
          <a:buNone/>
          <a:defRPr sz="1600" b="1" noProof="0" dirty="0" err="1" smtClean="0">
            <a:solidFill>
              <a:schemeClr val="bg1"/>
            </a:solidFill>
          </a:defRPr>
        </a:defPPr>
      </a:lstStyle>
    </a:spDef>
    <a:lnDef>
      <a:spPr>
        <a:ln>
          <a:solidFill>
            <a:srgbClr val="44546A"/>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spAutoFit/>
      </a:bodyPr>
      <a:lstStyle>
        <a:defPPr marL="234000" indent="-234000">
          <a:spcBef>
            <a:spcPts val="0"/>
          </a:spcBef>
          <a:spcAft>
            <a:spcPts val="1333"/>
          </a:spcAft>
          <a:buSzPct val="100000"/>
          <a:buFont typeface="Arial"/>
          <a:buChar char="•"/>
          <a:defRPr sz="1200" noProof="0" dirty="0" err="1" smtClean="0">
            <a:solidFill>
              <a:schemeClr val="tx1"/>
            </a:solidFill>
          </a:defRPr>
        </a:defPPr>
      </a:lstStyle>
    </a:txDef>
  </a:objectDefaults>
  <a:extraClrSchemeLst/>
  <a:custClrLst>
    <a:custClr name="Green 7">
      <a:srgbClr val="2C5234"/>
    </a:custClr>
    <a:custClr name="Green 6">
      <a:srgbClr val="046A38"/>
    </a:custClr>
    <a:custClr name="Green 5">
      <a:srgbClr val="009A44"/>
    </a:custClr>
    <a:custClr name="Green 4">
      <a:srgbClr val="43B02A"/>
    </a:custClr>
    <a:custClr name="Deloitte Green">
      <a:srgbClr val="86BC25"/>
    </a:custClr>
    <a:custClr name="Green 2">
      <a:srgbClr val="C4D600"/>
    </a:custClr>
    <a:custClr name="Green 1">
      <a:srgbClr val="E3E48D"/>
    </a:custClr>
    <a:custClr name="Teal 7">
      <a:srgbClr val="004F59"/>
    </a:custClr>
    <a:custClr name="Teal 6">
      <a:srgbClr val="007680"/>
    </a:custClr>
    <a:custClr name="Teal 5">
      <a:srgbClr val="0097A9"/>
    </a:custClr>
    <a:custClr name="Teal 4">
      <a:srgbClr val="00ABAB"/>
    </a:custClr>
    <a:custClr name="Teal 3">
      <a:srgbClr val="6FC2B4"/>
    </a:custClr>
    <a:custClr name="Teal 2">
      <a:srgbClr val="9DD4CF"/>
    </a:custClr>
    <a:custClr name="Teal 1">
      <a:srgbClr val="DDEFE8"/>
    </a:custClr>
    <a:custClr name="Blue 7">
      <a:srgbClr val="041E42"/>
    </a:custClr>
    <a:custClr name="Blue 6">
      <a:srgbClr val="012169"/>
    </a:custClr>
    <a:custClr name="Blue 5">
      <a:srgbClr val="005587"/>
    </a:custClr>
    <a:custClr name="Blue 4">
      <a:srgbClr val="0076A8"/>
    </a:custClr>
    <a:custClr name="Blue 3">
      <a:srgbClr val="00A3E0"/>
    </a:custClr>
    <a:custClr name="Blue 2">
      <a:srgbClr val="62B5E5"/>
    </a:custClr>
    <a:custClr name="Blue 1">
      <a:srgbClr val="A0DCFF"/>
    </a:custClr>
    <a:custClr name="Cool Gray 11">
      <a:srgbClr val="53565A"/>
    </a:custClr>
    <a:custClr name="Cool Gray 10">
      <a:srgbClr val="63666A"/>
    </a:custClr>
    <a:custClr name="Cool Gray 9">
      <a:srgbClr val="75787B"/>
    </a:custClr>
    <a:custClr name="Cool Gray 7">
      <a:srgbClr val="97999B"/>
    </a:custClr>
    <a:custClr name="Cool Gray 6">
      <a:srgbClr val="A7A8AA"/>
    </a:custClr>
    <a:custClr name="Cool Gray 4">
      <a:srgbClr val="BBBCBC"/>
    </a:custClr>
    <a:custClr name="Cool Gray 2">
      <a:srgbClr val="D0D0CE"/>
    </a:custClr>
    <a:custClr name="White">
      <a:srgbClr val="FFFFFF"/>
    </a:custClr>
    <a:custClr name="Black">
      <a:srgbClr val="000000"/>
    </a:custClr>
    <a:custClr name="Red">
      <a:srgbClr val="DA291C"/>
    </a:custClr>
    <a:custClr name="Orange">
      <a:srgbClr val="ED8B00"/>
    </a:custClr>
    <a:custClr name="Yellow">
      <a:srgbClr val="FFCD00"/>
    </a:custClr>
  </a:custClrLst>
  <a:extLst>
    <a:ext uri="{05A4C25C-085E-4340-85A3-A5531E510DB2}">
      <thm15:themeFamily xmlns:thm15="http://schemas.microsoft.com/office/thememl/2012/main" name="Deloitte" id="{020FA619-153C-4BC1-AB41-D999AE5EF9C3}" vid="{04C754E3-B662-48D8-B304-73D035B01689}"/>
    </a:ext>
  </a:extLst>
</a:theme>
</file>

<file path=word/theme/themeOverride1.xml><?xml version="1.0" encoding="utf-8"?>
<a:themeOverride xmlns:a="http://schemas.openxmlformats.org/drawingml/2006/main">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Deloitte">
    <a:dk1>
      <a:srgbClr val="000000"/>
    </a:dk1>
    <a:lt1>
      <a:srgbClr val="FFFFFF"/>
    </a:lt1>
    <a:dk2>
      <a:srgbClr val="44546A"/>
    </a:dk2>
    <a:lt2>
      <a:srgbClr val="E7E6E6"/>
    </a:lt2>
    <a:accent1>
      <a:srgbClr val="86BC25"/>
    </a:accent1>
    <a:accent2>
      <a:srgbClr val="046A38"/>
    </a:accent2>
    <a:accent3>
      <a:srgbClr val="62B5E5"/>
    </a:accent3>
    <a:accent4>
      <a:srgbClr val="012169"/>
    </a:accent4>
    <a:accent5>
      <a:srgbClr val="0097A9"/>
    </a:accent5>
    <a:accent6>
      <a:srgbClr val="75787B"/>
    </a:accent6>
    <a:hlink>
      <a:srgbClr val="00A3E0"/>
    </a:hlink>
    <a:folHlink>
      <a:srgbClr val="954F72"/>
    </a:folHlink>
  </a:clrScheme>
  <a:fontScheme name="Deloitte Powerpoint fon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0AAC5-9966-45F8-9D88-B769B1BEA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177</Pages>
  <Words>84101</Words>
  <Characters>479379</Characters>
  <Application>Microsoft Office Word</Application>
  <DocSecurity>0</DocSecurity>
  <Lines>3994</Lines>
  <Paragraphs>1124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562356</CharactersWithSpaces>
  <SharedDoc>false</SharedDoc>
  <HLinks>
    <vt:vector size="144" baseType="variant">
      <vt:variant>
        <vt:i4>3670059</vt:i4>
      </vt:variant>
      <vt:variant>
        <vt:i4>624</vt:i4>
      </vt:variant>
      <vt:variant>
        <vt:i4>0</vt:i4>
      </vt:variant>
      <vt:variant>
        <vt:i4>5</vt:i4>
      </vt:variant>
      <vt:variant>
        <vt:lpwstr>https://www.nopsema.gov.au/assets/Publications/A544023.pdf</vt:lpwstr>
      </vt:variant>
      <vt:variant>
        <vt:lpwstr/>
      </vt:variant>
      <vt:variant>
        <vt:i4>3539047</vt:i4>
      </vt:variant>
      <vt:variant>
        <vt:i4>621</vt:i4>
      </vt:variant>
      <vt:variant>
        <vt:i4>0</vt:i4>
      </vt:variant>
      <vt:variant>
        <vt:i4>5</vt:i4>
      </vt:variant>
      <vt:variant>
        <vt:lpwstr>https://www.nopsema.gov.au/assets/Safety-alerts/A484748.pdf</vt:lpwstr>
      </vt:variant>
      <vt:variant>
        <vt:lpwstr/>
      </vt:variant>
      <vt:variant>
        <vt:i4>1507390</vt:i4>
      </vt:variant>
      <vt:variant>
        <vt:i4>131</vt:i4>
      </vt:variant>
      <vt:variant>
        <vt:i4>0</vt:i4>
      </vt:variant>
      <vt:variant>
        <vt:i4>5</vt:i4>
      </vt:variant>
      <vt:variant>
        <vt:lpwstr/>
      </vt:variant>
      <vt:variant>
        <vt:lpwstr>_Toc63273692</vt:lpwstr>
      </vt:variant>
      <vt:variant>
        <vt:i4>1310782</vt:i4>
      </vt:variant>
      <vt:variant>
        <vt:i4>125</vt:i4>
      </vt:variant>
      <vt:variant>
        <vt:i4>0</vt:i4>
      </vt:variant>
      <vt:variant>
        <vt:i4>5</vt:i4>
      </vt:variant>
      <vt:variant>
        <vt:lpwstr/>
      </vt:variant>
      <vt:variant>
        <vt:lpwstr>_Toc63273691</vt:lpwstr>
      </vt:variant>
      <vt:variant>
        <vt:i4>1376318</vt:i4>
      </vt:variant>
      <vt:variant>
        <vt:i4>119</vt:i4>
      </vt:variant>
      <vt:variant>
        <vt:i4>0</vt:i4>
      </vt:variant>
      <vt:variant>
        <vt:i4>5</vt:i4>
      </vt:variant>
      <vt:variant>
        <vt:lpwstr/>
      </vt:variant>
      <vt:variant>
        <vt:lpwstr>_Toc63273690</vt:lpwstr>
      </vt:variant>
      <vt:variant>
        <vt:i4>1835071</vt:i4>
      </vt:variant>
      <vt:variant>
        <vt:i4>113</vt:i4>
      </vt:variant>
      <vt:variant>
        <vt:i4>0</vt:i4>
      </vt:variant>
      <vt:variant>
        <vt:i4>5</vt:i4>
      </vt:variant>
      <vt:variant>
        <vt:lpwstr/>
      </vt:variant>
      <vt:variant>
        <vt:lpwstr>_Toc63273689</vt:lpwstr>
      </vt:variant>
      <vt:variant>
        <vt:i4>1900607</vt:i4>
      </vt:variant>
      <vt:variant>
        <vt:i4>107</vt:i4>
      </vt:variant>
      <vt:variant>
        <vt:i4>0</vt:i4>
      </vt:variant>
      <vt:variant>
        <vt:i4>5</vt:i4>
      </vt:variant>
      <vt:variant>
        <vt:lpwstr/>
      </vt:variant>
      <vt:variant>
        <vt:lpwstr>_Toc63273688</vt:lpwstr>
      </vt:variant>
      <vt:variant>
        <vt:i4>1179711</vt:i4>
      </vt:variant>
      <vt:variant>
        <vt:i4>101</vt:i4>
      </vt:variant>
      <vt:variant>
        <vt:i4>0</vt:i4>
      </vt:variant>
      <vt:variant>
        <vt:i4>5</vt:i4>
      </vt:variant>
      <vt:variant>
        <vt:lpwstr/>
      </vt:variant>
      <vt:variant>
        <vt:lpwstr>_Toc63273687</vt:lpwstr>
      </vt:variant>
      <vt:variant>
        <vt:i4>1245247</vt:i4>
      </vt:variant>
      <vt:variant>
        <vt:i4>95</vt:i4>
      </vt:variant>
      <vt:variant>
        <vt:i4>0</vt:i4>
      </vt:variant>
      <vt:variant>
        <vt:i4>5</vt:i4>
      </vt:variant>
      <vt:variant>
        <vt:lpwstr/>
      </vt:variant>
      <vt:variant>
        <vt:lpwstr>_Toc63273686</vt:lpwstr>
      </vt:variant>
      <vt:variant>
        <vt:i4>1048639</vt:i4>
      </vt:variant>
      <vt:variant>
        <vt:i4>89</vt:i4>
      </vt:variant>
      <vt:variant>
        <vt:i4>0</vt:i4>
      </vt:variant>
      <vt:variant>
        <vt:i4>5</vt:i4>
      </vt:variant>
      <vt:variant>
        <vt:lpwstr/>
      </vt:variant>
      <vt:variant>
        <vt:lpwstr>_Toc63273685</vt:lpwstr>
      </vt:variant>
      <vt:variant>
        <vt:i4>1114175</vt:i4>
      </vt:variant>
      <vt:variant>
        <vt:i4>83</vt:i4>
      </vt:variant>
      <vt:variant>
        <vt:i4>0</vt:i4>
      </vt:variant>
      <vt:variant>
        <vt:i4>5</vt:i4>
      </vt:variant>
      <vt:variant>
        <vt:lpwstr/>
      </vt:variant>
      <vt:variant>
        <vt:lpwstr>_Toc63273684</vt:lpwstr>
      </vt:variant>
      <vt:variant>
        <vt:i4>1441855</vt:i4>
      </vt:variant>
      <vt:variant>
        <vt:i4>77</vt:i4>
      </vt:variant>
      <vt:variant>
        <vt:i4>0</vt:i4>
      </vt:variant>
      <vt:variant>
        <vt:i4>5</vt:i4>
      </vt:variant>
      <vt:variant>
        <vt:lpwstr/>
      </vt:variant>
      <vt:variant>
        <vt:lpwstr>_Toc63273683</vt:lpwstr>
      </vt:variant>
      <vt:variant>
        <vt:i4>1507391</vt:i4>
      </vt:variant>
      <vt:variant>
        <vt:i4>71</vt:i4>
      </vt:variant>
      <vt:variant>
        <vt:i4>0</vt:i4>
      </vt:variant>
      <vt:variant>
        <vt:i4>5</vt:i4>
      </vt:variant>
      <vt:variant>
        <vt:lpwstr/>
      </vt:variant>
      <vt:variant>
        <vt:lpwstr>_Toc63273682</vt:lpwstr>
      </vt:variant>
      <vt:variant>
        <vt:i4>1310783</vt:i4>
      </vt:variant>
      <vt:variant>
        <vt:i4>65</vt:i4>
      </vt:variant>
      <vt:variant>
        <vt:i4>0</vt:i4>
      </vt:variant>
      <vt:variant>
        <vt:i4>5</vt:i4>
      </vt:variant>
      <vt:variant>
        <vt:lpwstr/>
      </vt:variant>
      <vt:variant>
        <vt:lpwstr>_Toc63273681</vt:lpwstr>
      </vt:variant>
      <vt:variant>
        <vt:i4>1376319</vt:i4>
      </vt:variant>
      <vt:variant>
        <vt:i4>59</vt:i4>
      </vt:variant>
      <vt:variant>
        <vt:i4>0</vt:i4>
      </vt:variant>
      <vt:variant>
        <vt:i4>5</vt:i4>
      </vt:variant>
      <vt:variant>
        <vt:lpwstr/>
      </vt:variant>
      <vt:variant>
        <vt:lpwstr>_Toc63273680</vt:lpwstr>
      </vt:variant>
      <vt:variant>
        <vt:i4>1835056</vt:i4>
      </vt:variant>
      <vt:variant>
        <vt:i4>53</vt:i4>
      </vt:variant>
      <vt:variant>
        <vt:i4>0</vt:i4>
      </vt:variant>
      <vt:variant>
        <vt:i4>5</vt:i4>
      </vt:variant>
      <vt:variant>
        <vt:lpwstr/>
      </vt:variant>
      <vt:variant>
        <vt:lpwstr>_Toc63273679</vt:lpwstr>
      </vt:variant>
      <vt:variant>
        <vt:i4>1900592</vt:i4>
      </vt:variant>
      <vt:variant>
        <vt:i4>47</vt:i4>
      </vt:variant>
      <vt:variant>
        <vt:i4>0</vt:i4>
      </vt:variant>
      <vt:variant>
        <vt:i4>5</vt:i4>
      </vt:variant>
      <vt:variant>
        <vt:lpwstr/>
      </vt:variant>
      <vt:variant>
        <vt:lpwstr>_Toc63273678</vt:lpwstr>
      </vt:variant>
      <vt:variant>
        <vt:i4>1179696</vt:i4>
      </vt:variant>
      <vt:variant>
        <vt:i4>41</vt:i4>
      </vt:variant>
      <vt:variant>
        <vt:i4>0</vt:i4>
      </vt:variant>
      <vt:variant>
        <vt:i4>5</vt:i4>
      </vt:variant>
      <vt:variant>
        <vt:lpwstr/>
      </vt:variant>
      <vt:variant>
        <vt:lpwstr>_Toc63273677</vt:lpwstr>
      </vt:variant>
      <vt:variant>
        <vt:i4>1245232</vt:i4>
      </vt:variant>
      <vt:variant>
        <vt:i4>35</vt:i4>
      </vt:variant>
      <vt:variant>
        <vt:i4>0</vt:i4>
      </vt:variant>
      <vt:variant>
        <vt:i4>5</vt:i4>
      </vt:variant>
      <vt:variant>
        <vt:lpwstr/>
      </vt:variant>
      <vt:variant>
        <vt:lpwstr>_Toc63273676</vt:lpwstr>
      </vt:variant>
      <vt:variant>
        <vt:i4>1048624</vt:i4>
      </vt:variant>
      <vt:variant>
        <vt:i4>29</vt:i4>
      </vt:variant>
      <vt:variant>
        <vt:i4>0</vt:i4>
      </vt:variant>
      <vt:variant>
        <vt:i4>5</vt:i4>
      </vt:variant>
      <vt:variant>
        <vt:lpwstr/>
      </vt:variant>
      <vt:variant>
        <vt:lpwstr>_Toc63273675</vt:lpwstr>
      </vt:variant>
      <vt:variant>
        <vt:i4>1114160</vt:i4>
      </vt:variant>
      <vt:variant>
        <vt:i4>23</vt:i4>
      </vt:variant>
      <vt:variant>
        <vt:i4>0</vt:i4>
      </vt:variant>
      <vt:variant>
        <vt:i4>5</vt:i4>
      </vt:variant>
      <vt:variant>
        <vt:lpwstr/>
      </vt:variant>
      <vt:variant>
        <vt:lpwstr>_Toc63273674</vt:lpwstr>
      </vt:variant>
      <vt:variant>
        <vt:i4>1441840</vt:i4>
      </vt:variant>
      <vt:variant>
        <vt:i4>17</vt:i4>
      </vt:variant>
      <vt:variant>
        <vt:i4>0</vt:i4>
      </vt:variant>
      <vt:variant>
        <vt:i4>5</vt:i4>
      </vt:variant>
      <vt:variant>
        <vt:lpwstr/>
      </vt:variant>
      <vt:variant>
        <vt:lpwstr>_Toc63273673</vt:lpwstr>
      </vt:variant>
      <vt:variant>
        <vt:i4>1507376</vt:i4>
      </vt:variant>
      <vt:variant>
        <vt:i4>11</vt:i4>
      </vt:variant>
      <vt:variant>
        <vt:i4>0</vt:i4>
      </vt:variant>
      <vt:variant>
        <vt:i4>5</vt:i4>
      </vt:variant>
      <vt:variant>
        <vt:lpwstr/>
      </vt:variant>
      <vt:variant>
        <vt:lpwstr>_Toc63273672</vt:lpwstr>
      </vt:variant>
      <vt:variant>
        <vt:i4>1310768</vt:i4>
      </vt:variant>
      <vt:variant>
        <vt:i4>5</vt:i4>
      </vt:variant>
      <vt:variant>
        <vt:i4>0</vt:i4>
      </vt:variant>
      <vt:variant>
        <vt:i4>5</vt:i4>
      </vt:variant>
      <vt:variant>
        <vt:lpwstr/>
      </vt:variant>
      <vt:variant>
        <vt:lpwstr>_Toc63273671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2021-07-20T04:06:00Z</dcterms:created>
  <dcterms:modified xsi:type="dcterms:W3CDTF">2021-07-20T04:06:00Z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