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81E5CE" w14:textId="77777777" w:rsidR="00100452" w:rsidRDefault="00100452" w:rsidP="00100452">
      <w:pPr>
        <w:spacing w:before="240"/>
        <w:ind w:left="-993" w:right="-1418" w:hanging="425"/>
        <w:jc w:val="center"/>
        <w:rPr>
          <w:sz w:val="36"/>
          <w:szCs w:val="36"/>
        </w:rPr>
        <w:sectPr w:rsidR="00100452" w:rsidSect="00100452">
          <w:headerReference w:type="even" r:id="rId14"/>
          <w:headerReference w:type="default" r:id="rId15"/>
          <w:footerReference w:type="even" r:id="rId16"/>
          <w:footerReference w:type="default" r:id="rId17"/>
          <w:pgSz w:w="11907" w:h="16839" w:code="9"/>
          <w:pgMar w:top="0" w:right="1418" w:bottom="284" w:left="1418" w:header="282" w:footer="0" w:gutter="0"/>
          <w:pgNumType w:fmt="lowerRoman" w:start="1"/>
          <w:cols w:space="720"/>
          <w:titlePg/>
          <w:docGrid w:linePitch="360"/>
        </w:sectPr>
      </w:pPr>
      <w:r>
        <w:rPr>
          <w:rFonts w:asciiTheme="majorHAnsi" w:eastAsiaTheme="majorEastAsia" w:hAnsiTheme="majorHAnsi" w:cstheme="majorBidi"/>
          <w:noProof/>
          <w:color w:val="FFFFFF" w:themeColor="background1"/>
          <w:kern w:val="28"/>
          <w:sz w:val="52"/>
          <w:szCs w:val="52"/>
          <w:lang w:eastAsia="en-AU"/>
        </w:rPr>
        <w:drawing>
          <wp:inline distT="0" distB="0" distL="0" distR="0" wp14:anchorId="407B3801" wp14:editId="5766E509">
            <wp:extent cx="7264400" cy="10275556"/>
            <wp:effectExtent l="0" t="0" r="0" b="0"/>
            <wp:docPr id="6" name="Picture 6" descr="Driving effective Government investment in innovation, science and research cover page image with Industry Innovation and Science Australia logo and 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IISA - Govt invest innovation - ISA _COVER _300dp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314044" cy="10345778"/>
                    </a:xfrm>
                    <a:prstGeom prst="rect">
                      <a:avLst/>
                    </a:prstGeom>
                  </pic:spPr>
                </pic:pic>
              </a:graphicData>
            </a:graphic>
          </wp:inline>
        </w:drawing>
      </w:r>
      <w:r w:rsidR="00D35C12" w:rsidRPr="00E268CC">
        <w:rPr>
          <w:rFonts w:asciiTheme="majorHAnsi" w:eastAsiaTheme="majorEastAsia" w:hAnsiTheme="majorHAnsi" w:cstheme="majorBidi"/>
          <w:color w:val="FFFFFF" w:themeColor="background1"/>
          <w:kern w:val="28"/>
          <w:sz w:val="36"/>
          <w:szCs w:val="36"/>
          <w14:ligatures w14:val="standardContextual"/>
        </w:rPr>
        <w:br/>
      </w:r>
    </w:p>
    <w:p w14:paraId="1C5E5190" w14:textId="1E59F78A" w:rsidR="00AF1E18" w:rsidRPr="00E268CC" w:rsidRDefault="00AF1E18" w:rsidP="00100452">
      <w:pPr>
        <w:spacing w:before="240"/>
        <w:jc w:val="center"/>
        <w:rPr>
          <w:rFonts w:asciiTheme="majorHAnsi" w:eastAsiaTheme="majorEastAsia" w:hAnsiTheme="majorHAnsi" w:cstheme="majorBidi"/>
          <w:caps/>
          <w:color w:val="FFFFFF" w:themeColor="background1"/>
          <w:kern w:val="28"/>
          <w:sz w:val="36"/>
          <w:szCs w:val="36"/>
          <w14:ligatures w14:val="standardContextual"/>
        </w:rPr>
      </w:pPr>
    </w:p>
    <w:p w14:paraId="5C90AA8E" w14:textId="77777777" w:rsidR="00064D7F" w:rsidRDefault="00064D7F" w:rsidP="00064D7F">
      <w:pPr>
        <w:spacing w:before="240"/>
        <w:jc w:val="center"/>
        <w:rPr>
          <w:rFonts w:asciiTheme="majorHAnsi" w:eastAsiaTheme="majorEastAsia" w:hAnsiTheme="majorHAnsi" w:cstheme="majorBidi"/>
          <w:kern w:val="28"/>
          <w:sz w:val="52"/>
          <w:szCs w:val="52"/>
          <w14:ligatures w14:val="standardContextual"/>
        </w:rPr>
      </w:pPr>
      <w:bookmarkStart w:id="0" w:name="_Toc43737171"/>
      <w:bookmarkStart w:id="1" w:name="_Toc43737672"/>
      <w:bookmarkStart w:id="2" w:name="_Toc44069061"/>
      <w:bookmarkStart w:id="3" w:name="_Toc44317936"/>
      <w:bookmarkStart w:id="4" w:name="_Toc44318010"/>
      <w:bookmarkStart w:id="5" w:name="_Toc44328507"/>
      <w:bookmarkStart w:id="6" w:name="_Toc44329573"/>
      <w:bookmarkStart w:id="7" w:name="_Toc44331605"/>
      <w:bookmarkStart w:id="8" w:name="_Toc44331756"/>
      <w:bookmarkStart w:id="9" w:name="_Toc44331888"/>
      <w:bookmarkStart w:id="10" w:name="_Toc44334870"/>
      <w:bookmarkStart w:id="11" w:name="_Toc44335302"/>
      <w:bookmarkStart w:id="12" w:name="_Toc44422226"/>
      <w:bookmarkStart w:id="13" w:name="_Toc44424096"/>
      <w:bookmarkStart w:id="14" w:name="_Toc44424321"/>
      <w:bookmarkStart w:id="15" w:name="_Toc55910406"/>
      <w:bookmarkStart w:id="16" w:name="_Toc55991209"/>
      <w:bookmarkStart w:id="17" w:name="_Toc55995730"/>
      <w:bookmarkStart w:id="18" w:name="_Toc55997207"/>
      <w:bookmarkStart w:id="19" w:name="_Toc56069449"/>
      <w:bookmarkStart w:id="20" w:name="_Toc57105515"/>
      <w:bookmarkStart w:id="21" w:name="_Toc57134701"/>
      <w:bookmarkStart w:id="22" w:name="_Toc57141289"/>
      <w:r w:rsidRPr="00064D7F">
        <w:rPr>
          <w:rFonts w:asciiTheme="majorHAnsi" w:eastAsiaTheme="majorEastAsia" w:hAnsiTheme="majorHAnsi" w:cstheme="majorBidi"/>
          <w:kern w:val="28"/>
          <w:sz w:val="52"/>
          <w:szCs w:val="52"/>
          <w14:ligatures w14:val="standardContextual"/>
        </w:rPr>
        <w:t>Driving effective Government investment in innovation, science and research</w:t>
      </w:r>
    </w:p>
    <w:p w14:paraId="0104C9E5" w14:textId="77777777" w:rsidR="00064D7F" w:rsidRDefault="00064D7F" w:rsidP="00064D7F">
      <w:pPr>
        <w:spacing w:before="240"/>
        <w:jc w:val="center"/>
        <w:rPr>
          <w:rFonts w:asciiTheme="majorHAnsi" w:eastAsiaTheme="majorEastAsia" w:hAnsiTheme="majorHAnsi" w:cstheme="majorBidi"/>
          <w:kern w:val="28"/>
          <w:sz w:val="52"/>
          <w:szCs w:val="52"/>
          <w14:ligatures w14:val="standardContextual"/>
        </w:rPr>
      </w:pPr>
    </w:p>
    <w:p w14:paraId="155D43EE" w14:textId="45B77EA3" w:rsidR="00064D7F" w:rsidRPr="00636DE0" w:rsidRDefault="00574B74" w:rsidP="00636DE0">
      <w:pPr>
        <w:jc w:val="center"/>
        <w:rPr>
          <w:rFonts w:ascii="Microsoft YaHei" w:eastAsia="Microsoft YaHei" w:hAnsi="Microsoft YaHei"/>
          <w:color w:val="579AB0" w:themeColor="text2"/>
          <w:sz w:val="24"/>
          <w:szCs w:val="24"/>
        </w:rPr>
      </w:pPr>
      <w:r>
        <w:rPr>
          <w:rFonts w:ascii="Microsoft YaHei" w:eastAsia="Microsoft YaHei" w:hAnsi="Microsoft YaHei"/>
          <w:color w:val="579AB0" w:themeColor="text2"/>
          <w:sz w:val="24"/>
          <w:szCs w:val="24"/>
        </w:rPr>
        <w:t xml:space="preserve">Industry </w:t>
      </w:r>
      <w:r w:rsidR="00064D7F" w:rsidRPr="00636DE0">
        <w:rPr>
          <w:rFonts w:ascii="Microsoft YaHei" w:eastAsia="Microsoft YaHei" w:hAnsi="Microsoft YaHei"/>
          <w:color w:val="579AB0" w:themeColor="text2"/>
          <w:sz w:val="24"/>
          <w:szCs w:val="24"/>
        </w:rPr>
        <w:t>Innovation and Science Australia</w:t>
      </w:r>
    </w:p>
    <w:p w14:paraId="7A719B52" w14:textId="77777777" w:rsidR="00064D7F" w:rsidRDefault="00064D7F" w:rsidP="000D6A60">
      <w:pPr>
        <w:rPr>
          <w:lang w:val="en-US"/>
        </w:rPr>
      </w:pPr>
      <w:r>
        <w:br w:type="page"/>
      </w:r>
    </w:p>
    <w:p w14:paraId="5969ADF5" w14:textId="77777777" w:rsidR="003B4B7F" w:rsidRPr="00571015" w:rsidRDefault="003B4B7F" w:rsidP="003B4B7F">
      <w:pPr>
        <w:pStyle w:val="Pa12"/>
        <w:rPr>
          <w:rFonts w:ascii="Microsoft New Tai Lue" w:hAnsi="Microsoft New Tai Lue" w:cs="Microsoft New Tai Lue"/>
          <w:b/>
          <w:color w:val="auto"/>
          <w:kern w:val="20"/>
          <w:sz w:val="500"/>
          <w:szCs w:val="500"/>
        </w:rPr>
      </w:pPr>
    </w:p>
    <w:p w14:paraId="7600EF11" w14:textId="71CE3D2F" w:rsidR="003B4B7F" w:rsidRPr="003B4B7F" w:rsidRDefault="003B4B7F" w:rsidP="003B4B7F">
      <w:pPr>
        <w:pStyle w:val="Pa12"/>
        <w:rPr>
          <w:rFonts w:ascii="Microsoft New Tai Lue" w:hAnsi="Microsoft New Tai Lue" w:cs="Microsoft New Tai Lue"/>
          <w:b/>
          <w:color w:val="auto"/>
          <w:kern w:val="20"/>
          <w:sz w:val="20"/>
          <w:szCs w:val="20"/>
        </w:rPr>
      </w:pPr>
      <w:r w:rsidRPr="003B4B7F">
        <w:rPr>
          <w:rFonts w:ascii="Microsoft New Tai Lue" w:hAnsi="Microsoft New Tai Lue" w:cs="Microsoft New Tai Lue"/>
          <w:b/>
          <w:color w:val="auto"/>
          <w:kern w:val="20"/>
          <w:sz w:val="20"/>
          <w:szCs w:val="20"/>
        </w:rPr>
        <w:t>Online version</w:t>
      </w:r>
    </w:p>
    <w:p w14:paraId="1CE0617B" w14:textId="77777777" w:rsidR="003B4B7F" w:rsidRPr="003B4B7F" w:rsidRDefault="003B4B7F" w:rsidP="003B4B7F">
      <w:pPr>
        <w:pStyle w:val="Pa12"/>
        <w:rPr>
          <w:rFonts w:ascii="Microsoft New Tai Lue" w:hAnsi="Microsoft New Tai Lue" w:cs="Microsoft New Tai Lue"/>
          <w:color w:val="auto"/>
          <w:kern w:val="20"/>
          <w:sz w:val="20"/>
          <w:szCs w:val="20"/>
        </w:rPr>
      </w:pPr>
      <w:r w:rsidRPr="003B4B7F">
        <w:rPr>
          <w:rFonts w:ascii="Microsoft New Tai Lue" w:hAnsi="Microsoft New Tai Lue" w:cs="Microsoft New Tai Lue"/>
          <w:color w:val="auto"/>
          <w:kern w:val="20"/>
          <w:sz w:val="20"/>
          <w:szCs w:val="20"/>
        </w:rPr>
        <w:t>The online version of this report can be accessed:</w:t>
      </w:r>
    </w:p>
    <w:p w14:paraId="67085A5D" w14:textId="31C4A794" w:rsidR="003B4B7F" w:rsidRPr="003B4B7F" w:rsidRDefault="00A1412E" w:rsidP="003B4B7F">
      <w:pPr>
        <w:pStyle w:val="Pa22"/>
        <w:spacing w:after="100"/>
        <w:rPr>
          <w:rFonts w:ascii="Microsoft New Tai Lue" w:hAnsi="Microsoft New Tai Lue" w:cs="Microsoft New Tai Lue"/>
          <w:color w:val="auto"/>
          <w:kern w:val="20"/>
          <w:sz w:val="20"/>
          <w:szCs w:val="20"/>
        </w:rPr>
      </w:pPr>
      <w:hyperlink r:id="rId19" w:history="1">
        <w:r w:rsidR="00EA7D85" w:rsidRPr="00EA5326">
          <w:rPr>
            <w:rStyle w:val="Hyperlink"/>
            <w:rFonts w:ascii="Microsoft New Tai Lue" w:hAnsi="Microsoft New Tai Lue" w:cs="Microsoft New Tai Lue"/>
            <w:kern w:val="20"/>
            <w:sz w:val="20"/>
            <w:szCs w:val="20"/>
          </w:rPr>
          <w:t>https://www.industry.gov.au/iisa</w:t>
        </w:r>
      </w:hyperlink>
      <w:r w:rsidR="00EA7D85">
        <w:rPr>
          <w:rFonts w:ascii="Microsoft New Tai Lue" w:hAnsi="Microsoft New Tai Lue" w:cs="Microsoft New Tai Lue"/>
          <w:color w:val="auto"/>
          <w:kern w:val="20"/>
          <w:sz w:val="20"/>
          <w:szCs w:val="20"/>
        </w:rPr>
        <w:t xml:space="preserve"> </w:t>
      </w:r>
    </w:p>
    <w:p w14:paraId="55488073" w14:textId="77777777" w:rsidR="003B4B7F" w:rsidRDefault="003B4B7F" w:rsidP="003B4B7F">
      <w:pPr>
        <w:pStyle w:val="Pa12"/>
        <w:rPr>
          <w:rFonts w:ascii="Microsoft New Tai Lue" w:hAnsi="Microsoft New Tai Lue" w:cs="Microsoft New Tai Lue"/>
          <w:b/>
          <w:color w:val="auto"/>
          <w:kern w:val="20"/>
          <w:sz w:val="20"/>
          <w:szCs w:val="20"/>
        </w:rPr>
      </w:pPr>
    </w:p>
    <w:p w14:paraId="467F81D8" w14:textId="77777777" w:rsidR="003B4B7F" w:rsidRPr="003B4B7F" w:rsidRDefault="003B4B7F" w:rsidP="003B4B7F">
      <w:pPr>
        <w:pStyle w:val="Pa12"/>
        <w:rPr>
          <w:rFonts w:ascii="Microsoft New Tai Lue" w:hAnsi="Microsoft New Tai Lue" w:cs="Microsoft New Tai Lue"/>
          <w:b/>
          <w:color w:val="auto"/>
          <w:kern w:val="20"/>
          <w:sz w:val="20"/>
          <w:szCs w:val="20"/>
        </w:rPr>
      </w:pPr>
      <w:r w:rsidRPr="003B4B7F">
        <w:rPr>
          <w:rFonts w:ascii="Microsoft New Tai Lue" w:hAnsi="Microsoft New Tai Lue" w:cs="Microsoft New Tai Lue"/>
          <w:b/>
          <w:color w:val="auto"/>
          <w:kern w:val="20"/>
          <w:sz w:val="20"/>
          <w:szCs w:val="20"/>
        </w:rPr>
        <w:t>Contact</w:t>
      </w:r>
    </w:p>
    <w:p w14:paraId="24A51011" w14:textId="470D44FE" w:rsidR="003B4B7F" w:rsidRPr="003B4B7F" w:rsidRDefault="003B4B7F" w:rsidP="003B4B7F">
      <w:pPr>
        <w:pStyle w:val="Pa22"/>
        <w:spacing w:after="100"/>
        <w:rPr>
          <w:rFonts w:ascii="Microsoft New Tai Lue" w:hAnsi="Microsoft New Tai Lue" w:cs="Microsoft New Tai Lue"/>
          <w:color w:val="auto"/>
          <w:kern w:val="20"/>
          <w:sz w:val="20"/>
          <w:szCs w:val="20"/>
        </w:rPr>
      </w:pPr>
      <w:r w:rsidRPr="003B4B7F">
        <w:rPr>
          <w:rFonts w:ascii="Microsoft New Tai Lue" w:hAnsi="Microsoft New Tai Lue" w:cs="Microsoft New Tai Lue"/>
          <w:color w:val="auto"/>
          <w:kern w:val="20"/>
          <w:sz w:val="20"/>
          <w:szCs w:val="20"/>
        </w:rPr>
        <w:t xml:space="preserve">Industry Innovation and Science </w:t>
      </w:r>
      <w:r w:rsidR="00EA7D85">
        <w:rPr>
          <w:rFonts w:ascii="Microsoft New Tai Lue" w:hAnsi="Microsoft New Tai Lue" w:cs="Microsoft New Tai Lue"/>
          <w:color w:val="auto"/>
          <w:kern w:val="20"/>
          <w:sz w:val="20"/>
          <w:szCs w:val="20"/>
        </w:rPr>
        <w:t xml:space="preserve">Australia, </w:t>
      </w:r>
      <w:r w:rsidR="00571015">
        <w:rPr>
          <w:rFonts w:ascii="Microsoft New Tai Lue" w:hAnsi="Microsoft New Tai Lue" w:cs="Microsoft New Tai Lue"/>
          <w:color w:val="auto"/>
          <w:kern w:val="20"/>
          <w:sz w:val="20"/>
          <w:szCs w:val="20"/>
        </w:rPr>
        <w:br/>
      </w:r>
      <w:r w:rsidR="00EA7D85">
        <w:rPr>
          <w:rFonts w:ascii="Microsoft New Tai Lue" w:hAnsi="Microsoft New Tai Lue" w:cs="Microsoft New Tai Lue"/>
          <w:color w:val="auto"/>
          <w:kern w:val="20"/>
          <w:sz w:val="20"/>
          <w:szCs w:val="20"/>
        </w:rPr>
        <w:t>GPO Box 2013</w:t>
      </w:r>
      <w:r w:rsidR="0040093D">
        <w:rPr>
          <w:rFonts w:ascii="Microsoft New Tai Lue" w:hAnsi="Microsoft New Tai Lue" w:cs="Microsoft New Tai Lue"/>
          <w:color w:val="auto"/>
          <w:kern w:val="20"/>
          <w:sz w:val="20"/>
          <w:szCs w:val="20"/>
        </w:rPr>
        <w:t>,</w:t>
      </w:r>
      <w:r w:rsidR="00EA7D85">
        <w:rPr>
          <w:rFonts w:ascii="Microsoft New Tai Lue" w:hAnsi="Microsoft New Tai Lue" w:cs="Microsoft New Tai Lue"/>
          <w:color w:val="auto"/>
          <w:kern w:val="20"/>
          <w:sz w:val="20"/>
          <w:szCs w:val="20"/>
        </w:rPr>
        <w:t xml:space="preserve"> </w:t>
      </w:r>
      <w:r w:rsidR="00571015">
        <w:rPr>
          <w:rFonts w:ascii="Microsoft New Tai Lue" w:hAnsi="Microsoft New Tai Lue" w:cs="Microsoft New Tai Lue"/>
          <w:color w:val="auto"/>
          <w:kern w:val="20"/>
          <w:sz w:val="20"/>
          <w:szCs w:val="20"/>
        </w:rPr>
        <w:br/>
      </w:r>
      <w:r w:rsidR="00EA7D85">
        <w:rPr>
          <w:rFonts w:ascii="Microsoft New Tai Lue" w:hAnsi="Microsoft New Tai Lue" w:cs="Microsoft New Tai Lue"/>
          <w:color w:val="auto"/>
          <w:kern w:val="20"/>
          <w:sz w:val="20"/>
          <w:szCs w:val="20"/>
        </w:rPr>
        <w:t>C</w:t>
      </w:r>
      <w:r w:rsidRPr="003B4B7F">
        <w:rPr>
          <w:rFonts w:ascii="Microsoft New Tai Lue" w:hAnsi="Microsoft New Tai Lue" w:cs="Microsoft New Tai Lue"/>
          <w:color w:val="auto"/>
          <w:kern w:val="20"/>
          <w:sz w:val="20"/>
          <w:szCs w:val="20"/>
        </w:rPr>
        <w:t>anberra ACT 2601</w:t>
      </w:r>
      <w:r w:rsidR="00EA7D85">
        <w:rPr>
          <w:rFonts w:ascii="Microsoft New Tai Lue" w:hAnsi="Microsoft New Tai Lue" w:cs="Microsoft New Tai Lue"/>
          <w:color w:val="auto"/>
          <w:kern w:val="20"/>
          <w:sz w:val="20"/>
          <w:szCs w:val="20"/>
        </w:rPr>
        <w:t xml:space="preserve"> </w:t>
      </w:r>
      <w:r w:rsidR="00571015">
        <w:rPr>
          <w:rFonts w:ascii="Microsoft New Tai Lue" w:hAnsi="Microsoft New Tai Lue" w:cs="Microsoft New Tai Lue"/>
          <w:color w:val="auto"/>
          <w:kern w:val="20"/>
          <w:sz w:val="20"/>
          <w:szCs w:val="20"/>
        </w:rPr>
        <w:br/>
      </w:r>
      <w:r w:rsidRPr="003B4B7F">
        <w:rPr>
          <w:rFonts w:ascii="Microsoft New Tai Lue" w:hAnsi="Microsoft New Tai Lue" w:cs="Microsoft New Tai Lue"/>
          <w:color w:val="auto"/>
          <w:kern w:val="20"/>
          <w:sz w:val="20"/>
          <w:szCs w:val="20"/>
        </w:rPr>
        <w:t xml:space="preserve">Email </w:t>
      </w:r>
      <w:hyperlink r:id="rId20" w:history="1">
        <w:r w:rsidR="00EA7D85" w:rsidRPr="00EA5326">
          <w:rPr>
            <w:rStyle w:val="Hyperlink"/>
            <w:rFonts w:ascii="Microsoft New Tai Lue" w:hAnsi="Microsoft New Tai Lue" w:cs="Microsoft New Tai Lue"/>
            <w:kern w:val="20"/>
            <w:sz w:val="20"/>
            <w:szCs w:val="20"/>
          </w:rPr>
          <w:t>office@isa.gov.au</w:t>
        </w:r>
      </w:hyperlink>
      <w:r w:rsidR="00EA7D85">
        <w:rPr>
          <w:rFonts w:ascii="Microsoft New Tai Lue" w:hAnsi="Microsoft New Tai Lue" w:cs="Microsoft New Tai Lue"/>
          <w:color w:val="auto"/>
          <w:kern w:val="20"/>
          <w:sz w:val="20"/>
          <w:szCs w:val="20"/>
        </w:rPr>
        <w:t xml:space="preserve"> </w:t>
      </w:r>
    </w:p>
    <w:p w14:paraId="2BAADF62" w14:textId="77777777" w:rsidR="003B4B7F" w:rsidRDefault="003B4B7F" w:rsidP="003B4B7F">
      <w:pPr>
        <w:pStyle w:val="Pa12"/>
        <w:rPr>
          <w:rFonts w:ascii="Microsoft New Tai Lue" w:hAnsi="Microsoft New Tai Lue" w:cs="Microsoft New Tai Lue"/>
          <w:color w:val="auto"/>
          <w:kern w:val="20"/>
          <w:sz w:val="20"/>
          <w:szCs w:val="20"/>
        </w:rPr>
      </w:pPr>
    </w:p>
    <w:p w14:paraId="6B66126C" w14:textId="77777777" w:rsidR="003B4B7F" w:rsidRPr="003B4B7F" w:rsidRDefault="003B4B7F" w:rsidP="003B4B7F">
      <w:pPr>
        <w:pStyle w:val="Pa12"/>
        <w:rPr>
          <w:rFonts w:ascii="Microsoft New Tai Lue" w:hAnsi="Microsoft New Tai Lue" w:cs="Microsoft New Tai Lue"/>
          <w:color w:val="auto"/>
          <w:kern w:val="20"/>
          <w:sz w:val="20"/>
          <w:szCs w:val="20"/>
        </w:rPr>
      </w:pPr>
      <w:r w:rsidRPr="003B4B7F">
        <w:rPr>
          <w:rFonts w:ascii="Microsoft New Tai Lue" w:hAnsi="Microsoft New Tai Lue" w:cs="Microsoft New Tai Lue"/>
          <w:color w:val="auto"/>
          <w:kern w:val="20"/>
          <w:sz w:val="20"/>
          <w:szCs w:val="20"/>
        </w:rPr>
        <w:t>© Commonwealth of Australia 2021</w:t>
      </w:r>
    </w:p>
    <w:p w14:paraId="45DDA68E" w14:textId="77777777" w:rsidR="003B4B7F" w:rsidRPr="003B4B7F" w:rsidRDefault="003B4B7F" w:rsidP="003B4B7F">
      <w:pPr>
        <w:pStyle w:val="Pa22"/>
        <w:spacing w:after="100"/>
        <w:rPr>
          <w:rFonts w:ascii="Microsoft New Tai Lue" w:hAnsi="Microsoft New Tai Lue" w:cs="Microsoft New Tai Lue"/>
          <w:color w:val="auto"/>
          <w:kern w:val="20"/>
          <w:sz w:val="20"/>
          <w:szCs w:val="20"/>
        </w:rPr>
      </w:pPr>
      <w:r w:rsidRPr="003B4B7F">
        <w:rPr>
          <w:rFonts w:ascii="Microsoft New Tai Lue" w:hAnsi="Microsoft New Tai Lue" w:cs="Microsoft New Tai Lue"/>
          <w:color w:val="auto"/>
          <w:kern w:val="20"/>
          <w:sz w:val="20"/>
          <w:szCs w:val="20"/>
        </w:rPr>
        <w:t>This work is copyright. Apart from any use as permitted under the Copyright Act 1968, no part may be reproduced by any process without prior written permission from the Commonwealth.</w:t>
      </w:r>
    </w:p>
    <w:p w14:paraId="1BE5DCA4" w14:textId="4283702A" w:rsidR="003B4B7F" w:rsidRPr="003B4B7F" w:rsidRDefault="003B4B7F" w:rsidP="003B4B7F">
      <w:pPr>
        <w:spacing w:line="240" w:lineRule="auto"/>
        <w:rPr>
          <w:sz w:val="20"/>
          <w:szCs w:val="20"/>
        </w:rPr>
      </w:pPr>
      <w:r w:rsidRPr="003B4B7F">
        <w:rPr>
          <w:sz w:val="20"/>
          <w:szCs w:val="20"/>
        </w:rPr>
        <w:t>Requests and enquiries concerning reproduction and rights should be addressed to the Department of Industry, Science, Energy and Resources</w:t>
      </w:r>
      <w:r w:rsidR="00EA7D85">
        <w:rPr>
          <w:sz w:val="20"/>
          <w:szCs w:val="20"/>
        </w:rPr>
        <w:t xml:space="preserve"> </w:t>
      </w:r>
      <w:r w:rsidRPr="003B4B7F">
        <w:rPr>
          <w:sz w:val="20"/>
          <w:szCs w:val="20"/>
        </w:rPr>
        <w:t xml:space="preserve">GPO Box 9839, Canberra ACT 2601. </w:t>
      </w:r>
    </w:p>
    <w:p w14:paraId="3AFDC796" w14:textId="416A9937" w:rsidR="00064D7F" w:rsidRPr="0045334B" w:rsidRDefault="00064D7F" w:rsidP="0052182E">
      <w:pPr>
        <w:spacing w:after="0" w:line="240" w:lineRule="auto"/>
        <w:rPr>
          <w:rFonts w:ascii="Microsoft YaHei" w:eastAsia="Microsoft YaHei" w:hAnsi="Microsoft YaHei"/>
          <w:color w:val="579AB0" w:themeColor="text2"/>
          <w:sz w:val="24"/>
          <w:szCs w:val="24"/>
        </w:rPr>
      </w:pPr>
      <w:r w:rsidRPr="0045334B">
        <w:rPr>
          <w:rFonts w:ascii="Microsoft YaHei" w:eastAsia="Microsoft YaHei" w:hAnsi="Microsoft YaHei"/>
          <w:color w:val="579AB0" w:themeColor="text2"/>
          <w:sz w:val="24"/>
          <w:szCs w:val="24"/>
        </w:rPr>
        <w:t>Disclaimer</w:t>
      </w:r>
    </w:p>
    <w:p w14:paraId="31A25A13" w14:textId="68CD932F" w:rsidR="00064D7F" w:rsidRPr="0045334B" w:rsidRDefault="00064D7F" w:rsidP="00870A61">
      <w:pPr>
        <w:spacing w:after="0" w:line="240" w:lineRule="auto"/>
        <w:rPr>
          <w:sz w:val="16"/>
          <w:szCs w:val="16"/>
        </w:rPr>
      </w:pPr>
      <w:r w:rsidRPr="0045334B">
        <w:rPr>
          <w:sz w:val="16"/>
          <w:szCs w:val="16"/>
        </w:rPr>
        <w:t xml:space="preserve">The Australian Government as represented by the Department of Industry, Science, Energy and Resources has exercised due care and skill in the preparation and compilation of the information and data in this publication. Notwithstanding, the Commonwealth of Australia, its officers, employees, or agents disclaim any liability, including liability for negligence, loss howsoever caused, damage, injury, expense or cost incurred by any person as a result of accessing, using or relying upon any of </w:t>
      </w:r>
      <w:r w:rsidR="00421551" w:rsidRPr="0045334B">
        <w:rPr>
          <w:sz w:val="16"/>
          <w:szCs w:val="16"/>
        </w:rPr>
        <w:t xml:space="preserve">the information or data in this </w:t>
      </w:r>
      <w:r w:rsidRPr="0045334B">
        <w:rPr>
          <w:sz w:val="16"/>
          <w:szCs w:val="16"/>
        </w:rPr>
        <w:t>publication to the maximum extent permitted by law. No representation expressed or implied is mad</w:t>
      </w:r>
      <w:r w:rsidR="00421551" w:rsidRPr="0045334B">
        <w:rPr>
          <w:sz w:val="16"/>
          <w:szCs w:val="16"/>
        </w:rPr>
        <w:t xml:space="preserve">e as to the currency, accuracy, </w:t>
      </w:r>
      <w:r w:rsidRPr="0045334B">
        <w:rPr>
          <w:sz w:val="16"/>
          <w:szCs w:val="16"/>
        </w:rPr>
        <w:t>reliability or completeness of the information contained in this publication. The reader should</w:t>
      </w:r>
      <w:r w:rsidR="00421551" w:rsidRPr="0045334B">
        <w:rPr>
          <w:sz w:val="16"/>
          <w:szCs w:val="16"/>
        </w:rPr>
        <w:t xml:space="preserve"> rely on their own inquiries to </w:t>
      </w:r>
      <w:r w:rsidRPr="0045334B">
        <w:rPr>
          <w:sz w:val="16"/>
          <w:szCs w:val="16"/>
        </w:rPr>
        <w:t>independently confirm the information and comment on which they intend to act. This publicati</w:t>
      </w:r>
      <w:r w:rsidR="00421551" w:rsidRPr="0045334B">
        <w:rPr>
          <w:sz w:val="16"/>
          <w:szCs w:val="16"/>
        </w:rPr>
        <w:t xml:space="preserve">on does not indicate commitment </w:t>
      </w:r>
      <w:r w:rsidRPr="0045334B">
        <w:rPr>
          <w:sz w:val="16"/>
          <w:szCs w:val="16"/>
        </w:rPr>
        <w:t>by the Australian Government to a particular course of action.</w:t>
      </w:r>
    </w:p>
    <w:p w14:paraId="394BFE5C" w14:textId="4AE24E46" w:rsidR="003B4B7F" w:rsidRDefault="003B4B7F">
      <w:pPr>
        <w:spacing w:before="40" w:after="160" w:line="288" w:lineRule="auto"/>
      </w:pPr>
      <w:bookmarkStart w:id="23" w:name="_Toc57640802"/>
      <w:r>
        <w:br w:type="page"/>
      </w:r>
    </w:p>
    <w:p w14:paraId="233C31C5" w14:textId="77777777" w:rsidR="003B4B7F" w:rsidRPr="001129B3" w:rsidRDefault="003B4B7F" w:rsidP="003B4B7F">
      <w:pPr>
        <w:spacing w:line="240" w:lineRule="auto"/>
        <w:rPr>
          <w:rFonts w:ascii="Microsoft YaHei" w:eastAsia="Microsoft YaHei" w:hAnsi="Microsoft YaHei"/>
          <w:color w:val="579AB0" w:themeColor="text2"/>
          <w:sz w:val="24"/>
          <w:szCs w:val="24"/>
        </w:rPr>
      </w:pPr>
      <w:r w:rsidRPr="001129B3">
        <w:rPr>
          <w:rFonts w:ascii="Microsoft YaHei" w:eastAsia="Microsoft YaHei" w:hAnsi="Microsoft YaHei"/>
          <w:color w:val="579AB0" w:themeColor="text2"/>
          <w:sz w:val="24"/>
          <w:szCs w:val="24"/>
        </w:rPr>
        <w:lastRenderedPageBreak/>
        <w:t>Acknowledgments</w:t>
      </w:r>
    </w:p>
    <w:p w14:paraId="574E262F" w14:textId="77777777" w:rsidR="003B4B7F" w:rsidRDefault="003B4B7F" w:rsidP="003B4B7F">
      <w:pPr>
        <w:autoSpaceDE w:val="0"/>
        <w:autoSpaceDN w:val="0"/>
        <w:adjustRightInd w:val="0"/>
        <w:rPr>
          <w:sz w:val="20"/>
          <w:szCs w:val="20"/>
        </w:rPr>
      </w:pPr>
      <w:r w:rsidRPr="0020503C">
        <w:rPr>
          <w:sz w:val="20"/>
          <w:szCs w:val="20"/>
        </w:rPr>
        <w:t xml:space="preserve">Industry Innovation and Science Australia’s (IISA) report </w:t>
      </w:r>
      <w:r w:rsidRPr="0020503C">
        <w:rPr>
          <w:i/>
          <w:sz w:val="20"/>
          <w:szCs w:val="20"/>
        </w:rPr>
        <w:t>Driving effective Government investment in innovation, science and research</w:t>
      </w:r>
      <w:r w:rsidRPr="0020503C">
        <w:rPr>
          <w:sz w:val="20"/>
          <w:szCs w:val="20"/>
        </w:rPr>
        <w:t xml:space="preserve">, responds to a request from the Honourable Karen Andrews, MP, the Minister for Industry, Science and Technology. Minister Andrews requested a report on the effectiveness of the Commonwealth Government's investment in, and system performance of, innovation, science and research (ISR). </w:t>
      </w:r>
    </w:p>
    <w:p w14:paraId="6C1BCE2F" w14:textId="77777777" w:rsidR="003B4B7F" w:rsidRDefault="003B4B7F" w:rsidP="003B4B7F">
      <w:pPr>
        <w:autoSpaceDE w:val="0"/>
        <w:autoSpaceDN w:val="0"/>
        <w:adjustRightInd w:val="0"/>
        <w:rPr>
          <w:sz w:val="20"/>
          <w:szCs w:val="20"/>
        </w:rPr>
      </w:pPr>
      <w:r w:rsidRPr="0020503C">
        <w:rPr>
          <w:sz w:val="20"/>
          <w:szCs w:val="20"/>
        </w:rPr>
        <w:t>In developing the report, IISA would specifically like to thank the following Board members (past and present) for their contributions:</w:t>
      </w:r>
      <w:r>
        <w:rPr>
          <w:sz w:val="20"/>
          <w:szCs w:val="20"/>
        </w:rPr>
        <w:t xml:space="preserve"> Andrew Stevens (Chair),</w:t>
      </w:r>
      <w:r w:rsidRPr="0020503C">
        <w:rPr>
          <w:sz w:val="20"/>
          <w:szCs w:val="20"/>
        </w:rPr>
        <w:t xml:space="preserve"> Dr Alan Finkel AO (Deputy Chair), Dr Bronte Adams AM, Paul Bassat, Maile Carnegie, Professor Bronwyn Harch, Professor Elanor Huntington, Professor Raoul Mortley AO, Dr Christopher Roberts AO, Dr Heather Smith (Ex Officio, through until 31 January 2020). The Board was also supported in this work by the Office of Industry Innovation and Science Australia and former CEO Dr Charlie Day.</w:t>
      </w:r>
    </w:p>
    <w:p w14:paraId="6200D767" w14:textId="01C1DD9C" w:rsidR="003B4B7F" w:rsidRDefault="003B4B7F">
      <w:pPr>
        <w:spacing w:before="40" w:after="160" w:line="288" w:lineRule="auto"/>
        <w:rPr>
          <w:rFonts w:ascii="Microsoft YaHei UI" w:eastAsia="Microsoft YaHei UI" w:hAnsi="Microsoft YaHei UI" w:cstheme="majorBidi"/>
          <w:color w:val="579AB0" w:themeColor="text2"/>
          <w:sz w:val="32"/>
          <w:szCs w:val="32"/>
          <w14:ligatures w14:val="standardContextual"/>
        </w:rPr>
      </w:pPr>
      <w:r>
        <w:rPr>
          <w:rFonts w:ascii="Microsoft YaHei UI" w:eastAsia="Microsoft YaHei UI" w:hAnsi="Microsoft YaHei UI" w:cstheme="majorBidi"/>
          <w:color w:val="579AB0" w:themeColor="text2"/>
          <w:sz w:val="32"/>
          <w:szCs w:val="32"/>
          <w14:ligatures w14:val="standardContextual"/>
        </w:rPr>
        <w:br w:type="page"/>
      </w:r>
    </w:p>
    <w:p w14:paraId="44A57DFF" w14:textId="4A805BBB" w:rsidR="002D29F9" w:rsidRPr="00065200" w:rsidRDefault="002D29F9" w:rsidP="002D29F9">
      <w:pPr>
        <w:pStyle w:val="Heading2"/>
        <w:rPr>
          <w:lang w:val="en-AU"/>
        </w:rPr>
      </w:pPr>
      <w:r w:rsidRPr="00065200">
        <w:rPr>
          <w:lang w:val="en-AU"/>
        </w:rPr>
        <w:lastRenderedPageBreak/>
        <w:t>Executive summary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1BDF7D4D" w14:textId="7E78F36E" w:rsidR="002D29F9" w:rsidRPr="00065200" w:rsidRDefault="002D29F9" w:rsidP="002D29F9">
      <w:r w:rsidRPr="00065200">
        <w:t>Innovative countries are more productive, resilient, adaptable to change and better able to support higher living standards.</w:t>
      </w:r>
      <w:r w:rsidRPr="00065200">
        <w:rPr>
          <w:rStyle w:val="FootnoteReference"/>
        </w:rPr>
        <w:footnoteReference w:id="2"/>
      </w:r>
      <w:r w:rsidRPr="00065200">
        <w:t xml:space="preserve"> Investment in innovation, science and research (ISR) provides the foundation for ground breaking technologies as well as new and significantly improved processes, products, marketing and organisational practices.</w:t>
      </w:r>
      <w:r w:rsidRPr="00065200">
        <w:rPr>
          <w:rStyle w:val="FootnoteReference"/>
        </w:rPr>
        <w:footnoteReference w:id="3"/>
      </w:r>
      <w:r w:rsidRPr="00065200">
        <w:t xml:space="preserve"> </w:t>
      </w:r>
    </w:p>
    <w:p w14:paraId="67D6A865" w14:textId="6D433878" w:rsidR="002D29F9" w:rsidRPr="00065200" w:rsidRDefault="002D29F9" w:rsidP="002D29F9">
      <w:r w:rsidRPr="00065200">
        <w:t>The Commonwealth Government’s</w:t>
      </w:r>
      <w:r w:rsidR="00776776">
        <w:rPr>
          <w:rStyle w:val="FootnoteReference"/>
        </w:rPr>
        <w:footnoteReference w:id="4"/>
      </w:r>
      <w:r w:rsidRPr="00065200">
        <w:t xml:space="preserve"> ISR investment is used to underpin a strong research and intellectual capital base, support translation and innovation, maintain Australia’s comparative and competitive advantages,</w:t>
      </w:r>
      <w:r w:rsidRPr="00065200">
        <w:rPr>
          <w:rStyle w:val="FootnoteReference"/>
        </w:rPr>
        <w:footnoteReference w:id="5"/>
      </w:r>
      <w:r w:rsidRPr="00065200">
        <w:t xml:space="preserve"> ensure the Government’s own national and sovereign needs are met and ensure Australia has the human capital and physical infrastructure to deliver on its objectives. </w:t>
      </w:r>
      <w:r w:rsidR="00481BE0">
        <w:t xml:space="preserve">This </w:t>
      </w:r>
      <w:r w:rsidR="003F712E">
        <w:t>investment should include support for both research and development (R&amp;D) and non</w:t>
      </w:r>
      <w:r w:rsidR="0092538C">
        <w:noBreakHyphen/>
      </w:r>
      <w:r w:rsidR="003F712E">
        <w:t>R&amp;D innovation.</w:t>
      </w:r>
      <w:r w:rsidR="003F712E">
        <w:rPr>
          <w:rStyle w:val="FootnoteReference"/>
        </w:rPr>
        <w:footnoteReference w:id="6"/>
      </w:r>
      <w:r w:rsidR="003F712E">
        <w:t xml:space="preserve"> </w:t>
      </w:r>
      <w:r w:rsidR="00481BE0">
        <w:t>The Government’s ISR</w:t>
      </w:r>
      <w:r w:rsidRPr="00065200">
        <w:t xml:space="preserve"> investment is complemented by ISR investments from other areas such as state and territory governments, businesses, universities, private not-for-profit organisations and overseas investors. Recent events have served to reinforce the critical importance of ISR to Australia’s response to, and recovery from, crises. </w:t>
      </w:r>
    </w:p>
    <w:p w14:paraId="3C0F1A3B" w14:textId="39B35034" w:rsidR="00FB04FA" w:rsidRDefault="00FB04FA" w:rsidP="002D29F9">
      <w:r>
        <w:t>T</w:t>
      </w:r>
      <w:r w:rsidR="00B7141E" w:rsidRPr="00E268CC">
        <w:t>he ISR system does not operate in a vacuum. It is strongly influenced by the broader economic, social and political environment. It is also related to other realms of policy such as economic policy, higher education policy, energy policy, agricultural policy and broader industrial policy. ISR policies should take this complex landscape into account and should be situated within the broader policy aims of related areas</w:t>
      </w:r>
      <w:r w:rsidR="00164CCF" w:rsidRPr="00E268CC">
        <w:t>.</w:t>
      </w:r>
      <w:r>
        <w:t xml:space="preserve"> </w:t>
      </w:r>
    </w:p>
    <w:p w14:paraId="31071817" w14:textId="3675CB1D" w:rsidR="002D29F9" w:rsidRPr="00065200" w:rsidRDefault="00FB04FA" w:rsidP="002D29F9">
      <w:r w:rsidRPr="00065200">
        <w:t>Despite some high-impact outcomes</w:t>
      </w:r>
      <w:r w:rsidR="001D6610">
        <w:t xml:space="preserve"> from Government funded ISR</w:t>
      </w:r>
      <w:r w:rsidRPr="00065200">
        <w:t xml:space="preserve">, </w:t>
      </w:r>
      <w:r>
        <w:t xml:space="preserve">findings from </w:t>
      </w:r>
      <w:r w:rsidR="00F20548" w:rsidRPr="00065200">
        <w:t xml:space="preserve">internationally comparable </w:t>
      </w:r>
      <w:r w:rsidR="00F20548" w:rsidRPr="00E268CC">
        <w:t>metrics</w:t>
      </w:r>
      <w:r w:rsidR="00DB62FC">
        <w:rPr>
          <w:rStyle w:val="FootnoteReference"/>
        </w:rPr>
        <w:footnoteReference w:id="7"/>
      </w:r>
      <w:r w:rsidR="00F20548">
        <w:t xml:space="preserve"> </w:t>
      </w:r>
      <w:r>
        <w:t xml:space="preserve">indicate that </w:t>
      </w:r>
      <w:r w:rsidRPr="00065200">
        <w:t>Australia’s ISR system has achieved mixed results</w:t>
      </w:r>
      <w:r w:rsidRPr="00E268CC">
        <w:t xml:space="preserve">. </w:t>
      </w:r>
      <w:r w:rsidR="001D6610">
        <w:t xml:space="preserve">While Australia has maintained its position in </w:t>
      </w:r>
      <w:r w:rsidR="009E7812">
        <w:t xml:space="preserve">traditional </w:t>
      </w:r>
      <w:r w:rsidR="001D6610">
        <w:t xml:space="preserve">areas of strength, such as educational institutions, Australia appears to be behind or trending against our global competitors in other key areas, such as business collaboration on innovation. </w:t>
      </w:r>
      <w:r w:rsidRPr="00E268CC">
        <w:t xml:space="preserve">This indicates that </w:t>
      </w:r>
      <w:r w:rsidR="008B333B">
        <w:t xml:space="preserve">there are </w:t>
      </w:r>
      <w:r>
        <w:t xml:space="preserve">areas of </w:t>
      </w:r>
      <w:r w:rsidRPr="00E268CC">
        <w:t xml:space="preserve">the Government’s ISR investment </w:t>
      </w:r>
      <w:r w:rsidR="008B333B">
        <w:t xml:space="preserve">that </w:t>
      </w:r>
      <w:r w:rsidRPr="00E268CC">
        <w:t xml:space="preserve">could be </w:t>
      </w:r>
      <w:r>
        <w:t>improved</w:t>
      </w:r>
      <w:r w:rsidRPr="00E268CC">
        <w:t>.</w:t>
      </w:r>
    </w:p>
    <w:p w14:paraId="79F1791D" w14:textId="34E851A8" w:rsidR="002D29F9" w:rsidRDefault="002D29F9" w:rsidP="002B4A29">
      <w:r w:rsidRPr="00065200">
        <w:t>Internationally, governments are harnessing ISR investments to drive their economies, as they recognise the key ‘entrepreneurial’ role of the</w:t>
      </w:r>
      <w:r w:rsidR="002D5CCE">
        <w:t>se</w:t>
      </w:r>
      <w:r w:rsidRPr="00065200">
        <w:t xml:space="preserve"> investments. Economies with well-designed ISR investments, appropriately</w:t>
      </w:r>
      <w:r w:rsidR="007D7F3B">
        <w:t xml:space="preserve"> scaled to deliver against the g</w:t>
      </w:r>
      <w:r w:rsidRPr="00065200">
        <w:t xml:space="preserve">overnment’s priorities, are delivering </w:t>
      </w:r>
      <w:r w:rsidRPr="00065200">
        <w:lastRenderedPageBreak/>
        <w:t>short, medium and long-term returns. Returns can range from short-ter</w:t>
      </w:r>
      <w:r w:rsidR="006E2D69">
        <w:t>m economic stimulus to</w:t>
      </w:r>
      <w:r w:rsidRPr="00065200">
        <w:t xml:space="preserve"> long-term transformati</w:t>
      </w:r>
      <w:r w:rsidR="00A059EC">
        <w:t xml:space="preserve">ons </w:t>
      </w:r>
      <w:r w:rsidRPr="00065200">
        <w:t>that underpin future prosperity.</w:t>
      </w:r>
      <w:r w:rsidR="00EA390F">
        <w:t xml:space="preserve"> </w:t>
      </w:r>
      <w:r w:rsidRPr="00065200">
        <w:t xml:space="preserve">Ensuring the effectiveness of the Commonwealth Government’s annual ISR investment is key for ongoing accountability and sustainability, particularly in times of increased fiscal pressure. </w:t>
      </w:r>
    </w:p>
    <w:p w14:paraId="2F0F8595" w14:textId="543C4938" w:rsidR="00574B74" w:rsidRDefault="00574B74" w:rsidP="00971F97">
      <w:pPr>
        <w:autoSpaceDE w:val="0"/>
        <w:autoSpaceDN w:val="0"/>
        <w:adjustRightInd w:val="0"/>
        <w:spacing w:after="0" w:line="240" w:lineRule="auto"/>
      </w:pPr>
      <w:r>
        <w:rPr>
          <w:rFonts w:ascii="Segoe UI" w:hAnsi="Segoe UI" w:cs="Segoe UI"/>
          <w:color w:val="000000"/>
          <w:kern w:val="0"/>
          <w:sz w:val="20"/>
          <w:szCs w:val="20"/>
        </w:rPr>
        <w:t>Industry Innovation and Science Australia’s (IISA) report responds to a request from the Honourable Karen Andrews, MP, the Minister for Industry, Science and Technology, for a report on the effectiveness of the Commonwealth Government's investment in, and system performance of, ISR.</w:t>
      </w:r>
      <w:r w:rsidR="002D29F9" w:rsidRPr="00065200">
        <w:rPr>
          <w:rStyle w:val="FootnoteReference"/>
        </w:rPr>
        <w:footnoteReference w:id="8"/>
      </w:r>
    </w:p>
    <w:p w14:paraId="3FC05754" w14:textId="01845EAE" w:rsidR="002D29F9" w:rsidRPr="00971F97" w:rsidRDefault="002D29F9" w:rsidP="00971F97">
      <w:pPr>
        <w:autoSpaceDE w:val="0"/>
        <w:autoSpaceDN w:val="0"/>
        <w:adjustRightInd w:val="0"/>
        <w:spacing w:after="0" w:line="240" w:lineRule="auto"/>
        <w:rPr>
          <w:rFonts w:ascii="Segoe UI" w:hAnsi="Segoe UI" w:cs="Segoe UI"/>
          <w:color w:val="000000"/>
          <w:kern w:val="0"/>
          <w:sz w:val="20"/>
          <w:szCs w:val="20"/>
        </w:rPr>
      </w:pPr>
      <w:r w:rsidRPr="00065200">
        <w:rPr>
          <w:rStyle w:val="FootnoteReference"/>
        </w:rPr>
        <w:t xml:space="preserve"> </w:t>
      </w:r>
    </w:p>
    <w:p w14:paraId="50E30CDA" w14:textId="7CA21BF1" w:rsidR="002D29F9" w:rsidRPr="00065200" w:rsidRDefault="002D29F9" w:rsidP="002D29F9">
      <w:r w:rsidRPr="00065200">
        <w:t>I</w:t>
      </w:r>
      <w:r w:rsidR="00574B74">
        <w:t>I</w:t>
      </w:r>
      <w:r w:rsidRPr="00065200">
        <w:t xml:space="preserve">SA examined the effectiveness of the Commonwealth Government’s </w:t>
      </w:r>
      <w:r w:rsidR="00CB624D">
        <w:t xml:space="preserve">ISR </w:t>
      </w:r>
      <w:r w:rsidRPr="00065200">
        <w:t xml:space="preserve">investment based on an evaluation of Australian and international literature and analyses </w:t>
      </w:r>
      <w:r w:rsidR="00CB624D">
        <w:t>of</w:t>
      </w:r>
      <w:r w:rsidRPr="00065200">
        <w:t xml:space="preserve"> the available data.</w:t>
      </w:r>
      <w:r w:rsidRPr="00065200">
        <w:rPr>
          <w:rStyle w:val="FootnoteReference"/>
        </w:rPr>
        <w:footnoteReference w:id="9"/>
      </w:r>
      <w:r w:rsidRPr="00065200">
        <w:t xml:space="preserve"> I</w:t>
      </w:r>
      <w:r w:rsidR="00574B74">
        <w:t>I</w:t>
      </w:r>
      <w:r w:rsidRPr="00065200">
        <w:t>SA also conducted a more detailed analysis of the Government’s ISR investment in space. The space sector was chosen</w:t>
      </w:r>
      <w:r w:rsidR="009C4AB4">
        <w:t xml:space="preserve"> as an exemplar of an </w:t>
      </w:r>
      <w:r w:rsidR="009C4AB4" w:rsidRPr="00405354">
        <w:t>emerging G</w:t>
      </w:r>
      <w:r w:rsidRPr="00405354">
        <w:t>overnment</w:t>
      </w:r>
      <w:r w:rsidRPr="00065200">
        <w:t xml:space="preserve"> priority with the potential to lift the broader economy, delivering benefits from healthcare through to financial services.</w:t>
      </w:r>
      <w:r w:rsidRPr="00065200">
        <w:rPr>
          <w:rStyle w:val="FootnoteReference"/>
        </w:rPr>
        <w:footnoteReference w:id="10"/>
      </w:r>
    </w:p>
    <w:p w14:paraId="2F622FD3" w14:textId="48AC4625" w:rsidR="00000519" w:rsidRDefault="002D29F9" w:rsidP="002B4A29">
      <w:pPr>
        <w:spacing w:after="160"/>
      </w:pPr>
      <w:r w:rsidRPr="00065200">
        <w:t>I</w:t>
      </w:r>
      <w:r w:rsidR="00574B74">
        <w:t>I</w:t>
      </w:r>
      <w:r w:rsidRPr="00065200">
        <w:t>SA found that evidence of unintended duplications</w:t>
      </w:r>
      <w:r w:rsidRPr="00065200">
        <w:rPr>
          <w:rStyle w:val="FootnoteReference"/>
        </w:rPr>
        <w:footnoteReference w:id="11"/>
      </w:r>
      <w:r w:rsidRPr="00065200">
        <w:t xml:space="preserve"> and gaps in </w:t>
      </w:r>
      <w:r w:rsidR="00000519">
        <w:t xml:space="preserve">the </w:t>
      </w:r>
      <w:r w:rsidRPr="00065200">
        <w:t xml:space="preserve">Government’s ISR investment is a symptom, rather than </w:t>
      </w:r>
      <w:r w:rsidR="00481A41">
        <w:t xml:space="preserve">the </w:t>
      </w:r>
      <w:r w:rsidRPr="00065200">
        <w:t>cause, of a system that could be more effective. Effective Government investment in ISR is characterised by five best-practice principles (</w:t>
      </w:r>
      <w:r w:rsidRPr="00065200">
        <w:fldChar w:fldCharType="begin"/>
      </w:r>
      <w:r w:rsidRPr="00065200">
        <w:instrText xml:space="preserve"> REF _Ref39672275 \h </w:instrText>
      </w:r>
      <w:r w:rsidRPr="00065200">
        <w:fldChar w:fldCharType="separate"/>
      </w:r>
      <w:r w:rsidR="00807393" w:rsidRPr="00065200">
        <w:t xml:space="preserve">Table </w:t>
      </w:r>
      <w:r w:rsidR="00807393">
        <w:rPr>
          <w:noProof/>
        </w:rPr>
        <w:t>2</w:t>
      </w:r>
      <w:r w:rsidRPr="00065200">
        <w:fldChar w:fldCharType="end"/>
      </w:r>
      <w:r w:rsidRPr="00065200">
        <w:t>). That is, Government investment is most effective when it is aligned to the Government’s priorities</w:t>
      </w:r>
      <w:r w:rsidR="00CA733E">
        <w:t>,</w:t>
      </w:r>
      <w:r w:rsidRPr="00065200">
        <w:t xml:space="preserve"> delivers impact</w:t>
      </w:r>
      <w:r w:rsidR="00CA733E">
        <w:t>,</w:t>
      </w:r>
      <w:r w:rsidRPr="00065200">
        <w:t xml:space="preserve"> is sustainable</w:t>
      </w:r>
      <w:r w:rsidR="00CA733E">
        <w:t>,</w:t>
      </w:r>
      <w:r w:rsidRPr="00065200">
        <w:t xml:space="preserve"> is coordinated and is strategically balanced. </w:t>
      </w:r>
      <w:r w:rsidR="002934B0">
        <w:t>S</w:t>
      </w:r>
      <w:r w:rsidR="005B01EE">
        <w:t>imilar to a share po</w:t>
      </w:r>
      <w:r w:rsidR="002934B0">
        <w:t>rtfolio, the</w:t>
      </w:r>
      <w:r w:rsidRPr="00065200">
        <w:t xml:space="preserve"> Government’s ISR </w:t>
      </w:r>
      <w:r w:rsidR="002934B0">
        <w:t>i</w:t>
      </w:r>
      <w:r w:rsidR="005B01EE">
        <w:t>nvestment</w:t>
      </w:r>
      <w:r w:rsidRPr="00065200">
        <w:t xml:space="preserve"> </w:t>
      </w:r>
      <w:r w:rsidR="00FC71B0">
        <w:t xml:space="preserve">is most effective when it is </w:t>
      </w:r>
      <w:r w:rsidRPr="00065200">
        <w:t>strategically balanced</w:t>
      </w:r>
      <w:r w:rsidR="00492DA5">
        <w:t xml:space="preserve"> for</w:t>
      </w:r>
      <w:r w:rsidR="002934B0">
        <w:t xml:space="preserve"> each of the following</w:t>
      </w:r>
      <w:r w:rsidR="00105693">
        <w:t xml:space="preserve"> attributes</w:t>
      </w:r>
      <w:r w:rsidR="00000519">
        <w:t>:</w:t>
      </w:r>
    </w:p>
    <w:p w14:paraId="31556C98" w14:textId="19F6349A" w:rsidR="00000519" w:rsidRDefault="002D29F9" w:rsidP="002B4A29">
      <w:pPr>
        <w:pStyle w:val="ListParagraph"/>
        <w:numPr>
          <w:ilvl w:val="0"/>
          <w:numId w:val="49"/>
        </w:numPr>
        <w:ind w:left="777" w:hanging="357"/>
      </w:pPr>
      <w:r w:rsidRPr="00065200">
        <w:t>ISR phases</w:t>
      </w:r>
      <w:r w:rsidRPr="00065200">
        <w:rPr>
          <w:rStyle w:val="FootnoteReference"/>
        </w:rPr>
        <w:footnoteReference w:id="12"/>
      </w:r>
      <w:r w:rsidRPr="00065200">
        <w:t xml:space="preserve"> </w:t>
      </w:r>
      <w:r w:rsidR="00000519">
        <w:t xml:space="preserve">and </w:t>
      </w:r>
      <w:r w:rsidRPr="00065200">
        <w:t>along the ISR pipeline</w:t>
      </w:r>
      <w:r w:rsidR="00F6392F">
        <w:t>,</w:t>
      </w:r>
      <w:r w:rsidRPr="00065200">
        <w:rPr>
          <w:rStyle w:val="FootnoteReference"/>
        </w:rPr>
        <w:footnoteReference w:id="13"/>
      </w:r>
    </w:p>
    <w:p w14:paraId="1DD4A6BE" w14:textId="31AE8892" w:rsidR="00000519" w:rsidRDefault="00F6392F" w:rsidP="002B4A29">
      <w:pPr>
        <w:pStyle w:val="ListParagraph"/>
        <w:numPr>
          <w:ilvl w:val="0"/>
          <w:numId w:val="49"/>
        </w:numPr>
        <w:ind w:left="777" w:hanging="357"/>
      </w:pPr>
      <w:r>
        <w:t>s</w:t>
      </w:r>
      <w:r w:rsidR="00815C43">
        <w:t>cale</w:t>
      </w:r>
      <w:r>
        <w:t>,</w:t>
      </w:r>
    </w:p>
    <w:p w14:paraId="5A692EF0" w14:textId="002520DE" w:rsidR="00000519" w:rsidRDefault="00F6392F" w:rsidP="002B4A29">
      <w:pPr>
        <w:pStyle w:val="ListParagraph"/>
        <w:numPr>
          <w:ilvl w:val="0"/>
          <w:numId w:val="49"/>
        </w:numPr>
        <w:ind w:left="777" w:hanging="357"/>
      </w:pPr>
      <w:r>
        <w:t>l</w:t>
      </w:r>
      <w:r w:rsidR="002D29F9" w:rsidRPr="00065200">
        <w:t>evel of technic</w:t>
      </w:r>
      <w:r w:rsidR="00815C43">
        <w:t>al and commercial risk</w:t>
      </w:r>
      <w:r>
        <w:t>,</w:t>
      </w:r>
    </w:p>
    <w:p w14:paraId="32188C2C" w14:textId="4C07BFBF" w:rsidR="00000519" w:rsidRDefault="00F6392F" w:rsidP="002B4A29">
      <w:pPr>
        <w:pStyle w:val="ListParagraph"/>
        <w:numPr>
          <w:ilvl w:val="0"/>
          <w:numId w:val="49"/>
        </w:numPr>
        <w:ind w:left="777" w:hanging="357"/>
      </w:pPr>
      <w:r>
        <w:t>b</w:t>
      </w:r>
      <w:r w:rsidR="002D29F9" w:rsidRPr="00065200">
        <w:t>road-based and targeted investment mechanisms</w:t>
      </w:r>
      <w:r>
        <w:t>, and</w:t>
      </w:r>
    </w:p>
    <w:p w14:paraId="3170F125" w14:textId="0D8A7F5B" w:rsidR="002D29F9" w:rsidRPr="00065200" w:rsidRDefault="00F6392F" w:rsidP="002B4A29">
      <w:pPr>
        <w:pStyle w:val="ListParagraph"/>
        <w:numPr>
          <w:ilvl w:val="0"/>
          <w:numId w:val="49"/>
        </w:numPr>
        <w:ind w:left="777" w:hanging="357"/>
      </w:pPr>
      <w:r>
        <w:t>r</w:t>
      </w:r>
      <w:r w:rsidR="00AA79A4">
        <w:t>esource allocation</w:t>
      </w:r>
      <w:r w:rsidR="002D29F9" w:rsidRPr="00065200">
        <w:t>.</w:t>
      </w:r>
      <w:r w:rsidR="002D29F9" w:rsidRPr="00065200">
        <w:rPr>
          <w:rStyle w:val="FootnoteReference"/>
        </w:rPr>
        <w:footnoteReference w:id="14"/>
      </w:r>
      <w:r w:rsidR="002D29F9" w:rsidRPr="00065200">
        <w:t xml:space="preserve"> </w:t>
      </w:r>
    </w:p>
    <w:p w14:paraId="5EBEE6DF" w14:textId="7FA1426C" w:rsidR="00FB4AE8" w:rsidRDefault="002D29F9" w:rsidP="002D29F9">
      <w:r w:rsidRPr="00065200">
        <w:t>I</w:t>
      </w:r>
      <w:r w:rsidR="00574B74">
        <w:t>I</w:t>
      </w:r>
      <w:r w:rsidRPr="00065200">
        <w:t>SA used these principles to frame its analyses and recommended actions to ensure that the Government’s investment is effective by design, policies are aligned and unintended duplication and gaps are avoided. The key findings from I</w:t>
      </w:r>
      <w:r w:rsidR="00574B74">
        <w:t>I</w:t>
      </w:r>
      <w:r w:rsidRPr="00065200">
        <w:t xml:space="preserve">SA’s analyses are provided </w:t>
      </w:r>
      <w:r w:rsidRPr="00FB4AE8">
        <w:t xml:space="preserve">in </w:t>
      </w:r>
      <w:r w:rsidR="00FB4AE8">
        <w:fldChar w:fldCharType="begin"/>
      </w:r>
      <w:r w:rsidR="00FB4AE8">
        <w:instrText xml:space="preserve"> REF _Ref44070833 \h </w:instrText>
      </w:r>
      <w:r w:rsidR="00FB4AE8">
        <w:fldChar w:fldCharType="separate"/>
      </w:r>
      <w:r w:rsidR="00807393" w:rsidRPr="00065200">
        <w:t xml:space="preserve">Table </w:t>
      </w:r>
      <w:r w:rsidR="00807393">
        <w:rPr>
          <w:noProof/>
        </w:rPr>
        <w:t>1</w:t>
      </w:r>
      <w:r w:rsidR="00FB4AE8">
        <w:fldChar w:fldCharType="end"/>
      </w:r>
      <w:r w:rsidRPr="00FB4AE8">
        <w:t>.</w:t>
      </w:r>
      <w:r w:rsidR="00527359">
        <w:t xml:space="preserve"> </w:t>
      </w:r>
      <w:r w:rsidR="00527359" w:rsidRPr="00065200">
        <w:t>In response to these findings, I</w:t>
      </w:r>
      <w:r w:rsidR="00574B74">
        <w:t>I</w:t>
      </w:r>
      <w:r w:rsidR="00527359" w:rsidRPr="00065200">
        <w:t>SA has identified three recommended actions</w:t>
      </w:r>
      <w:r w:rsidR="00527359">
        <w:t xml:space="preserve"> </w:t>
      </w:r>
      <w:r w:rsidR="00527359" w:rsidRPr="00065200">
        <w:t>to increase the overall effectiveness of the Government’s ISR investment. An overview of</w:t>
      </w:r>
      <w:r w:rsidR="005D4949">
        <w:t xml:space="preserve"> some</w:t>
      </w:r>
      <w:r w:rsidR="00B76EE0">
        <w:t xml:space="preserve"> </w:t>
      </w:r>
      <w:r w:rsidR="00527359" w:rsidRPr="00065200">
        <w:t>way</w:t>
      </w:r>
      <w:r w:rsidR="00B76EE0">
        <w:t>s in which the</w:t>
      </w:r>
      <w:r w:rsidR="00527359" w:rsidRPr="00065200">
        <w:t xml:space="preserve"> recommended actions could be implemented is provided at the end of this report.</w:t>
      </w:r>
    </w:p>
    <w:p w14:paraId="524D6923" w14:textId="4927E771" w:rsidR="00F41B6F" w:rsidRDefault="00FB4AE8" w:rsidP="00A8689F">
      <w:pPr>
        <w:pStyle w:val="Caption"/>
        <w:keepNext/>
        <w:keepLines/>
      </w:pPr>
      <w:bookmarkStart w:id="24" w:name="_Ref44070833"/>
      <w:r w:rsidRPr="00065200">
        <w:lastRenderedPageBreak/>
        <w:t xml:space="preserve">Table </w:t>
      </w:r>
      <w:r w:rsidRPr="00065200">
        <w:fldChar w:fldCharType="begin"/>
      </w:r>
      <w:r w:rsidRPr="00065200">
        <w:instrText xml:space="preserve"> SEQ Table \* ARABIC </w:instrText>
      </w:r>
      <w:r w:rsidRPr="00065200">
        <w:fldChar w:fldCharType="separate"/>
      </w:r>
      <w:r w:rsidR="00807393">
        <w:rPr>
          <w:noProof/>
        </w:rPr>
        <w:t>1</w:t>
      </w:r>
      <w:r w:rsidRPr="00065200">
        <w:fldChar w:fldCharType="end"/>
      </w:r>
      <w:bookmarkEnd w:id="24"/>
      <w:r w:rsidRPr="00065200">
        <w:t xml:space="preserve"> Key findings for each principle</w:t>
      </w:r>
    </w:p>
    <w:tbl>
      <w:tblPr>
        <w:tblStyle w:val="ListTable3-Accent2"/>
        <w:tblW w:w="9067" w:type="dxa"/>
        <w:tblCellMar>
          <w:top w:w="57" w:type="dxa"/>
          <w:left w:w="57" w:type="dxa"/>
          <w:bottom w:w="57" w:type="dxa"/>
          <w:right w:w="57" w:type="dxa"/>
        </w:tblCellMar>
        <w:tblLook w:val="00A0" w:firstRow="1" w:lastRow="0" w:firstColumn="1" w:lastColumn="0" w:noHBand="0" w:noVBand="0"/>
        <w:tblCaption w:val="Table 1 Key findings for each principle"/>
        <w:tblDescription w:val="Table 1 steps through the key findings against each of the six best-practice ISR investment principles."/>
      </w:tblPr>
      <w:tblGrid>
        <w:gridCol w:w="9067"/>
      </w:tblGrid>
      <w:tr w:rsidR="00F41B6F" w:rsidRPr="00A44249" w14:paraId="3CE90DA5" w14:textId="77777777" w:rsidTr="000B1E57">
        <w:trPr>
          <w:cnfStyle w:val="100000000000" w:firstRow="1" w:lastRow="0" w:firstColumn="0" w:lastColumn="0" w:oddVBand="0" w:evenVBand="0" w:oddHBand="0" w:evenHBand="0" w:firstRowFirstColumn="0" w:firstRowLastColumn="0" w:lastRowFirstColumn="0" w:lastRowLastColumn="0"/>
          <w:cantSplit/>
          <w:trHeight w:val="22"/>
          <w:tblHeader/>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DDEAEF" w:themeFill="text2" w:themeFillTint="33"/>
            <w:tcMar>
              <w:top w:w="57" w:type="dxa"/>
              <w:left w:w="57" w:type="dxa"/>
              <w:bottom w:w="57" w:type="dxa"/>
              <w:right w:w="57" w:type="dxa"/>
            </w:tcMar>
            <w:vAlign w:val="center"/>
          </w:tcPr>
          <w:p w14:paraId="5140C597" w14:textId="04AD1FDA" w:rsidR="00F41B6F" w:rsidRPr="00A44249" w:rsidRDefault="00F41B6F" w:rsidP="000B1E57">
            <w:pPr>
              <w:keepNext/>
              <w:keepLines/>
              <w:spacing w:after="0" w:line="240" w:lineRule="auto"/>
              <w:ind w:right="-278"/>
            </w:pPr>
            <w:r w:rsidRPr="00A44249">
              <w:t>Aligned to priorities</w:t>
            </w:r>
          </w:p>
        </w:tc>
      </w:tr>
      <w:tr w:rsidR="00F41B6F" w:rsidRPr="00A44249" w14:paraId="65114C5C" w14:textId="77777777" w:rsidTr="000B1E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Mar>
              <w:top w:w="85" w:type="dxa"/>
              <w:left w:w="57" w:type="dxa"/>
              <w:bottom w:w="85" w:type="dxa"/>
              <w:right w:w="57" w:type="dxa"/>
            </w:tcMar>
            <w:vAlign w:val="center"/>
          </w:tcPr>
          <w:p w14:paraId="53BD39F9" w14:textId="48A5AC2C" w:rsidR="00F41B6F" w:rsidRPr="00A44249" w:rsidRDefault="00F41B6F" w:rsidP="00A44249">
            <w:pPr>
              <w:numPr>
                <w:ilvl w:val="0"/>
                <w:numId w:val="32"/>
              </w:numPr>
              <w:spacing w:after="40" w:line="240" w:lineRule="auto"/>
              <w:ind w:left="368" w:hanging="283"/>
              <w:rPr>
                <w:b w:val="0"/>
              </w:rPr>
            </w:pPr>
            <w:r w:rsidRPr="00A44249">
              <w:rPr>
                <w:b w:val="0"/>
              </w:rPr>
              <w:t>Current system</w:t>
            </w:r>
            <w:r w:rsidR="00E7182B" w:rsidRPr="00A44249">
              <w:rPr>
                <w:b w:val="0"/>
              </w:rPr>
              <w:t>-level ISR</w:t>
            </w:r>
            <w:r w:rsidRPr="00A44249">
              <w:rPr>
                <w:b w:val="0"/>
              </w:rPr>
              <w:t xml:space="preserve"> priorities are not driving ISR investments, incentivising ISR investments, or were never designed to do so. As a result, ISR investments such as defence a</w:t>
            </w:r>
            <w:r w:rsidR="00AE52B2" w:rsidRPr="00A44249">
              <w:rPr>
                <w:b w:val="0"/>
              </w:rPr>
              <w:t>nd political and social systems</w:t>
            </w:r>
            <w:r w:rsidRPr="00A44249">
              <w:rPr>
                <w:b w:val="0"/>
              </w:rPr>
              <w:t xml:space="preserve"> </w:t>
            </w:r>
            <w:r w:rsidR="00AE52B2" w:rsidRPr="00A44249">
              <w:rPr>
                <w:b w:val="0"/>
              </w:rPr>
              <w:t>(</w:t>
            </w:r>
            <w:r w:rsidRPr="00A44249">
              <w:rPr>
                <w:b w:val="0"/>
              </w:rPr>
              <w:t>which account for over 10</w:t>
            </w:r>
            <w:r w:rsidR="00205144" w:rsidRPr="00A44249">
              <w:rPr>
                <w:b w:val="0"/>
              </w:rPr>
              <w:t> per cent</w:t>
            </w:r>
            <w:r w:rsidRPr="00A44249">
              <w:rPr>
                <w:b w:val="0"/>
              </w:rPr>
              <w:t xml:space="preserve"> of</w:t>
            </w:r>
            <w:r w:rsidR="00E7182B" w:rsidRPr="00A44249">
              <w:rPr>
                <w:b w:val="0"/>
              </w:rPr>
              <w:t xml:space="preserve"> </w:t>
            </w:r>
            <w:r w:rsidR="00E161C6" w:rsidRPr="00A44249">
              <w:rPr>
                <w:b w:val="0"/>
              </w:rPr>
              <w:t>government</w:t>
            </w:r>
            <w:r w:rsidR="00E7182B" w:rsidRPr="00A44249">
              <w:rPr>
                <w:b w:val="0"/>
              </w:rPr>
              <w:t xml:space="preserve"> ISR</w:t>
            </w:r>
            <w:r w:rsidRPr="00A44249">
              <w:rPr>
                <w:b w:val="0"/>
              </w:rPr>
              <w:t xml:space="preserve"> investments</w:t>
            </w:r>
            <w:r w:rsidR="00AE52B2" w:rsidRPr="00A44249">
              <w:rPr>
                <w:b w:val="0"/>
              </w:rPr>
              <w:t>)</w:t>
            </w:r>
            <w:r w:rsidRPr="00A44249">
              <w:rPr>
                <w:b w:val="0"/>
              </w:rPr>
              <w:t xml:space="preserve"> are not captured</w:t>
            </w:r>
            <w:r w:rsidR="00E7182B" w:rsidRPr="00A44249">
              <w:rPr>
                <w:b w:val="0"/>
              </w:rPr>
              <w:t xml:space="preserve"> as a part of extant system-level ISR priorities</w:t>
            </w:r>
            <w:r w:rsidRPr="00A44249">
              <w:rPr>
                <w:b w:val="0"/>
              </w:rPr>
              <w:t xml:space="preserve">. </w:t>
            </w:r>
          </w:p>
          <w:p w14:paraId="1D65E6CB" w14:textId="357ADBD2" w:rsidR="00F41B6F" w:rsidRPr="00A44249" w:rsidRDefault="00F41B6F" w:rsidP="00A44249">
            <w:pPr>
              <w:numPr>
                <w:ilvl w:val="0"/>
                <w:numId w:val="32"/>
              </w:numPr>
              <w:spacing w:after="40" w:line="240" w:lineRule="auto"/>
              <w:ind w:left="368" w:hanging="283"/>
              <w:rPr>
                <w:b w:val="0"/>
              </w:rPr>
            </w:pPr>
            <w:r w:rsidRPr="00A44249">
              <w:rPr>
                <w:b w:val="0"/>
              </w:rPr>
              <w:t xml:space="preserve">ISR investments are predominantly </w:t>
            </w:r>
            <w:r w:rsidR="00D3170B" w:rsidRPr="00A44249">
              <w:rPr>
                <w:b w:val="0"/>
              </w:rPr>
              <w:t>developed on an organisation-by-organisation basis and are intended t</w:t>
            </w:r>
            <w:r w:rsidR="004F6BF8" w:rsidRPr="00A44249">
              <w:rPr>
                <w:b w:val="0"/>
              </w:rPr>
              <w:t>o meet the needs of the individual</w:t>
            </w:r>
            <w:r w:rsidR="00D3170B" w:rsidRPr="00A44249">
              <w:rPr>
                <w:b w:val="0"/>
              </w:rPr>
              <w:t xml:space="preserve"> organisation</w:t>
            </w:r>
            <w:r w:rsidR="00845C2B" w:rsidRPr="00A44249">
              <w:rPr>
                <w:b w:val="0"/>
              </w:rPr>
              <w:t>,</w:t>
            </w:r>
            <w:r w:rsidR="004F6BF8" w:rsidRPr="00A44249">
              <w:rPr>
                <w:b w:val="0"/>
              </w:rPr>
              <w:t xml:space="preserve"> rather than the system</w:t>
            </w:r>
            <w:r w:rsidRPr="00A44249">
              <w:rPr>
                <w:b w:val="0"/>
              </w:rPr>
              <w:t>.</w:t>
            </w:r>
          </w:p>
          <w:p w14:paraId="6953AB59" w14:textId="41ADB7EA" w:rsidR="00F41B6F" w:rsidRPr="00A44249" w:rsidRDefault="00F41B6F" w:rsidP="00A44249">
            <w:pPr>
              <w:numPr>
                <w:ilvl w:val="0"/>
                <w:numId w:val="32"/>
              </w:numPr>
              <w:spacing w:after="40" w:line="240" w:lineRule="auto"/>
              <w:ind w:left="368" w:hanging="283"/>
              <w:rPr>
                <w:b w:val="0"/>
              </w:rPr>
            </w:pPr>
            <w:r w:rsidRPr="00A44249">
              <w:rPr>
                <w:b w:val="0"/>
              </w:rPr>
              <w:t>There are overlaps between the objectives of</w:t>
            </w:r>
            <w:r w:rsidR="004F6BF8" w:rsidRPr="00A44249">
              <w:rPr>
                <w:b w:val="0"/>
              </w:rPr>
              <w:t xml:space="preserve"> the</w:t>
            </w:r>
            <w:r w:rsidRPr="00A44249">
              <w:rPr>
                <w:b w:val="0"/>
              </w:rPr>
              <w:t xml:space="preserve"> Commonwealth</w:t>
            </w:r>
            <w:r w:rsidR="004F6BF8" w:rsidRPr="00A44249">
              <w:rPr>
                <w:b w:val="0"/>
              </w:rPr>
              <w:t xml:space="preserve"> and</w:t>
            </w:r>
            <w:r w:rsidR="007109C5" w:rsidRPr="00A44249">
              <w:rPr>
                <w:b w:val="0"/>
              </w:rPr>
              <w:t xml:space="preserve"> </w:t>
            </w:r>
            <w:r w:rsidR="00755976" w:rsidRPr="00A44249">
              <w:rPr>
                <w:b w:val="0"/>
              </w:rPr>
              <w:t>s</w:t>
            </w:r>
            <w:r w:rsidRPr="00A44249">
              <w:rPr>
                <w:b w:val="0"/>
              </w:rPr>
              <w:t xml:space="preserve">tate and </w:t>
            </w:r>
            <w:r w:rsidR="00755976" w:rsidRPr="00A44249">
              <w:rPr>
                <w:b w:val="0"/>
              </w:rPr>
              <w:t>t</w:t>
            </w:r>
            <w:r w:rsidRPr="00A44249">
              <w:rPr>
                <w:b w:val="0"/>
              </w:rPr>
              <w:t xml:space="preserve">erritory </w:t>
            </w:r>
            <w:r w:rsidR="007109C5" w:rsidRPr="00A44249">
              <w:rPr>
                <w:b w:val="0"/>
              </w:rPr>
              <w:t xml:space="preserve">governments, </w:t>
            </w:r>
            <w:r w:rsidRPr="00A44249">
              <w:rPr>
                <w:b w:val="0"/>
              </w:rPr>
              <w:t>with limited coordination of these investments.</w:t>
            </w:r>
          </w:p>
          <w:p w14:paraId="49E1589D" w14:textId="10CF74F0" w:rsidR="00F41B6F" w:rsidRPr="00A44249" w:rsidRDefault="00F41B6F" w:rsidP="00A44249">
            <w:pPr>
              <w:pStyle w:val="ListParagraph"/>
              <w:numPr>
                <w:ilvl w:val="0"/>
                <w:numId w:val="32"/>
              </w:numPr>
              <w:spacing w:after="40" w:line="240" w:lineRule="auto"/>
              <w:ind w:left="368" w:hanging="283"/>
            </w:pPr>
            <w:r w:rsidRPr="00A44249">
              <w:rPr>
                <w:b w:val="0"/>
              </w:rPr>
              <w:t>There are no effective review</w:t>
            </w:r>
            <w:r w:rsidR="00D21303" w:rsidRPr="00A44249">
              <w:rPr>
                <w:b w:val="0"/>
              </w:rPr>
              <w:t>s of extant priorities to ensure they reflect</w:t>
            </w:r>
            <w:r w:rsidR="00241814" w:rsidRPr="00A44249">
              <w:rPr>
                <w:b w:val="0"/>
              </w:rPr>
              <w:t xml:space="preserve"> emerging areas.</w:t>
            </w:r>
          </w:p>
        </w:tc>
      </w:tr>
      <w:tr w:rsidR="002D29F9" w:rsidRPr="00A44249" w14:paraId="226B978D" w14:textId="77777777" w:rsidTr="000B1E57">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DDEAEF" w:themeFill="text2" w:themeFillTint="33"/>
            <w:tcMar>
              <w:top w:w="57" w:type="dxa"/>
              <w:left w:w="57" w:type="dxa"/>
              <w:bottom w:w="57" w:type="dxa"/>
              <w:right w:w="57" w:type="dxa"/>
            </w:tcMar>
            <w:vAlign w:val="center"/>
          </w:tcPr>
          <w:p w14:paraId="4C318296" w14:textId="77777777" w:rsidR="002D29F9" w:rsidRPr="00A44249" w:rsidRDefault="002D29F9" w:rsidP="000B1E57">
            <w:pPr>
              <w:spacing w:after="0" w:line="240" w:lineRule="auto"/>
              <w:ind w:right="-279"/>
            </w:pPr>
            <w:r w:rsidRPr="00A44249">
              <w:t>Delivers impact</w:t>
            </w:r>
          </w:p>
        </w:tc>
      </w:tr>
      <w:tr w:rsidR="002D29F9" w:rsidRPr="00A44249" w14:paraId="1CCF2F7B" w14:textId="77777777" w:rsidTr="000B1E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Mar>
              <w:top w:w="85" w:type="dxa"/>
              <w:left w:w="57" w:type="dxa"/>
              <w:bottom w:w="85" w:type="dxa"/>
              <w:right w:w="57" w:type="dxa"/>
            </w:tcMar>
            <w:vAlign w:val="center"/>
          </w:tcPr>
          <w:p w14:paraId="14A1B4A6" w14:textId="0C9D0650" w:rsidR="002D29F9" w:rsidRPr="00A44249" w:rsidRDefault="002D29F9" w:rsidP="00A44249">
            <w:pPr>
              <w:numPr>
                <w:ilvl w:val="0"/>
                <w:numId w:val="24"/>
              </w:numPr>
              <w:tabs>
                <w:tab w:val="clear" w:pos="720"/>
                <w:tab w:val="num" w:pos="459"/>
              </w:tabs>
              <w:spacing w:after="40" w:line="240" w:lineRule="auto"/>
              <w:ind w:left="368" w:hanging="283"/>
              <w:rPr>
                <w:b w:val="0"/>
              </w:rPr>
            </w:pPr>
            <w:r w:rsidRPr="00A44249">
              <w:rPr>
                <w:b w:val="0"/>
              </w:rPr>
              <w:t>There is poor transparency, consistency and independence of evaluations at the system level</w:t>
            </w:r>
            <w:r w:rsidR="00C44F96" w:rsidRPr="00A44249">
              <w:rPr>
                <w:b w:val="0"/>
              </w:rPr>
              <w:t xml:space="preserve"> and a lack of feedback loops driving subsequent investment decisions</w:t>
            </w:r>
            <w:r w:rsidRPr="00A44249">
              <w:rPr>
                <w:b w:val="0"/>
              </w:rPr>
              <w:t>.</w:t>
            </w:r>
          </w:p>
          <w:p w14:paraId="31A1C83F" w14:textId="1189B0A5" w:rsidR="0049751A" w:rsidRPr="00A44249" w:rsidRDefault="0049751A" w:rsidP="00A44249">
            <w:pPr>
              <w:pStyle w:val="ListParagraph"/>
              <w:numPr>
                <w:ilvl w:val="0"/>
                <w:numId w:val="25"/>
              </w:numPr>
              <w:tabs>
                <w:tab w:val="num" w:pos="459"/>
              </w:tabs>
              <w:spacing w:after="40" w:line="240" w:lineRule="auto"/>
              <w:ind w:left="368" w:hanging="283"/>
              <w:rPr>
                <w:b w:val="0"/>
              </w:rPr>
            </w:pPr>
            <w:r w:rsidRPr="00A44249">
              <w:rPr>
                <w:b w:val="0"/>
              </w:rPr>
              <w:t xml:space="preserve">There is no whole-of-government approach to evaluating ISR investments despite the existence of effective </w:t>
            </w:r>
            <w:r w:rsidR="005B01EE" w:rsidRPr="00A44249">
              <w:rPr>
                <w:b w:val="0"/>
              </w:rPr>
              <w:t>domestic</w:t>
            </w:r>
            <w:r w:rsidRPr="00A44249">
              <w:rPr>
                <w:b w:val="0"/>
              </w:rPr>
              <w:t xml:space="preserve"> and </w:t>
            </w:r>
            <w:r w:rsidR="005B01EE" w:rsidRPr="00A44249">
              <w:rPr>
                <w:b w:val="0"/>
              </w:rPr>
              <w:t xml:space="preserve">international </w:t>
            </w:r>
            <w:r w:rsidR="00F41B6F" w:rsidRPr="00A44249">
              <w:rPr>
                <w:b w:val="0"/>
              </w:rPr>
              <w:t>models.</w:t>
            </w:r>
          </w:p>
          <w:p w14:paraId="6B32F433" w14:textId="1B0B7B16" w:rsidR="002D29F9" w:rsidRPr="00A44249" w:rsidRDefault="0049751A" w:rsidP="00A44249">
            <w:pPr>
              <w:numPr>
                <w:ilvl w:val="0"/>
                <w:numId w:val="25"/>
              </w:numPr>
              <w:tabs>
                <w:tab w:val="clear" w:pos="720"/>
                <w:tab w:val="num" w:pos="459"/>
              </w:tabs>
              <w:spacing w:after="40" w:line="240" w:lineRule="auto"/>
              <w:ind w:left="368" w:hanging="283"/>
            </w:pPr>
            <w:r w:rsidRPr="00A44249">
              <w:rPr>
                <w:b w:val="0"/>
              </w:rPr>
              <w:t xml:space="preserve">There are </w:t>
            </w:r>
            <w:r w:rsidR="008063FE" w:rsidRPr="00A44249">
              <w:rPr>
                <w:b w:val="0"/>
              </w:rPr>
              <w:t>s</w:t>
            </w:r>
            <w:r w:rsidR="00752DE9" w:rsidRPr="00A44249">
              <w:rPr>
                <w:b w:val="0"/>
              </w:rPr>
              <w:t>o</w:t>
            </w:r>
            <w:r w:rsidRPr="00A44249">
              <w:rPr>
                <w:b w:val="0"/>
              </w:rPr>
              <w:t xml:space="preserve">me </w:t>
            </w:r>
            <w:r w:rsidR="00F41B6F" w:rsidRPr="00A44249">
              <w:rPr>
                <w:b w:val="0"/>
              </w:rPr>
              <w:t xml:space="preserve">good </w:t>
            </w:r>
            <w:r w:rsidRPr="00A44249">
              <w:rPr>
                <w:b w:val="0"/>
              </w:rPr>
              <w:t>examples of sector level evaluations</w:t>
            </w:r>
            <w:r w:rsidR="00527359" w:rsidRPr="00A44249">
              <w:rPr>
                <w:b w:val="0"/>
              </w:rPr>
              <w:t xml:space="preserve">, including the higher education sector level assessments of </w:t>
            </w:r>
            <w:r w:rsidRPr="00A44249">
              <w:rPr>
                <w:b w:val="0"/>
              </w:rPr>
              <w:t>excellence</w:t>
            </w:r>
            <w:r w:rsidR="00527359" w:rsidRPr="00A44249">
              <w:rPr>
                <w:b w:val="0"/>
              </w:rPr>
              <w:t>, engagement</w:t>
            </w:r>
            <w:r w:rsidRPr="00A44249">
              <w:rPr>
                <w:b w:val="0"/>
              </w:rPr>
              <w:t xml:space="preserve"> and impact</w:t>
            </w:r>
            <w:r w:rsidR="00527359" w:rsidRPr="00A44249">
              <w:rPr>
                <w:b w:val="0"/>
              </w:rPr>
              <w:t>.</w:t>
            </w:r>
          </w:p>
        </w:tc>
      </w:tr>
      <w:tr w:rsidR="002D29F9" w:rsidRPr="00A44249" w14:paraId="3D201149" w14:textId="77777777" w:rsidTr="000B1E57">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DDEAEF" w:themeFill="text2" w:themeFillTint="33"/>
            <w:tcMar>
              <w:top w:w="57" w:type="dxa"/>
              <w:left w:w="57" w:type="dxa"/>
              <w:bottom w:w="57" w:type="dxa"/>
              <w:right w:w="57" w:type="dxa"/>
            </w:tcMar>
            <w:vAlign w:val="center"/>
          </w:tcPr>
          <w:p w14:paraId="535D4B56" w14:textId="77777777" w:rsidR="002D29F9" w:rsidRPr="00A44249" w:rsidRDefault="002D29F9" w:rsidP="000B1E57">
            <w:pPr>
              <w:spacing w:after="0" w:line="240" w:lineRule="auto"/>
              <w:ind w:right="-138"/>
            </w:pPr>
            <w:r w:rsidRPr="00A44249">
              <w:rPr>
                <w:b w:val="0"/>
                <w:bCs w:val="0"/>
              </w:rPr>
              <w:br w:type="page"/>
            </w:r>
            <w:r w:rsidRPr="00A44249">
              <w:t>Sustainable</w:t>
            </w:r>
          </w:p>
        </w:tc>
      </w:tr>
      <w:tr w:rsidR="002D29F9" w:rsidRPr="00A44249" w14:paraId="3ECBA445" w14:textId="77777777" w:rsidTr="000B1E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Mar>
              <w:top w:w="85" w:type="dxa"/>
              <w:left w:w="57" w:type="dxa"/>
              <w:bottom w:w="85" w:type="dxa"/>
              <w:right w:w="57" w:type="dxa"/>
            </w:tcMar>
            <w:vAlign w:val="center"/>
          </w:tcPr>
          <w:p w14:paraId="7D545E8F" w14:textId="2CA6F8DE" w:rsidR="005B01EE" w:rsidRPr="00A44249" w:rsidRDefault="002D29F9" w:rsidP="00A44249">
            <w:pPr>
              <w:numPr>
                <w:ilvl w:val="0"/>
                <w:numId w:val="26"/>
              </w:numPr>
              <w:tabs>
                <w:tab w:val="clear" w:pos="720"/>
                <w:tab w:val="num" w:pos="459"/>
              </w:tabs>
              <w:spacing w:after="40" w:line="240" w:lineRule="auto"/>
              <w:ind w:left="368" w:right="-138" w:hanging="283"/>
              <w:rPr>
                <w:b w:val="0"/>
              </w:rPr>
            </w:pPr>
            <w:r w:rsidRPr="00A44249">
              <w:rPr>
                <w:b w:val="0"/>
              </w:rPr>
              <w:t>There have been few long-term and truly transformative</w:t>
            </w:r>
            <w:r w:rsidR="00E345D0" w:rsidRPr="00A44249">
              <w:rPr>
                <w:rStyle w:val="FootnoteReference"/>
                <w:b w:val="0"/>
              </w:rPr>
              <w:footnoteReference w:id="15"/>
            </w:r>
            <w:r w:rsidRPr="00A44249">
              <w:rPr>
                <w:b w:val="0"/>
              </w:rPr>
              <w:t xml:space="preserve"> ISR programs</w:t>
            </w:r>
            <w:r w:rsidR="005B01EE" w:rsidRPr="00A44249">
              <w:rPr>
                <w:b w:val="0"/>
              </w:rPr>
              <w:t>.</w:t>
            </w:r>
          </w:p>
          <w:p w14:paraId="558F096B" w14:textId="26BA0836" w:rsidR="002D29F9" w:rsidRPr="00A44249" w:rsidRDefault="005B01EE" w:rsidP="00A44249">
            <w:pPr>
              <w:numPr>
                <w:ilvl w:val="0"/>
                <w:numId w:val="26"/>
              </w:numPr>
              <w:tabs>
                <w:tab w:val="clear" w:pos="720"/>
                <w:tab w:val="num" w:pos="459"/>
              </w:tabs>
              <w:spacing w:after="40" w:line="240" w:lineRule="auto"/>
              <w:ind w:left="368" w:right="-138" w:hanging="283"/>
              <w:rPr>
                <w:b w:val="0"/>
              </w:rPr>
            </w:pPr>
            <w:r w:rsidRPr="00A44249">
              <w:rPr>
                <w:b w:val="0"/>
              </w:rPr>
              <w:t>There has been</w:t>
            </w:r>
            <w:r w:rsidR="00527359" w:rsidRPr="00A44249">
              <w:rPr>
                <w:b w:val="0"/>
              </w:rPr>
              <w:t xml:space="preserve"> a high </w:t>
            </w:r>
            <w:r w:rsidR="002D29F9" w:rsidRPr="00A44249">
              <w:rPr>
                <w:b w:val="0"/>
              </w:rPr>
              <w:t>turnover of investment measures</w:t>
            </w:r>
            <w:r w:rsidR="00527359" w:rsidRPr="00A44249">
              <w:rPr>
                <w:b w:val="0"/>
              </w:rPr>
              <w:t xml:space="preserve">, resulting in </w:t>
            </w:r>
            <w:r w:rsidR="002D29F9" w:rsidRPr="00A44249">
              <w:rPr>
                <w:b w:val="0"/>
              </w:rPr>
              <w:t>uncertainty in the business and research sectors.</w:t>
            </w:r>
          </w:p>
          <w:p w14:paraId="6B693964" w14:textId="64EC1F2A" w:rsidR="002D29F9" w:rsidRPr="00A44249" w:rsidRDefault="00F551D9" w:rsidP="00A44249">
            <w:pPr>
              <w:pStyle w:val="ListParagraph"/>
              <w:numPr>
                <w:ilvl w:val="0"/>
                <w:numId w:val="27"/>
              </w:numPr>
              <w:tabs>
                <w:tab w:val="clear" w:pos="720"/>
                <w:tab w:val="num" w:pos="459"/>
              </w:tabs>
              <w:spacing w:after="40" w:line="240" w:lineRule="auto"/>
              <w:ind w:left="368" w:hanging="283"/>
            </w:pPr>
            <w:r w:rsidRPr="00A44249">
              <w:rPr>
                <w:b w:val="0"/>
              </w:rPr>
              <w:t>Short-</w:t>
            </w:r>
            <w:r w:rsidR="00527359" w:rsidRPr="00A44249">
              <w:rPr>
                <w:b w:val="0"/>
              </w:rPr>
              <w:t xml:space="preserve">term </w:t>
            </w:r>
            <w:r w:rsidR="002D29F9" w:rsidRPr="00A44249">
              <w:rPr>
                <w:b w:val="0"/>
              </w:rPr>
              <w:t>investment</w:t>
            </w:r>
            <w:r w:rsidR="00527359" w:rsidRPr="00A44249">
              <w:rPr>
                <w:b w:val="0"/>
              </w:rPr>
              <w:t xml:space="preserve">s </w:t>
            </w:r>
            <w:r w:rsidR="002D29F9" w:rsidRPr="00A44249">
              <w:rPr>
                <w:b w:val="0"/>
              </w:rPr>
              <w:t xml:space="preserve">can minimise </w:t>
            </w:r>
            <w:r w:rsidR="00527359" w:rsidRPr="00A44249">
              <w:rPr>
                <w:b w:val="0"/>
              </w:rPr>
              <w:t xml:space="preserve">transformative </w:t>
            </w:r>
            <w:r w:rsidR="002D29F9" w:rsidRPr="00A44249">
              <w:rPr>
                <w:b w:val="0"/>
              </w:rPr>
              <w:t>approaches.</w:t>
            </w:r>
          </w:p>
        </w:tc>
      </w:tr>
      <w:tr w:rsidR="002D29F9" w:rsidRPr="00A44249" w14:paraId="63A2E1BF" w14:textId="77777777" w:rsidTr="000B1E57">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DDEAEF" w:themeFill="text2" w:themeFillTint="33"/>
            <w:tcMar>
              <w:top w:w="85" w:type="dxa"/>
              <w:left w:w="57" w:type="dxa"/>
              <w:bottom w:w="85" w:type="dxa"/>
              <w:right w:w="57" w:type="dxa"/>
            </w:tcMar>
            <w:vAlign w:val="center"/>
          </w:tcPr>
          <w:p w14:paraId="2569B71F" w14:textId="77777777" w:rsidR="002D29F9" w:rsidRPr="00A44249" w:rsidRDefault="002D29F9" w:rsidP="000B1E57">
            <w:pPr>
              <w:spacing w:after="0" w:line="240" w:lineRule="auto"/>
            </w:pPr>
            <w:r w:rsidRPr="00A44249">
              <w:t>Coordinated</w:t>
            </w:r>
          </w:p>
        </w:tc>
      </w:tr>
      <w:tr w:rsidR="002D29F9" w:rsidRPr="00A44249" w14:paraId="26630C7B" w14:textId="77777777" w:rsidTr="000B1E5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tcMar>
              <w:top w:w="85" w:type="dxa"/>
              <w:left w:w="57" w:type="dxa"/>
              <w:bottom w:w="85" w:type="dxa"/>
              <w:right w:w="57" w:type="dxa"/>
            </w:tcMar>
            <w:vAlign w:val="center"/>
          </w:tcPr>
          <w:p w14:paraId="7F71AED2" w14:textId="2864F59C" w:rsidR="002D29F9" w:rsidRPr="00A44249" w:rsidRDefault="002D29F9" w:rsidP="00A44249">
            <w:pPr>
              <w:numPr>
                <w:ilvl w:val="0"/>
                <w:numId w:val="28"/>
              </w:numPr>
              <w:tabs>
                <w:tab w:val="clear" w:pos="720"/>
                <w:tab w:val="num" w:pos="459"/>
              </w:tabs>
              <w:spacing w:after="40" w:line="240" w:lineRule="auto"/>
              <w:ind w:left="368" w:hanging="283"/>
              <w:rPr>
                <w:b w:val="0"/>
              </w:rPr>
            </w:pPr>
            <w:r w:rsidRPr="00A44249">
              <w:rPr>
                <w:b w:val="0"/>
              </w:rPr>
              <w:t>ISR investment processes are complex</w:t>
            </w:r>
            <w:r w:rsidR="00833835" w:rsidRPr="00A44249">
              <w:rPr>
                <w:b w:val="0"/>
              </w:rPr>
              <w:t>,</w:t>
            </w:r>
            <w:r w:rsidR="00527359" w:rsidRPr="00A44249">
              <w:rPr>
                <w:b w:val="0"/>
              </w:rPr>
              <w:t xml:space="preserve"> with </w:t>
            </w:r>
            <w:r w:rsidRPr="00A44249">
              <w:rPr>
                <w:b w:val="0"/>
              </w:rPr>
              <w:t>investment</w:t>
            </w:r>
            <w:r w:rsidR="00833835" w:rsidRPr="00A44249">
              <w:rPr>
                <w:b w:val="0"/>
              </w:rPr>
              <w:t>s</w:t>
            </w:r>
            <w:r w:rsidRPr="00A44249">
              <w:rPr>
                <w:b w:val="0"/>
              </w:rPr>
              <w:t xml:space="preserve"> split across </w:t>
            </w:r>
            <w:r w:rsidR="00A8689F" w:rsidRPr="00A44249">
              <w:rPr>
                <w:b w:val="0"/>
              </w:rPr>
              <w:t xml:space="preserve">202 programs and </w:t>
            </w:r>
            <w:r w:rsidR="004F4770" w:rsidRPr="00A44249">
              <w:rPr>
                <w:b w:val="0"/>
              </w:rPr>
              <w:t>13</w:t>
            </w:r>
            <w:r w:rsidRPr="00A44249">
              <w:rPr>
                <w:b w:val="0"/>
              </w:rPr>
              <w:t xml:space="preserve"> portfolios.</w:t>
            </w:r>
          </w:p>
          <w:p w14:paraId="3F7FB2A9" w14:textId="5D5E20B1" w:rsidR="00527359" w:rsidRPr="00A44249" w:rsidRDefault="002D29F9" w:rsidP="00A44249">
            <w:pPr>
              <w:numPr>
                <w:ilvl w:val="0"/>
                <w:numId w:val="29"/>
              </w:numPr>
              <w:tabs>
                <w:tab w:val="clear" w:pos="720"/>
                <w:tab w:val="num" w:pos="459"/>
              </w:tabs>
              <w:spacing w:after="40" w:line="240" w:lineRule="auto"/>
              <w:ind w:left="368" w:hanging="283"/>
              <w:rPr>
                <w:b w:val="0"/>
              </w:rPr>
            </w:pPr>
            <w:r w:rsidRPr="00A44249">
              <w:rPr>
                <w:b w:val="0"/>
              </w:rPr>
              <w:t xml:space="preserve">Multiple ministers and departments have </w:t>
            </w:r>
            <w:r w:rsidR="00527359" w:rsidRPr="00A44249">
              <w:rPr>
                <w:b w:val="0"/>
              </w:rPr>
              <w:t xml:space="preserve">investment </w:t>
            </w:r>
            <w:r w:rsidRPr="00A44249">
              <w:rPr>
                <w:b w:val="0"/>
              </w:rPr>
              <w:t>responsibilit</w:t>
            </w:r>
            <w:r w:rsidR="00527359" w:rsidRPr="00A44249">
              <w:rPr>
                <w:b w:val="0"/>
              </w:rPr>
              <w:t>ies</w:t>
            </w:r>
            <w:r w:rsidR="00607FCC" w:rsidRPr="00A44249">
              <w:rPr>
                <w:b w:val="0"/>
              </w:rPr>
              <w:t>.</w:t>
            </w:r>
          </w:p>
          <w:p w14:paraId="474C9C35" w14:textId="07335186" w:rsidR="002D29F9" w:rsidRPr="00A44249" w:rsidRDefault="003869A7" w:rsidP="00A44249">
            <w:pPr>
              <w:numPr>
                <w:ilvl w:val="0"/>
                <w:numId w:val="29"/>
              </w:numPr>
              <w:tabs>
                <w:tab w:val="clear" w:pos="720"/>
                <w:tab w:val="num" w:pos="459"/>
              </w:tabs>
              <w:spacing w:after="40" w:line="240" w:lineRule="auto"/>
              <w:ind w:left="368" w:hanging="283"/>
              <w:rPr>
                <w:b w:val="0"/>
              </w:rPr>
            </w:pPr>
            <w:r w:rsidRPr="00A44249">
              <w:rPr>
                <w:b w:val="0"/>
              </w:rPr>
              <w:t xml:space="preserve">There is limited </w:t>
            </w:r>
            <w:r w:rsidR="00527359" w:rsidRPr="00A44249">
              <w:rPr>
                <w:b w:val="0"/>
              </w:rPr>
              <w:t xml:space="preserve">investment </w:t>
            </w:r>
            <w:r w:rsidRPr="00A44249">
              <w:rPr>
                <w:b w:val="0"/>
              </w:rPr>
              <w:t xml:space="preserve">coordination </w:t>
            </w:r>
            <w:r w:rsidR="00527359" w:rsidRPr="00A44249">
              <w:rPr>
                <w:b w:val="0"/>
              </w:rPr>
              <w:t xml:space="preserve">with </w:t>
            </w:r>
            <w:r w:rsidR="00755976" w:rsidRPr="00A44249">
              <w:rPr>
                <w:b w:val="0"/>
              </w:rPr>
              <w:t>s</w:t>
            </w:r>
            <w:r w:rsidRPr="00A44249">
              <w:rPr>
                <w:b w:val="0"/>
              </w:rPr>
              <w:t xml:space="preserve">tate and </w:t>
            </w:r>
            <w:r w:rsidR="00755976" w:rsidRPr="00A44249">
              <w:rPr>
                <w:b w:val="0"/>
              </w:rPr>
              <w:t>t</w:t>
            </w:r>
            <w:r w:rsidRPr="00A44249">
              <w:rPr>
                <w:b w:val="0"/>
              </w:rPr>
              <w:t xml:space="preserve">erritory </w:t>
            </w:r>
            <w:r w:rsidR="00755976" w:rsidRPr="00A44249">
              <w:rPr>
                <w:b w:val="0"/>
              </w:rPr>
              <w:t>g</w:t>
            </w:r>
            <w:r w:rsidRPr="00A44249">
              <w:rPr>
                <w:b w:val="0"/>
              </w:rPr>
              <w:t>overnments.</w:t>
            </w:r>
          </w:p>
          <w:p w14:paraId="61118913" w14:textId="35410966" w:rsidR="002D29F9" w:rsidRPr="00A44249" w:rsidRDefault="002D29F9" w:rsidP="00A44249">
            <w:pPr>
              <w:numPr>
                <w:ilvl w:val="0"/>
                <w:numId w:val="29"/>
              </w:numPr>
              <w:tabs>
                <w:tab w:val="clear" w:pos="720"/>
                <w:tab w:val="num" w:pos="459"/>
              </w:tabs>
              <w:spacing w:after="40" w:line="240" w:lineRule="auto"/>
              <w:ind w:left="368" w:hanging="283"/>
              <w:rPr>
                <w:b w:val="0"/>
              </w:rPr>
            </w:pPr>
            <w:r w:rsidRPr="00A44249">
              <w:rPr>
                <w:b w:val="0"/>
              </w:rPr>
              <w:t>There is a lack of consistent</w:t>
            </w:r>
            <w:r w:rsidR="003869A7" w:rsidRPr="00A44249">
              <w:rPr>
                <w:b w:val="0"/>
              </w:rPr>
              <w:t>, granular and contemporary</w:t>
            </w:r>
            <w:r w:rsidRPr="00A44249">
              <w:rPr>
                <w:b w:val="0"/>
              </w:rPr>
              <w:t xml:space="preserve"> investment </w:t>
            </w:r>
            <w:r w:rsidR="003869A7" w:rsidRPr="00A44249">
              <w:rPr>
                <w:b w:val="0"/>
              </w:rPr>
              <w:t xml:space="preserve">and performance </w:t>
            </w:r>
            <w:r w:rsidRPr="00A44249">
              <w:rPr>
                <w:b w:val="0"/>
              </w:rPr>
              <w:t xml:space="preserve">data to assess the performance of the </w:t>
            </w:r>
            <w:r w:rsidR="00833835" w:rsidRPr="00A44249">
              <w:rPr>
                <w:b w:val="0"/>
              </w:rPr>
              <w:t xml:space="preserve">ISR </w:t>
            </w:r>
            <w:r w:rsidRPr="00A44249">
              <w:rPr>
                <w:b w:val="0"/>
              </w:rPr>
              <w:t>system.</w:t>
            </w:r>
          </w:p>
          <w:p w14:paraId="78C48659" w14:textId="77777777" w:rsidR="002D29F9" w:rsidRPr="00A44249" w:rsidRDefault="002D29F9" w:rsidP="00A44249">
            <w:pPr>
              <w:numPr>
                <w:ilvl w:val="0"/>
                <w:numId w:val="29"/>
              </w:numPr>
              <w:tabs>
                <w:tab w:val="clear" w:pos="720"/>
                <w:tab w:val="num" w:pos="459"/>
              </w:tabs>
              <w:spacing w:after="40" w:line="240" w:lineRule="auto"/>
              <w:ind w:left="368" w:hanging="283"/>
            </w:pPr>
            <w:r w:rsidRPr="00A44249">
              <w:rPr>
                <w:b w:val="0"/>
              </w:rPr>
              <w:t>Fragmentation, unintended duplication and gaps are a symptom of a lack of coordination at the system level.</w:t>
            </w:r>
            <w:r w:rsidRPr="00A44249">
              <w:t xml:space="preserve"> </w:t>
            </w:r>
          </w:p>
        </w:tc>
      </w:tr>
    </w:tbl>
    <w:p w14:paraId="074E2267" w14:textId="53128664" w:rsidR="00B36E23" w:rsidRDefault="00B36E23" w:rsidP="002B4A29">
      <w:r>
        <w:rPr>
          <w:b/>
          <w:bCs/>
        </w:rPr>
        <w:br w:type="page"/>
      </w:r>
    </w:p>
    <w:tbl>
      <w:tblPr>
        <w:tblStyle w:val="ListTable3-Accent2"/>
        <w:tblW w:w="9067" w:type="dxa"/>
        <w:tblCellMar>
          <w:top w:w="57" w:type="dxa"/>
          <w:left w:w="57" w:type="dxa"/>
          <w:bottom w:w="57" w:type="dxa"/>
          <w:right w:w="57" w:type="dxa"/>
        </w:tblCellMar>
        <w:tblLook w:val="00A0" w:firstRow="1" w:lastRow="0" w:firstColumn="1" w:lastColumn="0" w:noHBand="0" w:noVBand="0"/>
        <w:tblCaption w:val="Key findings for each principle"/>
        <w:tblDescription w:val="Table 1 steps through the key findings against each of the six best-practice ISR investment principles."/>
      </w:tblPr>
      <w:tblGrid>
        <w:gridCol w:w="9067"/>
      </w:tblGrid>
      <w:tr w:rsidR="002D29F9" w:rsidRPr="00065200" w14:paraId="4C4DF9B9" w14:textId="77777777" w:rsidTr="00A44249">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9067" w:type="dxa"/>
            <w:tcBorders>
              <w:top w:val="single" w:sz="4" w:space="0" w:color="auto"/>
              <w:left w:val="single" w:sz="4" w:space="0" w:color="auto"/>
              <w:bottom w:val="single" w:sz="4" w:space="0" w:color="auto"/>
              <w:right w:val="single" w:sz="4" w:space="0" w:color="auto"/>
            </w:tcBorders>
            <w:shd w:val="clear" w:color="auto" w:fill="DDEAEF" w:themeFill="text2" w:themeFillTint="33"/>
            <w:tcMar>
              <w:top w:w="85" w:type="dxa"/>
              <w:left w:w="57" w:type="dxa"/>
              <w:bottom w:w="85" w:type="dxa"/>
              <w:right w:w="57" w:type="dxa"/>
            </w:tcMar>
          </w:tcPr>
          <w:p w14:paraId="40E27FCF" w14:textId="77777777" w:rsidR="002D29F9" w:rsidRPr="00065200" w:rsidRDefault="002D29F9" w:rsidP="000B1E57">
            <w:pPr>
              <w:spacing w:after="0" w:line="240" w:lineRule="auto"/>
            </w:pPr>
            <w:r w:rsidRPr="00065200">
              <w:lastRenderedPageBreak/>
              <w:t>Strategically balanced</w:t>
            </w:r>
          </w:p>
        </w:tc>
      </w:tr>
      <w:tr w:rsidR="002D29F9" w:rsidRPr="00065200" w14:paraId="0D0B9ACB" w14:textId="77777777" w:rsidTr="00A442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left w:val="single" w:sz="4" w:space="0" w:color="auto"/>
              <w:bottom w:val="single" w:sz="4" w:space="0" w:color="auto"/>
              <w:right w:val="single" w:sz="4" w:space="0" w:color="auto"/>
            </w:tcBorders>
            <w:tcMar>
              <w:top w:w="85" w:type="dxa"/>
              <w:left w:w="57" w:type="dxa"/>
              <w:bottom w:w="85" w:type="dxa"/>
              <w:right w:w="57" w:type="dxa"/>
            </w:tcMar>
          </w:tcPr>
          <w:p w14:paraId="6671F9A8" w14:textId="1E85879F" w:rsidR="002D29F9" w:rsidRPr="00065200" w:rsidRDefault="002D29F9" w:rsidP="00A44249">
            <w:pPr>
              <w:numPr>
                <w:ilvl w:val="0"/>
                <w:numId w:val="33"/>
              </w:numPr>
              <w:spacing w:after="40" w:line="240" w:lineRule="auto"/>
              <w:ind w:left="368" w:hanging="283"/>
              <w:rPr>
                <w:b w:val="0"/>
              </w:rPr>
            </w:pPr>
            <w:r w:rsidRPr="00065200">
              <w:rPr>
                <w:b w:val="0"/>
              </w:rPr>
              <w:t>There are no mechanisms for Government to strategically balance its $10.1</w:t>
            </w:r>
            <w:r w:rsidR="00B74E04">
              <w:rPr>
                <w:b w:val="0"/>
              </w:rPr>
              <w:t xml:space="preserve"> </w:t>
            </w:r>
            <w:r w:rsidRPr="00065200">
              <w:rPr>
                <w:b w:val="0"/>
              </w:rPr>
              <w:t>b</w:t>
            </w:r>
            <w:r w:rsidR="00B74E04">
              <w:rPr>
                <w:b w:val="0"/>
              </w:rPr>
              <w:t>illion</w:t>
            </w:r>
            <w:r w:rsidRPr="00065200">
              <w:rPr>
                <w:b w:val="0"/>
              </w:rPr>
              <w:t xml:space="preserve"> investment.</w:t>
            </w:r>
          </w:p>
          <w:p w14:paraId="3D839EDD" w14:textId="77777777" w:rsidR="002D29F9" w:rsidRPr="00065200" w:rsidRDefault="002D29F9" w:rsidP="00A44249">
            <w:pPr>
              <w:numPr>
                <w:ilvl w:val="0"/>
                <w:numId w:val="33"/>
              </w:numPr>
              <w:spacing w:after="40" w:line="240" w:lineRule="auto"/>
              <w:ind w:left="368" w:hanging="283"/>
              <w:rPr>
                <w:b w:val="0"/>
              </w:rPr>
            </w:pPr>
            <w:r w:rsidRPr="00065200">
              <w:rPr>
                <w:b w:val="0"/>
              </w:rPr>
              <w:t>Australia punches above its weight in producing quality research outcomes.</w:t>
            </w:r>
          </w:p>
          <w:p w14:paraId="7D724F49" w14:textId="77777777" w:rsidR="002D29F9" w:rsidRPr="00065200" w:rsidRDefault="002D29F9" w:rsidP="00A44249">
            <w:pPr>
              <w:numPr>
                <w:ilvl w:val="0"/>
                <w:numId w:val="33"/>
              </w:numPr>
              <w:spacing w:after="40" w:line="240" w:lineRule="auto"/>
              <w:ind w:left="368" w:hanging="283"/>
              <w:rPr>
                <w:b w:val="0"/>
              </w:rPr>
            </w:pPr>
            <w:r w:rsidRPr="00065200">
              <w:rPr>
                <w:b w:val="0"/>
              </w:rPr>
              <w:t>Improved industry-research collaboration and commercialisation is needed.</w:t>
            </w:r>
          </w:p>
          <w:p w14:paraId="25589CE8" w14:textId="01EFBFA9" w:rsidR="002D29F9" w:rsidRPr="00065200" w:rsidRDefault="002D29F9" w:rsidP="00A44249">
            <w:pPr>
              <w:numPr>
                <w:ilvl w:val="0"/>
                <w:numId w:val="33"/>
              </w:numPr>
              <w:spacing w:after="40" w:line="240" w:lineRule="auto"/>
              <w:ind w:left="368" w:hanging="283"/>
              <w:rPr>
                <w:b w:val="0"/>
              </w:rPr>
            </w:pPr>
            <w:r w:rsidRPr="00065200">
              <w:rPr>
                <w:b w:val="0"/>
              </w:rPr>
              <w:t>There is insufficient government investment in non-R&amp;D innovation.</w:t>
            </w:r>
          </w:p>
          <w:p w14:paraId="53882DA6" w14:textId="16D82B86" w:rsidR="002D29F9" w:rsidRPr="00065200" w:rsidRDefault="003869A7" w:rsidP="00A44249">
            <w:pPr>
              <w:numPr>
                <w:ilvl w:val="0"/>
                <w:numId w:val="33"/>
              </w:numPr>
              <w:spacing w:after="40" w:line="240" w:lineRule="auto"/>
              <w:ind w:left="368" w:hanging="283"/>
              <w:rPr>
                <w:b w:val="0"/>
              </w:rPr>
            </w:pPr>
            <w:r w:rsidRPr="00523BC2">
              <w:rPr>
                <w:b w:val="0"/>
              </w:rPr>
              <w:t>The fragmented approach to investment means that m</w:t>
            </w:r>
            <w:r w:rsidR="002D29F9" w:rsidRPr="00523BC2">
              <w:rPr>
                <w:b w:val="0"/>
              </w:rPr>
              <w:t>any</w:t>
            </w:r>
            <w:r w:rsidR="002D29F9" w:rsidRPr="00065200">
              <w:rPr>
                <w:b w:val="0"/>
              </w:rPr>
              <w:t xml:space="preserve"> ISR investments lack scale.</w:t>
            </w:r>
          </w:p>
          <w:p w14:paraId="2A4C0A14" w14:textId="2B640024" w:rsidR="002D29F9" w:rsidRPr="00065200" w:rsidRDefault="002D29F9" w:rsidP="00A44249">
            <w:pPr>
              <w:numPr>
                <w:ilvl w:val="0"/>
                <w:numId w:val="33"/>
              </w:numPr>
              <w:spacing w:after="40" w:line="240" w:lineRule="auto"/>
              <w:ind w:left="368" w:hanging="283"/>
              <w:rPr>
                <w:b w:val="0"/>
              </w:rPr>
            </w:pPr>
            <w:r w:rsidRPr="00065200">
              <w:rPr>
                <w:b w:val="0"/>
              </w:rPr>
              <w:t xml:space="preserve">There is no </w:t>
            </w:r>
            <w:r w:rsidR="00755976">
              <w:rPr>
                <w:b w:val="0"/>
              </w:rPr>
              <w:t>G</w:t>
            </w:r>
            <w:r w:rsidRPr="00065200">
              <w:rPr>
                <w:b w:val="0"/>
              </w:rPr>
              <w:t>overnment-wide framework to assess the level of commercial and technical risk of the Government’s investments.</w:t>
            </w:r>
          </w:p>
          <w:p w14:paraId="422B73C3" w14:textId="77777777" w:rsidR="002D29F9" w:rsidRPr="00065200" w:rsidRDefault="002D29F9" w:rsidP="00A44249">
            <w:pPr>
              <w:numPr>
                <w:ilvl w:val="0"/>
                <w:numId w:val="33"/>
              </w:numPr>
              <w:spacing w:after="40" w:line="240" w:lineRule="auto"/>
              <w:ind w:left="368" w:hanging="283"/>
              <w:rPr>
                <w:b w:val="0"/>
              </w:rPr>
            </w:pPr>
            <w:r w:rsidRPr="00065200">
              <w:rPr>
                <w:b w:val="0"/>
              </w:rPr>
              <w:t xml:space="preserve">There is little targeted ISR investment for business and higher education. </w:t>
            </w:r>
          </w:p>
          <w:p w14:paraId="1804D928" w14:textId="597BEBA3" w:rsidR="002D29F9" w:rsidRPr="00065200" w:rsidRDefault="002D29F9" w:rsidP="00A44249">
            <w:pPr>
              <w:pStyle w:val="ListParagraph"/>
              <w:numPr>
                <w:ilvl w:val="0"/>
                <w:numId w:val="33"/>
              </w:numPr>
              <w:spacing w:after="40" w:line="240" w:lineRule="auto"/>
              <w:ind w:left="368" w:hanging="283"/>
            </w:pPr>
            <w:r w:rsidRPr="00065200">
              <w:rPr>
                <w:b w:val="0"/>
              </w:rPr>
              <w:t xml:space="preserve">Funding for research overheads varies greatly across sectors creating inequitable and inadequate support for </w:t>
            </w:r>
            <w:r w:rsidR="00065200" w:rsidRPr="00065200">
              <w:rPr>
                <w:b w:val="0"/>
              </w:rPr>
              <w:t>researcher</w:t>
            </w:r>
            <w:r w:rsidRPr="00065200">
              <w:rPr>
                <w:b w:val="0"/>
              </w:rPr>
              <w:t xml:space="preserve"> salaries, administration costs, infrastructure and operating costs.</w:t>
            </w:r>
            <w:r w:rsidRPr="00065200">
              <w:t xml:space="preserve"> </w:t>
            </w:r>
          </w:p>
        </w:tc>
      </w:tr>
    </w:tbl>
    <w:p w14:paraId="6666A546" w14:textId="77777777" w:rsidR="00B36E23" w:rsidRDefault="00B36E23" w:rsidP="002B4A29">
      <w:bookmarkStart w:id="25" w:name="_Toc43737172"/>
      <w:bookmarkStart w:id="26" w:name="_Toc43737673"/>
      <w:bookmarkStart w:id="27" w:name="_Toc44069062"/>
      <w:bookmarkStart w:id="28" w:name="_Toc44317937"/>
      <w:bookmarkStart w:id="29" w:name="_Toc44318011"/>
      <w:bookmarkStart w:id="30" w:name="_Toc44328508"/>
      <w:bookmarkStart w:id="31" w:name="_Toc44329574"/>
      <w:bookmarkStart w:id="32" w:name="_Toc44331606"/>
      <w:bookmarkStart w:id="33" w:name="_Toc44331757"/>
      <w:bookmarkStart w:id="34" w:name="_Toc44331889"/>
      <w:bookmarkStart w:id="35" w:name="_Toc44334871"/>
      <w:bookmarkStart w:id="36" w:name="_Toc44335303"/>
      <w:bookmarkStart w:id="37" w:name="_Toc44422227"/>
      <w:bookmarkStart w:id="38" w:name="_Toc44424097"/>
      <w:bookmarkStart w:id="39" w:name="_Toc44424322"/>
      <w:bookmarkStart w:id="40" w:name="_Toc55910407"/>
    </w:p>
    <w:p w14:paraId="35B5D047" w14:textId="77777777" w:rsidR="00B36E23" w:rsidRDefault="00B36E23" w:rsidP="002B4A29">
      <w:r>
        <w:br w:type="page"/>
      </w:r>
    </w:p>
    <w:p w14:paraId="13A93A95" w14:textId="29F72ADE" w:rsidR="002D29F9" w:rsidRPr="00065200" w:rsidRDefault="002D29F9" w:rsidP="003873CE">
      <w:pPr>
        <w:pStyle w:val="Heading2"/>
        <w:spacing w:after="120"/>
        <w:rPr>
          <w:lang w:val="en-AU"/>
        </w:rPr>
      </w:pPr>
      <w:bookmarkStart w:id="41" w:name="_Toc55991210"/>
      <w:bookmarkStart w:id="42" w:name="_Toc55995731"/>
      <w:bookmarkStart w:id="43" w:name="_Toc55997208"/>
      <w:bookmarkStart w:id="44" w:name="_Toc56069450"/>
      <w:bookmarkStart w:id="45" w:name="_Toc57105516"/>
      <w:bookmarkStart w:id="46" w:name="_Toc57134702"/>
      <w:bookmarkStart w:id="47" w:name="_Toc57141290"/>
      <w:bookmarkStart w:id="48" w:name="_Toc57640803"/>
      <w:r w:rsidRPr="00065200">
        <w:rPr>
          <w:lang w:val="en-AU"/>
        </w:rPr>
        <w:lastRenderedPageBreak/>
        <w:t>Recommended Actions</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tbl>
      <w:tblPr>
        <w:tblStyle w:val="TableGrid"/>
        <w:tblW w:w="9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2F9"/>
        <w:tblCellMar>
          <w:top w:w="85" w:type="dxa"/>
          <w:bottom w:w="85" w:type="dxa"/>
        </w:tblCellMar>
        <w:tblLook w:val="0620" w:firstRow="1" w:lastRow="0" w:firstColumn="0" w:lastColumn="0" w:noHBand="1" w:noVBand="1"/>
        <w:tblCaption w:val="Recommended Action 1"/>
        <w:tblDescription w:val="Describes key aspects of recommended action 1"/>
      </w:tblPr>
      <w:tblGrid>
        <w:gridCol w:w="9032"/>
      </w:tblGrid>
      <w:tr w:rsidR="006D0DFB" w:rsidRPr="00065200" w14:paraId="43081430" w14:textId="77777777" w:rsidTr="006D0DFB">
        <w:trPr>
          <w:trHeight w:val="400"/>
          <w:tblHeader/>
        </w:trPr>
        <w:tc>
          <w:tcPr>
            <w:tcW w:w="9498" w:type="dxa"/>
            <w:shd w:val="clear" w:color="auto" w:fill="EBF2F9"/>
            <w:tcMar>
              <w:bottom w:w="28" w:type="dxa"/>
            </w:tcMar>
          </w:tcPr>
          <w:p w14:paraId="18022EDE" w14:textId="77777777" w:rsidR="006D0DFB" w:rsidRPr="00065200" w:rsidRDefault="006D0DFB" w:rsidP="006D0DFB">
            <w:pPr>
              <w:spacing w:after="0"/>
              <w:rPr>
                <w:b/>
                <w:color w:val="2B4354" w:themeColor="accent1" w:themeShade="80"/>
              </w:rPr>
            </w:pPr>
            <w:r w:rsidRPr="00065200">
              <w:rPr>
                <w:b/>
                <w:color w:val="2B4354" w:themeColor="accent1" w:themeShade="80"/>
              </w:rPr>
              <w:t>Recommended Action 1</w:t>
            </w:r>
          </w:p>
          <w:p w14:paraId="43DE524C" w14:textId="56CDDA6C" w:rsidR="006D0DFB" w:rsidRPr="006D0DFB" w:rsidRDefault="006D0DFB" w:rsidP="002D29F9">
            <w:pPr>
              <w:spacing w:after="0"/>
              <w:rPr>
                <w:b/>
                <w:sz w:val="20"/>
                <w:szCs w:val="20"/>
              </w:rPr>
            </w:pPr>
            <w:r w:rsidRPr="00065200">
              <w:rPr>
                <w:b/>
                <w:sz w:val="20"/>
                <w:szCs w:val="20"/>
              </w:rPr>
              <w:t>The development of whole-of-government ISR priorities could be used to drive investment decisions by ensuring</w:t>
            </w:r>
            <w:r w:rsidRPr="00065200">
              <w:rPr>
                <w:sz w:val="20"/>
                <w:szCs w:val="20"/>
              </w:rPr>
              <w:t>:</w:t>
            </w:r>
          </w:p>
        </w:tc>
      </w:tr>
      <w:tr w:rsidR="002D29F9" w:rsidRPr="00065200" w14:paraId="749C3865" w14:textId="77777777" w:rsidTr="006D0DFB">
        <w:trPr>
          <w:trHeight w:val="2443"/>
          <w:tblHeader/>
        </w:trPr>
        <w:tc>
          <w:tcPr>
            <w:tcW w:w="9498" w:type="dxa"/>
            <w:shd w:val="clear" w:color="auto" w:fill="EBF2F9"/>
            <w:tcMar>
              <w:top w:w="28" w:type="dxa"/>
            </w:tcMar>
          </w:tcPr>
          <w:p w14:paraId="56FE6928" w14:textId="13BFEDC7" w:rsidR="002D29F9" w:rsidRPr="00065200" w:rsidRDefault="002D29F9" w:rsidP="00194927">
            <w:pPr>
              <w:pStyle w:val="ListParagraph"/>
              <w:numPr>
                <w:ilvl w:val="0"/>
                <w:numId w:val="6"/>
              </w:numPr>
              <w:spacing w:before="40" w:after="0" w:line="240" w:lineRule="auto"/>
              <w:ind w:left="601" w:hanging="425"/>
              <w:rPr>
                <w:sz w:val="20"/>
                <w:szCs w:val="20"/>
              </w:rPr>
            </w:pPr>
            <w:r w:rsidRPr="00065200">
              <w:rPr>
                <w:sz w:val="20"/>
                <w:szCs w:val="20"/>
              </w:rPr>
              <w:t>All new ISR investments, and planned revi</w:t>
            </w:r>
            <w:r w:rsidR="00470F07">
              <w:rPr>
                <w:sz w:val="20"/>
                <w:szCs w:val="20"/>
              </w:rPr>
              <w:t xml:space="preserve">ews of existing investments, </w:t>
            </w:r>
            <w:r w:rsidR="00854A1B">
              <w:rPr>
                <w:sz w:val="20"/>
                <w:szCs w:val="20"/>
              </w:rPr>
              <w:t>are</w:t>
            </w:r>
            <w:r w:rsidRPr="00065200">
              <w:rPr>
                <w:sz w:val="20"/>
                <w:szCs w:val="20"/>
              </w:rPr>
              <w:t xml:space="preserve"> tied to </w:t>
            </w:r>
            <w:r w:rsidR="00854A1B">
              <w:rPr>
                <w:sz w:val="20"/>
                <w:szCs w:val="20"/>
              </w:rPr>
              <w:t>whole</w:t>
            </w:r>
            <w:r w:rsidR="0092538C">
              <w:rPr>
                <w:sz w:val="20"/>
                <w:szCs w:val="20"/>
              </w:rPr>
              <w:noBreakHyphen/>
            </w:r>
            <w:r w:rsidR="00854A1B">
              <w:rPr>
                <w:sz w:val="20"/>
                <w:szCs w:val="20"/>
              </w:rPr>
              <w:t>of</w:t>
            </w:r>
            <w:r w:rsidR="0092538C">
              <w:rPr>
                <w:sz w:val="20"/>
                <w:szCs w:val="20"/>
              </w:rPr>
              <w:noBreakHyphen/>
            </w:r>
            <w:r w:rsidR="00854A1B">
              <w:rPr>
                <w:sz w:val="20"/>
                <w:szCs w:val="20"/>
              </w:rPr>
              <w:t>government</w:t>
            </w:r>
            <w:r w:rsidRPr="00065200">
              <w:rPr>
                <w:sz w:val="20"/>
                <w:szCs w:val="20"/>
              </w:rPr>
              <w:t xml:space="preserve"> priorities.</w:t>
            </w:r>
          </w:p>
          <w:p w14:paraId="79150037" w14:textId="62410583" w:rsidR="002D29F9" w:rsidRPr="00065200" w:rsidRDefault="002D29F9" w:rsidP="00194927">
            <w:pPr>
              <w:pStyle w:val="ListParagraph"/>
              <w:numPr>
                <w:ilvl w:val="0"/>
                <w:numId w:val="6"/>
              </w:numPr>
              <w:spacing w:before="40" w:after="0" w:line="240" w:lineRule="auto"/>
              <w:ind w:left="601" w:hanging="425"/>
              <w:rPr>
                <w:sz w:val="20"/>
                <w:szCs w:val="20"/>
              </w:rPr>
            </w:pPr>
            <w:r w:rsidRPr="00065200">
              <w:rPr>
                <w:sz w:val="20"/>
                <w:szCs w:val="20"/>
              </w:rPr>
              <w:t>Such ISR priorities</w:t>
            </w:r>
            <w:r w:rsidR="00854A1B">
              <w:rPr>
                <w:sz w:val="20"/>
                <w:szCs w:val="20"/>
              </w:rPr>
              <w:t xml:space="preserve"> should</w:t>
            </w:r>
            <w:r w:rsidRPr="00065200">
              <w:rPr>
                <w:sz w:val="20"/>
                <w:szCs w:val="20"/>
              </w:rPr>
              <w:t>:</w:t>
            </w:r>
          </w:p>
          <w:p w14:paraId="35B63245" w14:textId="79F69100" w:rsidR="002D29F9" w:rsidRPr="00065200" w:rsidRDefault="002D29F9" w:rsidP="00194927">
            <w:pPr>
              <w:pStyle w:val="ListParagraph"/>
              <w:numPr>
                <w:ilvl w:val="1"/>
                <w:numId w:val="47"/>
              </w:numPr>
              <w:spacing w:before="40" w:after="0" w:line="240" w:lineRule="auto"/>
              <w:ind w:left="1026" w:hanging="425"/>
              <w:rPr>
                <w:sz w:val="20"/>
                <w:szCs w:val="20"/>
              </w:rPr>
            </w:pPr>
            <w:r w:rsidRPr="00065200">
              <w:rPr>
                <w:sz w:val="20"/>
                <w:szCs w:val="20"/>
              </w:rPr>
              <w:t>Provide system-level stability</w:t>
            </w:r>
            <w:r w:rsidR="00156928">
              <w:rPr>
                <w:sz w:val="20"/>
                <w:szCs w:val="20"/>
              </w:rPr>
              <w:t>;</w:t>
            </w:r>
            <w:r w:rsidRPr="00065200">
              <w:rPr>
                <w:sz w:val="20"/>
                <w:szCs w:val="20"/>
              </w:rPr>
              <w:t xml:space="preserve"> </w:t>
            </w:r>
            <w:r w:rsidR="00156928">
              <w:rPr>
                <w:sz w:val="20"/>
                <w:szCs w:val="20"/>
              </w:rPr>
              <w:t xml:space="preserve">be </w:t>
            </w:r>
            <w:r w:rsidRPr="00065200">
              <w:rPr>
                <w:sz w:val="20"/>
                <w:szCs w:val="20"/>
              </w:rPr>
              <w:t>review</w:t>
            </w:r>
            <w:r w:rsidR="00156928">
              <w:rPr>
                <w:sz w:val="20"/>
                <w:szCs w:val="20"/>
              </w:rPr>
              <w:t>ed</w:t>
            </w:r>
            <w:r w:rsidRPr="00065200">
              <w:rPr>
                <w:sz w:val="20"/>
                <w:szCs w:val="20"/>
              </w:rPr>
              <w:t xml:space="preserve"> every 10 years, or when significant changes occur</w:t>
            </w:r>
            <w:r w:rsidR="00156928">
              <w:rPr>
                <w:sz w:val="20"/>
                <w:szCs w:val="20"/>
              </w:rPr>
              <w:t>;</w:t>
            </w:r>
            <w:r w:rsidRPr="00065200">
              <w:rPr>
                <w:sz w:val="20"/>
                <w:szCs w:val="20"/>
              </w:rPr>
              <w:t xml:space="preserve"> and be responsive to societal, economic, and environmental challenges.</w:t>
            </w:r>
          </w:p>
          <w:p w14:paraId="29B35750" w14:textId="20BDF8A8" w:rsidR="002D29F9" w:rsidRPr="00065200" w:rsidRDefault="002D29F9" w:rsidP="00194927">
            <w:pPr>
              <w:pStyle w:val="ListParagraph"/>
              <w:numPr>
                <w:ilvl w:val="1"/>
                <w:numId w:val="47"/>
              </w:numPr>
              <w:spacing w:before="40" w:after="0" w:line="240" w:lineRule="auto"/>
              <w:ind w:left="1026" w:hanging="425"/>
              <w:rPr>
                <w:sz w:val="20"/>
                <w:szCs w:val="20"/>
              </w:rPr>
            </w:pPr>
            <w:r w:rsidRPr="00065200">
              <w:rPr>
                <w:sz w:val="20"/>
                <w:szCs w:val="20"/>
              </w:rPr>
              <w:t>Be aligned with other Commonwealth Government priorities (such as short</w:t>
            </w:r>
            <w:r w:rsidR="0092538C">
              <w:rPr>
                <w:sz w:val="20"/>
                <w:szCs w:val="20"/>
              </w:rPr>
              <w:noBreakHyphen/>
            </w:r>
            <w:r w:rsidRPr="00065200">
              <w:rPr>
                <w:sz w:val="20"/>
                <w:szCs w:val="20"/>
              </w:rPr>
              <w:t xml:space="preserve">term stimulus and long-term economic growth priorities). </w:t>
            </w:r>
          </w:p>
          <w:p w14:paraId="60294E29" w14:textId="77777777" w:rsidR="002D29F9" w:rsidRPr="00065200" w:rsidRDefault="002D29F9" w:rsidP="00194927">
            <w:pPr>
              <w:pStyle w:val="ListParagraph"/>
              <w:numPr>
                <w:ilvl w:val="1"/>
                <w:numId w:val="47"/>
              </w:numPr>
              <w:spacing w:before="40" w:after="0" w:line="240" w:lineRule="auto"/>
              <w:ind w:left="1026" w:hanging="425"/>
              <w:rPr>
                <w:sz w:val="20"/>
                <w:szCs w:val="20"/>
              </w:rPr>
            </w:pPr>
            <w:r w:rsidRPr="00065200">
              <w:rPr>
                <w:sz w:val="20"/>
                <w:szCs w:val="20"/>
              </w:rPr>
              <w:t>Support both R&amp;D and non-R&amp;D innovation.</w:t>
            </w:r>
          </w:p>
          <w:p w14:paraId="2BA85A48" w14:textId="77777777" w:rsidR="002D29F9" w:rsidRPr="00065200" w:rsidRDefault="002D29F9" w:rsidP="00194927">
            <w:pPr>
              <w:pStyle w:val="ListParagraph"/>
              <w:numPr>
                <w:ilvl w:val="1"/>
                <w:numId w:val="47"/>
              </w:numPr>
              <w:spacing w:before="40" w:after="0" w:line="240" w:lineRule="auto"/>
              <w:ind w:left="1026" w:hanging="425"/>
              <w:rPr>
                <w:sz w:val="20"/>
                <w:szCs w:val="20"/>
              </w:rPr>
            </w:pPr>
            <w:r w:rsidRPr="00065200">
              <w:rPr>
                <w:sz w:val="20"/>
                <w:szCs w:val="20"/>
              </w:rPr>
              <w:t>Support ISR excellence.</w:t>
            </w:r>
          </w:p>
        </w:tc>
      </w:tr>
    </w:tbl>
    <w:p w14:paraId="282C7C65" w14:textId="77777777" w:rsidR="002D29F9" w:rsidRPr="00807393" w:rsidRDefault="002D29F9" w:rsidP="002D29F9">
      <w:pPr>
        <w:spacing w:after="0"/>
        <w:rPr>
          <w:sz w:val="16"/>
          <w:szCs w:val="16"/>
        </w:rPr>
      </w:pPr>
    </w:p>
    <w:tbl>
      <w:tblPr>
        <w:tblStyle w:val="TableGrid"/>
        <w:tblW w:w="9032" w:type="dxa"/>
        <w:tblLook w:val="04A0" w:firstRow="1" w:lastRow="0" w:firstColumn="1" w:lastColumn="0" w:noHBand="0" w:noVBand="1"/>
        <w:tblCaption w:val="Recommended Action 2"/>
        <w:tblDescription w:val="Describes key aspects of recommended action 2"/>
      </w:tblPr>
      <w:tblGrid>
        <w:gridCol w:w="9032"/>
      </w:tblGrid>
      <w:tr w:rsidR="006D0DFB" w:rsidRPr="00065200" w14:paraId="14AED6A0" w14:textId="77777777" w:rsidTr="00486DB0">
        <w:trPr>
          <w:tblHeader/>
        </w:trPr>
        <w:tc>
          <w:tcPr>
            <w:tcW w:w="9498" w:type="dxa"/>
            <w:tcBorders>
              <w:top w:val="nil"/>
              <w:left w:val="nil"/>
              <w:bottom w:val="nil"/>
              <w:right w:val="nil"/>
            </w:tcBorders>
            <w:shd w:val="clear" w:color="auto" w:fill="EBF2F9"/>
            <w:tcMar>
              <w:top w:w="85" w:type="dxa"/>
              <w:bottom w:w="28" w:type="dxa"/>
            </w:tcMar>
          </w:tcPr>
          <w:p w14:paraId="0315197D" w14:textId="77777777" w:rsidR="006D0DFB" w:rsidRPr="00065200" w:rsidRDefault="006D0DFB" w:rsidP="006D0DFB">
            <w:pPr>
              <w:spacing w:after="0"/>
              <w:rPr>
                <w:b/>
                <w:color w:val="2B4354" w:themeColor="accent1" w:themeShade="80"/>
              </w:rPr>
            </w:pPr>
            <w:r w:rsidRPr="00065200">
              <w:rPr>
                <w:b/>
                <w:color w:val="2B4354" w:themeColor="accent1" w:themeShade="80"/>
              </w:rPr>
              <w:t>Recommended Action 2</w:t>
            </w:r>
          </w:p>
          <w:p w14:paraId="2F52C07A" w14:textId="655A64E2" w:rsidR="006D0DFB" w:rsidRPr="006D0DFB" w:rsidRDefault="006D0DFB" w:rsidP="002D29F9">
            <w:pPr>
              <w:spacing w:after="0"/>
              <w:rPr>
                <w:sz w:val="20"/>
                <w:szCs w:val="20"/>
              </w:rPr>
            </w:pPr>
            <w:r w:rsidRPr="00065200">
              <w:rPr>
                <w:b/>
                <w:sz w:val="20"/>
                <w:szCs w:val="20"/>
              </w:rPr>
              <w:t>A 10</w:t>
            </w:r>
            <w:r w:rsidRPr="00065200">
              <w:rPr>
                <w:rFonts w:ascii="Cambria Math" w:hAnsi="Cambria Math" w:cs="Cambria Math"/>
                <w:b/>
                <w:sz w:val="20"/>
                <w:szCs w:val="20"/>
              </w:rPr>
              <w:t>‑</w:t>
            </w:r>
            <w:r w:rsidRPr="00065200">
              <w:rPr>
                <w:b/>
                <w:sz w:val="20"/>
                <w:szCs w:val="20"/>
              </w:rPr>
              <w:t>year ISR investment plan, that is aligned with the Government’s ISR priorities, coordinated at the whole-of-government level, and has effective evaluation processes could increase investment effectiveness by ensuring investments are</w:t>
            </w:r>
            <w:r w:rsidRPr="00065200">
              <w:rPr>
                <w:sz w:val="20"/>
                <w:szCs w:val="20"/>
              </w:rPr>
              <w:t>:</w:t>
            </w:r>
          </w:p>
        </w:tc>
      </w:tr>
      <w:tr w:rsidR="002D29F9" w:rsidRPr="00065200" w14:paraId="6549C87E" w14:textId="77777777" w:rsidTr="00486DB0">
        <w:tc>
          <w:tcPr>
            <w:tcW w:w="9498" w:type="dxa"/>
            <w:tcBorders>
              <w:top w:val="nil"/>
              <w:left w:val="nil"/>
              <w:bottom w:val="nil"/>
              <w:right w:val="nil"/>
            </w:tcBorders>
            <w:shd w:val="clear" w:color="auto" w:fill="EBF2F9"/>
            <w:tcMar>
              <w:top w:w="85" w:type="dxa"/>
              <w:bottom w:w="28" w:type="dxa"/>
            </w:tcMar>
          </w:tcPr>
          <w:p w14:paraId="160A3806" w14:textId="2C42BD1A" w:rsidR="002D29F9" w:rsidRPr="00065200" w:rsidRDefault="00980575" w:rsidP="00194927">
            <w:pPr>
              <w:pStyle w:val="ListParagraph"/>
              <w:numPr>
                <w:ilvl w:val="0"/>
                <w:numId w:val="10"/>
              </w:numPr>
              <w:spacing w:before="40" w:after="0" w:line="240" w:lineRule="auto"/>
              <w:ind w:left="601" w:hanging="425"/>
              <w:rPr>
                <w:sz w:val="20"/>
                <w:szCs w:val="20"/>
              </w:rPr>
            </w:pPr>
            <w:r>
              <w:rPr>
                <w:sz w:val="20"/>
                <w:szCs w:val="20"/>
              </w:rPr>
              <w:t>Coordinated</w:t>
            </w:r>
            <w:r w:rsidR="00655833">
              <w:rPr>
                <w:sz w:val="20"/>
                <w:szCs w:val="20"/>
              </w:rPr>
              <w:t xml:space="preserve"> </w:t>
            </w:r>
            <w:r>
              <w:rPr>
                <w:sz w:val="20"/>
                <w:szCs w:val="20"/>
              </w:rPr>
              <w:t>through</w:t>
            </w:r>
            <w:r w:rsidR="003B15CF">
              <w:rPr>
                <w:sz w:val="20"/>
                <w:szCs w:val="20"/>
              </w:rPr>
              <w:t xml:space="preserve"> </w:t>
            </w:r>
            <w:r w:rsidR="00FE5208">
              <w:rPr>
                <w:sz w:val="20"/>
                <w:szCs w:val="20"/>
              </w:rPr>
              <w:t xml:space="preserve">centrally-facilitated </w:t>
            </w:r>
            <w:r w:rsidR="00121B12">
              <w:rPr>
                <w:sz w:val="20"/>
                <w:szCs w:val="20"/>
              </w:rPr>
              <w:t>engagement</w:t>
            </w:r>
            <w:r w:rsidR="002D29F9" w:rsidRPr="00065200">
              <w:rPr>
                <w:sz w:val="20"/>
                <w:szCs w:val="20"/>
              </w:rPr>
              <w:t xml:space="preserve"> between Commonwealth Government funders and performers.</w:t>
            </w:r>
          </w:p>
          <w:p w14:paraId="2113EA51" w14:textId="5F592A16" w:rsidR="002D29F9" w:rsidRPr="00065200" w:rsidRDefault="002D29F9" w:rsidP="00194927">
            <w:pPr>
              <w:pStyle w:val="ListParagraph"/>
              <w:numPr>
                <w:ilvl w:val="0"/>
                <w:numId w:val="10"/>
              </w:numPr>
              <w:spacing w:before="40" w:after="0" w:line="240" w:lineRule="auto"/>
              <w:ind w:left="601" w:hanging="425"/>
              <w:rPr>
                <w:sz w:val="20"/>
                <w:szCs w:val="20"/>
              </w:rPr>
            </w:pPr>
            <w:r w:rsidRPr="00065200">
              <w:rPr>
                <w:sz w:val="20"/>
                <w:szCs w:val="20"/>
              </w:rPr>
              <w:t xml:space="preserve">Designed with clarity of purpose </w:t>
            </w:r>
            <w:r w:rsidR="00EB008A">
              <w:rPr>
                <w:sz w:val="20"/>
                <w:szCs w:val="20"/>
              </w:rPr>
              <w:t xml:space="preserve">and </w:t>
            </w:r>
            <w:r w:rsidRPr="00065200">
              <w:rPr>
                <w:sz w:val="20"/>
                <w:szCs w:val="20"/>
              </w:rPr>
              <w:t>well-defined milestones, expected outcomes, key performance indicators, return on investment</w:t>
            </w:r>
            <w:r w:rsidR="008F231B">
              <w:rPr>
                <w:sz w:val="20"/>
                <w:szCs w:val="20"/>
              </w:rPr>
              <w:t>s</w:t>
            </w:r>
            <w:r w:rsidRPr="00065200">
              <w:rPr>
                <w:sz w:val="20"/>
                <w:szCs w:val="20"/>
              </w:rPr>
              <w:t xml:space="preserve"> (societal, economic or environmental) and user/target</w:t>
            </w:r>
            <w:r w:rsidR="00EB008A">
              <w:rPr>
                <w:sz w:val="20"/>
                <w:szCs w:val="20"/>
              </w:rPr>
              <w:t>s</w:t>
            </w:r>
            <w:r w:rsidRPr="00065200">
              <w:rPr>
                <w:sz w:val="20"/>
                <w:szCs w:val="20"/>
              </w:rPr>
              <w:t xml:space="preserve">. This information should be used </w:t>
            </w:r>
            <w:r w:rsidR="00EB008A">
              <w:rPr>
                <w:sz w:val="20"/>
                <w:szCs w:val="20"/>
              </w:rPr>
              <w:t xml:space="preserve">to underpin </w:t>
            </w:r>
            <w:r w:rsidRPr="00065200">
              <w:rPr>
                <w:sz w:val="20"/>
                <w:szCs w:val="20"/>
              </w:rPr>
              <w:t xml:space="preserve">evaluations </w:t>
            </w:r>
            <w:r w:rsidR="00EB008A">
              <w:rPr>
                <w:sz w:val="20"/>
                <w:szCs w:val="20"/>
              </w:rPr>
              <w:t>which</w:t>
            </w:r>
            <w:r w:rsidRPr="00065200">
              <w:rPr>
                <w:sz w:val="20"/>
                <w:szCs w:val="20"/>
              </w:rPr>
              <w:t xml:space="preserve"> assess investment effectiveness at a whole-of-government level, through a coordinated evaluation process. Evaluation outcomes should be used to enhance investment effectiveness and inform investment plan updates.</w:t>
            </w:r>
          </w:p>
          <w:p w14:paraId="1410D861" w14:textId="7348E0AB" w:rsidR="002D29F9" w:rsidRPr="00065200" w:rsidRDefault="002D29F9" w:rsidP="00194927">
            <w:pPr>
              <w:pStyle w:val="ListParagraph"/>
              <w:numPr>
                <w:ilvl w:val="0"/>
                <w:numId w:val="10"/>
              </w:numPr>
              <w:spacing w:before="40" w:after="0" w:line="240" w:lineRule="auto"/>
              <w:ind w:left="601" w:hanging="425"/>
              <w:rPr>
                <w:sz w:val="20"/>
                <w:szCs w:val="20"/>
              </w:rPr>
            </w:pPr>
            <w:r w:rsidRPr="00065200">
              <w:rPr>
                <w:sz w:val="20"/>
                <w:szCs w:val="20"/>
              </w:rPr>
              <w:t xml:space="preserve">Reviewed on a </w:t>
            </w:r>
            <w:r w:rsidR="003B15CF">
              <w:rPr>
                <w:sz w:val="20"/>
                <w:szCs w:val="20"/>
              </w:rPr>
              <w:t xml:space="preserve">rolling </w:t>
            </w:r>
            <w:r w:rsidRPr="00065200">
              <w:rPr>
                <w:sz w:val="20"/>
                <w:szCs w:val="20"/>
              </w:rPr>
              <w:t>three-yearly basis to provide investment certainty, unless rigorous evaluation proves they are ineffective, or they are pilot investments.</w:t>
            </w:r>
          </w:p>
        </w:tc>
      </w:tr>
    </w:tbl>
    <w:p w14:paraId="5A9D8002" w14:textId="77777777" w:rsidR="002D29F9" w:rsidRPr="00807393" w:rsidRDefault="002D29F9" w:rsidP="002D29F9">
      <w:pPr>
        <w:spacing w:after="0"/>
        <w:rPr>
          <w:sz w:val="16"/>
          <w:szCs w:val="16"/>
        </w:rPr>
      </w:pPr>
    </w:p>
    <w:tbl>
      <w:tblPr>
        <w:tblStyle w:val="TableGrid"/>
        <w:tblW w:w="9032" w:type="dxa"/>
        <w:tblCellMar>
          <w:top w:w="57" w:type="dxa"/>
          <w:left w:w="57" w:type="dxa"/>
          <w:bottom w:w="57" w:type="dxa"/>
          <w:right w:w="57" w:type="dxa"/>
        </w:tblCellMar>
        <w:tblLook w:val="04A0" w:firstRow="1" w:lastRow="0" w:firstColumn="1" w:lastColumn="0" w:noHBand="0" w:noVBand="1"/>
        <w:tblCaption w:val="Recommended Action 3"/>
        <w:tblDescription w:val="Describes key aspects of recommended action 3"/>
      </w:tblPr>
      <w:tblGrid>
        <w:gridCol w:w="9032"/>
      </w:tblGrid>
      <w:tr w:rsidR="006D0DFB" w:rsidRPr="00065200" w14:paraId="5F8432CA" w14:textId="77777777" w:rsidTr="00807393">
        <w:trPr>
          <w:cantSplit/>
          <w:tblHeader/>
        </w:trPr>
        <w:tc>
          <w:tcPr>
            <w:tcW w:w="9498" w:type="dxa"/>
            <w:tcBorders>
              <w:top w:val="nil"/>
              <w:left w:val="nil"/>
              <w:bottom w:val="nil"/>
              <w:right w:val="nil"/>
            </w:tcBorders>
            <w:shd w:val="clear" w:color="auto" w:fill="EBF2F9"/>
            <w:tcMar>
              <w:bottom w:w="28" w:type="dxa"/>
            </w:tcMar>
          </w:tcPr>
          <w:p w14:paraId="5734199A" w14:textId="77777777" w:rsidR="006D0DFB" w:rsidRPr="00065200" w:rsidRDefault="006D0DFB" w:rsidP="006D0DFB">
            <w:pPr>
              <w:spacing w:after="0"/>
              <w:rPr>
                <w:b/>
                <w:color w:val="2B4354" w:themeColor="accent1" w:themeShade="80"/>
              </w:rPr>
            </w:pPr>
            <w:r w:rsidRPr="00065200">
              <w:rPr>
                <w:b/>
                <w:color w:val="2B4354" w:themeColor="accent1" w:themeShade="80"/>
              </w:rPr>
              <w:t>Recommended Action 3</w:t>
            </w:r>
          </w:p>
          <w:p w14:paraId="164B3D87" w14:textId="01082718" w:rsidR="006D0DFB" w:rsidRPr="006D0DFB" w:rsidRDefault="006D0DFB" w:rsidP="002D29F9">
            <w:pPr>
              <w:spacing w:after="0"/>
              <w:rPr>
                <w:sz w:val="20"/>
                <w:szCs w:val="20"/>
              </w:rPr>
            </w:pPr>
            <w:r w:rsidRPr="00065200">
              <w:rPr>
                <w:b/>
                <w:sz w:val="20"/>
                <w:szCs w:val="20"/>
              </w:rPr>
              <w:t>A</w:t>
            </w:r>
            <w:r>
              <w:rPr>
                <w:b/>
                <w:sz w:val="20"/>
                <w:szCs w:val="20"/>
              </w:rPr>
              <w:t xml:space="preserve"> </w:t>
            </w:r>
            <w:r w:rsidRPr="00065200">
              <w:rPr>
                <w:b/>
                <w:sz w:val="20"/>
                <w:szCs w:val="20"/>
              </w:rPr>
              <w:t>strategically balanced</w:t>
            </w:r>
            <w:r>
              <w:rPr>
                <w:b/>
                <w:sz w:val="20"/>
                <w:szCs w:val="20"/>
              </w:rPr>
              <w:t>, whole-of-government</w:t>
            </w:r>
            <w:r w:rsidRPr="00065200">
              <w:rPr>
                <w:b/>
                <w:sz w:val="20"/>
                <w:szCs w:val="20"/>
              </w:rPr>
              <w:t xml:space="preserve"> ISR investment plan could ensure there are returns in the short, medium and long</w:t>
            </w:r>
            <w:r>
              <w:rPr>
                <w:b/>
                <w:sz w:val="20"/>
                <w:szCs w:val="20"/>
              </w:rPr>
              <w:t>-</w:t>
            </w:r>
            <w:r w:rsidRPr="00065200">
              <w:rPr>
                <w:b/>
                <w:sz w:val="20"/>
                <w:szCs w:val="20"/>
              </w:rPr>
              <w:t>term by</w:t>
            </w:r>
            <w:r w:rsidRPr="00065200">
              <w:rPr>
                <w:sz w:val="20"/>
                <w:szCs w:val="20"/>
              </w:rPr>
              <w:t>:</w:t>
            </w:r>
          </w:p>
        </w:tc>
      </w:tr>
      <w:tr w:rsidR="002D29F9" w:rsidRPr="00065200" w14:paraId="44453C65" w14:textId="77777777" w:rsidTr="00807393">
        <w:trPr>
          <w:cantSplit/>
        </w:trPr>
        <w:tc>
          <w:tcPr>
            <w:tcW w:w="9498" w:type="dxa"/>
            <w:tcBorders>
              <w:top w:val="nil"/>
              <w:left w:val="nil"/>
              <w:bottom w:val="nil"/>
              <w:right w:val="nil"/>
            </w:tcBorders>
            <w:shd w:val="clear" w:color="auto" w:fill="EBF2F9"/>
            <w:tcMar>
              <w:bottom w:w="28" w:type="dxa"/>
            </w:tcMar>
          </w:tcPr>
          <w:p w14:paraId="69749283" w14:textId="77777777" w:rsidR="002D29F9" w:rsidRPr="00065200" w:rsidRDefault="002D29F9" w:rsidP="00194927">
            <w:pPr>
              <w:pStyle w:val="ListParagraph"/>
              <w:numPr>
                <w:ilvl w:val="0"/>
                <w:numId w:val="11"/>
              </w:numPr>
              <w:spacing w:before="40" w:after="0" w:line="240" w:lineRule="auto"/>
              <w:ind w:left="601" w:hanging="425"/>
              <w:rPr>
                <w:sz w:val="20"/>
                <w:szCs w:val="20"/>
              </w:rPr>
            </w:pPr>
            <w:r w:rsidRPr="00065200">
              <w:rPr>
                <w:sz w:val="20"/>
                <w:szCs w:val="20"/>
              </w:rPr>
              <w:t>Supporting both R&amp;D and non-R&amp;D innovation.</w:t>
            </w:r>
          </w:p>
          <w:p w14:paraId="3825A5B9" w14:textId="21557E2B" w:rsidR="002D29F9" w:rsidRPr="00065200" w:rsidRDefault="002D29F9" w:rsidP="00194927">
            <w:pPr>
              <w:pStyle w:val="ListParagraph"/>
              <w:numPr>
                <w:ilvl w:val="0"/>
                <w:numId w:val="11"/>
              </w:numPr>
              <w:spacing w:before="40" w:after="0" w:line="240" w:lineRule="auto"/>
              <w:ind w:left="601" w:hanging="425"/>
              <w:rPr>
                <w:sz w:val="20"/>
                <w:szCs w:val="20"/>
              </w:rPr>
            </w:pPr>
            <w:r w:rsidRPr="00065200">
              <w:rPr>
                <w:sz w:val="20"/>
                <w:szCs w:val="20"/>
              </w:rPr>
              <w:t>Ensuring investment in basic research does not fall below current levels (22</w:t>
            </w:r>
            <w:r w:rsidR="00205144">
              <w:rPr>
                <w:sz w:val="20"/>
                <w:szCs w:val="20"/>
              </w:rPr>
              <w:t> per cent</w:t>
            </w:r>
            <w:r w:rsidRPr="00065200">
              <w:rPr>
                <w:sz w:val="20"/>
                <w:szCs w:val="20"/>
              </w:rPr>
              <w:t xml:space="preserve"> of overall R&amp;D investment) </w:t>
            </w:r>
            <w:r w:rsidR="00BE360B">
              <w:rPr>
                <w:sz w:val="20"/>
                <w:szCs w:val="20"/>
              </w:rPr>
              <w:t xml:space="preserve">so that </w:t>
            </w:r>
            <w:r w:rsidRPr="00065200">
              <w:rPr>
                <w:sz w:val="20"/>
                <w:szCs w:val="20"/>
              </w:rPr>
              <w:t xml:space="preserve">it can underpin future commercial opportunities. </w:t>
            </w:r>
          </w:p>
          <w:p w14:paraId="175386E5" w14:textId="6A3064C0" w:rsidR="002D29F9" w:rsidRPr="00065200" w:rsidRDefault="002D29F9" w:rsidP="00194927">
            <w:pPr>
              <w:pStyle w:val="ListParagraph"/>
              <w:numPr>
                <w:ilvl w:val="0"/>
                <w:numId w:val="11"/>
              </w:numPr>
              <w:spacing w:before="40" w:after="0" w:line="240" w:lineRule="auto"/>
              <w:ind w:left="601" w:hanging="425"/>
              <w:rPr>
                <w:sz w:val="20"/>
                <w:szCs w:val="20"/>
              </w:rPr>
            </w:pPr>
            <w:r w:rsidRPr="00065200">
              <w:rPr>
                <w:sz w:val="20"/>
                <w:szCs w:val="20"/>
              </w:rPr>
              <w:t>Scaling and coordinating research commercialisation</w:t>
            </w:r>
            <w:r w:rsidR="00F52069">
              <w:rPr>
                <w:sz w:val="20"/>
                <w:szCs w:val="20"/>
              </w:rPr>
              <w:t xml:space="preserve"> programs</w:t>
            </w:r>
            <w:r w:rsidRPr="00065200">
              <w:rPr>
                <w:sz w:val="20"/>
                <w:szCs w:val="20"/>
              </w:rPr>
              <w:t>, particularly those which embed researchers in businesses.</w:t>
            </w:r>
          </w:p>
          <w:p w14:paraId="7A6ACD1D" w14:textId="77777777" w:rsidR="002D29F9" w:rsidRPr="00065200" w:rsidRDefault="002D29F9" w:rsidP="00194927">
            <w:pPr>
              <w:pStyle w:val="ListParagraph"/>
              <w:numPr>
                <w:ilvl w:val="0"/>
                <w:numId w:val="11"/>
              </w:numPr>
              <w:spacing w:before="40" w:after="0" w:line="240" w:lineRule="auto"/>
              <w:ind w:left="601" w:hanging="425"/>
              <w:rPr>
                <w:sz w:val="20"/>
                <w:szCs w:val="20"/>
              </w:rPr>
            </w:pPr>
            <w:r w:rsidRPr="00065200">
              <w:rPr>
                <w:sz w:val="20"/>
                <w:szCs w:val="20"/>
              </w:rPr>
              <w:t xml:space="preserve">Ensuring the technical and commercial risk profile of the Government’s ISR investment is higher than would be acceptable in the private sector to enable breakthrough ISR in priority areas. </w:t>
            </w:r>
          </w:p>
          <w:p w14:paraId="6E4BCE23" w14:textId="77777777" w:rsidR="002D29F9" w:rsidRDefault="002D29F9" w:rsidP="00194927">
            <w:pPr>
              <w:pStyle w:val="ListParagraph"/>
              <w:numPr>
                <w:ilvl w:val="0"/>
                <w:numId w:val="11"/>
              </w:numPr>
              <w:spacing w:before="40" w:after="0" w:line="240" w:lineRule="auto"/>
              <w:ind w:left="601" w:hanging="425"/>
              <w:rPr>
                <w:sz w:val="20"/>
                <w:szCs w:val="20"/>
              </w:rPr>
            </w:pPr>
            <w:r w:rsidRPr="00065200">
              <w:rPr>
                <w:sz w:val="20"/>
                <w:szCs w:val="20"/>
              </w:rPr>
              <w:t xml:space="preserve">Ensuring the scale of the Government’s overall ISR investment is sufficient to achieve its priorities, and individual ISR investments are appropriately scaled to achieve maximum impact. </w:t>
            </w:r>
          </w:p>
          <w:p w14:paraId="6D30179D" w14:textId="77777777" w:rsidR="002D29F9" w:rsidRDefault="002D29F9" w:rsidP="00194927">
            <w:pPr>
              <w:pStyle w:val="ListParagraph"/>
              <w:numPr>
                <w:ilvl w:val="0"/>
                <w:numId w:val="11"/>
              </w:numPr>
              <w:spacing w:before="40" w:after="0" w:line="240" w:lineRule="auto"/>
              <w:ind w:left="601" w:hanging="425"/>
              <w:rPr>
                <w:sz w:val="20"/>
                <w:szCs w:val="20"/>
              </w:rPr>
            </w:pPr>
            <w:r w:rsidRPr="00F96F22">
              <w:rPr>
                <w:sz w:val="20"/>
                <w:szCs w:val="20"/>
              </w:rPr>
              <w:t>Ensuring the costs of conducting research (including researchers, administration and infrastructure) are met by Government or other investors.</w:t>
            </w:r>
          </w:p>
          <w:p w14:paraId="6906C876" w14:textId="64D921C9" w:rsidR="002D29F9" w:rsidRPr="00F96F22" w:rsidRDefault="002D29F9" w:rsidP="00194927">
            <w:pPr>
              <w:pStyle w:val="ListParagraph"/>
              <w:numPr>
                <w:ilvl w:val="0"/>
                <w:numId w:val="11"/>
              </w:numPr>
              <w:spacing w:before="40" w:after="0" w:line="240" w:lineRule="auto"/>
              <w:ind w:left="601" w:hanging="425"/>
              <w:rPr>
                <w:sz w:val="20"/>
                <w:szCs w:val="20"/>
              </w:rPr>
            </w:pPr>
            <w:r w:rsidRPr="00F96F22">
              <w:rPr>
                <w:sz w:val="20"/>
                <w:szCs w:val="20"/>
              </w:rPr>
              <w:t xml:space="preserve">Ensuring </w:t>
            </w:r>
            <w:r w:rsidR="00781120">
              <w:rPr>
                <w:sz w:val="20"/>
                <w:szCs w:val="20"/>
              </w:rPr>
              <w:t xml:space="preserve">ISR priorities are achieved using </w:t>
            </w:r>
            <w:r w:rsidRPr="00F96F22">
              <w:rPr>
                <w:sz w:val="20"/>
                <w:szCs w:val="20"/>
              </w:rPr>
              <w:t>more targeted support measures for business and higher education</w:t>
            </w:r>
            <w:r w:rsidR="00C30EC0">
              <w:rPr>
                <w:sz w:val="20"/>
                <w:szCs w:val="20"/>
              </w:rPr>
              <w:t>-</w:t>
            </w:r>
            <w:r w:rsidRPr="00F96F22">
              <w:rPr>
                <w:sz w:val="20"/>
                <w:szCs w:val="20"/>
              </w:rPr>
              <w:t>performed ISR, while flexible measures are in place across the system to address emerging priorities.</w:t>
            </w:r>
          </w:p>
        </w:tc>
      </w:tr>
    </w:tbl>
    <w:p w14:paraId="696BBC81" w14:textId="05077AEE" w:rsidR="00E671D4" w:rsidRPr="00C44899" w:rsidRDefault="00E671D4" w:rsidP="00210FEF">
      <w:pPr>
        <w:pStyle w:val="Contentsheading2"/>
      </w:pPr>
      <w:bookmarkStart w:id="49" w:name="_Toc44069063"/>
      <w:r w:rsidRPr="008A0CC3">
        <w:lastRenderedPageBreak/>
        <w:t>Contents</w:t>
      </w:r>
      <w:bookmarkEnd w:id="49"/>
    </w:p>
    <w:p w14:paraId="6F167838" w14:textId="77777777" w:rsidR="00517F6C" w:rsidRDefault="00932C8B">
      <w:pPr>
        <w:pStyle w:val="TOC2"/>
        <w:rPr>
          <w:rFonts w:asciiTheme="minorHAnsi" w:eastAsiaTheme="minorEastAsia" w:hAnsiTheme="minorHAnsi" w:cstheme="minorBidi"/>
          <w:noProof/>
          <w:kern w:val="0"/>
          <w:sz w:val="22"/>
          <w:szCs w:val="22"/>
          <w:lang w:eastAsia="en-AU"/>
        </w:rPr>
      </w:pPr>
      <w:r>
        <w:rPr>
          <w:sz w:val="22"/>
        </w:rPr>
        <w:fldChar w:fldCharType="begin"/>
      </w:r>
      <w:r>
        <w:rPr>
          <w:sz w:val="22"/>
        </w:rPr>
        <w:instrText xml:space="preserve"> TOC \h \z \t "Heading 2,2" </w:instrText>
      </w:r>
      <w:r>
        <w:rPr>
          <w:sz w:val="22"/>
        </w:rPr>
        <w:fldChar w:fldCharType="separate"/>
      </w:r>
      <w:hyperlink w:anchor="_Toc57640802" w:history="1">
        <w:r w:rsidR="00517F6C" w:rsidRPr="00240837">
          <w:rPr>
            <w:rStyle w:val="Hyperlink"/>
            <w:noProof/>
          </w:rPr>
          <w:t>Executive summary</w:t>
        </w:r>
        <w:r w:rsidR="00517F6C">
          <w:rPr>
            <w:noProof/>
            <w:webHidden/>
          </w:rPr>
          <w:tab/>
        </w:r>
        <w:r w:rsidR="00517F6C">
          <w:rPr>
            <w:noProof/>
            <w:webHidden/>
          </w:rPr>
          <w:fldChar w:fldCharType="begin"/>
        </w:r>
        <w:r w:rsidR="00517F6C">
          <w:rPr>
            <w:noProof/>
            <w:webHidden/>
          </w:rPr>
          <w:instrText xml:space="preserve"> PAGEREF _Toc57640802 \h </w:instrText>
        </w:r>
        <w:r w:rsidR="00517F6C">
          <w:rPr>
            <w:noProof/>
            <w:webHidden/>
          </w:rPr>
        </w:r>
        <w:r w:rsidR="00517F6C">
          <w:rPr>
            <w:noProof/>
            <w:webHidden/>
          </w:rPr>
          <w:fldChar w:fldCharType="separate"/>
        </w:r>
        <w:r w:rsidR="00517F6C">
          <w:rPr>
            <w:noProof/>
            <w:webHidden/>
          </w:rPr>
          <w:t>iv</w:t>
        </w:r>
        <w:r w:rsidR="00517F6C">
          <w:rPr>
            <w:noProof/>
            <w:webHidden/>
          </w:rPr>
          <w:fldChar w:fldCharType="end"/>
        </w:r>
      </w:hyperlink>
    </w:p>
    <w:p w14:paraId="4C0EE492" w14:textId="77777777" w:rsidR="00517F6C" w:rsidRDefault="00A1412E">
      <w:pPr>
        <w:pStyle w:val="TOC2"/>
        <w:rPr>
          <w:rFonts w:asciiTheme="minorHAnsi" w:eastAsiaTheme="minorEastAsia" w:hAnsiTheme="minorHAnsi" w:cstheme="minorBidi"/>
          <w:noProof/>
          <w:kern w:val="0"/>
          <w:sz w:val="22"/>
          <w:szCs w:val="22"/>
          <w:lang w:eastAsia="en-AU"/>
        </w:rPr>
      </w:pPr>
      <w:hyperlink w:anchor="_Toc57640803" w:history="1">
        <w:r w:rsidR="00517F6C" w:rsidRPr="00240837">
          <w:rPr>
            <w:rStyle w:val="Hyperlink"/>
            <w:noProof/>
          </w:rPr>
          <w:t>Recommended Actions</w:t>
        </w:r>
        <w:r w:rsidR="00517F6C">
          <w:rPr>
            <w:noProof/>
            <w:webHidden/>
          </w:rPr>
          <w:tab/>
        </w:r>
        <w:r w:rsidR="00517F6C">
          <w:rPr>
            <w:noProof/>
            <w:webHidden/>
          </w:rPr>
          <w:fldChar w:fldCharType="begin"/>
        </w:r>
        <w:r w:rsidR="00517F6C">
          <w:rPr>
            <w:noProof/>
            <w:webHidden/>
          </w:rPr>
          <w:instrText xml:space="preserve"> PAGEREF _Toc57640803 \h </w:instrText>
        </w:r>
        <w:r w:rsidR="00517F6C">
          <w:rPr>
            <w:noProof/>
            <w:webHidden/>
          </w:rPr>
        </w:r>
        <w:r w:rsidR="00517F6C">
          <w:rPr>
            <w:noProof/>
            <w:webHidden/>
          </w:rPr>
          <w:fldChar w:fldCharType="separate"/>
        </w:r>
        <w:r w:rsidR="00517F6C">
          <w:rPr>
            <w:noProof/>
            <w:webHidden/>
          </w:rPr>
          <w:t>viii</w:t>
        </w:r>
        <w:r w:rsidR="00517F6C">
          <w:rPr>
            <w:noProof/>
            <w:webHidden/>
          </w:rPr>
          <w:fldChar w:fldCharType="end"/>
        </w:r>
      </w:hyperlink>
    </w:p>
    <w:p w14:paraId="726381FD" w14:textId="77777777" w:rsidR="00517F6C" w:rsidRDefault="00A1412E">
      <w:pPr>
        <w:pStyle w:val="TOC2"/>
        <w:rPr>
          <w:rFonts w:asciiTheme="minorHAnsi" w:eastAsiaTheme="minorEastAsia" w:hAnsiTheme="minorHAnsi" w:cstheme="minorBidi"/>
          <w:noProof/>
          <w:kern w:val="0"/>
          <w:sz w:val="22"/>
          <w:szCs w:val="22"/>
          <w:lang w:eastAsia="en-AU"/>
        </w:rPr>
      </w:pPr>
      <w:hyperlink w:anchor="_Toc57640804" w:history="1">
        <w:r w:rsidR="00517F6C" w:rsidRPr="00240837">
          <w:rPr>
            <w:rStyle w:val="Hyperlink"/>
            <w:noProof/>
          </w:rPr>
          <w:t>Introduction</w:t>
        </w:r>
        <w:r w:rsidR="00517F6C">
          <w:rPr>
            <w:noProof/>
            <w:webHidden/>
          </w:rPr>
          <w:tab/>
        </w:r>
        <w:r w:rsidR="00517F6C">
          <w:rPr>
            <w:noProof/>
            <w:webHidden/>
          </w:rPr>
          <w:fldChar w:fldCharType="begin"/>
        </w:r>
        <w:r w:rsidR="00517F6C">
          <w:rPr>
            <w:noProof/>
            <w:webHidden/>
          </w:rPr>
          <w:instrText xml:space="preserve"> PAGEREF _Toc57640804 \h </w:instrText>
        </w:r>
        <w:r w:rsidR="00517F6C">
          <w:rPr>
            <w:noProof/>
            <w:webHidden/>
          </w:rPr>
        </w:r>
        <w:r w:rsidR="00517F6C">
          <w:rPr>
            <w:noProof/>
            <w:webHidden/>
          </w:rPr>
          <w:fldChar w:fldCharType="separate"/>
        </w:r>
        <w:r w:rsidR="00517F6C">
          <w:rPr>
            <w:noProof/>
            <w:webHidden/>
          </w:rPr>
          <w:t>10</w:t>
        </w:r>
        <w:r w:rsidR="00517F6C">
          <w:rPr>
            <w:noProof/>
            <w:webHidden/>
          </w:rPr>
          <w:fldChar w:fldCharType="end"/>
        </w:r>
      </w:hyperlink>
    </w:p>
    <w:p w14:paraId="6E7EB5A7" w14:textId="77777777" w:rsidR="00517F6C" w:rsidRDefault="00A1412E">
      <w:pPr>
        <w:pStyle w:val="TOC2"/>
        <w:rPr>
          <w:rFonts w:asciiTheme="minorHAnsi" w:eastAsiaTheme="minorEastAsia" w:hAnsiTheme="minorHAnsi" w:cstheme="minorBidi"/>
          <w:noProof/>
          <w:kern w:val="0"/>
          <w:sz w:val="22"/>
          <w:szCs w:val="22"/>
          <w:lang w:eastAsia="en-AU"/>
        </w:rPr>
      </w:pPr>
      <w:hyperlink w:anchor="_Toc57640805" w:history="1">
        <w:r w:rsidR="00517F6C" w:rsidRPr="00240837">
          <w:rPr>
            <w:rStyle w:val="Hyperlink"/>
            <w:noProof/>
          </w:rPr>
          <w:t>Recommended Action 1: Whole-of-government ISR priorities that drive investment decisions</w:t>
        </w:r>
        <w:r w:rsidR="00517F6C">
          <w:rPr>
            <w:noProof/>
            <w:webHidden/>
          </w:rPr>
          <w:tab/>
        </w:r>
        <w:r w:rsidR="00517F6C">
          <w:rPr>
            <w:noProof/>
            <w:webHidden/>
          </w:rPr>
          <w:fldChar w:fldCharType="begin"/>
        </w:r>
        <w:r w:rsidR="00517F6C">
          <w:rPr>
            <w:noProof/>
            <w:webHidden/>
          </w:rPr>
          <w:instrText xml:space="preserve"> PAGEREF _Toc57640805 \h </w:instrText>
        </w:r>
        <w:r w:rsidR="00517F6C">
          <w:rPr>
            <w:noProof/>
            <w:webHidden/>
          </w:rPr>
        </w:r>
        <w:r w:rsidR="00517F6C">
          <w:rPr>
            <w:noProof/>
            <w:webHidden/>
          </w:rPr>
          <w:fldChar w:fldCharType="separate"/>
        </w:r>
        <w:r w:rsidR="00517F6C">
          <w:rPr>
            <w:noProof/>
            <w:webHidden/>
          </w:rPr>
          <w:t>20</w:t>
        </w:r>
        <w:r w:rsidR="00517F6C">
          <w:rPr>
            <w:noProof/>
            <w:webHidden/>
          </w:rPr>
          <w:fldChar w:fldCharType="end"/>
        </w:r>
      </w:hyperlink>
    </w:p>
    <w:p w14:paraId="0E0BB37E" w14:textId="77777777" w:rsidR="00517F6C" w:rsidRDefault="00A1412E">
      <w:pPr>
        <w:pStyle w:val="TOC2"/>
        <w:rPr>
          <w:rFonts w:asciiTheme="minorHAnsi" w:eastAsiaTheme="minorEastAsia" w:hAnsiTheme="minorHAnsi" w:cstheme="minorBidi"/>
          <w:noProof/>
          <w:kern w:val="0"/>
          <w:sz w:val="22"/>
          <w:szCs w:val="22"/>
          <w:lang w:eastAsia="en-AU"/>
        </w:rPr>
      </w:pPr>
      <w:hyperlink w:anchor="_Toc57640806" w:history="1">
        <w:r w:rsidR="00517F6C" w:rsidRPr="00240837">
          <w:rPr>
            <w:rStyle w:val="Hyperlink"/>
            <w:noProof/>
          </w:rPr>
          <w:t>Recommended Action 2: A 10-year investment plan, that is aligned with ISR priorities, coordinated at the whole</w:t>
        </w:r>
        <w:r w:rsidR="00517F6C" w:rsidRPr="00240837">
          <w:rPr>
            <w:rStyle w:val="Hyperlink"/>
            <w:noProof/>
          </w:rPr>
          <w:noBreakHyphen/>
          <w:t>of</w:t>
        </w:r>
        <w:r w:rsidR="00517F6C" w:rsidRPr="00240837">
          <w:rPr>
            <w:rStyle w:val="Hyperlink"/>
            <w:noProof/>
          </w:rPr>
          <w:noBreakHyphen/>
          <w:t>government level, and has effective evaluation processes</w:t>
        </w:r>
        <w:r w:rsidR="00517F6C">
          <w:rPr>
            <w:noProof/>
            <w:webHidden/>
          </w:rPr>
          <w:tab/>
        </w:r>
        <w:r w:rsidR="00517F6C">
          <w:rPr>
            <w:noProof/>
            <w:webHidden/>
          </w:rPr>
          <w:fldChar w:fldCharType="begin"/>
        </w:r>
        <w:r w:rsidR="00517F6C">
          <w:rPr>
            <w:noProof/>
            <w:webHidden/>
          </w:rPr>
          <w:instrText xml:space="preserve"> PAGEREF _Toc57640806 \h </w:instrText>
        </w:r>
        <w:r w:rsidR="00517F6C">
          <w:rPr>
            <w:noProof/>
            <w:webHidden/>
          </w:rPr>
        </w:r>
        <w:r w:rsidR="00517F6C">
          <w:rPr>
            <w:noProof/>
            <w:webHidden/>
          </w:rPr>
          <w:fldChar w:fldCharType="separate"/>
        </w:r>
        <w:r w:rsidR="00517F6C">
          <w:rPr>
            <w:noProof/>
            <w:webHidden/>
          </w:rPr>
          <w:t>30</w:t>
        </w:r>
        <w:r w:rsidR="00517F6C">
          <w:rPr>
            <w:noProof/>
            <w:webHidden/>
          </w:rPr>
          <w:fldChar w:fldCharType="end"/>
        </w:r>
      </w:hyperlink>
    </w:p>
    <w:p w14:paraId="71F1AAEF" w14:textId="77777777" w:rsidR="00517F6C" w:rsidRDefault="00A1412E">
      <w:pPr>
        <w:pStyle w:val="TOC2"/>
        <w:rPr>
          <w:rFonts w:asciiTheme="minorHAnsi" w:eastAsiaTheme="minorEastAsia" w:hAnsiTheme="minorHAnsi" w:cstheme="minorBidi"/>
          <w:noProof/>
          <w:kern w:val="0"/>
          <w:sz w:val="22"/>
          <w:szCs w:val="22"/>
          <w:lang w:eastAsia="en-AU"/>
        </w:rPr>
      </w:pPr>
      <w:hyperlink w:anchor="_Toc57640807" w:history="1">
        <w:r w:rsidR="00517F6C" w:rsidRPr="00240837">
          <w:rPr>
            <w:rStyle w:val="Hyperlink"/>
            <w:noProof/>
          </w:rPr>
          <w:t>Recommended Action 3: An investment plan that is strategically balanced across the Government’s investment portfolio</w:t>
        </w:r>
        <w:r w:rsidR="00517F6C">
          <w:rPr>
            <w:noProof/>
            <w:webHidden/>
          </w:rPr>
          <w:tab/>
        </w:r>
        <w:r w:rsidR="00517F6C">
          <w:rPr>
            <w:noProof/>
            <w:webHidden/>
          </w:rPr>
          <w:fldChar w:fldCharType="begin"/>
        </w:r>
        <w:r w:rsidR="00517F6C">
          <w:rPr>
            <w:noProof/>
            <w:webHidden/>
          </w:rPr>
          <w:instrText xml:space="preserve"> PAGEREF _Toc57640807 \h </w:instrText>
        </w:r>
        <w:r w:rsidR="00517F6C">
          <w:rPr>
            <w:noProof/>
            <w:webHidden/>
          </w:rPr>
        </w:r>
        <w:r w:rsidR="00517F6C">
          <w:rPr>
            <w:noProof/>
            <w:webHidden/>
          </w:rPr>
          <w:fldChar w:fldCharType="separate"/>
        </w:r>
        <w:r w:rsidR="00517F6C">
          <w:rPr>
            <w:noProof/>
            <w:webHidden/>
          </w:rPr>
          <w:t>40</w:t>
        </w:r>
        <w:r w:rsidR="00517F6C">
          <w:rPr>
            <w:noProof/>
            <w:webHidden/>
          </w:rPr>
          <w:fldChar w:fldCharType="end"/>
        </w:r>
      </w:hyperlink>
    </w:p>
    <w:p w14:paraId="5F377B93" w14:textId="77777777" w:rsidR="00517F6C" w:rsidRDefault="00A1412E">
      <w:pPr>
        <w:pStyle w:val="TOC2"/>
        <w:rPr>
          <w:rFonts w:asciiTheme="minorHAnsi" w:eastAsiaTheme="minorEastAsia" w:hAnsiTheme="minorHAnsi" w:cstheme="minorBidi"/>
          <w:noProof/>
          <w:kern w:val="0"/>
          <w:sz w:val="22"/>
          <w:szCs w:val="22"/>
          <w:lang w:eastAsia="en-AU"/>
        </w:rPr>
      </w:pPr>
      <w:hyperlink w:anchor="_Toc57640808" w:history="1">
        <w:r w:rsidR="00517F6C" w:rsidRPr="00240837">
          <w:rPr>
            <w:rStyle w:val="Hyperlink"/>
            <w:noProof/>
          </w:rPr>
          <w:t>Implementation strategies</w:t>
        </w:r>
        <w:r w:rsidR="00517F6C">
          <w:rPr>
            <w:noProof/>
            <w:webHidden/>
          </w:rPr>
          <w:tab/>
        </w:r>
        <w:r w:rsidR="00517F6C">
          <w:rPr>
            <w:noProof/>
            <w:webHidden/>
          </w:rPr>
          <w:fldChar w:fldCharType="begin"/>
        </w:r>
        <w:r w:rsidR="00517F6C">
          <w:rPr>
            <w:noProof/>
            <w:webHidden/>
          </w:rPr>
          <w:instrText xml:space="preserve"> PAGEREF _Toc57640808 \h </w:instrText>
        </w:r>
        <w:r w:rsidR="00517F6C">
          <w:rPr>
            <w:noProof/>
            <w:webHidden/>
          </w:rPr>
        </w:r>
        <w:r w:rsidR="00517F6C">
          <w:rPr>
            <w:noProof/>
            <w:webHidden/>
          </w:rPr>
          <w:fldChar w:fldCharType="separate"/>
        </w:r>
        <w:r w:rsidR="00517F6C">
          <w:rPr>
            <w:noProof/>
            <w:webHidden/>
          </w:rPr>
          <w:t>53</w:t>
        </w:r>
        <w:r w:rsidR="00517F6C">
          <w:rPr>
            <w:noProof/>
            <w:webHidden/>
          </w:rPr>
          <w:fldChar w:fldCharType="end"/>
        </w:r>
      </w:hyperlink>
    </w:p>
    <w:p w14:paraId="6E8C8DD7" w14:textId="77777777" w:rsidR="00517F6C" w:rsidRDefault="00A1412E">
      <w:pPr>
        <w:pStyle w:val="TOC2"/>
        <w:rPr>
          <w:rFonts w:asciiTheme="minorHAnsi" w:eastAsiaTheme="minorEastAsia" w:hAnsiTheme="minorHAnsi" w:cstheme="minorBidi"/>
          <w:noProof/>
          <w:kern w:val="0"/>
          <w:sz w:val="22"/>
          <w:szCs w:val="22"/>
          <w:lang w:eastAsia="en-AU"/>
        </w:rPr>
      </w:pPr>
      <w:hyperlink w:anchor="_Toc57640809" w:history="1">
        <w:r w:rsidR="00517F6C" w:rsidRPr="00240837">
          <w:rPr>
            <w:rStyle w:val="Hyperlink"/>
            <w:noProof/>
          </w:rPr>
          <w:t>Conclusion</w:t>
        </w:r>
        <w:r w:rsidR="00517F6C">
          <w:rPr>
            <w:noProof/>
            <w:webHidden/>
          </w:rPr>
          <w:tab/>
        </w:r>
        <w:r w:rsidR="00517F6C">
          <w:rPr>
            <w:noProof/>
            <w:webHidden/>
          </w:rPr>
          <w:fldChar w:fldCharType="begin"/>
        </w:r>
        <w:r w:rsidR="00517F6C">
          <w:rPr>
            <w:noProof/>
            <w:webHidden/>
          </w:rPr>
          <w:instrText xml:space="preserve"> PAGEREF _Toc57640809 \h </w:instrText>
        </w:r>
        <w:r w:rsidR="00517F6C">
          <w:rPr>
            <w:noProof/>
            <w:webHidden/>
          </w:rPr>
        </w:r>
        <w:r w:rsidR="00517F6C">
          <w:rPr>
            <w:noProof/>
            <w:webHidden/>
          </w:rPr>
          <w:fldChar w:fldCharType="separate"/>
        </w:r>
        <w:r w:rsidR="00517F6C">
          <w:rPr>
            <w:noProof/>
            <w:webHidden/>
          </w:rPr>
          <w:t>58</w:t>
        </w:r>
        <w:r w:rsidR="00517F6C">
          <w:rPr>
            <w:noProof/>
            <w:webHidden/>
          </w:rPr>
          <w:fldChar w:fldCharType="end"/>
        </w:r>
      </w:hyperlink>
    </w:p>
    <w:p w14:paraId="6FDA6419" w14:textId="6E3DE19C" w:rsidR="00210FEF" w:rsidRDefault="00932C8B" w:rsidP="00210FEF">
      <w:pPr>
        <w:pStyle w:val="TOC2"/>
        <w:rPr>
          <w:sz w:val="22"/>
        </w:rPr>
        <w:sectPr w:rsidR="00210FEF" w:rsidSect="006211B8">
          <w:pgSz w:w="11907" w:h="16839" w:code="9"/>
          <w:pgMar w:top="1418" w:right="1418" w:bottom="1418" w:left="1418" w:header="851" w:footer="720" w:gutter="0"/>
          <w:pgNumType w:fmt="lowerRoman" w:start="1"/>
          <w:cols w:space="720"/>
          <w:titlePg/>
          <w:docGrid w:linePitch="360"/>
        </w:sectPr>
      </w:pPr>
      <w:r>
        <w:rPr>
          <w:sz w:val="22"/>
        </w:rPr>
        <w:fldChar w:fldCharType="end"/>
      </w:r>
      <w:bookmarkStart w:id="50" w:name="_Toc39674922"/>
      <w:bookmarkStart w:id="51" w:name="_Toc39674959"/>
      <w:bookmarkStart w:id="52" w:name="_Toc39675361"/>
      <w:bookmarkStart w:id="53" w:name="_Toc39675390"/>
      <w:bookmarkStart w:id="54" w:name="_Toc40282987"/>
      <w:bookmarkStart w:id="55" w:name="_Toc40372685"/>
      <w:bookmarkStart w:id="56" w:name="_Toc40451941"/>
      <w:bookmarkStart w:id="57" w:name="_Toc40453235"/>
      <w:bookmarkStart w:id="58" w:name="_Toc40799901"/>
      <w:bookmarkStart w:id="59" w:name="_Toc40801715"/>
      <w:bookmarkStart w:id="60" w:name="_Toc40877279"/>
      <w:bookmarkStart w:id="61" w:name="_Toc40885902"/>
      <w:bookmarkStart w:id="62" w:name="_Toc40886721"/>
      <w:bookmarkStart w:id="63" w:name="_Toc40897268"/>
      <w:bookmarkStart w:id="64" w:name="_Toc40899216"/>
      <w:bookmarkStart w:id="65" w:name="_Toc40905524"/>
      <w:bookmarkStart w:id="66" w:name="_Toc40906384"/>
      <w:bookmarkStart w:id="67" w:name="_Toc40950884"/>
      <w:bookmarkStart w:id="68" w:name="_Toc40956810"/>
      <w:bookmarkStart w:id="69" w:name="_Toc40957789"/>
      <w:bookmarkStart w:id="70" w:name="_Toc40960218"/>
      <w:bookmarkStart w:id="71" w:name="_Toc40960310"/>
      <w:bookmarkStart w:id="72" w:name="_Toc40964346"/>
      <w:bookmarkStart w:id="73" w:name="_Toc40964764"/>
      <w:bookmarkStart w:id="74" w:name="_Toc40964776"/>
      <w:bookmarkStart w:id="75" w:name="_Toc40964291"/>
      <w:bookmarkStart w:id="76" w:name="_Toc40966962"/>
      <w:bookmarkStart w:id="77" w:name="_Toc40968247"/>
      <w:bookmarkStart w:id="78" w:name="_Toc40969805"/>
      <w:bookmarkStart w:id="79" w:name="_Toc40970216"/>
      <w:bookmarkStart w:id="80" w:name="_Toc40970811"/>
      <w:bookmarkStart w:id="81" w:name="_Toc41383024"/>
      <w:bookmarkStart w:id="82" w:name="_Toc41403355"/>
      <w:bookmarkStart w:id="83" w:name="_Toc41405315"/>
      <w:bookmarkStart w:id="84" w:name="_Toc41405410"/>
      <w:bookmarkStart w:id="85" w:name="_Toc41405437"/>
      <w:bookmarkStart w:id="86" w:name="_Toc41483271"/>
      <w:bookmarkStart w:id="87" w:name="_Toc41483669"/>
      <w:bookmarkStart w:id="88" w:name="_Toc41485183"/>
      <w:bookmarkStart w:id="89" w:name="_Toc41487187"/>
      <w:bookmarkStart w:id="90" w:name="_Toc41488815"/>
      <w:bookmarkStart w:id="91" w:name="_Toc41489015"/>
      <w:bookmarkStart w:id="92" w:name="_Toc41489813"/>
      <w:bookmarkStart w:id="93" w:name="_Toc41492084"/>
      <w:bookmarkStart w:id="94" w:name="_Toc42777659"/>
      <w:bookmarkStart w:id="95" w:name="_Toc42784246"/>
      <w:bookmarkStart w:id="96" w:name="_Toc42785561"/>
      <w:bookmarkStart w:id="97" w:name="_Toc42788812"/>
      <w:bookmarkStart w:id="98" w:name="_Toc42852829"/>
      <w:bookmarkStart w:id="99" w:name="_Toc43204806"/>
      <w:bookmarkStart w:id="100" w:name="_Toc43205533"/>
      <w:bookmarkStart w:id="101" w:name="_Toc43205885"/>
      <w:bookmarkStart w:id="102" w:name="_Toc43215096"/>
      <w:bookmarkStart w:id="103" w:name="_Toc43219291"/>
      <w:bookmarkStart w:id="104" w:name="_Toc43220083"/>
      <w:bookmarkStart w:id="105" w:name="_Toc43385203"/>
      <w:bookmarkStart w:id="106" w:name="_Toc43386335"/>
      <w:bookmarkStart w:id="107" w:name="_Toc43386433"/>
      <w:bookmarkStart w:id="108" w:name="_Toc43391349"/>
      <w:bookmarkStart w:id="109" w:name="_Toc43393326"/>
      <w:bookmarkStart w:id="110" w:name="_Toc43394337"/>
      <w:bookmarkStart w:id="111" w:name="_Toc43458519"/>
      <w:bookmarkStart w:id="112" w:name="_Toc43460183"/>
      <w:bookmarkStart w:id="113" w:name="_Toc43466947"/>
      <w:bookmarkStart w:id="114" w:name="_Toc43478641"/>
      <w:bookmarkStart w:id="115" w:name="_Toc43479266"/>
      <w:bookmarkStart w:id="116" w:name="_Toc43481505"/>
      <w:bookmarkStart w:id="117" w:name="_Toc43719156"/>
      <w:bookmarkStart w:id="118" w:name="_Toc43729715"/>
      <w:bookmarkStart w:id="119" w:name="_Toc43730261"/>
      <w:bookmarkStart w:id="120" w:name="_Toc43731107"/>
      <w:bookmarkStart w:id="121" w:name="_Toc43732966"/>
      <w:bookmarkStart w:id="122" w:name="_Toc43733225"/>
      <w:bookmarkStart w:id="123" w:name="_Toc43733671"/>
      <w:bookmarkStart w:id="124" w:name="_Toc43735613"/>
      <w:bookmarkStart w:id="125" w:name="_Toc43735805"/>
      <w:bookmarkStart w:id="126" w:name="_Toc43737173"/>
      <w:bookmarkStart w:id="127" w:name="_Toc43737674"/>
      <w:bookmarkStart w:id="128" w:name="_Toc44069064"/>
      <w:bookmarkStart w:id="129" w:name="_Toc44317938"/>
      <w:bookmarkStart w:id="130" w:name="_Toc44318012"/>
      <w:bookmarkStart w:id="131" w:name="_Toc44328509"/>
      <w:bookmarkStart w:id="132" w:name="_Toc44329575"/>
      <w:bookmarkStart w:id="133" w:name="_Toc44331607"/>
      <w:bookmarkStart w:id="134" w:name="_Toc44331758"/>
      <w:bookmarkStart w:id="135" w:name="_Toc44331890"/>
    </w:p>
    <w:p w14:paraId="0C673E13" w14:textId="1DE2D42A" w:rsidR="00613276" w:rsidRPr="00065200" w:rsidRDefault="00210FEF" w:rsidP="00210FEF">
      <w:pPr>
        <w:pStyle w:val="Heading2"/>
      </w:pPr>
      <w:bookmarkStart w:id="136" w:name="_Toc44334872"/>
      <w:bookmarkStart w:id="137" w:name="_Toc44335304"/>
      <w:bookmarkStart w:id="138" w:name="_Toc44422228"/>
      <w:bookmarkStart w:id="139" w:name="_Toc44424098"/>
      <w:bookmarkStart w:id="140" w:name="_Toc44424323"/>
      <w:bookmarkStart w:id="141" w:name="_Toc55910408"/>
      <w:bookmarkStart w:id="142" w:name="_Toc55991211"/>
      <w:bookmarkStart w:id="143" w:name="_Toc55995732"/>
      <w:bookmarkStart w:id="144" w:name="_Toc55997209"/>
      <w:bookmarkStart w:id="145" w:name="_Toc56069451"/>
      <w:bookmarkStart w:id="146" w:name="_Toc57105517"/>
      <w:bookmarkStart w:id="147" w:name="_Toc57134703"/>
      <w:bookmarkStart w:id="148" w:name="_Toc57141291"/>
      <w:bookmarkStart w:id="149" w:name="_Toc57640804"/>
      <w:r>
        <w:lastRenderedPageBreak/>
        <w:t>I</w:t>
      </w:r>
      <w:r w:rsidR="00055354" w:rsidRPr="00065200">
        <w:t>ntroduction</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6FC524F5" w14:textId="27D1B9E5" w:rsidR="00D277E4" w:rsidRPr="00065200" w:rsidRDefault="00920C7D" w:rsidP="00D36ACF">
      <w:r w:rsidRPr="00065200">
        <w:t xml:space="preserve">The </w:t>
      </w:r>
      <w:r w:rsidR="001D39E8" w:rsidRPr="00065200">
        <w:t>year</w:t>
      </w:r>
      <w:r w:rsidRPr="00065200">
        <w:t xml:space="preserve"> 2020 </w:t>
      </w:r>
      <w:r w:rsidR="001D39E8" w:rsidRPr="00065200">
        <w:t>has been</w:t>
      </w:r>
      <w:r w:rsidR="00D55C58">
        <w:t xml:space="preserve"> </w:t>
      </w:r>
      <w:r w:rsidRPr="00065200">
        <w:t xml:space="preserve">an extremely challenging time for Australians. Many parts of the country </w:t>
      </w:r>
      <w:r w:rsidR="00895A85" w:rsidRPr="00065200">
        <w:t xml:space="preserve">have </w:t>
      </w:r>
      <w:r w:rsidRPr="00065200">
        <w:t xml:space="preserve">experienced </w:t>
      </w:r>
      <w:r w:rsidR="00390B55" w:rsidRPr="00065200">
        <w:t>unprece</w:t>
      </w:r>
      <w:r w:rsidRPr="00065200">
        <w:t>d</w:t>
      </w:r>
      <w:r w:rsidR="003436AE" w:rsidRPr="00065200">
        <w:t>e</w:t>
      </w:r>
      <w:r w:rsidRPr="00065200">
        <w:t>nted bushfires,</w:t>
      </w:r>
      <w:r w:rsidRPr="00065200" w:rsidDel="001A4250">
        <w:rPr>
          <w:rStyle w:val="FootnoteReference"/>
        </w:rPr>
        <w:footnoteReference w:id="16"/>
      </w:r>
      <w:r w:rsidRPr="00065200">
        <w:t xml:space="preserve"> closely followed by </w:t>
      </w:r>
      <w:r w:rsidR="00CE4097" w:rsidRPr="00065200">
        <w:t>the global COVID</w:t>
      </w:r>
      <w:r w:rsidR="0092538C">
        <w:noBreakHyphen/>
      </w:r>
      <w:r w:rsidR="00CE4097" w:rsidRPr="00065200">
        <w:t xml:space="preserve">19 </w:t>
      </w:r>
      <w:r w:rsidR="00AD3B62" w:rsidRPr="00065200">
        <w:t>pandemic</w:t>
      </w:r>
      <w:r w:rsidRPr="00065200">
        <w:t>. These events</w:t>
      </w:r>
      <w:r w:rsidR="003436AE" w:rsidRPr="00065200">
        <w:t xml:space="preserve"> have</w:t>
      </w:r>
      <w:r w:rsidRPr="00065200">
        <w:t xml:space="preserve"> tested Australia’s preparedness, resilience and ability to recover from significant crises.</w:t>
      </w:r>
      <w:r w:rsidRPr="00065200" w:rsidDel="0019467E">
        <w:rPr>
          <w:rStyle w:val="FootnoteReference"/>
        </w:rPr>
        <w:footnoteReference w:id="17"/>
      </w:r>
      <w:r w:rsidR="00CE4097" w:rsidRPr="00065200" w:rsidDel="0019467E">
        <w:t xml:space="preserve"> </w:t>
      </w:r>
      <w:r w:rsidR="005771A4" w:rsidRPr="00065200">
        <w:t xml:space="preserve">However, </w:t>
      </w:r>
      <w:r w:rsidR="00D021C3">
        <w:t>the</w:t>
      </w:r>
      <w:r w:rsidR="0043094E">
        <w:t>y</w:t>
      </w:r>
      <w:r w:rsidR="005771A4" w:rsidRPr="00065200">
        <w:t xml:space="preserve"> have also</w:t>
      </w:r>
      <w:r w:rsidRPr="00065200">
        <w:t xml:space="preserve"> highlighted the</w:t>
      </w:r>
      <w:r w:rsidR="003436AE" w:rsidRPr="00065200">
        <w:t xml:space="preserve"> importance of</w:t>
      </w:r>
      <w:r w:rsidR="00F013B9" w:rsidRPr="00065200">
        <w:t xml:space="preserve"> innovation, science and r</w:t>
      </w:r>
      <w:r w:rsidR="00D22514" w:rsidRPr="00065200">
        <w:t>esearch (I</w:t>
      </w:r>
      <w:r w:rsidR="00D36ACF" w:rsidRPr="00065200">
        <w:t>SR</w:t>
      </w:r>
      <w:r w:rsidR="00D22514" w:rsidRPr="00065200">
        <w:t>)</w:t>
      </w:r>
      <w:r w:rsidR="00D36ACF" w:rsidRPr="00065200">
        <w:t xml:space="preserve"> </w:t>
      </w:r>
      <w:r w:rsidR="009431AD">
        <w:t xml:space="preserve">capabilities </w:t>
      </w:r>
      <w:r w:rsidR="000C65F6" w:rsidRPr="00065200">
        <w:t>to</w:t>
      </w:r>
      <w:r w:rsidRPr="00065200">
        <w:t xml:space="preserve"> Australia’s </w:t>
      </w:r>
      <w:r w:rsidR="00762F78" w:rsidRPr="00065200">
        <w:t>resilience and prosperity</w:t>
      </w:r>
      <w:r w:rsidRPr="00065200">
        <w:t>.</w:t>
      </w:r>
    </w:p>
    <w:p w14:paraId="7927C4D6" w14:textId="051BC234" w:rsidR="003D588C" w:rsidRPr="00065200" w:rsidRDefault="00141981" w:rsidP="006D3292">
      <w:r w:rsidRPr="00065200">
        <w:t>ISR has</w:t>
      </w:r>
      <w:r w:rsidR="00530B0F" w:rsidRPr="00065200">
        <w:t xml:space="preserve"> </w:t>
      </w:r>
      <w:r w:rsidR="00F207E8" w:rsidRPr="00065200">
        <w:t>underpinned</w:t>
      </w:r>
      <w:r w:rsidR="00530B0F" w:rsidRPr="00065200">
        <w:t xml:space="preserve"> critical expert </w:t>
      </w:r>
      <w:r w:rsidR="00C778C1" w:rsidRPr="00065200">
        <w:t xml:space="preserve">medical </w:t>
      </w:r>
      <w:r w:rsidR="00F207E8" w:rsidRPr="00065200">
        <w:t xml:space="preserve">and economic </w:t>
      </w:r>
      <w:r w:rsidR="00530B0F" w:rsidRPr="00065200">
        <w:t xml:space="preserve">advice </w:t>
      </w:r>
      <w:r w:rsidR="00C778C1" w:rsidRPr="00065200">
        <w:t xml:space="preserve">to </w:t>
      </w:r>
      <w:r w:rsidR="00530B0F" w:rsidRPr="00065200">
        <w:t>inform government policy responses</w:t>
      </w:r>
      <w:r w:rsidR="00AD3B62" w:rsidRPr="00065200">
        <w:t xml:space="preserve"> during the COVID-19 pandemic</w:t>
      </w:r>
      <w:r w:rsidR="002A2CF2" w:rsidRPr="00065200">
        <w:t>,</w:t>
      </w:r>
      <w:r w:rsidR="00530B0F" w:rsidRPr="00065200">
        <w:t xml:space="preserve"> </w:t>
      </w:r>
      <w:r w:rsidR="00676784" w:rsidRPr="00065200">
        <w:t>which has</w:t>
      </w:r>
      <w:r w:rsidR="00D277E4" w:rsidRPr="00065200">
        <w:t xml:space="preserve"> </w:t>
      </w:r>
      <w:r w:rsidR="00C778C1" w:rsidRPr="00065200">
        <w:t>min</w:t>
      </w:r>
      <w:r w:rsidR="00713105" w:rsidRPr="00065200">
        <w:t>i</w:t>
      </w:r>
      <w:r w:rsidR="00C778C1" w:rsidRPr="00065200">
        <w:t>mise</w:t>
      </w:r>
      <w:r w:rsidR="00D277E4" w:rsidRPr="00065200">
        <w:t>d</w:t>
      </w:r>
      <w:r w:rsidR="00C778C1" w:rsidRPr="00065200">
        <w:t xml:space="preserve"> </w:t>
      </w:r>
      <w:r w:rsidR="00F207E8" w:rsidRPr="00065200">
        <w:t xml:space="preserve">the human and economic cost of </w:t>
      </w:r>
      <w:r w:rsidR="00114B9A" w:rsidRPr="00065200">
        <w:t>th</w:t>
      </w:r>
      <w:r w:rsidR="00607FCC">
        <w:t>e</w:t>
      </w:r>
      <w:r w:rsidR="00C778C1" w:rsidRPr="00065200">
        <w:t xml:space="preserve"> </w:t>
      </w:r>
      <w:r w:rsidR="00AD3B62" w:rsidRPr="00065200">
        <w:t>crisis</w:t>
      </w:r>
      <w:r w:rsidR="00530B0F" w:rsidRPr="00065200">
        <w:t>.</w:t>
      </w:r>
      <w:r w:rsidR="00676784" w:rsidRPr="00065200">
        <w:rPr>
          <w:rStyle w:val="FootnoteReference"/>
        </w:rPr>
        <w:footnoteReference w:id="18"/>
      </w:r>
      <w:r w:rsidR="00530B0F" w:rsidRPr="00065200">
        <w:t xml:space="preserve"> </w:t>
      </w:r>
      <w:r w:rsidR="003F712E">
        <w:t>This has included both research and development (R&amp;D) and non-R&amp;D innovation.</w:t>
      </w:r>
      <w:r w:rsidR="003F712E">
        <w:rPr>
          <w:rStyle w:val="FootnoteReference"/>
        </w:rPr>
        <w:footnoteReference w:id="19"/>
      </w:r>
      <w:r w:rsidR="003F712E">
        <w:t xml:space="preserve"> </w:t>
      </w:r>
      <w:r w:rsidR="00CA3C4C" w:rsidRPr="00065200">
        <w:t xml:space="preserve">Australia </w:t>
      </w:r>
      <w:r w:rsidR="003D588C" w:rsidRPr="00065200">
        <w:t xml:space="preserve">demonstrated its internationally competitive ISR during the pandemic with the University of Queensland </w:t>
      </w:r>
      <w:r w:rsidR="001B31F7">
        <w:t xml:space="preserve">drawing on its existing research to </w:t>
      </w:r>
      <w:r w:rsidR="003D588C" w:rsidRPr="00065200">
        <w:t>develop a COVID-19 vaccine candidate in three weeks</w:t>
      </w:r>
      <w:r w:rsidR="003D588C" w:rsidRPr="00065200">
        <w:rPr>
          <w:rStyle w:val="FootnoteReference"/>
        </w:rPr>
        <w:footnoteReference w:id="20"/>
      </w:r>
      <w:r w:rsidR="003D588C" w:rsidRPr="00065200">
        <w:t xml:space="preserve"> and the Commonwealth Scientific and Industrial Research Organisation (CSIRO) being selected to conduct pre-clinical trials for international vaccine candidates.</w:t>
      </w:r>
      <w:r w:rsidR="003D588C" w:rsidRPr="00065200">
        <w:rPr>
          <w:rStyle w:val="FootnoteReference"/>
        </w:rPr>
        <w:footnoteReference w:id="21"/>
      </w:r>
    </w:p>
    <w:p w14:paraId="05B72D12" w14:textId="3A065890" w:rsidR="00FA4257" w:rsidRPr="00065200" w:rsidRDefault="00530B0F" w:rsidP="006D3292">
      <w:r w:rsidRPr="00065200">
        <w:t>I</w:t>
      </w:r>
      <w:r w:rsidR="00141981" w:rsidRPr="00065200">
        <w:t xml:space="preserve">nnovation has </w:t>
      </w:r>
      <w:r w:rsidR="00D277E4" w:rsidRPr="00065200">
        <w:t>also</w:t>
      </w:r>
      <w:r w:rsidR="00141981" w:rsidRPr="00065200">
        <w:t xml:space="preserve"> played</w:t>
      </w:r>
      <w:r w:rsidR="00FB4CD5" w:rsidRPr="00065200">
        <w:t xml:space="preserve"> </w:t>
      </w:r>
      <w:r w:rsidRPr="00065200">
        <w:t xml:space="preserve">a key role for </w:t>
      </w:r>
      <w:r w:rsidR="00C341A7" w:rsidRPr="00065200">
        <w:t>many</w:t>
      </w:r>
      <w:r w:rsidR="00A0237D" w:rsidRPr="00065200">
        <w:t xml:space="preserve"> businesses </w:t>
      </w:r>
      <w:r w:rsidR="00221F4B" w:rsidRPr="00065200">
        <w:t xml:space="preserve">in the weeks following </w:t>
      </w:r>
      <w:r w:rsidR="00C341A7" w:rsidRPr="00065200">
        <w:t>nation</w:t>
      </w:r>
      <w:r w:rsidR="005D5DB0" w:rsidRPr="00065200">
        <w:noBreakHyphen/>
      </w:r>
      <w:r w:rsidR="00C341A7" w:rsidRPr="00065200">
        <w:t xml:space="preserve">wide </w:t>
      </w:r>
      <w:r w:rsidR="00221F4B" w:rsidRPr="00065200">
        <w:t>restrictions</w:t>
      </w:r>
      <w:r w:rsidR="00615F5B" w:rsidRPr="00065200">
        <w:t xml:space="preserve">. An extraordinary deployment of remote work </w:t>
      </w:r>
      <w:r w:rsidR="002A2CF2" w:rsidRPr="00065200">
        <w:t>and digital access to services has occurred</w:t>
      </w:r>
      <w:r w:rsidR="00615F5B" w:rsidRPr="00065200">
        <w:t xml:space="preserve"> across</w:t>
      </w:r>
      <w:r w:rsidR="00C341A7" w:rsidRPr="00065200">
        <w:t xml:space="preserve"> almost</w:t>
      </w:r>
      <w:r w:rsidR="00615F5B" w:rsidRPr="00065200">
        <w:t xml:space="preserve"> every domain</w:t>
      </w:r>
      <w:r w:rsidR="009930D1" w:rsidRPr="00065200">
        <w:t xml:space="preserve">. </w:t>
      </w:r>
      <w:r w:rsidR="0061393F">
        <w:t>G</w:t>
      </w:r>
      <w:r w:rsidR="00A744B5">
        <w:t xml:space="preserve">lobal </w:t>
      </w:r>
      <w:r w:rsidR="00615F5B" w:rsidRPr="00065200">
        <w:t xml:space="preserve">data </w:t>
      </w:r>
      <w:r w:rsidR="009930D1" w:rsidRPr="00065200">
        <w:t xml:space="preserve">suggests </w:t>
      </w:r>
      <w:r w:rsidR="00615F5B" w:rsidRPr="00065200">
        <w:t xml:space="preserve">that five years </w:t>
      </w:r>
      <w:r w:rsidR="003D588C" w:rsidRPr="00065200">
        <w:t xml:space="preserve">of </w:t>
      </w:r>
      <w:r w:rsidR="00615F5B" w:rsidRPr="00065200">
        <w:t>progress has been made in consumer and business digital adoption in just eight weeks</w:t>
      </w:r>
      <w:r w:rsidR="00C341A7" w:rsidRPr="00065200">
        <w:t>,</w:t>
      </w:r>
      <w:r w:rsidR="00615F5B" w:rsidRPr="00065200">
        <w:rPr>
          <w:rStyle w:val="FootnoteReference"/>
        </w:rPr>
        <w:footnoteReference w:id="22"/>
      </w:r>
      <w:r w:rsidR="00C44122">
        <w:t xml:space="preserve"> though this rate of adoption has not been observed in all sectors.</w:t>
      </w:r>
      <w:r w:rsidR="00A0237D" w:rsidRPr="00065200">
        <w:t xml:space="preserve"> </w:t>
      </w:r>
      <w:r w:rsidR="00C44122">
        <w:t>In Australia,</w:t>
      </w:r>
      <w:r w:rsidRPr="00065200">
        <w:t xml:space="preserve"> </w:t>
      </w:r>
      <w:r w:rsidR="00FB4CD5" w:rsidRPr="00065200">
        <w:t>38</w:t>
      </w:r>
      <w:r w:rsidR="00205144">
        <w:t> per cent</w:t>
      </w:r>
      <w:r w:rsidR="00FB4CD5" w:rsidRPr="00065200">
        <w:t xml:space="preserve"> of </w:t>
      </w:r>
      <w:r w:rsidR="00615F5B" w:rsidRPr="00065200">
        <w:t xml:space="preserve">Australian </w:t>
      </w:r>
      <w:r w:rsidR="005B081A" w:rsidRPr="00065200">
        <w:t>businesses changed</w:t>
      </w:r>
      <w:r w:rsidR="00FB4CD5" w:rsidRPr="00065200">
        <w:t xml:space="preserve"> their</w:t>
      </w:r>
      <w:r w:rsidR="005B081A" w:rsidRPr="00065200">
        <w:t xml:space="preserve"> delivery </w:t>
      </w:r>
      <w:r w:rsidR="005D5DB0" w:rsidRPr="00065200">
        <w:t xml:space="preserve">method </w:t>
      </w:r>
      <w:r w:rsidR="005B081A" w:rsidRPr="00065200">
        <w:t>and moved their businesses</w:t>
      </w:r>
      <w:r w:rsidR="00FB4CD5" w:rsidRPr="00065200">
        <w:t xml:space="preserve"> online</w:t>
      </w:r>
      <w:r w:rsidR="00454733">
        <w:t xml:space="preserve"> in a matter of weeks</w:t>
      </w:r>
      <w:r w:rsidR="00C778C1" w:rsidRPr="00065200">
        <w:t>.</w:t>
      </w:r>
      <w:r w:rsidR="00FB4CD5" w:rsidRPr="00065200">
        <w:rPr>
          <w:rStyle w:val="FootnoteReference"/>
        </w:rPr>
        <w:footnoteReference w:id="23"/>
      </w:r>
      <w:r w:rsidR="00FA4257" w:rsidRPr="00065200">
        <w:t xml:space="preserve"> </w:t>
      </w:r>
    </w:p>
    <w:p w14:paraId="5F48D198" w14:textId="290B5CBC" w:rsidR="00DE6454" w:rsidRPr="00065200" w:rsidRDefault="00593234" w:rsidP="006D3292">
      <w:r>
        <w:lastRenderedPageBreak/>
        <w:t>The benefits of g</w:t>
      </w:r>
      <w:r w:rsidR="00DE6454" w:rsidRPr="00065200">
        <w:t xml:space="preserve">overnment investment in ISR are well documented internationally. The European Commission’s review of innovation studies concludes that the overall value generated by public research is high, estimating </w:t>
      </w:r>
      <w:r w:rsidR="00607FCC">
        <w:t>a return of</w:t>
      </w:r>
      <w:r w:rsidR="00DE6454" w:rsidRPr="00065200">
        <w:t xml:space="preserve"> </w:t>
      </w:r>
      <w:r w:rsidR="00440DFD">
        <w:t>“</w:t>
      </w:r>
      <w:r w:rsidR="00DE6454" w:rsidRPr="00065200">
        <w:t xml:space="preserve">between three and eight times the initial investment over the entire life cycle of the </w:t>
      </w:r>
      <w:r w:rsidR="00440DFD">
        <w:t>effects”.</w:t>
      </w:r>
      <w:r w:rsidR="00DE6454" w:rsidRPr="00065200">
        <w:rPr>
          <w:rStyle w:val="FootnoteReference"/>
        </w:rPr>
        <w:footnoteReference w:id="24"/>
      </w:r>
      <w:r w:rsidR="00DE6454" w:rsidRPr="00065200">
        <w:t xml:space="preserve"> Australia’s Productivity Commission similarly states that there are widespread and important economic, social and environmental benefits generated by Australia’s public funding support for science and innovation</w:t>
      </w:r>
      <w:r w:rsidR="00224330">
        <w:t>.</w:t>
      </w:r>
      <w:r w:rsidR="00DC40EF">
        <w:rPr>
          <w:rStyle w:val="FootnoteReference"/>
        </w:rPr>
        <w:footnoteReference w:id="25"/>
      </w:r>
      <w:r w:rsidR="00DE6454" w:rsidRPr="00065200">
        <w:t xml:space="preserve"> For example, the net economic benefit to the Australian economy of the Government’s Cooperative Research Centres (CRC) </w:t>
      </w:r>
      <w:r w:rsidR="00140436">
        <w:t>Program</w:t>
      </w:r>
      <w:r w:rsidR="00DE6454" w:rsidRPr="00065200">
        <w:t xml:space="preserve"> has been estimated to exceed costs by a factor of </w:t>
      </w:r>
      <w:r w:rsidR="005D7FE1" w:rsidRPr="00065200">
        <w:t>three</w:t>
      </w:r>
      <w:r w:rsidR="00DE6454" w:rsidRPr="00065200">
        <w:t xml:space="preserve"> to </w:t>
      </w:r>
      <w:r w:rsidR="005D7FE1" w:rsidRPr="00065200">
        <w:t>one</w:t>
      </w:r>
      <w:r w:rsidR="000A46FF" w:rsidRPr="00065200">
        <w:t>.</w:t>
      </w:r>
      <w:r w:rsidR="00DE6454" w:rsidRPr="00065200">
        <w:rPr>
          <w:rStyle w:val="FootnoteReference"/>
        </w:rPr>
        <w:footnoteReference w:id="26"/>
      </w:r>
    </w:p>
    <w:p w14:paraId="079DAE0E" w14:textId="1F06881E" w:rsidR="000A3617" w:rsidRPr="00065200" w:rsidRDefault="00607FCC" w:rsidP="000A3617">
      <w:r>
        <w:t>T</w:t>
      </w:r>
      <w:r w:rsidR="002418A6" w:rsidRPr="00065200">
        <w:t xml:space="preserve">he Commonwealth </w:t>
      </w:r>
      <w:r w:rsidR="00AB4F31" w:rsidRPr="00065200">
        <w:t>Government</w:t>
      </w:r>
      <w:r w:rsidR="00A874FE" w:rsidRPr="00065200">
        <w:t>’s</w:t>
      </w:r>
      <w:r w:rsidR="000A3617" w:rsidRPr="00065200">
        <w:t xml:space="preserve"> investment in ISR has led to world</w:t>
      </w:r>
      <w:r w:rsidR="000A3617" w:rsidRPr="00065200">
        <w:noBreakHyphen/>
        <w:t>changing research an</w:t>
      </w:r>
      <w:r w:rsidR="00222513" w:rsidRPr="00065200">
        <w:t>d innovation</w:t>
      </w:r>
      <w:r w:rsidR="000A3617" w:rsidRPr="00065200">
        <w:t>.</w:t>
      </w:r>
      <w:r w:rsidR="00222513" w:rsidRPr="00065200">
        <w:t xml:space="preserve"> For example</w:t>
      </w:r>
      <w:r w:rsidR="000A3617" w:rsidRPr="00065200">
        <w:t xml:space="preserve">: </w:t>
      </w:r>
    </w:p>
    <w:p w14:paraId="715C93E5" w14:textId="055DF72A" w:rsidR="00327C1D" w:rsidRPr="00065200" w:rsidRDefault="00327C1D" w:rsidP="00327C1D">
      <w:pPr>
        <w:pStyle w:val="ListParagraph"/>
        <w:numPr>
          <w:ilvl w:val="0"/>
          <w:numId w:val="9"/>
        </w:numPr>
      </w:pPr>
      <w:r w:rsidRPr="00065200">
        <w:t>CSIRO developed the first plastic bank notes with optically variable devices to secure c</w:t>
      </w:r>
      <w:r w:rsidR="005A318D">
        <w:t>urrency against forgery.</w:t>
      </w:r>
      <w:r w:rsidRPr="00065200">
        <w:t xml:space="preserve"> </w:t>
      </w:r>
      <w:r w:rsidR="005A318D">
        <w:t>T</w:t>
      </w:r>
      <w:r w:rsidRPr="00065200">
        <w:t>he</w:t>
      </w:r>
      <w:r w:rsidR="00806129">
        <w:t xml:space="preserve"> agency </w:t>
      </w:r>
      <w:r w:rsidRPr="00065200">
        <w:t>also developed the first contact lenses that could be worn for a month at a time</w:t>
      </w:r>
      <w:r>
        <w:t>.</w:t>
      </w:r>
      <w:r w:rsidRPr="00065200">
        <w:rPr>
          <w:rStyle w:val="FootnoteReference"/>
        </w:rPr>
        <w:footnoteReference w:id="27"/>
      </w:r>
    </w:p>
    <w:p w14:paraId="5A0DC8F7" w14:textId="0223B5C2" w:rsidR="000A3617" w:rsidRPr="00065200" w:rsidRDefault="000A3617" w:rsidP="000B497D">
      <w:pPr>
        <w:pStyle w:val="ListParagraph"/>
        <w:numPr>
          <w:ilvl w:val="0"/>
          <w:numId w:val="9"/>
        </w:numPr>
      </w:pPr>
      <w:r w:rsidRPr="00065200">
        <w:t>Defence Science and Technology Group (DST Group) developed the world’s first low-cost device to counter improvised explosive devices, with over 100,000 units manufactured, tested and delivered to the Afghan military</w:t>
      </w:r>
      <w:r w:rsidR="005D57D1">
        <w:t>.</w:t>
      </w:r>
      <w:r w:rsidRPr="00065200">
        <w:rPr>
          <w:rStyle w:val="FootnoteReference"/>
        </w:rPr>
        <w:footnoteReference w:id="28"/>
      </w:r>
    </w:p>
    <w:p w14:paraId="5DE38079" w14:textId="432CE376" w:rsidR="000A3617" w:rsidRPr="00065200" w:rsidRDefault="000A3617" w:rsidP="000B497D">
      <w:pPr>
        <w:pStyle w:val="ListParagraph"/>
        <w:numPr>
          <w:ilvl w:val="0"/>
          <w:numId w:val="9"/>
        </w:numPr>
      </w:pPr>
      <w:r w:rsidRPr="00065200">
        <w:t xml:space="preserve">Engineers at the University of New South Wales made world-leading discoveries in quantum computing with the support of the Australian Research Council </w:t>
      </w:r>
      <w:r w:rsidR="00056126">
        <w:t xml:space="preserve">(ARC) </w:t>
      </w:r>
      <w:r w:rsidRPr="00065200">
        <w:t>by creating the first working quantum bit (qubit)</w:t>
      </w:r>
      <w:r w:rsidRPr="00065200">
        <w:rPr>
          <w:rStyle w:val="FootnoteReference"/>
        </w:rPr>
        <w:footnoteReference w:id="29"/>
      </w:r>
      <w:r w:rsidRPr="00065200">
        <w:t xml:space="preserve"> and deve</w:t>
      </w:r>
      <w:r w:rsidR="00A6596F">
        <w:t>loping the first two-qubit gate.</w:t>
      </w:r>
      <w:r w:rsidRPr="00065200">
        <w:rPr>
          <w:rStyle w:val="FootnoteReference"/>
        </w:rPr>
        <w:footnoteReference w:id="30"/>
      </w:r>
      <w:r w:rsidR="00C155A2" w:rsidRPr="00065200">
        <w:t xml:space="preserve"> </w:t>
      </w:r>
    </w:p>
    <w:p w14:paraId="7BC48C80" w14:textId="20E79C0D" w:rsidR="00565BCD" w:rsidRDefault="00403460" w:rsidP="000B497D">
      <w:pPr>
        <w:pStyle w:val="ListParagraph"/>
        <w:numPr>
          <w:ilvl w:val="0"/>
          <w:numId w:val="9"/>
        </w:numPr>
      </w:pPr>
      <w:r w:rsidRPr="00065200">
        <w:t xml:space="preserve">The Department of Foreign Affairs and Trade </w:t>
      </w:r>
      <w:r w:rsidR="000A3617" w:rsidRPr="00065200">
        <w:t>developed a mobile diplomatic post that can be rapidly established during international natural disasters and conflicts.</w:t>
      </w:r>
      <w:r w:rsidR="002001E4" w:rsidRPr="00065200">
        <w:rPr>
          <w:rStyle w:val="FootnoteReference"/>
        </w:rPr>
        <w:footnoteReference w:id="31"/>
      </w:r>
    </w:p>
    <w:p w14:paraId="317F6334" w14:textId="244A82CB" w:rsidR="005A318D" w:rsidRDefault="005A318D" w:rsidP="005A318D">
      <w:pPr>
        <w:pStyle w:val="ListParagraph"/>
        <w:numPr>
          <w:ilvl w:val="0"/>
          <w:numId w:val="9"/>
        </w:numPr>
      </w:pPr>
      <w:r>
        <w:t xml:space="preserve">Australian-sourced </w:t>
      </w:r>
      <w:r w:rsidRPr="000C6299">
        <w:t>low-emission hydrogen</w:t>
      </w:r>
      <w:r>
        <w:t xml:space="preserve"> will be able to fuel vehicles globally</w:t>
      </w:r>
      <w:r w:rsidDel="005A318D">
        <w:t xml:space="preserve"> </w:t>
      </w:r>
      <w:r w:rsidR="00381962">
        <w:t xml:space="preserve">in the future </w:t>
      </w:r>
      <w:r>
        <w:t>through CSIRO’s technological innovation</w:t>
      </w:r>
      <w:r w:rsidR="00381962">
        <w:t>s</w:t>
      </w:r>
      <w:r w:rsidR="00F17CE7">
        <w:t>. These</w:t>
      </w:r>
      <w:r>
        <w:t xml:space="preserve"> </w:t>
      </w:r>
      <w:r w:rsidR="00F17CE7">
        <w:t xml:space="preserve">enable the </w:t>
      </w:r>
      <w:r w:rsidRPr="007F54F3">
        <w:t>stor</w:t>
      </w:r>
      <w:r w:rsidR="00F17CE7">
        <w:t>age of</w:t>
      </w:r>
      <w:r>
        <w:t xml:space="preserve"> hydrogen</w:t>
      </w:r>
      <w:r w:rsidRPr="007F54F3">
        <w:t xml:space="preserve"> </w:t>
      </w:r>
      <w:r w:rsidR="00F17CE7">
        <w:t>as</w:t>
      </w:r>
      <w:r w:rsidRPr="000C6299">
        <w:t xml:space="preserve"> ammonia</w:t>
      </w:r>
      <w:r>
        <w:t xml:space="preserve"> for safe shipping</w:t>
      </w:r>
      <w:r w:rsidR="006369DB">
        <w:t>,</w:t>
      </w:r>
      <w:r>
        <w:t xml:space="preserve"> and conver</w:t>
      </w:r>
      <w:r w:rsidR="00F17CE7">
        <w:t>sion</w:t>
      </w:r>
      <w:r w:rsidRPr="000C6299">
        <w:t xml:space="preserve"> back into hydrogen </w:t>
      </w:r>
      <w:r w:rsidR="006369DB">
        <w:t xml:space="preserve">once </w:t>
      </w:r>
      <w:r>
        <w:t>overseas.</w:t>
      </w:r>
      <w:r>
        <w:rPr>
          <w:rStyle w:val="FootnoteReference"/>
        </w:rPr>
        <w:footnoteReference w:id="32"/>
      </w:r>
    </w:p>
    <w:p w14:paraId="7B0999BC" w14:textId="28D288DC" w:rsidR="00132611" w:rsidRPr="00065200" w:rsidRDefault="00895A85" w:rsidP="00C8500E">
      <w:r w:rsidRPr="00065200">
        <w:lastRenderedPageBreak/>
        <w:t xml:space="preserve">Despite </w:t>
      </w:r>
      <w:r w:rsidR="007736E9">
        <w:t xml:space="preserve">producing </w:t>
      </w:r>
      <w:r w:rsidRPr="00065200">
        <w:t>some high-impact</w:t>
      </w:r>
      <w:r w:rsidR="001E7942" w:rsidRPr="00065200">
        <w:t xml:space="preserve"> outcomes</w:t>
      </w:r>
      <w:r w:rsidR="00132611" w:rsidRPr="00065200">
        <w:t xml:space="preserve">, </w:t>
      </w:r>
      <w:r w:rsidR="007736E9" w:rsidRPr="00065200">
        <w:t xml:space="preserve">internationally comparable metrics </w:t>
      </w:r>
      <w:r w:rsidR="007736E9">
        <w:t xml:space="preserve">suggest that </w:t>
      </w:r>
      <w:r w:rsidR="00132611" w:rsidRPr="00065200">
        <w:t xml:space="preserve">Australia’s ISR system </w:t>
      </w:r>
      <w:r w:rsidR="00986809" w:rsidRPr="00065200">
        <w:t xml:space="preserve">as a whole </w:t>
      </w:r>
      <w:r w:rsidRPr="00065200">
        <w:t>has achieved mixed result</w:t>
      </w:r>
      <w:r w:rsidR="00132611" w:rsidRPr="00065200">
        <w:t>s</w:t>
      </w:r>
      <w:r w:rsidR="00B06E91" w:rsidRPr="00065200">
        <w:t>.</w:t>
      </w:r>
      <w:r w:rsidR="001E7942" w:rsidRPr="00065200">
        <w:t xml:space="preserve"> </w:t>
      </w:r>
      <w:r w:rsidR="00132611" w:rsidRPr="00065200">
        <w:t xml:space="preserve">Based on </w:t>
      </w:r>
      <w:r w:rsidR="00301693">
        <w:t>a</w:t>
      </w:r>
      <w:r w:rsidR="00132611" w:rsidRPr="00065200">
        <w:t xml:space="preserve"> scorecard </w:t>
      </w:r>
      <w:r w:rsidR="00F547FB" w:rsidRPr="00065200">
        <w:t>of the performance of Australia’s ISR system</w:t>
      </w:r>
      <w:r w:rsidR="007736E9">
        <w:t xml:space="preserve"> (</w:t>
      </w:r>
      <w:r w:rsidR="00440DFD" w:rsidRPr="0000436F">
        <w:t xml:space="preserve">Appendix </w:t>
      </w:r>
      <w:r w:rsidR="00440DFD" w:rsidRPr="00F6392F">
        <w:t>H</w:t>
      </w:r>
      <w:r w:rsidR="007736E9" w:rsidRPr="00440DFD">
        <w:t>)</w:t>
      </w:r>
      <w:r w:rsidR="00F547FB" w:rsidRPr="00440DFD">
        <w:t>,</w:t>
      </w:r>
      <w:r w:rsidR="00132611" w:rsidRPr="00065200">
        <w:t xml:space="preserve"> </w:t>
      </w:r>
      <w:r w:rsidR="00132611" w:rsidRPr="00F52069">
        <w:t xml:space="preserve">Australia </w:t>
      </w:r>
      <w:r w:rsidR="005D7FE1" w:rsidRPr="00F52069">
        <w:t>has</w:t>
      </w:r>
      <w:r w:rsidR="00132611" w:rsidRPr="00F52069">
        <w:t xml:space="preserve"> maintained</w:t>
      </w:r>
      <w:r w:rsidR="00986809" w:rsidRPr="00F52069">
        <w:t xml:space="preserve"> its</w:t>
      </w:r>
      <w:r w:rsidR="00132611" w:rsidRPr="00F52069">
        <w:t xml:space="preserve"> position in </w:t>
      </w:r>
      <w:r w:rsidR="00F547FB" w:rsidRPr="00F52069">
        <w:t>established</w:t>
      </w:r>
      <w:r w:rsidR="00132611" w:rsidRPr="00F52069">
        <w:t xml:space="preserve"> areas of strength</w:t>
      </w:r>
      <w:r w:rsidR="00986809" w:rsidRPr="00F52069">
        <w:t xml:space="preserve"> </w:t>
      </w:r>
      <w:r w:rsidR="00F547FB" w:rsidRPr="00F52069">
        <w:t>such as</w:t>
      </w:r>
      <w:r w:rsidR="00132611" w:rsidRPr="00F52069">
        <w:t xml:space="preserve"> </w:t>
      </w:r>
      <w:r w:rsidR="00986809" w:rsidRPr="00F52069">
        <w:t>investment in</w:t>
      </w:r>
      <w:r w:rsidR="00132611" w:rsidRPr="00F52069">
        <w:t xml:space="preserve"> educational institutions and the diffusion of cloud computing technology.</w:t>
      </w:r>
      <w:r w:rsidR="00986809" w:rsidRPr="00F52069">
        <w:t xml:space="preserve"> However these investments </w:t>
      </w:r>
      <w:r w:rsidR="00C8500E" w:rsidRPr="00F52069">
        <w:t>have</w:t>
      </w:r>
      <w:r w:rsidR="00986809" w:rsidRPr="00F52069">
        <w:t xml:space="preserve"> not </w:t>
      </w:r>
      <w:r w:rsidR="00C8500E" w:rsidRPr="00F52069">
        <w:t>been translated</w:t>
      </w:r>
      <w:r w:rsidR="00986809" w:rsidRPr="00F52069">
        <w:t xml:space="preserve"> into improved outcomes in areas such as </w:t>
      </w:r>
      <w:r w:rsidR="00132611" w:rsidRPr="00F52069">
        <w:t xml:space="preserve">total innovation investment, investment in knowledge-based capital and business collaboration on innovation. </w:t>
      </w:r>
      <w:r w:rsidR="00986809" w:rsidRPr="00F52069">
        <w:t xml:space="preserve">Australia appears </w:t>
      </w:r>
      <w:r w:rsidR="00607FCC" w:rsidRPr="00F52069">
        <w:t>to be</w:t>
      </w:r>
      <w:r w:rsidR="00986809" w:rsidRPr="00F52069">
        <w:t xml:space="preserve"> behind or trending against our global competitors in these key metrics. </w:t>
      </w:r>
      <w:r w:rsidR="00132611" w:rsidRPr="00F52069">
        <w:t xml:space="preserve">In addition, </w:t>
      </w:r>
      <w:r w:rsidR="00C8500E" w:rsidRPr="00F52069">
        <w:t>despite the increased revenue and jobs growth associated with</w:t>
      </w:r>
      <w:r w:rsidR="00565BCD" w:rsidRPr="00F52069">
        <w:t xml:space="preserve"> non-R&amp;D innovation</w:t>
      </w:r>
      <w:r w:rsidR="00C8500E" w:rsidRPr="00F52069">
        <w:t>,</w:t>
      </w:r>
      <w:r w:rsidR="00B879F7" w:rsidRPr="00F52069">
        <w:rPr>
          <w:rStyle w:val="FootnoteReference"/>
        </w:rPr>
        <w:footnoteReference w:id="33"/>
      </w:r>
      <w:r w:rsidR="00565BCD" w:rsidRPr="00F52069">
        <w:t xml:space="preserve"> </w:t>
      </w:r>
      <w:r w:rsidR="00237F69" w:rsidRPr="00F52069">
        <w:t>it</w:t>
      </w:r>
      <w:r w:rsidR="00C8500E" w:rsidRPr="00F52069">
        <w:t xml:space="preserve"> </w:t>
      </w:r>
      <w:r w:rsidR="00C94E2C" w:rsidRPr="00F52069">
        <w:t>has</w:t>
      </w:r>
      <w:r w:rsidR="00C8500E" w:rsidRPr="00F52069">
        <w:t xml:space="preserve"> not</w:t>
      </w:r>
      <w:r w:rsidR="00C94E2C" w:rsidRPr="00F52069">
        <w:t xml:space="preserve"> been </w:t>
      </w:r>
      <w:r w:rsidR="00C8500E" w:rsidRPr="00F52069">
        <w:t>a</w:t>
      </w:r>
      <w:r w:rsidR="00C94E2C" w:rsidRPr="00F52069">
        <w:t xml:space="preserve"> focus of Government policy to date. </w:t>
      </w:r>
    </w:p>
    <w:p w14:paraId="6D6E796B" w14:textId="43818999" w:rsidR="00334A33" w:rsidRPr="00065200" w:rsidRDefault="00334A33" w:rsidP="00983F39">
      <w:pPr>
        <w:spacing w:after="160"/>
      </w:pPr>
      <w:r w:rsidRPr="00065200">
        <w:t xml:space="preserve">In February 2019, </w:t>
      </w:r>
      <w:r w:rsidR="001C3302" w:rsidRPr="00065200">
        <w:t xml:space="preserve">the Honourable Karen Andrews MP, Minister for Industry, Science and Technology, </w:t>
      </w:r>
      <w:r w:rsidR="00213F01">
        <w:t xml:space="preserve">requested the Board </w:t>
      </w:r>
      <w:r w:rsidRPr="00065200">
        <w:t>deliver a report on the effectiveness of the Australian Government’s investment in, and system performance of, ISR</w:t>
      </w:r>
      <w:r w:rsidR="004D6F2D" w:rsidRPr="00065200">
        <w:t xml:space="preserve"> including a scorecard</w:t>
      </w:r>
      <w:r w:rsidR="00895A85" w:rsidRPr="00065200">
        <w:t xml:space="preserve"> of the performance of Australia’s ISR system</w:t>
      </w:r>
      <w:r w:rsidRPr="00065200">
        <w:t>.</w:t>
      </w:r>
      <w:r w:rsidRPr="00065200">
        <w:rPr>
          <w:rStyle w:val="FootnoteReference"/>
        </w:rPr>
        <w:footnoteReference w:id="34"/>
      </w:r>
      <w:r w:rsidRPr="00065200">
        <w:rPr>
          <w:rStyle w:val="FootnoteReference"/>
        </w:rPr>
        <w:t xml:space="preserve"> </w:t>
      </w:r>
      <w:r w:rsidRPr="00065200">
        <w:t>Ensuring effective use of Government</w:t>
      </w:r>
      <w:r w:rsidR="009501DF" w:rsidRPr="00065200">
        <w:rPr>
          <w:rStyle w:val="FootnoteReference"/>
        </w:rPr>
        <w:footnoteReference w:id="35"/>
      </w:r>
      <w:r w:rsidRPr="00065200">
        <w:t xml:space="preserve"> investment in ISR is particularly </w:t>
      </w:r>
      <w:r w:rsidR="00A33176" w:rsidRPr="00065200">
        <w:t xml:space="preserve">important </w:t>
      </w:r>
      <w:r w:rsidRPr="00065200">
        <w:t xml:space="preserve">in times of increased </w:t>
      </w:r>
      <w:r w:rsidR="00C541F4">
        <w:t>fiscal</w:t>
      </w:r>
      <w:r w:rsidRPr="00065200">
        <w:t xml:space="preserve"> pressure.</w:t>
      </w:r>
      <w:r w:rsidR="009556A9" w:rsidRPr="00065200">
        <w:rPr>
          <w:rStyle w:val="FootnoteReference"/>
        </w:rPr>
        <w:footnoteReference w:id="36"/>
      </w:r>
      <w:r w:rsidRPr="00065200">
        <w:t xml:space="preserve"> </w:t>
      </w:r>
      <w:r w:rsidR="00757498" w:rsidRPr="00065200">
        <w:t>I</w:t>
      </w:r>
      <w:r w:rsidR="00213F01">
        <w:t>I</w:t>
      </w:r>
      <w:r w:rsidR="00757498" w:rsidRPr="00065200">
        <w:t xml:space="preserve">SA </w:t>
      </w:r>
      <w:r w:rsidR="00895A85" w:rsidRPr="00065200">
        <w:t xml:space="preserve">has </w:t>
      </w:r>
      <w:r w:rsidR="00757498" w:rsidRPr="00065200">
        <w:t>used</w:t>
      </w:r>
      <w:r w:rsidRPr="00065200">
        <w:t xml:space="preserve"> both </w:t>
      </w:r>
      <w:r w:rsidR="009B1BD0" w:rsidRPr="00065200">
        <w:t>quantitative</w:t>
      </w:r>
      <w:r w:rsidRPr="00065200">
        <w:t xml:space="preserve"> and qualitative analyses to assess the effectiveness of </w:t>
      </w:r>
      <w:r w:rsidR="00CA332F">
        <w:t xml:space="preserve">the </w:t>
      </w:r>
      <w:r w:rsidRPr="00065200">
        <w:t>Government’s ISR investment</w:t>
      </w:r>
      <w:r w:rsidR="00757498" w:rsidRPr="00065200">
        <w:t>. Based on the findings from th</w:t>
      </w:r>
      <w:r w:rsidR="00952517">
        <w:t>e</w:t>
      </w:r>
      <w:r w:rsidR="00757498" w:rsidRPr="00065200">
        <w:t>s</w:t>
      </w:r>
      <w:r w:rsidR="00952517">
        <w:t>e</w:t>
      </w:r>
      <w:r w:rsidR="00757498" w:rsidRPr="00065200">
        <w:t xml:space="preserve"> analys</w:t>
      </w:r>
      <w:r w:rsidR="00952517">
        <w:t>e</w:t>
      </w:r>
      <w:r w:rsidR="00757498" w:rsidRPr="00065200">
        <w:t>s, I</w:t>
      </w:r>
      <w:r w:rsidR="00213F01">
        <w:t>I</w:t>
      </w:r>
      <w:r w:rsidR="00757498" w:rsidRPr="00065200">
        <w:t>SA has developed</w:t>
      </w:r>
      <w:r w:rsidR="009C14B3" w:rsidRPr="00065200">
        <w:t xml:space="preserve"> recommend</w:t>
      </w:r>
      <w:r w:rsidR="002B5E0C" w:rsidRPr="00065200">
        <w:t>ed actions</w:t>
      </w:r>
      <w:r w:rsidR="009C14B3" w:rsidRPr="00065200" w:rsidDel="00C72D05">
        <w:t xml:space="preserve"> </w:t>
      </w:r>
      <w:r w:rsidR="00757498" w:rsidRPr="00065200">
        <w:t>to increase</w:t>
      </w:r>
      <w:r w:rsidR="009C14B3" w:rsidRPr="00065200">
        <w:t xml:space="preserve"> the effectiveness of </w:t>
      </w:r>
      <w:r w:rsidR="00B74DE2">
        <w:t>this</w:t>
      </w:r>
      <w:r w:rsidR="009C14B3" w:rsidRPr="00065200">
        <w:t xml:space="preserve"> investment</w:t>
      </w:r>
      <w:r w:rsidRPr="00065200">
        <w:t>.</w:t>
      </w:r>
      <w:r w:rsidRPr="00065200">
        <w:rPr>
          <w:rStyle w:val="FootnoteReference"/>
        </w:rPr>
        <w:footnoteReference w:id="37"/>
      </w:r>
      <w:r w:rsidRPr="00065200">
        <w:t xml:space="preserve"> </w:t>
      </w:r>
    </w:p>
    <w:p w14:paraId="4234F934" w14:textId="5DE9C695" w:rsidR="00CB1EEF" w:rsidRPr="00065200" w:rsidRDefault="00CB1EEF" w:rsidP="00072FCD">
      <w:pPr>
        <w:pStyle w:val="Heading3"/>
      </w:pPr>
      <w:r w:rsidRPr="00065200">
        <w:t xml:space="preserve">Why </w:t>
      </w:r>
      <w:r w:rsidR="00AE3A39" w:rsidRPr="00065200">
        <w:t xml:space="preserve">the </w:t>
      </w:r>
      <w:r w:rsidRPr="00065200">
        <w:t>Government invests in ISR</w:t>
      </w:r>
    </w:p>
    <w:p w14:paraId="05491922" w14:textId="51212452" w:rsidR="005146B0" w:rsidRPr="00065200" w:rsidRDefault="00CE3755" w:rsidP="00893793">
      <w:pPr>
        <w:spacing w:after="0"/>
      </w:pPr>
      <w:r>
        <w:t xml:space="preserve">The </w:t>
      </w:r>
      <w:r w:rsidR="00123918" w:rsidRPr="00065200">
        <w:t>Government</w:t>
      </w:r>
      <w:r w:rsidR="005146B0" w:rsidRPr="00065200">
        <w:t xml:space="preserve"> invest</w:t>
      </w:r>
      <w:r w:rsidR="00123918" w:rsidRPr="00065200">
        <w:t>s</w:t>
      </w:r>
      <w:r w:rsidR="005146B0" w:rsidRPr="00065200">
        <w:t xml:space="preserve"> in ISR for a variety of reasons</w:t>
      </w:r>
      <w:r w:rsidR="00AA4A9F" w:rsidRPr="00065200">
        <w:t xml:space="preserve">, </w:t>
      </w:r>
      <w:r w:rsidR="004F39EB" w:rsidRPr="00065200">
        <w:t>including</w:t>
      </w:r>
      <w:r w:rsidR="00AA4A9F" w:rsidRPr="00065200">
        <w:t xml:space="preserve"> to</w:t>
      </w:r>
      <w:r w:rsidR="004F39EB" w:rsidRPr="00065200">
        <w:t>:</w:t>
      </w:r>
    </w:p>
    <w:p w14:paraId="6055EDA3" w14:textId="77777777" w:rsidR="005146B0" w:rsidRPr="00065200" w:rsidRDefault="005146B0" w:rsidP="000B497D">
      <w:pPr>
        <w:pStyle w:val="ListParagraph"/>
        <w:numPr>
          <w:ilvl w:val="0"/>
          <w:numId w:val="9"/>
        </w:numPr>
      </w:pPr>
      <w:r w:rsidRPr="00065200">
        <w:t xml:space="preserve">Underpin the research base that creates intellectual capital. </w:t>
      </w:r>
    </w:p>
    <w:p w14:paraId="5B8A8092" w14:textId="5BD97F00" w:rsidR="005146B0" w:rsidRPr="00065200" w:rsidRDefault="005146B0" w:rsidP="000B497D">
      <w:pPr>
        <w:pStyle w:val="ListParagraph"/>
        <w:numPr>
          <w:ilvl w:val="0"/>
          <w:numId w:val="9"/>
        </w:numPr>
      </w:pPr>
      <w:r w:rsidRPr="00065200">
        <w:t>Support applied research and the translation or commercialisation of this research to strengthen the economy.</w:t>
      </w:r>
    </w:p>
    <w:p w14:paraId="6B7352A1" w14:textId="3B459FD6" w:rsidR="005146B0" w:rsidRPr="00065200" w:rsidRDefault="005146B0" w:rsidP="000B497D">
      <w:pPr>
        <w:pStyle w:val="ListParagraph"/>
        <w:numPr>
          <w:ilvl w:val="0"/>
          <w:numId w:val="9"/>
        </w:numPr>
      </w:pPr>
      <w:r w:rsidRPr="00065200">
        <w:t xml:space="preserve">Support R&amp;D and </w:t>
      </w:r>
      <w:r w:rsidR="009F3FC8">
        <w:t xml:space="preserve">non-R&amp;D </w:t>
      </w:r>
      <w:r w:rsidRPr="00065200">
        <w:t xml:space="preserve">innovation in the business sector </w:t>
      </w:r>
      <w:r w:rsidR="00CA3C4C" w:rsidRPr="00065200">
        <w:t>to build productivity, increase</w:t>
      </w:r>
      <w:r w:rsidR="0044297D" w:rsidRPr="00065200">
        <w:t xml:space="preserve"> competitiveness</w:t>
      </w:r>
      <w:r w:rsidR="00CA3C4C" w:rsidRPr="00065200">
        <w:t>,</w:t>
      </w:r>
      <w:r w:rsidR="004F7CE0" w:rsidRPr="00065200">
        <w:t xml:space="preserve"> and</w:t>
      </w:r>
      <w:r w:rsidRPr="00065200">
        <w:t xml:space="preserve"> generate jobs and growth.</w:t>
      </w:r>
    </w:p>
    <w:p w14:paraId="4235D26A" w14:textId="2215DFDA" w:rsidR="005146B0" w:rsidRPr="00065200" w:rsidRDefault="005146B0" w:rsidP="000B497D">
      <w:pPr>
        <w:pStyle w:val="ListParagraph"/>
        <w:numPr>
          <w:ilvl w:val="0"/>
          <w:numId w:val="9"/>
        </w:numPr>
      </w:pPr>
      <w:r w:rsidRPr="00065200">
        <w:lastRenderedPageBreak/>
        <w:t>Ensure</w:t>
      </w:r>
      <w:r w:rsidR="004F1470">
        <w:t xml:space="preserve"> </w:t>
      </w:r>
      <w:r w:rsidR="00F64CEF">
        <w:t>the</w:t>
      </w:r>
      <w:r w:rsidRPr="00065200">
        <w:t xml:space="preserve"> Government’s own needs are met, including the development of evidence for robust policymaking, and for defence and national security purposes.</w:t>
      </w:r>
    </w:p>
    <w:p w14:paraId="25D603F3" w14:textId="77777777" w:rsidR="009C0C65" w:rsidRPr="00065200" w:rsidRDefault="005146B0" w:rsidP="000B497D">
      <w:pPr>
        <w:pStyle w:val="ListParagraph"/>
        <w:numPr>
          <w:ilvl w:val="0"/>
          <w:numId w:val="9"/>
        </w:numPr>
      </w:pPr>
      <w:r w:rsidRPr="00065200">
        <w:t>Ensure that Australia has the human capital and physical infrastructure required to deliver on the four objectives above.</w:t>
      </w:r>
      <w:r w:rsidR="00CD5BF9" w:rsidRPr="00065200">
        <w:t xml:space="preserve"> </w:t>
      </w:r>
    </w:p>
    <w:p w14:paraId="1E625A25" w14:textId="7DBF3F2B" w:rsidR="009C0C65" w:rsidRPr="00065200" w:rsidRDefault="00C255AF" w:rsidP="006364B8">
      <w:r>
        <w:t>G</w:t>
      </w:r>
      <w:r w:rsidR="009C0C65" w:rsidRPr="00065200">
        <w:t>overnment</w:t>
      </w:r>
      <w:r>
        <w:t>’s traditional ISR role</w:t>
      </w:r>
      <w:r w:rsidR="009C0C65" w:rsidRPr="00065200">
        <w:t xml:space="preserve"> </w:t>
      </w:r>
      <w:r>
        <w:t>of</w:t>
      </w:r>
      <w:r w:rsidR="009C0C65" w:rsidRPr="00065200">
        <w:t xml:space="preserve"> </w:t>
      </w:r>
      <w:r>
        <w:t>stepping i</w:t>
      </w:r>
      <w:r w:rsidR="009C0C65" w:rsidRPr="00065200">
        <w:t xml:space="preserve">n only to address market failures and asymmetries is being challenged internationally. In the </w:t>
      </w:r>
      <w:r w:rsidR="004F7CE0" w:rsidRPr="00065200">
        <w:t>United Kingdom (</w:t>
      </w:r>
      <w:r w:rsidR="009C0C65" w:rsidRPr="00065200">
        <w:t>UK</w:t>
      </w:r>
      <w:r w:rsidR="004F7CE0" w:rsidRPr="00065200">
        <w:t>)</w:t>
      </w:r>
      <w:r w:rsidR="009C0C65" w:rsidRPr="00065200">
        <w:t xml:space="preserve"> and Europe in particular, there is increasing recognition of the key ‘entrepreneurial’ role government plays in ISR.</w:t>
      </w:r>
      <w:r w:rsidR="00FC2DBD">
        <w:rPr>
          <w:rStyle w:val="FootnoteReference"/>
        </w:rPr>
        <w:footnoteReference w:id="38"/>
      </w:r>
      <w:r w:rsidR="009C0C65" w:rsidRPr="00065200">
        <w:t xml:space="preserve"> </w:t>
      </w:r>
      <w:r w:rsidR="00CD5BF9" w:rsidRPr="00065200">
        <w:t xml:space="preserve">The </w:t>
      </w:r>
      <w:r w:rsidR="00251C92" w:rsidRPr="00065200">
        <w:t>Commonwealth</w:t>
      </w:r>
      <w:r w:rsidR="00CD5BF9" w:rsidRPr="00065200">
        <w:t xml:space="preserve"> Government </w:t>
      </w:r>
      <w:r w:rsidR="00B83E2B" w:rsidRPr="00065200">
        <w:t>could</w:t>
      </w:r>
      <w:r w:rsidR="00CD5BF9" w:rsidRPr="00065200">
        <w:t xml:space="preserve"> </w:t>
      </w:r>
      <w:r w:rsidR="00190123" w:rsidRPr="00065200">
        <w:t>equally</w:t>
      </w:r>
      <w:r w:rsidR="00CD5BF9" w:rsidRPr="00065200">
        <w:t xml:space="preserve"> </w:t>
      </w:r>
      <w:r w:rsidR="00952517">
        <w:t>adopt a key</w:t>
      </w:r>
      <w:r w:rsidR="00CD5BF9" w:rsidRPr="00065200">
        <w:t xml:space="preserve"> </w:t>
      </w:r>
      <w:r w:rsidR="00190123" w:rsidRPr="00065200">
        <w:t xml:space="preserve">entrepreneurial role </w:t>
      </w:r>
      <w:r w:rsidR="00CD5BF9" w:rsidRPr="00065200">
        <w:t xml:space="preserve">to ensure </w:t>
      </w:r>
      <w:r w:rsidR="00190123" w:rsidRPr="00065200">
        <w:t>Australia’s</w:t>
      </w:r>
      <w:r w:rsidR="00CD5BF9" w:rsidRPr="00065200">
        <w:t xml:space="preserve"> long-term prosperity and resilience</w:t>
      </w:r>
      <w:r w:rsidR="00895A85" w:rsidRPr="00065200">
        <w:t xml:space="preserve"> through its </w:t>
      </w:r>
      <w:r w:rsidR="00B83E2B" w:rsidRPr="00065200">
        <w:t>ISR</w:t>
      </w:r>
      <w:r w:rsidR="00895A85" w:rsidRPr="00065200">
        <w:t xml:space="preserve"> investments</w:t>
      </w:r>
      <w:r w:rsidR="00CD5BF9" w:rsidRPr="00065200">
        <w:t>.</w:t>
      </w:r>
    </w:p>
    <w:p w14:paraId="3E290140" w14:textId="1C82CA42" w:rsidR="00086053" w:rsidRPr="00065200" w:rsidRDefault="00D54964" w:rsidP="00072FCD">
      <w:pPr>
        <w:pStyle w:val="Heading3"/>
      </w:pPr>
      <w:r w:rsidRPr="00065200">
        <w:t>Who i</w:t>
      </w:r>
      <w:r w:rsidR="008A6106" w:rsidRPr="00065200">
        <w:t>nvest</w:t>
      </w:r>
      <w:r w:rsidRPr="00065200">
        <w:t>s</w:t>
      </w:r>
      <w:r w:rsidR="00492DA5">
        <w:t xml:space="preserve"> in</w:t>
      </w:r>
      <w:r w:rsidR="008A6106" w:rsidRPr="00065200">
        <w:t xml:space="preserve"> and perform</w:t>
      </w:r>
      <w:r w:rsidRPr="00065200">
        <w:t>s</w:t>
      </w:r>
      <w:r w:rsidR="008A6106" w:rsidRPr="00065200">
        <w:t xml:space="preserve"> </w:t>
      </w:r>
      <w:r w:rsidR="00F06394">
        <w:t>ISR</w:t>
      </w:r>
      <w:r w:rsidR="0032159B" w:rsidRPr="00065200">
        <w:t xml:space="preserve"> in </w:t>
      </w:r>
      <w:r w:rsidR="008A6106" w:rsidRPr="00065200">
        <w:t>Australia</w:t>
      </w:r>
    </w:p>
    <w:p w14:paraId="4621DCDA" w14:textId="367DC58E" w:rsidR="0032159B" w:rsidRPr="00065200" w:rsidRDefault="00D54964" w:rsidP="0032159B">
      <w:r w:rsidRPr="00065200">
        <w:t>Th</w:t>
      </w:r>
      <w:r w:rsidR="0032159B" w:rsidRPr="00065200">
        <w:t xml:space="preserve">e relative ISR </w:t>
      </w:r>
      <w:r w:rsidRPr="00065200">
        <w:t>investment</w:t>
      </w:r>
      <w:r w:rsidR="0032159B" w:rsidRPr="00065200">
        <w:t xml:space="preserve"> contribution from </w:t>
      </w:r>
      <w:r w:rsidR="00382881" w:rsidRPr="00CC4320">
        <w:t>government</w:t>
      </w:r>
      <w:r w:rsidR="00382881">
        <w:t>,</w:t>
      </w:r>
      <w:r w:rsidR="0032159B" w:rsidRPr="00065200">
        <w:t xml:space="preserve"> business, higher education, </w:t>
      </w:r>
      <w:r w:rsidR="00DE3B93" w:rsidRPr="00065200">
        <w:t>publicly funded science and research agencies (</w:t>
      </w:r>
      <w:r w:rsidR="0032159B" w:rsidRPr="00065200">
        <w:t>PFRAs</w:t>
      </w:r>
      <w:r w:rsidR="00DE3B93" w:rsidRPr="00065200">
        <w:t>)</w:t>
      </w:r>
      <w:r w:rsidR="0032159B" w:rsidRPr="00065200">
        <w:t xml:space="preserve">, and not-for-profits </w:t>
      </w:r>
      <w:r w:rsidR="00DE3B93" w:rsidRPr="00065200">
        <w:t>var</w:t>
      </w:r>
      <w:r w:rsidR="00A46D77" w:rsidRPr="00065200">
        <w:t>ies</w:t>
      </w:r>
      <w:r w:rsidR="0032159B" w:rsidRPr="00065200">
        <w:t xml:space="preserve"> greatly between countries. </w:t>
      </w:r>
      <w:r w:rsidR="00CF6F97" w:rsidRPr="00065200">
        <w:t xml:space="preserve">This </w:t>
      </w:r>
      <w:r w:rsidR="0032159B" w:rsidRPr="00065200">
        <w:t>reflect</w:t>
      </w:r>
      <w:r w:rsidR="00CF6F97" w:rsidRPr="00065200">
        <w:t>s</w:t>
      </w:r>
      <w:r w:rsidR="0032159B" w:rsidRPr="00065200">
        <w:t xml:space="preserve"> differences in each country’s national priorities and innovation systems. </w:t>
      </w:r>
      <w:r w:rsidRPr="00065200">
        <w:t xml:space="preserve">For example, </w:t>
      </w:r>
      <w:r w:rsidR="000A003A" w:rsidRPr="00065200">
        <w:t xml:space="preserve">the </w:t>
      </w:r>
      <w:r w:rsidR="0024146C">
        <w:t xml:space="preserve">Canadian </w:t>
      </w:r>
      <w:r w:rsidR="000A003A" w:rsidRPr="00065200">
        <w:t xml:space="preserve">Government directs a </w:t>
      </w:r>
      <w:r w:rsidR="0032159B" w:rsidRPr="00065200">
        <w:t xml:space="preserve">high proportion of </w:t>
      </w:r>
      <w:r w:rsidR="000A003A" w:rsidRPr="00065200">
        <w:t xml:space="preserve">its </w:t>
      </w:r>
      <w:r w:rsidR="0032159B" w:rsidRPr="00065200">
        <w:t>funding to government research organisations</w:t>
      </w:r>
      <w:r w:rsidR="000A003A" w:rsidRPr="00065200">
        <w:t xml:space="preserve"> </w:t>
      </w:r>
      <w:r w:rsidR="0024146C">
        <w:t xml:space="preserve">and </w:t>
      </w:r>
      <w:r w:rsidR="000A003A" w:rsidRPr="00065200">
        <w:t xml:space="preserve">this balance </w:t>
      </w:r>
      <w:r w:rsidR="00604701">
        <w:t xml:space="preserve">is </w:t>
      </w:r>
      <w:r w:rsidR="000A003A" w:rsidRPr="00065200">
        <w:t xml:space="preserve">expected to become </w:t>
      </w:r>
      <w:r w:rsidR="00D53956">
        <w:t xml:space="preserve">even </w:t>
      </w:r>
      <w:r w:rsidR="000A003A" w:rsidRPr="00065200">
        <w:t xml:space="preserve">more apparent as </w:t>
      </w:r>
      <w:r w:rsidR="00D73B57" w:rsidRPr="00065200">
        <w:t xml:space="preserve">R&amp;D </w:t>
      </w:r>
      <w:r w:rsidR="000A003A" w:rsidRPr="00065200">
        <w:t>spending in external sectors is decreased this year</w:t>
      </w:r>
      <w:r w:rsidR="006775B6" w:rsidRPr="00065200">
        <w:t>.</w:t>
      </w:r>
      <w:r w:rsidR="0032159B" w:rsidRPr="00065200">
        <w:rPr>
          <w:rStyle w:val="FootnoteReference"/>
        </w:rPr>
        <w:footnoteReference w:id="39"/>
      </w:r>
      <w:r w:rsidR="0032159B" w:rsidRPr="00065200">
        <w:t xml:space="preserve"> </w:t>
      </w:r>
      <w:r w:rsidR="00922479" w:rsidRPr="00065200">
        <w:t>Conversely, t</w:t>
      </w:r>
      <w:r w:rsidR="0032159B" w:rsidRPr="00065200">
        <w:t xml:space="preserve">he </w:t>
      </w:r>
      <w:r w:rsidR="00A46D77" w:rsidRPr="00065200">
        <w:t xml:space="preserve">UK </w:t>
      </w:r>
      <w:r w:rsidR="00B027C2" w:rsidRPr="00065200">
        <w:t>provides</w:t>
      </w:r>
      <w:r w:rsidR="006775B6" w:rsidRPr="00065200">
        <w:t xml:space="preserve"> </w:t>
      </w:r>
      <w:r w:rsidR="00A46D77" w:rsidRPr="00065200">
        <w:t>a</w:t>
      </w:r>
      <w:r w:rsidR="0032159B" w:rsidRPr="00065200">
        <w:t xml:space="preserve"> high proportion of government</w:t>
      </w:r>
      <w:r w:rsidR="00570840" w:rsidRPr="00065200">
        <w:t xml:space="preserve"> investment</w:t>
      </w:r>
      <w:r w:rsidR="0032159B" w:rsidRPr="00065200">
        <w:t xml:space="preserve"> </w:t>
      </w:r>
      <w:r w:rsidR="00643128" w:rsidRPr="00065200">
        <w:t xml:space="preserve">to </w:t>
      </w:r>
      <w:r w:rsidR="0032770A" w:rsidRPr="00065200">
        <w:t>business</w:t>
      </w:r>
      <w:r w:rsidR="00031123" w:rsidRPr="00065200">
        <w:t xml:space="preserve">. The balance of the UK’s R&amp;D investments is </w:t>
      </w:r>
      <w:r w:rsidR="0032770A" w:rsidRPr="00065200">
        <w:t>currently</w:t>
      </w:r>
      <w:r w:rsidR="00031123" w:rsidRPr="00065200">
        <w:t xml:space="preserve"> being</w:t>
      </w:r>
      <w:r w:rsidR="0032770A" w:rsidRPr="00065200">
        <w:t xml:space="preserve"> review</w:t>
      </w:r>
      <w:r w:rsidR="00031123" w:rsidRPr="00065200">
        <w:t xml:space="preserve">ed, given </w:t>
      </w:r>
      <w:r w:rsidR="0032770A" w:rsidRPr="00065200">
        <w:t xml:space="preserve">its </w:t>
      </w:r>
      <w:r w:rsidR="00383F88" w:rsidRPr="00065200">
        <w:t>target</w:t>
      </w:r>
      <w:r w:rsidR="0032770A" w:rsidRPr="00065200">
        <w:t xml:space="preserve"> </w:t>
      </w:r>
      <w:r w:rsidR="00031123" w:rsidRPr="00065200">
        <w:t>of raising the</w:t>
      </w:r>
      <w:r w:rsidR="00643128" w:rsidRPr="00065200">
        <w:t xml:space="preserve"> total </w:t>
      </w:r>
      <w:r w:rsidR="00383F88" w:rsidRPr="00065200">
        <w:t xml:space="preserve">R&amp;D </w:t>
      </w:r>
      <w:r w:rsidR="00643128" w:rsidRPr="00065200">
        <w:t xml:space="preserve">investment to </w:t>
      </w:r>
      <w:r w:rsidR="00841C48" w:rsidRPr="00065200">
        <w:t>2.4</w:t>
      </w:r>
      <w:r w:rsidR="00205144">
        <w:t> per cent</w:t>
      </w:r>
      <w:r w:rsidR="00841C48" w:rsidRPr="00065200">
        <w:t xml:space="preserve"> of </w:t>
      </w:r>
      <w:r w:rsidR="00FE223E" w:rsidRPr="00065200">
        <w:t>gross domestic product</w:t>
      </w:r>
      <w:r w:rsidR="00841C48" w:rsidRPr="00065200">
        <w:t xml:space="preserve"> </w:t>
      </w:r>
      <w:r w:rsidR="00FE223E" w:rsidRPr="00065200">
        <w:t>(</w:t>
      </w:r>
      <w:r w:rsidR="00841C48" w:rsidRPr="00065200">
        <w:t>GDP</w:t>
      </w:r>
      <w:r w:rsidR="00FE223E" w:rsidRPr="00065200">
        <w:t>)</w:t>
      </w:r>
      <w:r w:rsidR="00841C48" w:rsidRPr="00065200">
        <w:t xml:space="preserve"> </w:t>
      </w:r>
      <w:r w:rsidR="00643128" w:rsidRPr="00065200">
        <w:t>by 2027</w:t>
      </w:r>
      <w:r w:rsidR="00A53E3C" w:rsidRPr="00065200">
        <w:t>.</w:t>
      </w:r>
      <w:r w:rsidR="0032159B" w:rsidRPr="00065200">
        <w:rPr>
          <w:rStyle w:val="FootnoteReference"/>
        </w:rPr>
        <w:footnoteReference w:id="40"/>
      </w:r>
      <w:r w:rsidR="00643128" w:rsidRPr="00065200">
        <w:t xml:space="preserve"> These differen</w:t>
      </w:r>
      <w:r w:rsidR="00D53956">
        <w:t xml:space="preserve">t </w:t>
      </w:r>
      <w:r w:rsidR="007B602B">
        <w:t xml:space="preserve">approaches to Government ISR </w:t>
      </w:r>
      <w:r w:rsidR="00D53956">
        <w:t xml:space="preserve">investment </w:t>
      </w:r>
      <w:r w:rsidR="0032159B" w:rsidRPr="00065200">
        <w:t xml:space="preserve">reflect the social and economic drivers and </w:t>
      </w:r>
      <w:r w:rsidR="002C0485" w:rsidRPr="00065200">
        <w:t xml:space="preserve">priorities </w:t>
      </w:r>
      <w:r w:rsidR="0032159B" w:rsidRPr="00065200">
        <w:t xml:space="preserve">that </w:t>
      </w:r>
      <w:r w:rsidR="00031123" w:rsidRPr="00065200">
        <w:t>are constantly</w:t>
      </w:r>
      <w:r w:rsidR="0032159B" w:rsidRPr="00065200">
        <w:t xml:space="preserve"> shap</w:t>
      </w:r>
      <w:r w:rsidR="00031123" w:rsidRPr="00065200">
        <w:t>ing</w:t>
      </w:r>
      <w:r w:rsidR="0032159B" w:rsidRPr="00065200">
        <w:t xml:space="preserve"> </w:t>
      </w:r>
      <w:r w:rsidR="00221453">
        <w:t xml:space="preserve">national </w:t>
      </w:r>
      <w:r w:rsidR="0032159B" w:rsidRPr="00065200">
        <w:t xml:space="preserve">innovation systems. </w:t>
      </w:r>
    </w:p>
    <w:p w14:paraId="18CCAEC7" w14:textId="2E6EC62D" w:rsidR="00170575" w:rsidRDefault="00941128" w:rsidP="00170575">
      <w:r w:rsidRPr="00065200">
        <w:t xml:space="preserve">Like most countries around the world, the </w:t>
      </w:r>
      <w:r w:rsidR="00251C92" w:rsidRPr="00065200">
        <w:t xml:space="preserve">Commonwealth </w:t>
      </w:r>
      <w:r w:rsidRPr="00065200">
        <w:t xml:space="preserve">Government </w:t>
      </w:r>
      <w:r w:rsidR="00205144">
        <w:t xml:space="preserve">both </w:t>
      </w:r>
      <w:r w:rsidR="001C4286" w:rsidRPr="00065200">
        <w:t>fund</w:t>
      </w:r>
      <w:r w:rsidR="00334A33" w:rsidRPr="00065200">
        <w:t xml:space="preserve">s </w:t>
      </w:r>
      <w:r w:rsidRPr="00065200">
        <w:t xml:space="preserve">and </w:t>
      </w:r>
      <w:r w:rsidR="00334A33" w:rsidRPr="00065200">
        <w:t>performs</w:t>
      </w:r>
      <w:r w:rsidRPr="00065200">
        <w:t xml:space="preserve"> ISR</w:t>
      </w:r>
      <w:r w:rsidR="00D62D05">
        <w:t xml:space="preserve">; however data is most commonly available for the Government’s R&amp;D investments. </w:t>
      </w:r>
      <w:r w:rsidR="006E3FAB" w:rsidRPr="00065200">
        <w:t xml:space="preserve">The Commonwealth Government funds </w:t>
      </w:r>
      <w:r w:rsidR="00D62D05">
        <w:t>R&amp;D</w:t>
      </w:r>
      <w:r w:rsidR="006E3FAB" w:rsidRPr="00065200">
        <w:t xml:space="preserve"> performed </w:t>
      </w:r>
      <w:r w:rsidR="006E3FAB" w:rsidRPr="00CC4320">
        <w:t>by all of the major R&amp;D performing sectors</w:t>
      </w:r>
      <w:r w:rsidR="006E3FAB">
        <w:t>:</w:t>
      </w:r>
      <w:r w:rsidR="006E3FAB" w:rsidRPr="00CC4320">
        <w:t xml:space="preserve"> business, higher education, PFRAs, states and territories, private non-profit and others. Th</w:t>
      </w:r>
      <w:r w:rsidR="006E3FAB">
        <w:t>ese</w:t>
      </w:r>
      <w:r w:rsidR="006E3FAB" w:rsidRPr="00CC4320">
        <w:t xml:space="preserve"> </w:t>
      </w:r>
      <w:r w:rsidR="006E3FAB">
        <w:t>Commonwealth investments are</w:t>
      </w:r>
      <w:r w:rsidR="006E3FAB" w:rsidRPr="00065200">
        <w:t xml:space="preserve"> complemented by </w:t>
      </w:r>
      <w:r w:rsidR="00D62D05">
        <w:t>R&amp;D</w:t>
      </w:r>
      <w:r w:rsidR="006E3FAB" w:rsidRPr="00065200">
        <w:t xml:space="preserve"> fund</w:t>
      </w:r>
      <w:r w:rsidR="006E3FAB">
        <w:t>ing from</w:t>
      </w:r>
      <w:r w:rsidR="006E3FAB" w:rsidRPr="00065200">
        <w:t xml:space="preserve"> other government and non</w:t>
      </w:r>
      <w:r w:rsidR="006E3FAB" w:rsidRPr="00065200">
        <w:noBreakHyphen/>
        <w:t>government entities</w:t>
      </w:r>
      <w:r w:rsidR="00170575">
        <w:t xml:space="preserve"> (</w:t>
      </w:r>
      <w:r w:rsidR="00170575">
        <w:fldChar w:fldCharType="begin"/>
      </w:r>
      <w:r w:rsidR="00170575">
        <w:instrText xml:space="preserve"> REF _Ref40772477 \h </w:instrText>
      </w:r>
      <w:r w:rsidR="00170575">
        <w:fldChar w:fldCharType="separate"/>
      </w:r>
      <w:r w:rsidR="00807393" w:rsidRPr="00065200">
        <w:t xml:space="preserve">Figure </w:t>
      </w:r>
      <w:r w:rsidR="00807393">
        <w:rPr>
          <w:noProof/>
        </w:rPr>
        <w:t>1</w:t>
      </w:r>
      <w:r w:rsidR="00170575">
        <w:fldChar w:fldCharType="end"/>
      </w:r>
      <w:r w:rsidR="00170575">
        <w:t>)</w:t>
      </w:r>
      <w:r w:rsidR="006E3FAB" w:rsidRPr="00065200">
        <w:t>.</w:t>
      </w:r>
      <w:r w:rsidR="00205144">
        <w:t xml:space="preserve"> </w:t>
      </w:r>
      <w:r w:rsidR="00D4005B">
        <w:t>T</w:t>
      </w:r>
      <w:r w:rsidR="00170575">
        <w:t xml:space="preserve">he Commonwealth </w:t>
      </w:r>
      <w:r w:rsidR="00A744B5" w:rsidRPr="0082387C">
        <w:t>performed</w:t>
      </w:r>
      <w:r w:rsidR="00A744B5">
        <w:t xml:space="preserve"> </w:t>
      </w:r>
      <w:r w:rsidR="00170575">
        <w:t>7 per cent of Australia’s total R&amp;D by value, business</w:t>
      </w:r>
      <w:r w:rsidR="00D4005B">
        <w:t xml:space="preserve"> </w:t>
      </w:r>
      <w:r w:rsidR="00170575">
        <w:t xml:space="preserve">performed 53 per cent and higher education </w:t>
      </w:r>
      <w:r w:rsidR="00D4005B">
        <w:t xml:space="preserve">performed </w:t>
      </w:r>
      <w:r w:rsidR="00170575">
        <w:t>34 per cent.</w:t>
      </w:r>
      <w:r w:rsidR="00170575" w:rsidRPr="00065200">
        <w:rPr>
          <w:rStyle w:val="FootnoteReference"/>
        </w:rPr>
        <w:footnoteReference w:id="41"/>
      </w:r>
    </w:p>
    <w:p w14:paraId="4D1065FC" w14:textId="230AE0C8" w:rsidR="003D55E1" w:rsidRPr="00065200" w:rsidRDefault="00205144" w:rsidP="00205144">
      <w:pPr>
        <w:spacing w:before="240"/>
      </w:pPr>
      <w:r>
        <w:lastRenderedPageBreak/>
        <w:fldChar w:fldCharType="begin"/>
      </w:r>
      <w:r>
        <w:instrText xml:space="preserve"> REF _Ref40772477 \h </w:instrText>
      </w:r>
      <w:r>
        <w:fldChar w:fldCharType="separate"/>
      </w:r>
      <w:r w:rsidR="00807393" w:rsidRPr="00065200">
        <w:t xml:space="preserve">Figure </w:t>
      </w:r>
      <w:r w:rsidR="00807393">
        <w:rPr>
          <w:noProof/>
        </w:rPr>
        <w:t>1</w:t>
      </w:r>
      <w:r>
        <w:fldChar w:fldCharType="end"/>
      </w:r>
      <w:r>
        <w:t xml:space="preserve"> </w:t>
      </w:r>
      <w:r w:rsidRPr="00065200">
        <w:t xml:space="preserve">shows that the Commonwealth was the primary funder of R&amp;D performed by the Commonwealth </w:t>
      </w:r>
      <w:r w:rsidR="0024146C">
        <w:t xml:space="preserve">sector </w:t>
      </w:r>
      <w:r w:rsidRPr="00065200">
        <w:t>(87</w:t>
      </w:r>
      <w:r>
        <w:t> per cent</w:t>
      </w:r>
      <w:r w:rsidRPr="00065200">
        <w:t xml:space="preserve">) and </w:t>
      </w:r>
      <w:r w:rsidR="000B6D69">
        <w:t xml:space="preserve">was </w:t>
      </w:r>
      <w:r w:rsidRPr="00065200">
        <w:t xml:space="preserve">a </w:t>
      </w:r>
      <w:r w:rsidRPr="00CC4320">
        <w:t>substantial</w:t>
      </w:r>
      <w:r w:rsidRPr="00065200">
        <w:t xml:space="preserve"> funder of private non-profit </w:t>
      </w:r>
      <w:r>
        <w:t xml:space="preserve">R&amp;D </w:t>
      </w:r>
      <w:r w:rsidRPr="00065200">
        <w:t>(39</w:t>
      </w:r>
      <w:r>
        <w:t> per cent</w:t>
      </w:r>
      <w:r w:rsidRPr="00CC4320">
        <w:t>)</w:t>
      </w:r>
      <w:r>
        <w:t>.</w:t>
      </w:r>
      <w:r w:rsidRPr="00CC4320">
        <w:t xml:space="preserve"> </w:t>
      </w:r>
      <w:r w:rsidR="003D55E1" w:rsidRPr="00065200">
        <w:fldChar w:fldCharType="begin"/>
      </w:r>
      <w:r w:rsidR="003D55E1" w:rsidRPr="00065200">
        <w:instrText xml:space="preserve"> REF _Ref40772477 \h </w:instrText>
      </w:r>
      <w:r w:rsidR="003D55E1" w:rsidRPr="00065200">
        <w:fldChar w:fldCharType="separate"/>
      </w:r>
      <w:r w:rsidR="00807393" w:rsidRPr="00065200">
        <w:t xml:space="preserve">Figure </w:t>
      </w:r>
      <w:r w:rsidR="00807393">
        <w:rPr>
          <w:noProof/>
        </w:rPr>
        <w:t>1</w:t>
      </w:r>
      <w:r w:rsidR="003D55E1" w:rsidRPr="00065200">
        <w:fldChar w:fldCharType="end"/>
      </w:r>
      <w:r w:rsidR="003D55E1" w:rsidRPr="00065200">
        <w:t xml:space="preserve"> </w:t>
      </w:r>
      <w:r>
        <w:t xml:space="preserve">also </w:t>
      </w:r>
      <w:r w:rsidR="003D55E1" w:rsidRPr="00065200">
        <w:t>shows that while 95</w:t>
      </w:r>
      <w:r>
        <w:t> per cent</w:t>
      </w:r>
      <w:r w:rsidR="003D55E1" w:rsidRPr="00065200">
        <w:t xml:space="preserve"> of business performed R&amp;D in 2016–17 was initially funded by business, 16</w:t>
      </w:r>
      <w:r>
        <w:t> per cent</w:t>
      </w:r>
      <w:r w:rsidR="003D55E1" w:rsidRPr="00065200">
        <w:t xml:space="preserve"> of this funding was offset under the R&amp;D Tax Incentive (R&amp;DTI).</w:t>
      </w:r>
      <w:r w:rsidR="003D55E1" w:rsidRPr="00065200">
        <w:rPr>
          <w:rStyle w:val="FootnoteReference"/>
        </w:rPr>
        <w:footnoteReference w:id="42"/>
      </w:r>
      <w:r w:rsidR="003D55E1" w:rsidRPr="00065200">
        <w:t xml:space="preserve"> </w:t>
      </w:r>
    </w:p>
    <w:p w14:paraId="3F5700BD" w14:textId="18D385A1" w:rsidR="004C15F2" w:rsidRPr="00065200" w:rsidRDefault="002201DB" w:rsidP="00CC4ADE">
      <w:pPr>
        <w:keepNext/>
        <w:keepLines/>
        <w:spacing w:line="240" w:lineRule="auto"/>
        <w:jc w:val="center"/>
      </w:pPr>
      <w:r>
        <w:rPr>
          <w:noProof/>
          <w:lang w:eastAsia="en-AU"/>
        </w:rPr>
        <w:drawing>
          <wp:inline distT="0" distB="0" distL="0" distR="0" wp14:anchorId="05B99DA4" wp14:editId="1C72DEE8">
            <wp:extent cx="4501533" cy="4240190"/>
            <wp:effectExtent l="0" t="0" r="0" b="8255"/>
            <wp:docPr id="3" name="Picture 3" descr="Sources of funding for Australian performed R&amp;D in 2016-17 including overseas, business (53%), Commonwealth (7%), private non-profit (3%), higher education (34%), state and local government (3%) and other Australian." title="Source of funding for Australian performed R&amp;D,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7809" cy="4255521"/>
                    </a:xfrm>
                    <a:prstGeom prst="rect">
                      <a:avLst/>
                    </a:prstGeom>
                    <a:noFill/>
                  </pic:spPr>
                </pic:pic>
              </a:graphicData>
            </a:graphic>
          </wp:inline>
        </w:drawing>
      </w:r>
    </w:p>
    <w:p w14:paraId="07C420D0" w14:textId="77777777" w:rsidR="00A276C8" w:rsidRPr="00065200" w:rsidRDefault="004C15F2" w:rsidP="009A78A2">
      <w:pPr>
        <w:pStyle w:val="Caption"/>
        <w:keepLines/>
      </w:pPr>
      <w:bookmarkStart w:id="150" w:name="_Ref40772477"/>
      <w:bookmarkStart w:id="151" w:name="_Ref43910565"/>
      <w:r w:rsidRPr="00065200">
        <w:t xml:space="preserve">Figure </w:t>
      </w:r>
      <w:r w:rsidRPr="00065200">
        <w:fldChar w:fldCharType="begin"/>
      </w:r>
      <w:r w:rsidRPr="00065200">
        <w:instrText xml:space="preserve"> SEQ Figure \* ARABIC </w:instrText>
      </w:r>
      <w:r w:rsidRPr="00065200">
        <w:fldChar w:fldCharType="separate"/>
      </w:r>
      <w:r w:rsidR="00807393">
        <w:rPr>
          <w:noProof/>
        </w:rPr>
        <w:t>1</w:t>
      </w:r>
      <w:r w:rsidRPr="00065200">
        <w:fldChar w:fldCharType="end"/>
      </w:r>
      <w:bookmarkEnd w:id="150"/>
      <w:r w:rsidRPr="00065200">
        <w:t xml:space="preserve"> Source of funding for Australian performed R&amp;D</w:t>
      </w:r>
      <w:r w:rsidR="0046733F" w:rsidRPr="00065200">
        <w:t>, 2016</w:t>
      </w:r>
      <w:r w:rsidR="00347F57" w:rsidRPr="00065200">
        <w:t>–</w:t>
      </w:r>
      <w:r w:rsidR="0046733F" w:rsidRPr="00065200">
        <w:t>17</w:t>
      </w:r>
      <w:r w:rsidR="00C546EC" w:rsidRPr="00065200">
        <w:rPr>
          <w:rStyle w:val="FootnoteReference"/>
        </w:rPr>
        <w:footnoteReference w:id="43"/>
      </w:r>
      <w:bookmarkEnd w:id="151"/>
    </w:p>
    <w:p w14:paraId="0A2B905A" w14:textId="3B46148E" w:rsidR="0046733F" w:rsidRDefault="00E57AB6" w:rsidP="00A865E0">
      <w:pPr>
        <w:spacing w:before="240"/>
      </w:pPr>
      <w:r>
        <w:lastRenderedPageBreak/>
        <w:t xml:space="preserve">As shown in </w:t>
      </w:r>
      <w:r w:rsidRPr="00CC4320">
        <w:fldChar w:fldCharType="begin"/>
      </w:r>
      <w:r w:rsidRPr="00CC4320">
        <w:instrText xml:space="preserve"> REF _Ref40772477 \h  \* MERGEFORMAT </w:instrText>
      </w:r>
      <w:r w:rsidRPr="00CC4320">
        <w:fldChar w:fldCharType="separate"/>
      </w:r>
      <w:r w:rsidR="00807393" w:rsidRPr="00065200">
        <w:t xml:space="preserve">Figure </w:t>
      </w:r>
      <w:r w:rsidR="00807393">
        <w:t>1</w:t>
      </w:r>
      <w:r w:rsidRPr="00CC4320">
        <w:fldChar w:fldCharType="end"/>
      </w:r>
      <w:r>
        <w:t xml:space="preserve">, </w:t>
      </w:r>
      <w:r w:rsidR="00296CD8">
        <w:t>G</w:t>
      </w:r>
      <w:r w:rsidR="009F3FC8">
        <w:t xml:space="preserve">eneral </w:t>
      </w:r>
      <w:r w:rsidR="00296CD8">
        <w:t>U</w:t>
      </w:r>
      <w:r w:rsidR="009F3FC8">
        <w:t xml:space="preserve">niversity </w:t>
      </w:r>
      <w:r w:rsidR="00296CD8">
        <w:t>F</w:t>
      </w:r>
      <w:r w:rsidR="00364B54" w:rsidRPr="00CC4320">
        <w:t>und</w:t>
      </w:r>
      <w:r w:rsidR="00C132FA" w:rsidRPr="00CC4320">
        <w:t>s</w:t>
      </w:r>
      <w:r w:rsidR="00364B54" w:rsidRPr="00CC4320">
        <w:t xml:space="preserve"> </w:t>
      </w:r>
      <w:r w:rsidR="009F3FC8">
        <w:t>(GUF) account</w:t>
      </w:r>
      <w:r w:rsidR="005A2518">
        <w:t>ed</w:t>
      </w:r>
      <w:r w:rsidR="009F3FC8">
        <w:t xml:space="preserve"> for </w:t>
      </w:r>
      <w:r w:rsidR="00364B54" w:rsidRPr="00CC4320">
        <w:t>56</w:t>
      </w:r>
      <w:r w:rsidR="00205144">
        <w:t> per cent</w:t>
      </w:r>
      <w:r w:rsidR="00364B54" w:rsidRPr="00CC4320">
        <w:t xml:space="preserve"> of higher education R&amp;D expenditure</w:t>
      </w:r>
      <w:r w:rsidR="00D15240" w:rsidRPr="00CC4320">
        <w:t xml:space="preserve">. </w:t>
      </w:r>
      <w:r w:rsidR="009F3FC8">
        <w:t>GUF</w:t>
      </w:r>
      <w:r w:rsidR="009F3FC8" w:rsidRPr="00CC4320">
        <w:t xml:space="preserve"> represents university fu</w:t>
      </w:r>
      <w:r w:rsidR="009F3FC8">
        <w:t xml:space="preserve">nds </w:t>
      </w:r>
      <w:r w:rsidR="00887296">
        <w:t>used for</w:t>
      </w:r>
      <w:r w:rsidR="009F3FC8">
        <w:t xml:space="preserve"> R&amp;D, a</w:t>
      </w:r>
      <w:r w:rsidR="009F3FC8" w:rsidRPr="00CC4320">
        <w:t xml:space="preserve"> </w:t>
      </w:r>
      <w:r w:rsidR="009F3FC8">
        <w:t xml:space="preserve">significant </w:t>
      </w:r>
      <w:r w:rsidR="009F3FC8" w:rsidRPr="00CC4320">
        <w:t>portion of</w:t>
      </w:r>
      <w:r w:rsidR="009F3FC8">
        <w:t xml:space="preserve"> which is from</w:t>
      </w:r>
      <w:r w:rsidR="009F3FC8" w:rsidRPr="00CC4320">
        <w:t xml:space="preserve"> international student fees.</w:t>
      </w:r>
      <w:r w:rsidR="009F3FC8">
        <w:rPr>
          <w:rStyle w:val="FootnoteReference"/>
        </w:rPr>
        <w:footnoteReference w:id="44"/>
      </w:r>
      <w:r w:rsidR="009F3FC8">
        <w:t xml:space="preserve"> </w:t>
      </w:r>
      <w:r w:rsidR="00296CD8">
        <w:t>GUF</w:t>
      </w:r>
      <w:r w:rsidR="00BB7E75" w:rsidRPr="00CC4320">
        <w:t xml:space="preserve"> </w:t>
      </w:r>
      <w:r w:rsidR="00261CD7" w:rsidRPr="00CC4320">
        <w:t xml:space="preserve">includes </w:t>
      </w:r>
      <w:r w:rsidR="007B0E48" w:rsidRPr="00CC4320">
        <w:t>both</w:t>
      </w:r>
      <w:r w:rsidR="00364B54" w:rsidRPr="00CC4320">
        <w:t xml:space="preserve"> </w:t>
      </w:r>
      <w:r w:rsidR="00261CD7" w:rsidRPr="00CC4320">
        <w:t>Commonwealth</w:t>
      </w:r>
      <w:r w:rsidR="00BB7E75" w:rsidRPr="00CC4320">
        <w:t xml:space="preserve"> </w:t>
      </w:r>
      <w:r w:rsidR="007B0E48" w:rsidRPr="00CC4320">
        <w:t>and non</w:t>
      </w:r>
      <w:r w:rsidR="006E3FAB">
        <w:noBreakHyphen/>
      </w:r>
      <w:r w:rsidR="007B0E48" w:rsidRPr="00CC4320">
        <w:t xml:space="preserve">Commonwealth sources of </w:t>
      </w:r>
      <w:r w:rsidR="00BB7E75" w:rsidRPr="00CC4320">
        <w:t>funding</w:t>
      </w:r>
      <w:r w:rsidR="00D15240" w:rsidRPr="00CC4320">
        <w:t>, which</w:t>
      </w:r>
      <w:r w:rsidR="00BB7E75" w:rsidRPr="00CC4320">
        <w:t xml:space="preserve"> </w:t>
      </w:r>
      <w:r w:rsidR="00513126" w:rsidRPr="00CC4320">
        <w:t>could not</w:t>
      </w:r>
      <w:r w:rsidR="00BB7E75" w:rsidRPr="00CC4320">
        <w:t xml:space="preserve"> be </w:t>
      </w:r>
      <w:r w:rsidR="007B0E48" w:rsidRPr="00CC4320">
        <w:t>separated</w:t>
      </w:r>
      <w:r w:rsidR="00BB7E75" w:rsidRPr="00CC4320">
        <w:t xml:space="preserve"> due to limitations in data granularity</w:t>
      </w:r>
      <w:r w:rsidR="00261CD7" w:rsidRPr="00CC4320">
        <w:t>.</w:t>
      </w:r>
      <w:r w:rsidR="009F3FC8" w:rsidRPr="00CC4320">
        <w:rPr>
          <w:rStyle w:val="FootnoteReference"/>
        </w:rPr>
        <w:footnoteReference w:id="45"/>
      </w:r>
      <w:r w:rsidR="00261CD7" w:rsidRPr="00CC4320">
        <w:t xml:space="preserve"> </w:t>
      </w:r>
      <w:r w:rsidR="009F3FC8" w:rsidRPr="00CC4320">
        <w:t xml:space="preserve">It should </w:t>
      </w:r>
      <w:r w:rsidR="005A2518">
        <w:t>also</w:t>
      </w:r>
      <w:r w:rsidR="00D735F1" w:rsidRPr="00CC4320">
        <w:t xml:space="preserve"> be noted that</w:t>
      </w:r>
      <w:r w:rsidR="00513126" w:rsidRPr="00CC4320">
        <w:t xml:space="preserve"> </w:t>
      </w:r>
      <w:r>
        <w:t xml:space="preserve">the </w:t>
      </w:r>
      <w:r w:rsidR="00364B54" w:rsidRPr="00CC4320">
        <w:t xml:space="preserve">total </w:t>
      </w:r>
      <w:r w:rsidR="00BB7E75" w:rsidRPr="00CC4320">
        <w:t xml:space="preserve">Commonwealth funding of higher education performed R&amp;D </w:t>
      </w:r>
      <w:r w:rsidR="00364B54" w:rsidRPr="00CC4320">
        <w:t xml:space="preserve">in 2016 </w:t>
      </w:r>
      <w:r w:rsidR="00296CD8">
        <w:t>is likely to</w:t>
      </w:r>
      <w:r w:rsidR="00364B54" w:rsidRPr="00CC4320">
        <w:t xml:space="preserve"> </w:t>
      </w:r>
      <w:r w:rsidR="00D15240" w:rsidRPr="00CC4320">
        <w:t>be</w:t>
      </w:r>
      <w:r w:rsidR="00BB7E75" w:rsidRPr="00CC4320">
        <w:t xml:space="preserve"> greater than </w:t>
      </w:r>
      <w:r w:rsidR="00946DE7">
        <w:t xml:space="preserve">the </w:t>
      </w:r>
      <w:r w:rsidR="00BB7E75" w:rsidRPr="00CC4320">
        <w:t>29</w:t>
      </w:r>
      <w:r w:rsidR="00205144">
        <w:t> per cent</w:t>
      </w:r>
      <w:r w:rsidR="00080308">
        <w:t xml:space="preserve"> represent</w:t>
      </w:r>
      <w:r>
        <w:t>ed</w:t>
      </w:r>
      <w:r w:rsidR="00080308">
        <w:t xml:space="preserve"> in </w:t>
      </w:r>
      <w:r w:rsidR="00080308" w:rsidRPr="00CC4320">
        <w:fldChar w:fldCharType="begin"/>
      </w:r>
      <w:r w:rsidR="00080308" w:rsidRPr="00CC4320">
        <w:instrText xml:space="preserve"> REF _Ref40772477 \h  \* MERGEFORMAT </w:instrText>
      </w:r>
      <w:r w:rsidR="00080308" w:rsidRPr="00CC4320">
        <w:fldChar w:fldCharType="separate"/>
      </w:r>
      <w:r w:rsidR="00807393" w:rsidRPr="00065200">
        <w:t xml:space="preserve">Figure </w:t>
      </w:r>
      <w:r w:rsidR="00807393">
        <w:t>1</w:t>
      </w:r>
      <w:r w:rsidR="00080308" w:rsidRPr="00CC4320">
        <w:fldChar w:fldCharType="end"/>
      </w:r>
      <w:r w:rsidR="00BB7E75" w:rsidRPr="00CC4320">
        <w:t xml:space="preserve">, </w:t>
      </w:r>
      <w:r w:rsidR="00080308">
        <w:t>as</w:t>
      </w:r>
      <w:r w:rsidR="00296CD8">
        <w:t xml:space="preserve"> a portion of </w:t>
      </w:r>
      <w:r w:rsidR="00D15240" w:rsidRPr="00CC4320">
        <w:t xml:space="preserve">Commonwealth funding </w:t>
      </w:r>
      <w:r w:rsidR="00080308">
        <w:t>is</w:t>
      </w:r>
      <w:r w:rsidR="00D15240" w:rsidRPr="00CC4320">
        <w:t xml:space="preserve"> </w:t>
      </w:r>
      <w:r w:rsidR="000F0C29">
        <w:t>also</w:t>
      </w:r>
      <w:r w:rsidR="00296CD8">
        <w:t xml:space="preserve"> </w:t>
      </w:r>
      <w:r w:rsidR="00D15240" w:rsidRPr="00CC4320">
        <w:t xml:space="preserve">included in </w:t>
      </w:r>
      <w:r w:rsidR="00296CD8">
        <w:t>GUF.</w:t>
      </w:r>
    </w:p>
    <w:p w14:paraId="444D766E" w14:textId="77777777" w:rsidR="00F5388F" w:rsidRPr="00065200" w:rsidRDefault="005B4DA9" w:rsidP="00072FCD">
      <w:pPr>
        <w:pStyle w:val="Heading3"/>
      </w:pPr>
      <w:r w:rsidRPr="00065200">
        <w:t xml:space="preserve">A snapshot of the </w:t>
      </w:r>
      <w:r w:rsidR="006E234A" w:rsidRPr="00065200">
        <w:t>Commonwealth</w:t>
      </w:r>
      <w:r w:rsidR="009D5BB9" w:rsidRPr="00065200">
        <w:t xml:space="preserve"> Government</w:t>
      </w:r>
      <w:r w:rsidR="00D07296" w:rsidRPr="00065200">
        <w:t xml:space="preserve"> invest</w:t>
      </w:r>
      <w:r w:rsidR="009D5BB9" w:rsidRPr="00065200">
        <w:t>ment</w:t>
      </w:r>
      <w:r w:rsidR="00D07296" w:rsidRPr="00065200">
        <w:t xml:space="preserve"> in ISR</w:t>
      </w:r>
    </w:p>
    <w:p w14:paraId="558E7E0B" w14:textId="1892859E" w:rsidR="00565A14" w:rsidRPr="00065200" w:rsidRDefault="00AA654B" w:rsidP="000A7C6C">
      <w:r w:rsidRPr="00065200">
        <w:t xml:space="preserve">The </w:t>
      </w:r>
      <w:r w:rsidR="00251C92" w:rsidRPr="00065200">
        <w:t>Commonwealth</w:t>
      </w:r>
      <w:r w:rsidR="00855899" w:rsidRPr="00065200">
        <w:t xml:space="preserve"> </w:t>
      </w:r>
      <w:r w:rsidRPr="00065200">
        <w:t>Government’s science, research and innovation (SRI) Budget Tables show that</w:t>
      </w:r>
      <w:r w:rsidR="00C50413" w:rsidRPr="00065200">
        <w:t>,</w:t>
      </w:r>
      <w:r w:rsidRPr="00065200">
        <w:t xml:space="preserve"> </w:t>
      </w:r>
      <w:r w:rsidR="00C50413" w:rsidRPr="00065200">
        <w:t xml:space="preserve">at </w:t>
      </w:r>
      <w:r w:rsidRPr="00065200">
        <w:t xml:space="preserve">the </w:t>
      </w:r>
      <w:r w:rsidR="00C50413" w:rsidRPr="00065200">
        <w:t xml:space="preserve">time of writing, </w:t>
      </w:r>
      <w:r w:rsidR="007F0287" w:rsidRPr="00065200">
        <w:t xml:space="preserve">the </w:t>
      </w:r>
      <w:r w:rsidRPr="00065200">
        <w:t xml:space="preserve">Government’s total ISR </w:t>
      </w:r>
      <w:r w:rsidR="009E4715" w:rsidRPr="00065200">
        <w:t xml:space="preserve">investment </w:t>
      </w:r>
      <w:r w:rsidR="00EF05A6" w:rsidRPr="00065200">
        <w:t>in 2019</w:t>
      </w:r>
      <w:r w:rsidR="005D5DB0" w:rsidRPr="00065200">
        <w:t>–</w:t>
      </w:r>
      <w:r w:rsidR="00EF05A6" w:rsidRPr="00065200">
        <w:t xml:space="preserve">20 </w:t>
      </w:r>
      <w:r w:rsidR="009E4715" w:rsidRPr="00065200">
        <w:t>wa</w:t>
      </w:r>
      <w:r w:rsidRPr="00065200">
        <w:t>s estimated to be $10.1 billion,</w:t>
      </w:r>
      <w:r w:rsidRPr="00065200">
        <w:rPr>
          <w:rStyle w:val="FootnoteReference"/>
        </w:rPr>
        <w:footnoteReference w:id="46"/>
      </w:r>
      <w:r w:rsidRPr="00065200">
        <w:t xml:space="preserve"> </w:t>
      </w:r>
      <w:r w:rsidR="00855899" w:rsidRPr="00065200">
        <w:t>or 0.5</w:t>
      </w:r>
      <w:r w:rsidR="00D31EF9" w:rsidRPr="00065200">
        <w:t>1</w:t>
      </w:r>
      <w:r w:rsidR="00205144">
        <w:t> per cent</w:t>
      </w:r>
      <w:r w:rsidR="00855899" w:rsidRPr="00065200">
        <w:t xml:space="preserve"> o</w:t>
      </w:r>
      <w:r w:rsidR="00FE223E" w:rsidRPr="00065200">
        <w:t>f GDP</w:t>
      </w:r>
      <w:r w:rsidR="009E4715" w:rsidRPr="00065200">
        <w:t>.</w:t>
      </w:r>
    </w:p>
    <w:p w14:paraId="612AA7EF" w14:textId="09E5CFA7" w:rsidR="00B142BF" w:rsidRPr="00065200" w:rsidRDefault="00B142BF" w:rsidP="00B142BF">
      <w:r w:rsidRPr="00065200">
        <w:fldChar w:fldCharType="begin"/>
      </w:r>
      <w:r w:rsidRPr="00065200">
        <w:instrText xml:space="preserve"> REF _Ref43716098 \h </w:instrText>
      </w:r>
      <w:r w:rsidRPr="00065200">
        <w:fldChar w:fldCharType="separate"/>
      </w:r>
      <w:r w:rsidR="00807393" w:rsidRPr="00065200">
        <w:t xml:space="preserve">Figure </w:t>
      </w:r>
      <w:r w:rsidR="00807393">
        <w:rPr>
          <w:noProof/>
        </w:rPr>
        <w:t>2</w:t>
      </w:r>
      <w:r w:rsidRPr="00065200">
        <w:fldChar w:fldCharType="end"/>
      </w:r>
      <w:r w:rsidR="00F51FEF">
        <w:t xml:space="preserve"> </w:t>
      </w:r>
      <w:r w:rsidR="002D4442">
        <w:t>shows that, in 2019</w:t>
      </w:r>
      <w:r w:rsidR="002D4442">
        <w:rPr>
          <w:rFonts w:ascii="Calibri" w:hAnsi="Calibri" w:cs="Calibri"/>
        </w:rPr>
        <w:t>–</w:t>
      </w:r>
      <w:r w:rsidRPr="00065200">
        <w:t>20, just over a quarter (28</w:t>
      </w:r>
      <w:r w:rsidR="00205144">
        <w:t> per cent</w:t>
      </w:r>
      <w:r w:rsidRPr="00065200">
        <w:t>) of the total Commonwealth</w:t>
      </w:r>
      <w:r w:rsidR="00437340">
        <w:t> </w:t>
      </w:r>
      <w:r w:rsidRPr="00065200">
        <w:t>Government ISR investment was dedicated to the socioeconomic objective</w:t>
      </w:r>
      <w:r w:rsidR="00C8522D" w:rsidRPr="00065200">
        <w:rPr>
          <w:rStyle w:val="FootnoteReference"/>
        </w:rPr>
        <w:footnoteReference w:id="47"/>
      </w:r>
      <w:r w:rsidRPr="00065200">
        <w:t xml:space="preserve"> of general advancement of knowledge. </w:t>
      </w:r>
      <w:r w:rsidR="00F614E1" w:rsidRPr="00CC4320">
        <w:t>Most of this</w:t>
      </w:r>
      <w:r w:rsidR="00F614E1">
        <w:t xml:space="preserve"> </w:t>
      </w:r>
      <w:r w:rsidR="0074332B" w:rsidRPr="00CC4320">
        <w:t>investment is in</w:t>
      </w:r>
      <w:r w:rsidR="00F614E1" w:rsidRPr="00CC4320">
        <w:t xml:space="preserve"> </w:t>
      </w:r>
      <w:r w:rsidR="0074332B" w:rsidRPr="00CC4320">
        <w:t xml:space="preserve">early stage </w:t>
      </w:r>
      <w:r w:rsidR="00F614E1" w:rsidRPr="00CC4320">
        <w:t xml:space="preserve">basic research and related </w:t>
      </w:r>
      <w:r w:rsidR="0074332B" w:rsidRPr="00CC4320">
        <w:t>support programs which are difficult to assign to a specific outcome</w:t>
      </w:r>
      <w:r w:rsidR="00F614E1" w:rsidRPr="00CC4320">
        <w:t xml:space="preserve">. </w:t>
      </w:r>
      <w:r w:rsidRPr="00065200">
        <w:t xml:space="preserve">The remainder of the Government’s ISR investment, a little less than three quarters, </w:t>
      </w:r>
      <w:r w:rsidR="00A62B34">
        <w:t xml:space="preserve">is </w:t>
      </w:r>
      <w:r w:rsidR="00C8522D">
        <w:t>allocated</w:t>
      </w:r>
      <w:r w:rsidRPr="00065200">
        <w:t xml:space="preserve"> to </w:t>
      </w:r>
      <w:r w:rsidR="00C8522D">
        <w:t xml:space="preserve">specific </w:t>
      </w:r>
      <w:r w:rsidRPr="00065200">
        <w:t xml:space="preserve">outcomes, with the </w:t>
      </w:r>
      <w:r w:rsidR="002B1722">
        <w:t>highest proportion for</w:t>
      </w:r>
      <w:r w:rsidRPr="00065200">
        <w:t xml:space="preserve"> industrial production and technology (18</w:t>
      </w:r>
      <w:r w:rsidR="00205144">
        <w:t> per cent</w:t>
      </w:r>
      <w:r w:rsidRPr="00065200">
        <w:t>) and health (17</w:t>
      </w:r>
      <w:r w:rsidR="00205144">
        <w:t> per cent</w:t>
      </w:r>
      <w:r w:rsidRPr="00065200">
        <w:t>).</w:t>
      </w:r>
    </w:p>
    <w:p w14:paraId="56CDEFEC" w14:textId="77777777" w:rsidR="00565A14" w:rsidRPr="00065200" w:rsidRDefault="00565A14" w:rsidP="000A7C6C">
      <w:pPr>
        <w:sectPr w:rsidR="00565A14" w:rsidRPr="00065200" w:rsidSect="0076331D">
          <w:pgSz w:w="11907" w:h="16839" w:code="9"/>
          <w:pgMar w:top="1418" w:right="1418" w:bottom="1418" w:left="1418" w:header="850" w:footer="720" w:gutter="0"/>
          <w:cols w:space="720"/>
          <w:docGrid w:linePitch="360"/>
        </w:sectPr>
      </w:pPr>
    </w:p>
    <w:p w14:paraId="20F6D6CC" w14:textId="66F16C65" w:rsidR="00565A14" w:rsidRPr="00065200" w:rsidRDefault="004D5EE4" w:rsidP="00565A14">
      <w:pPr>
        <w:keepNext/>
        <w:spacing w:after="0"/>
        <w:jc w:val="center"/>
      </w:pPr>
      <w:r>
        <w:rPr>
          <w:noProof/>
          <w:lang w:eastAsia="en-AU"/>
        </w:rPr>
        <w:lastRenderedPageBreak/>
        <w:drawing>
          <wp:inline distT="0" distB="0" distL="0" distR="0" wp14:anchorId="11A7C8CD" wp14:editId="1AE39895">
            <wp:extent cx="7798208" cy="4842648"/>
            <wp:effectExtent l="0" t="0" r="0" b="0"/>
            <wp:docPr id="14" name="Picture 14" descr="In 2019–20, 28% of the total Commonwealth Government ISR investment was dedicated to the socioeconomic objective of general advancement of knowledge. Most of this investment is in early stage basic research and related support programs which are difficult to assign to a specific outcome. The remainder of the Government’s ISR investment, a little less than three quarters, is allocated to specific outcomes, with the highest proportion for industrial production and technology (18%) and health (17%)." title="The Government’s current $10.1 billion ISR investment achieves a range of different socioeconomic objectives,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14708" cy="4852894"/>
                    </a:xfrm>
                    <a:prstGeom prst="rect">
                      <a:avLst/>
                    </a:prstGeom>
                    <a:noFill/>
                  </pic:spPr>
                </pic:pic>
              </a:graphicData>
            </a:graphic>
          </wp:inline>
        </w:drawing>
      </w:r>
    </w:p>
    <w:p w14:paraId="1E1F7D3B" w14:textId="66D52118" w:rsidR="00565A14" w:rsidRPr="00065200" w:rsidRDefault="00565A14" w:rsidP="002B4A29">
      <w:pPr>
        <w:pStyle w:val="Caption"/>
        <w:spacing w:after="0"/>
        <w:sectPr w:rsidR="00565A14" w:rsidRPr="00065200" w:rsidSect="002B4A29">
          <w:headerReference w:type="even" r:id="rId23"/>
          <w:headerReference w:type="default" r:id="rId24"/>
          <w:footerReference w:type="even" r:id="rId25"/>
          <w:headerReference w:type="first" r:id="rId26"/>
          <w:pgSz w:w="16839" w:h="11907" w:orient="landscape" w:code="9"/>
          <w:pgMar w:top="1021" w:right="1021" w:bottom="1021" w:left="1021" w:header="624" w:footer="624" w:gutter="0"/>
          <w:cols w:space="720"/>
          <w:docGrid w:linePitch="360"/>
        </w:sectPr>
      </w:pPr>
      <w:bookmarkStart w:id="152" w:name="_Ref43716098"/>
      <w:r w:rsidRPr="00065200">
        <w:t xml:space="preserve">Figure </w:t>
      </w:r>
      <w:r w:rsidRPr="00065200">
        <w:fldChar w:fldCharType="begin"/>
      </w:r>
      <w:r w:rsidRPr="00065200">
        <w:instrText xml:space="preserve"> SEQ Figure \* ARABIC </w:instrText>
      </w:r>
      <w:r w:rsidRPr="00065200">
        <w:fldChar w:fldCharType="separate"/>
      </w:r>
      <w:r w:rsidR="00807393">
        <w:rPr>
          <w:noProof/>
        </w:rPr>
        <w:t>2</w:t>
      </w:r>
      <w:r w:rsidRPr="00065200">
        <w:fldChar w:fldCharType="end"/>
      </w:r>
      <w:bookmarkEnd w:id="152"/>
      <w:r w:rsidRPr="00065200">
        <w:t xml:space="preserve"> The Government’s current $10.1 billion ISR investment achieves a range of different socioeconomic objectives</w:t>
      </w:r>
      <w:r w:rsidR="002D4442">
        <w:t>, 2019</w:t>
      </w:r>
      <w:r w:rsidR="002D4442" w:rsidRPr="00065200">
        <w:t>–</w:t>
      </w:r>
      <w:r w:rsidR="002D4442">
        <w:t>20</w:t>
      </w:r>
      <w:r w:rsidRPr="00065200">
        <w:rPr>
          <w:rStyle w:val="FootnoteReference"/>
        </w:rPr>
        <w:footnoteReference w:id="48"/>
      </w:r>
    </w:p>
    <w:p w14:paraId="69872C53" w14:textId="57C8EF31" w:rsidR="00721F88" w:rsidRPr="00065200" w:rsidRDefault="009B5AC4" w:rsidP="00072FCD">
      <w:pPr>
        <w:pStyle w:val="Heading3"/>
      </w:pPr>
      <w:r w:rsidRPr="00065200">
        <w:lastRenderedPageBreak/>
        <w:t>S</w:t>
      </w:r>
      <w:r w:rsidR="00614E09" w:rsidRPr="00065200">
        <w:t xml:space="preserve">cope </w:t>
      </w:r>
      <w:r w:rsidR="00C706AE" w:rsidRPr="00065200">
        <w:t>and approach</w:t>
      </w:r>
    </w:p>
    <w:p w14:paraId="3E41D8E6" w14:textId="4E58496B" w:rsidR="00635EE9" w:rsidRDefault="008E2118" w:rsidP="00940F8E">
      <w:r>
        <w:t xml:space="preserve">In the </w:t>
      </w:r>
      <w:r w:rsidR="00A3036E">
        <w:t xml:space="preserve">Government’s </w:t>
      </w:r>
      <w:r w:rsidR="005F1CD1" w:rsidRPr="00065200">
        <w:t xml:space="preserve">Statement of Expectations, </w:t>
      </w:r>
      <w:r w:rsidR="00C15ACA" w:rsidRPr="00065200">
        <w:t>Minister Andrews</w:t>
      </w:r>
      <w:r w:rsidR="00C242DC" w:rsidRPr="00065200">
        <w:t xml:space="preserve"> </w:t>
      </w:r>
      <w:r w:rsidR="007A54B5">
        <w:t>requested the Board</w:t>
      </w:r>
      <w:r w:rsidR="00C242DC" w:rsidRPr="00065200">
        <w:t xml:space="preserve"> “provide high level advice on the Government’s overall mix of investments at a system level, to determine if there are du</w:t>
      </w:r>
      <w:r w:rsidR="00040B2A" w:rsidRPr="00065200">
        <w:t>plications or gaps, and with a f</w:t>
      </w:r>
      <w:r w:rsidR="00C242DC" w:rsidRPr="00065200">
        <w:t>ocus on assessing the degree of alignment of policies across the system and the effectiveness of the Government’s spend.”</w:t>
      </w:r>
      <w:r w:rsidR="00C15ACA" w:rsidRPr="00065200">
        <w:rPr>
          <w:rStyle w:val="FootnoteReference"/>
        </w:rPr>
        <w:footnoteReference w:id="49"/>
      </w:r>
      <w:r w:rsidR="00C242DC" w:rsidRPr="00065200">
        <w:t xml:space="preserve"> </w:t>
      </w:r>
      <w:r w:rsidR="00110C8A">
        <w:t>I</w:t>
      </w:r>
      <w:r w:rsidR="007A54B5">
        <w:t>I</w:t>
      </w:r>
      <w:r w:rsidR="00110C8A">
        <w:t xml:space="preserve">SA’s </w:t>
      </w:r>
      <w:r w:rsidR="00E6608B">
        <w:t>scoping</w:t>
      </w:r>
      <w:r w:rsidR="000C5A49">
        <w:t xml:space="preserve"> analysis </w:t>
      </w:r>
      <w:r w:rsidR="00E6608B">
        <w:t>of Australian and international</w:t>
      </w:r>
      <w:r w:rsidR="00A3036E">
        <w:t xml:space="preserve"> ISR </w:t>
      </w:r>
      <w:r w:rsidR="00E6608B">
        <w:t xml:space="preserve">systems </w:t>
      </w:r>
      <w:r w:rsidR="000C5A49">
        <w:t>showed that</w:t>
      </w:r>
      <w:r w:rsidR="00110C8A">
        <w:t xml:space="preserve"> evidence of unplanned duplications</w:t>
      </w:r>
      <w:r w:rsidR="000C5A49">
        <w:t>,</w:t>
      </w:r>
      <w:r w:rsidR="00110C8A">
        <w:rPr>
          <w:rStyle w:val="FootnoteReference"/>
        </w:rPr>
        <w:footnoteReference w:id="50"/>
      </w:r>
      <w:r w:rsidR="00110C8A">
        <w:t xml:space="preserve"> </w:t>
      </w:r>
      <w:r w:rsidR="000C5A49">
        <w:t>gaps or a lack of policy alignment across the system are symptoms, rather than the cause, of a system that could be more effective.</w:t>
      </w:r>
      <w:r w:rsidR="00A3036E">
        <w:t xml:space="preserve"> </w:t>
      </w:r>
    </w:p>
    <w:p w14:paraId="01BC5B20" w14:textId="2229A17F" w:rsidR="00F03259" w:rsidRPr="00065200" w:rsidRDefault="00A25CA7" w:rsidP="00940F8E">
      <w:r w:rsidRPr="00065200">
        <w:t>I</w:t>
      </w:r>
      <w:r w:rsidR="007A54B5">
        <w:t>I</w:t>
      </w:r>
      <w:r w:rsidRPr="00065200">
        <w:t>SA</w:t>
      </w:r>
      <w:r w:rsidR="00B2355B" w:rsidRPr="00065200">
        <w:t xml:space="preserve"> </w:t>
      </w:r>
      <w:r w:rsidR="00635EE9">
        <w:t xml:space="preserve">also </w:t>
      </w:r>
      <w:r w:rsidR="00B2355B" w:rsidRPr="00065200">
        <w:t>found that e</w:t>
      </w:r>
      <w:r w:rsidR="007A4CED">
        <w:t>ffective g</w:t>
      </w:r>
      <w:r w:rsidR="00C242DC" w:rsidRPr="00065200">
        <w:t xml:space="preserve">overnment investment in ISR is </w:t>
      </w:r>
      <w:r w:rsidR="00040B2A" w:rsidRPr="00065200">
        <w:t>characterised by five best-practice principles</w:t>
      </w:r>
      <w:r w:rsidR="00940F8E" w:rsidRPr="00065200">
        <w:t xml:space="preserve"> (</w:t>
      </w:r>
      <w:r w:rsidR="00940F8E" w:rsidRPr="00065200">
        <w:fldChar w:fldCharType="begin"/>
      </w:r>
      <w:r w:rsidR="00940F8E" w:rsidRPr="00065200">
        <w:instrText xml:space="preserve"> REF _Ref41461530 \h </w:instrText>
      </w:r>
      <w:r w:rsidR="00940F8E" w:rsidRPr="00065200">
        <w:fldChar w:fldCharType="separate"/>
      </w:r>
      <w:r w:rsidR="00807393" w:rsidRPr="00065200">
        <w:t xml:space="preserve">Table </w:t>
      </w:r>
      <w:r w:rsidR="00807393">
        <w:rPr>
          <w:noProof/>
        </w:rPr>
        <w:t>2</w:t>
      </w:r>
      <w:r w:rsidR="00940F8E" w:rsidRPr="00065200">
        <w:fldChar w:fldCharType="end"/>
      </w:r>
      <w:r w:rsidR="00940F8E" w:rsidRPr="00065200">
        <w:t>)</w:t>
      </w:r>
      <w:r w:rsidR="00CD79E6" w:rsidRPr="00065200">
        <w:t xml:space="preserve">. </w:t>
      </w:r>
      <w:r w:rsidR="007A54B5">
        <w:t>I</w:t>
      </w:r>
      <w:r w:rsidR="00CD79E6" w:rsidRPr="00065200">
        <w:t>ISA</w:t>
      </w:r>
      <w:r w:rsidR="00F03259" w:rsidRPr="00065200">
        <w:t xml:space="preserve"> has used these </w:t>
      </w:r>
      <w:r w:rsidR="00C80B48" w:rsidRPr="00065200">
        <w:t xml:space="preserve">principles to </w:t>
      </w:r>
      <w:r w:rsidR="00F03259" w:rsidRPr="00065200">
        <w:t xml:space="preserve">frame </w:t>
      </w:r>
      <w:r w:rsidR="00584C69" w:rsidRPr="00065200">
        <w:t xml:space="preserve">the </w:t>
      </w:r>
      <w:r w:rsidR="00F03259" w:rsidRPr="00065200">
        <w:t>analyses</w:t>
      </w:r>
      <w:r w:rsidR="00177ACD">
        <w:t>,</w:t>
      </w:r>
      <w:r w:rsidR="00F03259" w:rsidRPr="00065200">
        <w:t xml:space="preserve"> </w:t>
      </w:r>
      <w:r w:rsidR="00584C69" w:rsidRPr="00065200">
        <w:t>findings</w:t>
      </w:r>
      <w:r w:rsidR="00B00EAE" w:rsidRPr="00065200">
        <w:t xml:space="preserve"> </w:t>
      </w:r>
      <w:r w:rsidR="00584C69" w:rsidRPr="00065200">
        <w:t xml:space="preserve">and </w:t>
      </w:r>
      <w:r w:rsidR="003003D8">
        <w:t>recommended actions</w:t>
      </w:r>
      <w:r w:rsidR="00B00EAE" w:rsidRPr="00065200">
        <w:t xml:space="preserve"> </w:t>
      </w:r>
      <w:r w:rsidR="00635EE9">
        <w:t xml:space="preserve">contained herein </w:t>
      </w:r>
      <w:r w:rsidR="00F03259" w:rsidRPr="00065200">
        <w:t xml:space="preserve">to ensure the Government’s </w:t>
      </w:r>
      <w:r w:rsidR="003003D8">
        <w:t>ISR</w:t>
      </w:r>
      <w:r w:rsidR="00F03259" w:rsidRPr="00065200">
        <w:t xml:space="preserve"> investment is future</w:t>
      </w:r>
      <w:r w:rsidR="00F03259" w:rsidRPr="00065200">
        <w:noBreakHyphen/>
        <w:t xml:space="preserve">fit, capable of reflecting changes in the broader environment and can deliver maximum benefit to our economy, particularly during times of economic uncertainty. </w:t>
      </w:r>
    </w:p>
    <w:p w14:paraId="01AF30EE" w14:textId="6D82574D" w:rsidR="0096518E" w:rsidRDefault="00D50DC2" w:rsidP="00D50DC2">
      <w:pPr>
        <w:spacing w:before="240" w:after="160"/>
      </w:pPr>
      <w:r w:rsidRPr="00065200">
        <w:t>Th</w:t>
      </w:r>
      <w:r w:rsidR="00635EE9">
        <w:t>is</w:t>
      </w:r>
      <w:r w:rsidRPr="00065200">
        <w:t xml:space="preserve"> report</w:t>
      </w:r>
      <w:r w:rsidR="001E620A">
        <w:t>, and its appendices</w:t>
      </w:r>
      <w:r w:rsidR="0074440A">
        <w:t>,</w:t>
      </w:r>
      <w:r w:rsidR="001E620A">
        <w:rPr>
          <w:rStyle w:val="FootnoteReference"/>
        </w:rPr>
        <w:footnoteReference w:id="51"/>
      </w:r>
      <w:r w:rsidRPr="00065200">
        <w:t xml:space="preserve"> examines the effectiveness of the Commonwealth Government’s investment in ISR, based on an evaluation of previous Australian and international literature, and quantitative analyses based on the available data</w:t>
      </w:r>
      <w:r w:rsidR="00C1167C">
        <w:t xml:space="preserve">. </w:t>
      </w:r>
      <w:r w:rsidR="0096518E" w:rsidRPr="0096518E">
        <w:t xml:space="preserve">The </w:t>
      </w:r>
      <w:r w:rsidR="0096518E">
        <w:t>quantitative analyses presented within this report, and the discussion</w:t>
      </w:r>
      <w:r w:rsidR="0096518E" w:rsidRPr="0096518E">
        <w:t xml:space="preserve"> that follows, </w:t>
      </w:r>
      <w:r w:rsidR="00424F2E">
        <w:t>are</w:t>
      </w:r>
      <w:r w:rsidR="0096518E" w:rsidRPr="0096518E">
        <w:t xml:space="preserve"> based on data available as at 30 June 2020</w:t>
      </w:r>
      <w:r w:rsidR="0096518E">
        <w:t xml:space="preserve">. </w:t>
      </w:r>
      <w:r w:rsidR="00424F2E">
        <w:t>During</w:t>
      </w:r>
      <w:r w:rsidR="006F10D5">
        <w:t xml:space="preserve"> the quantitative analysis</w:t>
      </w:r>
      <w:r w:rsidR="00C1167C">
        <w:t>, I</w:t>
      </w:r>
      <w:r w:rsidR="00584588">
        <w:t>I</w:t>
      </w:r>
      <w:r w:rsidR="00C1167C">
        <w:t>SA found</w:t>
      </w:r>
      <w:r w:rsidR="00DF661F">
        <w:t xml:space="preserve"> </w:t>
      </w:r>
      <w:r w:rsidR="0096518E">
        <w:t>some</w:t>
      </w:r>
      <w:r w:rsidR="00424F2E">
        <w:t xml:space="preserve"> existing datasets had significant limitations</w:t>
      </w:r>
      <w:r w:rsidR="00635EE9">
        <w:t xml:space="preserve"> </w:t>
      </w:r>
      <w:r w:rsidR="009E2215">
        <w:t>(see Appendix G</w:t>
      </w:r>
      <w:r w:rsidR="00DF661F">
        <w:t>)</w:t>
      </w:r>
      <w:r w:rsidRPr="00065200">
        <w:t xml:space="preserve">. </w:t>
      </w:r>
    </w:p>
    <w:p w14:paraId="705F44EC" w14:textId="4576EEC2" w:rsidR="00E35EBE" w:rsidRDefault="00D50DC2" w:rsidP="00D50DC2">
      <w:pPr>
        <w:spacing w:before="240" w:after="160"/>
        <w:rPr>
          <w:rFonts w:eastAsia="Microsoft New Tai Lue"/>
        </w:rPr>
      </w:pPr>
      <w:r w:rsidRPr="00065200">
        <w:t>I</w:t>
      </w:r>
      <w:r w:rsidR="007A54B5">
        <w:t>I</w:t>
      </w:r>
      <w:r w:rsidRPr="00065200">
        <w:t>SA’s analysis also considers overlaps of</w:t>
      </w:r>
      <w:r w:rsidR="00635EE9">
        <w:t>,</w:t>
      </w:r>
      <w:r w:rsidRPr="00065200">
        <w:t xml:space="preserve"> and gaps in</w:t>
      </w:r>
      <w:r w:rsidR="00635EE9">
        <w:t>,</w:t>
      </w:r>
      <w:r w:rsidRPr="00065200">
        <w:t xml:space="preserve"> the Government’s ISR investment</w:t>
      </w:r>
      <w:r w:rsidRPr="00065200">
        <w:rPr>
          <w:rFonts w:eastAsia="Microsoft New Tai Lue"/>
        </w:rPr>
        <w:t xml:space="preserve"> through </w:t>
      </w:r>
      <w:r w:rsidR="00177ACD">
        <w:rPr>
          <w:rFonts w:eastAsia="Microsoft New Tai Lue"/>
        </w:rPr>
        <w:t>the</w:t>
      </w:r>
      <w:r w:rsidRPr="00065200">
        <w:rPr>
          <w:rFonts w:eastAsia="Microsoft New Tai Lue"/>
        </w:rPr>
        <w:t xml:space="preserve"> analysis of a sub</w:t>
      </w:r>
      <w:r w:rsidRPr="00065200">
        <w:rPr>
          <w:rFonts w:eastAsia="Microsoft New Tai Lue"/>
        </w:rPr>
        <w:noBreakHyphen/>
        <w:t>sector of the ISR system, to obtain</w:t>
      </w:r>
      <w:r w:rsidRPr="00065200">
        <w:t xml:space="preserve"> insights representative of the broader system. The ‘space’ sector</w:t>
      </w:r>
      <w:r w:rsidR="00CC21C2" w:rsidRPr="00065200">
        <w:rPr>
          <w:rStyle w:val="FootnoteReference"/>
        </w:rPr>
        <w:footnoteReference w:id="52"/>
      </w:r>
      <w:r w:rsidRPr="00065200">
        <w:t xml:space="preserve"> was selected as an exemplar of an emerging government priority with significant potential to deliver economy</w:t>
      </w:r>
      <w:r w:rsidR="007A627E">
        <w:t>-</w:t>
      </w:r>
      <w:r w:rsidRPr="00065200">
        <w:t>wide spillover</w:t>
      </w:r>
      <w:r w:rsidR="007A627E">
        <w:t xml:space="preserve">s </w:t>
      </w:r>
      <w:r w:rsidRPr="00065200">
        <w:t>(see</w:t>
      </w:r>
      <w:r w:rsidR="00F700C3">
        <w:t xml:space="preserve"> Box 1</w:t>
      </w:r>
      <w:r w:rsidRPr="00065200">
        <w:t>).</w:t>
      </w:r>
      <w:r w:rsidRPr="00065200">
        <w:rPr>
          <w:rFonts w:eastAsia="Microsoft New Tai Lue"/>
        </w:rPr>
        <w:t xml:space="preserve"> </w:t>
      </w:r>
    </w:p>
    <w:p w14:paraId="1B6355D2" w14:textId="6278BC0B" w:rsidR="00781D2F" w:rsidRPr="00065200" w:rsidRDefault="00D50DC2" w:rsidP="00E35EBE">
      <w:pPr>
        <w:spacing w:before="240" w:after="160"/>
      </w:pPr>
      <w:r w:rsidRPr="00065200">
        <w:t xml:space="preserve">The following chapters outline three recommended actions and an overview of the evidence base for these actions. </w:t>
      </w:r>
      <w:r w:rsidR="00FB334B">
        <w:t>Additional</w:t>
      </w:r>
      <w:r w:rsidR="00F1132F">
        <w:t xml:space="preserve"> analyse</w:t>
      </w:r>
      <w:r w:rsidRPr="00065200">
        <w:t>s</w:t>
      </w:r>
      <w:r w:rsidR="00FB334B">
        <w:t xml:space="preserve"> </w:t>
      </w:r>
      <w:r w:rsidR="00F1132F">
        <w:t>and evidence are</w:t>
      </w:r>
      <w:r w:rsidRPr="00065200">
        <w:t xml:space="preserve"> provided in the appendices.</w:t>
      </w:r>
      <w:r w:rsidRPr="00065200" w:rsidDel="00CE7233">
        <w:t xml:space="preserve"> </w:t>
      </w:r>
      <w:r w:rsidRPr="00065200">
        <w:t>A</w:t>
      </w:r>
      <w:r w:rsidR="00635EE9">
        <w:t>n ISR</w:t>
      </w:r>
      <w:r w:rsidRPr="00065200">
        <w:t xml:space="preserve"> system</w:t>
      </w:r>
      <w:r w:rsidR="0054124E">
        <w:t xml:space="preserve"> performance</w:t>
      </w:r>
      <w:r w:rsidRPr="00065200">
        <w:t xml:space="preserve"> scorecard</w:t>
      </w:r>
      <w:r w:rsidR="00635EE9">
        <w:t xml:space="preserve"> </w:t>
      </w:r>
      <w:r w:rsidRPr="00065200">
        <w:t xml:space="preserve">is provided in </w:t>
      </w:r>
      <w:r w:rsidR="00E35EBE">
        <w:t>Appendix H</w:t>
      </w:r>
      <w:r w:rsidRPr="00065200">
        <w:t>.</w:t>
      </w:r>
    </w:p>
    <w:p w14:paraId="32008E7A" w14:textId="10A565DE" w:rsidR="00D07296" w:rsidRPr="00065200" w:rsidRDefault="00D07296" w:rsidP="00B142BF">
      <w:pPr>
        <w:pStyle w:val="Caption"/>
        <w:keepNext/>
        <w:spacing w:after="0"/>
      </w:pPr>
      <w:bookmarkStart w:id="153" w:name="_Ref39672275"/>
      <w:bookmarkStart w:id="154" w:name="_Ref41461530"/>
      <w:bookmarkStart w:id="155" w:name="_Ref55906524"/>
      <w:r w:rsidRPr="00065200">
        <w:lastRenderedPageBreak/>
        <w:t xml:space="preserve">Table </w:t>
      </w:r>
      <w:r w:rsidRPr="00065200">
        <w:fldChar w:fldCharType="begin"/>
      </w:r>
      <w:r w:rsidRPr="00065200">
        <w:instrText xml:space="preserve"> SEQ Table \* ARABIC </w:instrText>
      </w:r>
      <w:r w:rsidRPr="00065200">
        <w:fldChar w:fldCharType="separate"/>
      </w:r>
      <w:r w:rsidR="00807393">
        <w:rPr>
          <w:noProof/>
        </w:rPr>
        <w:t>2</w:t>
      </w:r>
      <w:r w:rsidRPr="00065200">
        <w:fldChar w:fldCharType="end"/>
      </w:r>
      <w:bookmarkEnd w:id="153"/>
      <w:bookmarkEnd w:id="154"/>
      <w:r w:rsidR="00FC5018" w:rsidRPr="00065200">
        <w:t xml:space="preserve"> </w:t>
      </w:r>
      <w:r w:rsidR="00CE7233" w:rsidRPr="00065200">
        <w:t>Best</w:t>
      </w:r>
      <w:r w:rsidR="00D40B53" w:rsidRPr="00065200">
        <w:t>-</w:t>
      </w:r>
      <w:r w:rsidR="00CE7233" w:rsidRPr="00065200">
        <w:t xml:space="preserve">practice </w:t>
      </w:r>
      <w:r w:rsidR="00FC5018" w:rsidRPr="00065200">
        <w:t>ISR i</w:t>
      </w:r>
      <w:r w:rsidRPr="00065200">
        <w:t>nvestment principles</w:t>
      </w:r>
      <w:bookmarkEnd w:id="155"/>
    </w:p>
    <w:tbl>
      <w:tblPr>
        <w:tblStyle w:val="ListTable3-Accent2"/>
        <w:tblW w:w="9067" w:type="dxa"/>
        <w:tblLook w:val="00A0" w:firstRow="1" w:lastRow="0" w:firstColumn="1" w:lastColumn="0" w:noHBand="0" w:noVBand="0"/>
        <w:tblCaption w:val="Table 2 Best-practice ISR investment principles"/>
        <w:tblDescription w:val="Describes key aspects of each of ISA's six best-practice ISR investment principles."/>
      </w:tblPr>
      <w:tblGrid>
        <w:gridCol w:w="9067"/>
      </w:tblGrid>
      <w:tr w:rsidR="00292366" w:rsidRPr="00065200" w14:paraId="4C9303B4" w14:textId="77777777" w:rsidTr="00E15F49">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9067" w:type="dxa"/>
            <w:tcBorders>
              <w:top w:val="single" w:sz="4" w:space="0" w:color="auto"/>
              <w:left w:val="single" w:sz="4" w:space="0" w:color="auto"/>
              <w:bottom w:val="single" w:sz="4" w:space="0" w:color="auto"/>
              <w:right w:val="single" w:sz="4" w:space="0" w:color="auto"/>
            </w:tcBorders>
            <w:shd w:val="clear" w:color="auto" w:fill="DDEAEF" w:themeFill="text2" w:themeFillTint="33"/>
            <w:tcMar>
              <w:top w:w="85" w:type="dxa"/>
              <w:left w:w="57" w:type="dxa"/>
              <w:bottom w:w="85" w:type="dxa"/>
              <w:right w:w="57" w:type="dxa"/>
            </w:tcMar>
          </w:tcPr>
          <w:p w14:paraId="6EBFBBC2" w14:textId="6E5F7D41" w:rsidR="00292366" w:rsidRPr="00065200" w:rsidRDefault="00292366" w:rsidP="00FA30A8">
            <w:pPr>
              <w:pStyle w:val="ListBullet"/>
              <w:framePr w:wrap="around"/>
            </w:pPr>
            <w:r w:rsidRPr="00065200">
              <w:rPr>
                <w:b/>
              </w:rPr>
              <w:t>Aligned to priorities</w:t>
            </w:r>
          </w:p>
        </w:tc>
      </w:tr>
      <w:tr w:rsidR="00781D2F" w:rsidRPr="00065200" w14:paraId="67220FD6" w14:textId="77777777" w:rsidTr="002923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left w:val="single" w:sz="4" w:space="0" w:color="auto"/>
              <w:bottom w:val="single" w:sz="4" w:space="0" w:color="auto"/>
              <w:right w:val="single" w:sz="4" w:space="0" w:color="auto"/>
            </w:tcBorders>
            <w:tcMar>
              <w:top w:w="85" w:type="dxa"/>
              <w:left w:w="57" w:type="dxa"/>
              <w:bottom w:w="85" w:type="dxa"/>
              <w:right w:w="57" w:type="dxa"/>
            </w:tcMar>
          </w:tcPr>
          <w:p w14:paraId="1E6A17DC" w14:textId="77777777" w:rsidR="00781D2F" w:rsidRPr="00065200" w:rsidRDefault="00781D2F" w:rsidP="00FA30A8">
            <w:pPr>
              <w:pStyle w:val="ListBullet"/>
              <w:framePr w:wrap="around"/>
            </w:pPr>
            <w:r w:rsidRPr="00065200">
              <w:t xml:space="preserve">ISR investments at the system level should be closely aligned to regularly updated government priorities, which are flexible enough to support innovative research pathways but stable enough to foster long-term planning. </w:t>
            </w:r>
          </w:p>
        </w:tc>
      </w:tr>
      <w:tr w:rsidR="00781D2F" w:rsidRPr="00065200" w14:paraId="7973AB38" w14:textId="77777777" w:rsidTr="00292366">
        <w:trPr>
          <w:cantSplit/>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left w:val="single" w:sz="4" w:space="0" w:color="auto"/>
              <w:bottom w:val="single" w:sz="4" w:space="0" w:color="auto"/>
              <w:right w:val="single" w:sz="4" w:space="0" w:color="auto"/>
            </w:tcBorders>
            <w:shd w:val="clear" w:color="auto" w:fill="DDEAEF" w:themeFill="text2" w:themeFillTint="33"/>
            <w:tcMar>
              <w:top w:w="85" w:type="dxa"/>
              <w:left w:w="57" w:type="dxa"/>
              <w:bottom w:w="85" w:type="dxa"/>
              <w:right w:w="57" w:type="dxa"/>
            </w:tcMar>
          </w:tcPr>
          <w:p w14:paraId="02C5CDC5" w14:textId="4ADC42F3" w:rsidR="00781D2F" w:rsidRPr="00065200" w:rsidRDefault="00781D2F" w:rsidP="00FA30A8">
            <w:pPr>
              <w:pStyle w:val="ListBullet"/>
              <w:framePr w:wrap="around"/>
              <w:rPr>
                <w:b/>
              </w:rPr>
            </w:pPr>
            <w:r w:rsidRPr="00065200">
              <w:rPr>
                <w:b/>
              </w:rPr>
              <w:t>Delivers impact</w:t>
            </w:r>
          </w:p>
        </w:tc>
      </w:tr>
      <w:tr w:rsidR="00781D2F" w:rsidRPr="00065200" w14:paraId="1C788525" w14:textId="77777777" w:rsidTr="002923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left w:val="single" w:sz="4" w:space="0" w:color="auto"/>
              <w:bottom w:val="single" w:sz="4" w:space="0" w:color="auto"/>
              <w:right w:val="single" w:sz="4" w:space="0" w:color="auto"/>
            </w:tcBorders>
            <w:tcMar>
              <w:top w:w="85" w:type="dxa"/>
              <w:left w:w="57" w:type="dxa"/>
              <w:bottom w:w="85" w:type="dxa"/>
              <w:right w:w="57" w:type="dxa"/>
            </w:tcMar>
          </w:tcPr>
          <w:p w14:paraId="7906FF2E" w14:textId="1678A480" w:rsidR="00781D2F" w:rsidRPr="00065200" w:rsidRDefault="00781D2F" w:rsidP="00FA30A8">
            <w:pPr>
              <w:pStyle w:val="ListBullet"/>
              <w:framePr w:wrap="around"/>
            </w:pPr>
            <w:r w:rsidRPr="00065200">
              <w:t>Effective ISR investments demonstrably achieve their intended outcomes. ISR investments should be transparently designed with clarity about their purpose, expected outcome, key performance indicators, evaluation processes, return on investment (financial, economic or social)</w:t>
            </w:r>
            <w:r w:rsidR="004B0FEA">
              <w:t>, and user/target. They should also</w:t>
            </w:r>
            <w:r w:rsidRPr="00065200">
              <w:t xml:space="preserve"> be subject to regular and rigorous monitoring and evaluation at all levels of the system by a</w:t>
            </w:r>
            <w:r w:rsidR="00FA30A8">
              <w:t>n</w:t>
            </w:r>
            <w:r w:rsidRPr="00065200">
              <w:t xml:space="preserve"> independent evaluator.</w:t>
            </w:r>
          </w:p>
        </w:tc>
      </w:tr>
      <w:tr w:rsidR="00781D2F" w:rsidRPr="00065200" w14:paraId="5AC99298" w14:textId="77777777" w:rsidTr="00292366">
        <w:trPr>
          <w:cantSplit/>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left w:val="single" w:sz="4" w:space="0" w:color="auto"/>
              <w:bottom w:val="single" w:sz="4" w:space="0" w:color="auto"/>
              <w:right w:val="single" w:sz="4" w:space="0" w:color="auto"/>
            </w:tcBorders>
            <w:shd w:val="clear" w:color="auto" w:fill="DDEAEF" w:themeFill="text2" w:themeFillTint="33"/>
            <w:tcMar>
              <w:top w:w="85" w:type="dxa"/>
              <w:left w:w="57" w:type="dxa"/>
              <w:bottom w:w="85" w:type="dxa"/>
              <w:right w:w="57" w:type="dxa"/>
            </w:tcMar>
          </w:tcPr>
          <w:p w14:paraId="13B67C41" w14:textId="6C7B21BE" w:rsidR="00781D2F" w:rsidRPr="00065200" w:rsidRDefault="00781D2F" w:rsidP="00FA30A8">
            <w:pPr>
              <w:pStyle w:val="ListBullet"/>
              <w:framePr w:wrap="around"/>
              <w:rPr>
                <w:b/>
              </w:rPr>
            </w:pPr>
            <w:r w:rsidRPr="00065200">
              <w:rPr>
                <w:b/>
              </w:rPr>
              <w:t>Sustainable</w:t>
            </w:r>
          </w:p>
        </w:tc>
      </w:tr>
      <w:tr w:rsidR="00781D2F" w:rsidRPr="00065200" w14:paraId="6F19EF72" w14:textId="77777777" w:rsidTr="002923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left w:val="single" w:sz="4" w:space="0" w:color="auto"/>
              <w:bottom w:val="single" w:sz="4" w:space="0" w:color="auto"/>
              <w:right w:val="single" w:sz="4" w:space="0" w:color="auto"/>
            </w:tcBorders>
            <w:tcMar>
              <w:top w:w="85" w:type="dxa"/>
              <w:left w:w="57" w:type="dxa"/>
              <w:bottom w:w="85" w:type="dxa"/>
              <w:right w:w="57" w:type="dxa"/>
            </w:tcMar>
          </w:tcPr>
          <w:p w14:paraId="363D7763" w14:textId="2A815344" w:rsidR="00781D2F" w:rsidRPr="00065200" w:rsidRDefault="00781D2F" w:rsidP="00FA30A8">
            <w:pPr>
              <w:pStyle w:val="ListBullet"/>
              <w:framePr w:wrap="around"/>
            </w:pPr>
            <w:r w:rsidRPr="00065200">
              <w:t>ISR investments should be ongoing and predictable, unless rigorous evaluation proves they ar</w:t>
            </w:r>
            <w:r w:rsidR="007A32EA">
              <w:t>e not effective, or when short-</w:t>
            </w:r>
            <w:r w:rsidRPr="00065200">
              <w:t>term programs are demonstrably required (e.g. pilot programs). The system should be funded and stable enough to develop long-term ISR strengths and outcomes.</w:t>
            </w:r>
          </w:p>
        </w:tc>
      </w:tr>
      <w:tr w:rsidR="00781D2F" w:rsidRPr="00065200" w14:paraId="216BF6A8" w14:textId="77777777" w:rsidTr="00292366">
        <w:trPr>
          <w:cantSplit/>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left w:val="single" w:sz="4" w:space="0" w:color="auto"/>
              <w:bottom w:val="single" w:sz="4" w:space="0" w:color="auto"/>
              <w:right w:val="single" w:sz="4" w:space="0" w:color="auto"/>
            </w:tcBorders>
            <w:shd w:val="clear" w:color="auto" w:fill="DDEAEF" w:themeFill="text2" w:themeFillTint="33"/>
            <w:tcMar>
              <w:top w:w="85" w:type="dxa"/>
              <w:left w:w="57" w:type="dxa"/>
              <w:bottom w:w="85" w:type="dxa"/>
              <w:right w:w="57" w:type="dxa"/>
            </w:tcMar>
          </w:tcPr>
          <w:p w14:paraId="6955F384" w14:textId="2417E6A2" w:rsidR="00781D2F" w:rsidRPr="00065200" w:rsidRDefault="00781D2F" w:rsidP="00FA30A8">
            <w:pPr>
              <w:pStyle w:val="ListBullet"/>
              <w:framePr w:wrap="around"/>
              <w:rPr>
                <w:b/>
              </w:rPr>
            </w:pPr>
            <w:r w:rsidRPr="00065200">
              <w:rPr>
                <w:b/>
              </w:rPr>
              <w:t>Coordinated</w:t>
            </w:r>
          </w:p>
        </w:tc>
      </w:tr>
      <w:tr w:rsidR="00781D2F" w:rsidRPr="00065200" w14:paraId="3D652E32" w14:textId="77777777" w:rsidTr="002923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left w:val="single" w:sz="4" w:space="0" w:color="auto"/>
              <w:bottom w:val="single" w:sz="4" w:space="0" w:color="auto"/>
              <w:right w:val="single" w:sz="4" w:space="0" w:color="auto"/>
            </w:tcBorders>
            <w:tcMar>
              <w:top w:w="85" w:type="dxa"/>
              <w:left w:w="57" w:type="dxa"/>
              <w:bottom w:w="85" w:type="dxa"/>
              <w:right w:w="57" w:type="dxa"/>
            </w:tcMar>
          </w:tcPr>
          <w:p w14:paraId="1E47A3D7" w14:textId="77777777" w:rsidR="00781D2F" w:rsidRPr="00065200" w:rsidRDefault="00781D2F" w:rsidP="00FA30A8">
            <w:pPr>
              <w:pStyle w:val="ListBullet"/>
              <w:framePr w:wrap="around"/>
            </w:pPr>
            <w:r w:rsidRPr="00065200">
              <w:t>ISR investments and policies, as well as the ISR itself, should be well coordinated across government.</w:t>
            </w:r>
          </w:p>
        </w:tc>
      </w:tr>
      <w:tr w:rsidR="00781D2F" w:rsidRPr="00065200" w14:paraId="7C73BF82" w14:textId="77777777" w:rsidTr="00292366">
        <w:trPr>
          <w:cantSplit/>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left w:val="single" w:sz="4" w:space="0" w:color="auto"/>
              <w:bottom w:val="single" w:sz="4" w:space="0" w:color="auto"/>
              <w:right w:val="single" w:sz="4" w:space="0" w:color="auto"/>
            </w:tcBorders>
            <w:shd w:val="clear" w:color="auto" w:fill="DDEAEF" w:themeFill="text2" w:themeFillTint="33"/>
            <w:tcMar>
              <w:top w:w="85" w:type="dxa"/>
              <w:left w:w="57" w:type="dxa"/>
              <w:bottom w:w="85" w:type="dxa"/>
              <w:right w:w="57" w:type="dxa"/>
            </w:tcMar>
          </w:tcPr>
          <w:p w14:paraId="0E8AC351" w14:textId="54C198B5" w:rsidR="00781D2F" w:rsidRPr="00065200" w:rsidRDefault="00781D2F" w:rsidP="00FA30A8">
            <w:pPr>
              <w:pStyle w:val="ListBullet"/>
              <w:framePr w:wrap="around"/>
              <w:rPr>
                <w:b/>
              </w:rPr>
            </w:pPr>
            <w:r w:rsidRPr="00065200">
              <w:rPr>
                <w:b/>
              </w:rPr>
              <w:t>Strategically balanced</w:t>
            </w:r>
          </w:p>
        </w:tc>
      </w:tr>
      <w:tr w:rsidR="00781D2F" w:rsidRPr="00065200" w14:paraId="30DF5ECC" w14:textId="77777777" w:rsidTr="002923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left w:val="single" w:sz="4" w:space="0" w:color="auto"/>
              <w:bottom w:val="single" w:sz="4" w:space="0" w:color="auto"/>
              <w:right w:val="single" w:sz="4" w:space="0" w:color="auto"/>
            </w:tcBorders>
            <w:tcMar>
              <w:top w:w="85" w:type="dxa"/>
              <w:left w:w="57" w:type="dxa"/>
              <w:bottom w:w="85" w:type="dxa"/>
              <w:right w:w="57" w:type="dxa"/>
            </w:tcMar>
          </w:tcPr>
          <w:p w14:paraId="2F91D1EB" w14:textId="77777777" w:rsidR="00781D2F" w:rsidRPr="00065200" w:rsidRDefault="00781D2F" w:rsidP="00FA30A8">
            <w:pPr>
              <w:pStyle w:val="ListBullet"/>
              <w:framePr w:wrap="around"/>
            </w:pPr>
            <w:r w:rsidRPr="00065200">
              <w:t>ISR investments should be strategically balanced across several factors. Specifically:</w:t>
            </w:r>
          </w:p>
          <w:p w14:paraId="082EDFF1" w14:textId="0C9E3020" w:rsidR="00781D2F" w:rsidRPr="00065200" w:rsidRDefault="00781D2F" w:rsidP="00AD5D3B">
            <w:pPr>
              <w:pStyle w:val="ListBullet"/>
              <w:framePr w:wrap="around"/>
              <w:numPr>
                <w:ilvl w:val="0"/>
                <w:numId w:val="16"/>
              </w:numPr>
            </w:pPr>
            <w:r w:rsidRPr="00065200">
              <w:t>Phases and pipeline</w:t>
            </w:r>
            <w:r w:rsidR="00F51FEF">
              <w:rPr>
                <w:rFonts w:ascii="Calibri" w:hAnsi="Calibri" w:cs="Calibri"/>
              </w:rPr>
              <w:t>—</w:t>
            </w:r>
            <w:r w:rsidRPr="00065200">
              <w:t>where investments are balanced between basic, applied and translational ISR and where ISR can move seamlessl</w:t>
            </w:r>
            <w:r w:rsidR="00B201A2">
              <w:t>y along the innovation pipeline.</w:t>
            </w:r>
          </w:p>
          <w:p w14:paraId="0951E38A" w14:textId="55AB4EBE" w:rsidR="00781D2F" w:rsidRPr="00065200" w:rsidRDefault="00781D2F" w:rsidP="00383DCD">
            <w:pPr>
              <w:pStyle w:val="ListBullet"/>
              <w:framePr w:wrap="around"/>
              <w:numPr>
                <w:ilvl w:val="0"/>
                <w:numId w:val="16"/>
              </w:numPr>
            </w:pPr>
            <w:r w:rsidRPr="00065200">
              <w:t>Scale</w:t>
            </w:r>
            <w:r w:rsidR="00F51FEF">
              <w:rPr>
                <w:rFonts w:ascii="Calibri" w:hAnsi="Calibri" w:cs="Calibri"/>
              </w:rPr>
              <w:t>—</w:t>
            </w:r>
            <w:r w:rsidRPr="00065200">
              <w:t>where ISR investments are appropriately scaled and fund</w:t>
            </w:r>
            <w:r w:rsidR="00B201A2">
              <w:t>ed to achieve meaningful impact.</w:t>
            </w:r>
          </w:p>
          <w:p w14:paraId="2592E772" w14:textId="1719222A" w:rsidR="00781D2F" w:rsidRPr="00065200" w:rsidRDefault="00781D2F" w:rsidP="00383DCD">
            <w:pPr>
              <w:pStyle w:val="ListBullet"/>
              <w:framePr w:wrap="around"/>
              <w:numPr>
                <w:ilvl w:val="0"/>
                <w:numId w:val="16"/>
              </w:numPr>
            </w:pPr>
            <w:r w:rsidRPr="00065200">
              <w:t>Risk</w:t>
            </w:r>
            <w:r w:rsidR="00F51FEF">
              <w:rPr>
                <w:rFonts w:ascii="Calibri" w:hAnsi="Calibri" w:cs="Calibri"/>
              </w:rPr>
              <w:t>—</w:t>
            </w:r>
            <w:r w:rsidRPr="00065200">
              <w:t>where the risks of ISR inve</w:t>
            </w:r>
            <w:r w:rsidR="001620EF">
              <w:t xml:space="preserve">stments are assessed, accepted and </w:t>
            </w:r>
            <w:r w:rsidRPr="00065200">
              <w:t xml:space="preserve">incorporated into the initial design and balanced </w:t>
            </w:r>
            <w:r w:rsidR="00B201A2">
              <w:t>across the investment portfolio.</w:t>
            </w:r>
          </w:p>
          <w:p w14:paraId="0FC5D0BE" w14:textId="3C774C4D" w:rsidR="00781D2F" w:rsidRPr="00065200" w:rsidRDefault="00781D2F" w:rsidP="00E119C1">
            <w:pPr>
              <w:pStyle w:val="ListBullet"/>
              <w:framePr w:wrap="around"/>
              <w:numPr>
                <w:ilvl w:val="0"/>
                <w:numId w:val="16"/>
              </w:numPr>
            </w:pPr>
            <w:r w:rsidRPr="00065200">
              <w:t>Investment mechanisms</w:t>
            </w:r>
            <w:r w:rsidR="00F51FEF">
              <w:rPr>
                <w:rFonts w:ascii="Calibri" w:hAnsi="Calibri" w:cs="Calibri"/>
              </w:rPr>
              <w:t>—</w:t>
            </w:r>
            <w:r w:rsidRPr="00065200">
              <w:t>where investments are balanced between targeted and bro</w:t>
            </w:r>
            <w:r w:rsidR="00B201A2">
              <w:t>ad-based funding mechanisms.</w:t>
            </w:r>
          </w:p>
          <w:p w14:paraId="32E5B1B6" w14:textId="4E45555C" w:rsidR="00781D2F" w:rsidRPr="00065200" w:rsidRDefault="00781D2F" w:rsidP="00E119C1">
            <w:pPr>
              <w:pStyle w:val="ListBullet"/>
              <w:framePr w:wrap="around"/>
              <w:numPr>
                <w:ilvl w:val="0"/>
                <w:numId w:val="16"/>
              </w:numPr>
            </w:pPr>
            <w:r w:rsidRPr="00065200">
              <w:t>Resourcing</w:t>
            </w:r>
            <w:r w:rsidR="00F51FEF">
              <w:rPr>
                <w:rFonts w:ascii="Calibri" w:hAnsi="Calibri" w:cs="Calibri"/>
              </w:rPr>
              <w:t>—</w:t>
            </w:r>
            <w:r w:rsidRPr="00065200">
              <w:t>where ISR investments are balanced between the costs of research, researchers, administration</w:t>
            </w:r>
            <w:r w:rsidR="00FE1817">
              <w:t>,</w:t>
            </w:r>
            <w:r w:rsidRPr="00065200">
              <w:t xml:space="preserve"> infrastructure</w:t>
            </w:r>
            <w:r w:rsidR="00FE1817">
              <w:t xml:space="preserve"> </w:t>
            </w:r>
            <w:r w:rsidR="00FE1817" w:rsidRPr="00CC4320">
              <w:t>and operating costs</w:t>
            </w:r>
            <w:r w:rsidRPr="00065200">
              <w:t>.</w:t>
            </w:r>
          </w:p>
        </w:tc>
      </w:tr>
    </w:tbl>
    <w:p w14:paraId="5280CCE7" w14:textId="6B459C84" w:rsidR="00F90C0F" w:rsidRPr="00065200" w:rsidRDefault="00F90C0F">
      <w:pPr>
        <w:spacing w:before="40" w:after="160"/>
      </w:pPr>
      <w:bookmarkStart w:id="156" w:name="_Toc39674924"/>
      <w:bookmarkStart w:id="157" w:name="_Toc39674961"/>
      <w:bookmarkStart w:id="158" w:name="_Toc39590727"/>
      <w:r w:rsidRPr="00065200">
        <w:br w:type="page"/>
      </w:r>
    </w:p>
    <w:tbl>
      <w:tblPr>
        <w:tblStyle w:val="TableGrid"/>
        <w:tblpPr w:leftFromText="180" w:rightFromText="180" w:vertAnchor="text" w:horzAnchor="margin" w:tblpY="113"/>
        <w:tblW w:w="9067" w:type="dxa"/>
        <w:shd w:val="clear" w:color="auto" w:fill="E4E9F0"/>
        <w:tblCellMar>
          <w:top w:w="57" w:type="dxa"/>
          <w:left w:w="57" w:type="dxa"/>
          <w:bottom w:w="57" w:type="dxa"/>
          <w:right w:w="57" w:type="dxa"/>
        </w:tblCellMar>
        <w:tblLook w:val="04A0" w:firstRow="1" w:lastRow="0" w:firstColumn="1" w:lastColumn="0" w:noHBand="0" w:noVBand="1"/>
        <w:tblCaption w:val="Box 1. Spotlight on space"/>
        <w:tblDescription w:val="Introduction to Australia's investment in space ISR. Australia’s investment in space ISR is projected to create substantial benefits for Australia, with Australia’s earth observation capabilities valued at US $20.2 billion in 2019.  The Australian satellite communications and astronautics sector is expected to grow at 7.4 per cent from 2020–2025 to reach $8 billion by 2025.  The application of knowledge gained in the space domain is already benefiting many sectors ranging from healthcare through to financial services. , , ,  &#10;The Government’s space ISR investments currently include major projects through the Department of Defence, CSIRO and Geoscience Australia. These are complemented by smaller, targeted investments in businesses and business to research collaboration, for example through the SmartSat CRC. Australia is also a key partner in international space activities as hosts of the National Aeronautics and Space Administration (NASA) and European Space Agency deep space communications earth stations, and with a role in the USA's Moon to Mars exploration approach, including NASA’s Artemis lunar program.&#10;The creation of the Australian Space Agency (ASA) to deliver a “globally responsible and respected space sector that lifts the broader economy, and inspires and improves the lives of Australians”  attests to the Government’s commitment to grow this emerging sector to protect and advance national interests. The establishment of the ASA and the development of the Australian Civil Space Strategy have provided an enduring focus of investment and activity for the Government’s investment in space. Australia now has an opportunity to capitalise on this renewed focus in the civil space sector, as well as growing the defence space sector, to ensure its ISR investments are effective.&#10;The space sector was chosen as an exemplar of an emergent Government priority. The compilation of Government space ISR investment data by ISA has informed qualitative and quantitative analyses of the scale, distribution and nature of the government’s space investments. Consultations with Government funders and performers in the space sector provided further input to the qualitative analysis."/>
      </w:tblPr>
      <w:tblGrid>
        <w:gridCol w:w="9067"/>
      </w:tblGrid>
      <w:tr w:rsidR="00950C16" w:rsidRPr="00065200" w14:paraId="4C1391D1" w14:textId="77777777" w:rsidTr="00950C16">
        <w:trPr>
          <w:tblHeader/>
        </w:trPr>
        <w:tc>
          <w:tcPr>
            <w:tcW w:w="9067" w:type="dxa"/>
            <w:tcBorders>
              <w:bottom w:val="nil"/>
            </w:tcBorders>
            <w:shd w:val="clear" w:color="auto" w:fill="E4E9F0"/>
            <w:tcMar>
              <w:top w:w="57" w:type="dxa"/>
              <w:left w:w="57" w:type="dxa"/>
              <w:bottom w:w="57" w:type="dxa"/>
              <w:right w:w="57" w:type="dxa"/>
            </w:tcMar>
            <w:vAlign w:val="center"/>
          </w:tcPr>
          <w:p w14:paraId="33BBF0D9" w14:textId="728C2F2E" w:rsidR="00950C16" w:rsidRPr="00065200" w:rsidRDefault="00950C16" w:rsidP="006949BB">
            <w:pPr>
              <w:pStyle w:val="Featureboxtextheading"/>
            </w:pPr>
            <w:bookmarkStart w:id="159" w:name="_Ref43214974"/>
            <w:r w:rsidRPr="00065200">
              <w:lastRenderedPageBreak/>
              <w:t xml:space="preserve">Box </w:t>
            </w:r>
            <w:bookmarkEnd w:id="159"/>
            <w:r>
              <w:t>1</w:t>
            </w:r>
            <w:r w:rsidRPr="00065200">
              <w:t xml:space="preserve"> Spotlight on space</w:t>
            </w:r>
          </w:p>
        </w:tc>
      </w:tr>
      <w:tr w:rsidR="002A4FF6" w:rsidRPr="00065200" w14:paraId="3E14692E" w14:textId="77777777" w:rsidTr="00950C16">
        <w:tc>
          <w:tcPr>
            <w:tcW w:w="9067" w:type="dxa"/>
            <w:tcBorders>
              <w:top w:val="nil"/>
              <w:bottom w:val="single" w:sz="4" w:space="0" w:color="auto"/>
            </w:tcBorders>
            <w:shd w:val="clear" w:color="auto" w:fill="E4E9F0"/>
            <w:tcMar>
              <w:top w:w="57" w:type="dxa"/>
              <w:left w:w="57" w:type="dxa"/>
              <w:bottom w:w="57" w:type="dxa"/>
              <w:right w:w="57" w:type="dxa"/>
            </w:tcMar>
            <w:vAlign w:val="center"/>
          </w:tcPr>
          <w:p w14:paraId="17F3D4FB" w14:textId="2EBD5F7B" w:rsidR="00B75A6A" w:rsidRPr="00065200" w:rsidRDefault="00482561" w:rsidP="005F622C">
            <w:pPr>
              <w:keepNext/>
              <w:widowControl w:val="0"/>
              <w:suppressAutoHyphens/>
              <w:rPr>
                <w:vertAlign w:val="superscript"/>
              </w:rPr>
            </w:pPr>
            <w:r w:rsidRPr="00065200">
              <w:t xml:space="preserve">Australia’s </w:t>
            </w:r>
            <w:r w:rsidR="002A4FF6" w:rsidRPr="00065200">
              <w:t xml:space="preserve">investment in space ISR </w:t>
            </w:r>
            <w:r w:rsidRPr="00065200">
              <w:t xml:space="preserve">is projected to create substantial benefits for Australia, with </w:t>
            </w:r>
            <w:r w:rsidR="001D2104" w:rsidRPr="00065200">
              <w:t xml:space="preserve">Australia’s earth observation capabilities valued </w:t>
            </w:r>
            <w:r w:rsidR="004B5D4C" w:rsidRPr="00065200">
              <w:t xml:space="preserve">at </w:t>
            </w:r>
            <w:r w:rsidR="001D2104" w:rsidRPr="00065200">
              <w:t>US$20.</w:t>
            </w:r>
            <w:r w:rsidR="00EF322C">
              <w:t>2</w:t>
            </w:r>
            <w:r w:rsidR="001D2104" w:rsidRPr="00065200">
              <w:t> billion in 2019</w:t>
            </w:r>
            <w:r w:rsidR="004B5D4C" w:rsidRPr="00065200">
              <w:t>.</w:t>
            </w:r>
            <w:r w:rsidR="001D2104" w:rsidRPr="00065200">
              <w:rPr>
                <w:rStyle w:val="FootnoteReference"/>
              </w:rPr>
              <w:footnoteReference w:id="53"/>
            </w:r>
            <w:r w:rsidR="001D2104" w:rsidRPr="00065200">
              <w:t xml:space="preserve"> </w:t>
            </w:r>
            <w:r w:rsidR="004B5D4C" w:rsidRPr="00065200">
              <w:t>T</w:t>
            </w:r>
            <w:r w:rsidR="00B75A6A" w:rsidRPr="00065200">
              <w:t xml:space="preserve">he Australian satellite communications and astronautics sector </w:t>
            </w:r>
            <w:r w:rsidR="004B5D4C" w:rsidRPr="00065200">
              <w:t xml:space="preserve">is </w:t>
            </w:r>
            <w:r w:rsidR="00B75A6A" w:rsidRPr="00065200">
              <w:t xml:space="preserve">expected to grow at </w:t>
            </w:r>
            <w:r w:rsidR="004B5D4C" w:rsidRPr="00065200">
              <w:t>7.4</w:t>
            </w:r>
            <w:r w:rsidR="00205144">
              <w:t> per cent</w:t>
            </w:r>
            <w:r w:rsidR="004B5D4C" w:rsidRPr="00065200">
              <w:t xml:space="preserve"> </w:t>
            </w:r>
            <w:r w:rsidR="007A0758">
              <w:t>from</w:t>
            </w:r>
            <w:r w:rsidR="004969F7" w:rsidRPr="00065200">
              <w:t xml:space="preserve"> 2020</w:t>
            </w:r>
            <w:r w:rsidR="00B142BF" w:rsidRPr="00065200">
              <w:t>–</w:t>
            </w:r>
            <w:r w:rsidR="004969F7" w:rsidRPr="00065200">
              <w:t xml:space="preserve">2025 </w:t>
            </w:r>
            <w:r w:rsidR="004B5D4C" w:rsidRPr="00065200">
              <w:t>to reach $8</w:t>
            </w:r>
            <w:r w:rsidR="00B142BF" w:rsidRPr="00065200">
              <w:t> </w:t>
            </w:r>
            <w:r w:rsidR="004A7119" w:rsidRPr="00065200">
              <w:t>billion</w:t>
            </w:r>
            <w:r w:rsidR="004969F7" w:rsidRPr="00065200">
              <w:t xml:space="preserve"> by 2025</w:t>
            </w:r>
            <w:r w:rsidR="007A0758">
              <w:t>.</w:t>
            </w:r>
            <w:r w:rsidR="00B75A6A" w:rsidRPr="00065200">
              <w:rPr>
                <w:rStyle w:val="FootnoteReference"/>
              </w:rPr>
              <w:footnoteReference w:id="54"/>
            </w:r>
            <w:r w:rsidR="0037193F">
              <w:t xml:space="preserve"> </w:t>
            </w:r>
            <w:r w:rsidR="002A4FF6" w:rsidRPr="00065200">
              <w:t>The application of knowledge gained in the space domain is already benefi</w:t>
            </w:r>
            <w:r w:rsidR="003C4E7F">
              <w:t>ting</w:t>
            </w:r>
            <w:r w:rsidR="002A4FF6" w:rsidRPr="00065200">
              <w:t xml:space="preserve"> many sectors ranging from healthcare through to financial services.</w:t>
            </w:r>
            <w:r w:rsidR="002A4FF6" w:rsidRPr="00065200">
              <w:rPr>
                <w:rStyle w:val="FootnoteReference"/>
              </w:rPr>
              <w:footnoteReference w:id="55"/>
            </w:r>
            <w:r w:rsidR="002A4FF6" w:rsidRPr="00065200">
              <w:rPr>
                <w:vertAlign w:val="superscript"/>
              </w:rPr>
              <w:t>,</w:t>
            </w:r>
            <w:r w:rsidR="002A4FF6" w:rsidRPr="00065200">
              <w:rPr>
                <w:rStyle w:val="FootnoteReference"/>
              </w:rPr>
              <w:footnoteReference w:id="56"/>
            </w:r>
            <w:r w:rsidR="002A4FF6" w:rsidRPr="00065200">
              <w:rPr>
                <w:vertAlign w:val="superscript"/>
              </w:rPr>
              <w:t>,</w:t>
            </w:r>
            <w:r w:rsidR="002A4FF6" w:rsidRPr="00065200">
              <w:rPr>
                <w:rStyle w:val="FootnoteReference"/>
              </w:rPr>
              <w:footnoteReference w:id="57"/>
            </w:r>
            <w:r w:rsidR="002A4FF6" w:rsidRPr="00065200">
              <w:rPr>
                <w:vertAlign w:val="superscript"/>
              </w:rPr>
              <w:t>,</w:t>
            </w:r>
            <w:r w:rsidR="002A4FF6" w:rsidRPr="00065200">
              <w:rPr>
                <w:rStyle w:val="FootnoteReference"/>
              </w:rPr>
              <w:footnoteReference w:id="58"/>
            </w:r>
            <w:r w:rsidR="002A4FF6" w:rsidRPr="00065200">
              <w:rPr>
                <w:vertAlign w:val="superscript"/>
              </w:rPr>
              <w:t xml:space="preserve"> </w:t>
            </w:r>
          </w:p>
          <w:p w14:paraId="003E5A82" w14:textId="33D1C945" w:rsidR="00B75A6A" w:rsidRPr="00065200" w:rsidRDefault="00B75A6A" w:rsidP="00B75A6A">
            <w:r w:rsidRPr="00065200">
              <w:t xml:space="preserve">The </w:t>
            </w:r>
            <w:r w:rsidR="00476002" w:rsidRPr="00065200">
              <w:t>G</w:t>
            </w:r>
            <w:r w:rsidRPr="00065200">
              <w:t xml:space="preserve">overnment’s space ISR investments currently include major projects through </w:t>
            </w:r>
            <w:r w:rsidR="00BE3512">
              <w:t xml:space="preserve">the Department of </w:t>
            </w:r>
            <w:r w:rsidRPr="00065200">
              <w:t>Defence, CSIRO and Geoscience Australia. These are complemented by smaller</w:t>
            </w:r>
            <w:r w:rsidR="00676723">
              <w:t>,</w:t>
            </w:r>
            <w:r w:rsidRPr="00065200">
              <w:t xml:space="preserve"> targeted investments in businesses</w:t>
            </w:r>
            <w:r w:rsidR="00476002" w:rsidRPr="00065200">
              <w:t xml:space="preserve"> and business</w:t>
            </w:r>
            <w:r w:rsidR="00676723">
              <w:noBreakHyphen/>
            </w:r>
            <w:r w:rsidR="00476002" w:rsidRPr="00065200">
              <w:t>to</w:t>
            </w:r>
            <w:r w:rsidR="00676723">
              <w:noBreakHyphen/>
            </w:r>
            <w:r w:rsidR="00476002" w:rsidRPr="00065200">
              <w:t>research collaboration</w:t>
            </w:r>
            <w:r w:rsidRPr="00065200">
              <w:t>, for example through the SmartSat CRC</w:t>
            </w:r>
            <w:r w:rsidR="00476002" w:rsidRPr="00065200">
              <w:t xml:space="preserve">. </w:t>
            </w:r>
            <w:r w:rsidRPr="00065200">
              <w:t xml:space="preserve">Australia </w:t>
            </w:r>
            <w:r w:rsidR="00476002" w:rsidRPr="00065200">
              <w:t xml:space="preserve">is </w:t>
            </w:r>
            <w:r w:rsidRPr="00065200">
              <w:t xml:space="preserve">also </w:t>
            </w:r>
            <w:r w:rsidR="00476002" w:rsidRPr="00065200">
              <w:t xml:space="preserve">a </w:t>
            </w:r>
            <w:r w:rsidRPr="00065200">
              <w:t xml:space="preserve">key partner in international space activities as hosts of the </w:t>
            </w:r>
            <w:r w:rsidR="00E352DC" w:rsidRPr="00E352DC">
              <w:t xml:space="preserve">National Aeronautics and Space Administration </w:t>
            </w:r>
            <w:r w:rsidR="00E352DC">
              <w:t>(</w:t>
            </w:r>
            <w:r w:rsidRPr="00065200">
              <w:t>NASA</w:t>
            </w:r>
            <w:r w:rsidR="00E352DC">
              <w:t>)</w:t>
            </w:r>
            <w:r w:rsidRPr="00065200">
              <w:t xml:space="preserve"> and European Space Agency deep space communications earth stations, and </w:t>
            </w:r>
            <w:r w:rsidR="00476002" w:rsidRPr="00065200">
              <w:t>with a role</w:t>
            </w:r>
            <w:r w:rsidRPr="00065200">
              <w:t xml:space="preserve"> in the </w:t>
            </w:r>
            <w:r w:rsidR="006C7E45">
              <w:t xml:space="preserve">USA's </w:t>
            </w:r>
            <w:r w:rsidRPr="00065200">
              <w:t>Moon to Mars exploration approach, including NASA’s Artemis lunar program.</w:t>
            </w:r>
          </w:p>
          <w:p w14:paraId="7322DEFA" w14:textId="0A2B8482" w:rsidR="002A4FF6" w:rsidRPr="00065200" w:rsidRDefault="002A4FF6" w:rsidP="002A4FF6">
            <w:r w:rsidRPr="00065200">
              <w:t>The creation of the Australian Space Agency</w:t>
            </w:r>
            <w:r w:rsidR="006B2270">
              <w:t xml:space="preserve"> (</w:t>
            </w:r>
            <w:r w:rsidR="004F1470">
              <w:t>ASA</w:t>
            </w:r>
            <w:r w:rsidR="006B2270">
              <w:t>)</w:t>
            </w:r>
            <w:r w:rsidR="004B5D4C" w:rsidRPr="00065200">
              <w:t xml:space="preserve"> </w:t>
            </w:r>
            <w:r w:rsidRPr="00065200">
              <w:t>to deliver a “globally responsible and respected space sector that lifts the broader economy, and inspires and improves the lives of Australians”</w:t>
            </w:r>
            <w:r w:rsidRPr="00065200">
              <w:rPr>
                <w:rStyle w:val="FootnoteReference"/>
              </w:rPr>
              <w:footnoteReference w:id="59"/>
            </w:r>
            <w:r w:rsidRPr="00065200">
              <w:t xml:space="preserve"> attests to the </w:t>
            </w:r>
            <w:r w:rsidR="00D6417D" w:rsidRPr="00065200">
              <w:t>G</w:t>
            </w:r>
            <w:r w:rsidRPr="00065200">
              <w:t xml:space="preserve">overnment’s commitment to grow </w:t>
            </w:r>
            <w:r w:rsidR="00CC4ADE" w:rsidRPr="00065200">
              <w:t>this emerging</w:t>
            </w:r>
            <w:r w:rsidRPr="00065200">
              <w:t xml:space="preserve"> sector to protect and advance national interests. The establishment of the </w:t>
            </w:r>
            <w:r w:rsidR="004F1470">
              <w:t>ASA</w:t>
            </w:r>
            <w:r w:rsidR="00445F06" w:rsidRPr="00065200">
              <w:t xml:space="preserve"> and</w:t>
            </w:r>
            <w:r w:rsidR="00CC4ADE" w:rsidRPr="00065200">
              <w:t xml:space="preserve"> the development of the Australian Civil Space Strategy have</w:t>
            </w:r>
            <w:r w:rsidRPr="00065200">
              <w:t xml:space="preserve"> provided a</w:t>
            </w:r>
            <w:r w:rsidR="00D6417D" w:rsidRPr="00065200">
              <w:t>n enduring</w:t>
            </w:r>
            <w:r w:rsidRPr="00065200">
              <w:t xml:space="preserve"> focus of investment and activity for the </w:t>
            </w:r>
            <w:r w:rsidR="00D6417D" w:rsidRPr="00065200">
              <w:t>G</w:t>
            </w:r>
            <w:r w:rsidRPr="00065200">
              <w:t xml:space="preserve">overnment’s investment in space. Australia now has an opportunity to capitalise on this renewed focus </w:t>
            </w:r>
            <w:r w:rsidR="00CC4ADE" w:rsidRPr="00065200">
              <w:t xml:space="preserve">in the civil space sector, as well as growing </w:t>
            </w:r>
            <w:r w:rsidR="007A0758">
              <w:t xml:space="preserve">the </w:t>
            </w:r>
            <w:r w:rsidR="00CC4ADE" w:rsidRPr="00065200">
              <w:t xml:space="preserve">defence space sector, </w:t>
            </w:r>
            <w:r w:rsidRPr="00065200">
              <w:t>to ensure its ISR investments are effective.</w:t>
            </w:r>
          </w:p>
          <w:p w14:paraId="1BD10E0A" w14:textId="4F400446" w:rsidR="002A4FF6" w:rsidRPr="00065200" w:rsidRDefault="002A4FF6" w:rsidP="001F7729">
            <w:pPr>
              <w:keepLines/>
              <w:spacing w:after="0"/>
            </w:pPr>
            <w:r w:rsidRPr="00065200">
              <w:t xml:space="preserve">The space sector was chosen </w:t>
            </w:r>
            <w:r w:rsidR="007A0758">
              <w:t>as</w:t>
            </w:r>
            <w:r w:rsidRPr="00065200">
              <w:t xml:space="preserve"> an exemplar of an emergent </w:t>
            </w:r>
            <w:r w:rsidR="00D6417D" w:rsidRPr="00065200">
              <w:t>G</w:t>
            </w:r>
            <w:r w:rsidRPr="00065200">
              <w:t>overnment priority. The co</w:t>
            </w:r>
            <w:r w:rsidR="00676723">
              <w:t>mpilation</w:t>
            </w:r>
            <w:r w:rsidRPr="00065200">
              <w:t xml:space="preserve"> of </w:t>
            </w:r>
            <w:r w:rsidR="00D6417D" w:rsidRPr="00065200">
              <w:t>G</w:t>
            </w:r>
            <w:r w:rsidRPr="00065200">
              <w:t xml:space="preserve">overnment space ISR investment data </w:t>
            </w:r>
            <w:r w:rsidR="00230041" w:rsidRPr="00065200">
              <w:t>by I</w:t>
            </w:r>
            <w:r w:rsidR="007F7D48">
              <w:t>I</w:t>
            </w:r>
            <w:r w:rsidR="00230041" w:rsidRPr="00065200">
              <w:t xml:space="preserve">SA </w:t>
            </w:r>
            <w:r w:rsidRPr="00065200">
              <w:t xml:space="preserve">has informed qualitative and quantitative analyses of the scale, distribution and nature of the government’s space investments. </w:t>
            </w:r>
            <w:r w:rsidR="004A7C58" w:rsidRPr="00065200">
              <w:t>C</w:t>
            </w:r>
            <w:r w:rsidRPr="00065200">
              <w:t>onsultations with Government funders and performers</w:t>
            </w:r>
            <w:r w:rsidR="004A7C58" w:rsidRPr="00065200">
              <w:t xml:space="preserve"> </w:t>
            </w:r>
            <w:r w:rsidR="00676723">
              <w:t xml:space="preserve">in the space sector </w:t>
            </w:r>
            <w:r w:rsidRPr="00065200">
              <w:t>provided further input to the qualitative analysis.</w:t>
            </w:r>
          </w:p>
        </w:tc>
      </w:tr>
    </w:tbl>
    <w:p w14:paraId="3013D17E" w14:textId="3CCCB08F" w:rsidR="00914EC0" w:rsidRPr="00065200" w:rsidRDefault="00914EC0" w:rsidP="00950C16">
      <w:bookmarkStart w:id="160" w:name="_Toc40282988"/>
      <w:bookmarkStart w:id="161" w:name="_Toc40372686"/>
      <w:bookmarkStart w:id="162" w:name="_Toc40451942"/>
      <w:bookmarkStart w:id="163" w:name="_Toc40453236"/>
      <w:bookmarkStart w:id="164" w:name="_Toc40799902"/>
      <w:bookmarkStart w:id="165" w:name="_Toc40801716"/>
      <w:bookmarkStart w:id="166" w:name="_Toc40877280"/>
      <w:bookmarkStart w:id="167" w:name="_Toc40885903"/>
      <w:bookmarkStart w:id="168" w:name="_Toc40886722"/>
      <w:bookmarkStart w:id="169" w:name="_Toc40897269"/>
      <w:bookmarkStart w:id="170" w:name="_Toc40899217"/>
      <w:bookmarkStart w:id="171" w:name="_Toc40905525"/>
      <w:bookmarkStart w:id="172" w:name="_Toc40906385"/>
      <w:bookmarkStart w:id="173" w:name="_Toc40950885"/>
      <w:bookmarkStart w:id="174" w:name="_Toc40956811"/>
      <w:bookmarkStart w:id="175" w:name="_Toc40957790"/>
      <w:bookmarkStart w:id="176" w:name="_Toc40960219"/>
      <w:bookmarkStart w:id="177" w:name="_Toc40960311"/>
      <w:bookmarkStart w:id="178" w:name="_Toc40964347"/>
      <w:bookmarkStart w:id="179" w:name="_Toc40964765"/>
      <w:bookmarkStart w:id="180" w:name="_Toc40964777"/>
      <w:bookmarkStart w:id="181" w:name="_Toc40964292"/>
      <w:bookmarkStart w:id="182" w:name="_Toc40966963"/>
      <w:bookmarkStart w:id="183" w:name="_Toc40968248"/>
      <w:bookmarkStart w:id="184" w:name="_Toc40969806"/>
      <w:bookmarkStart w:id="185" w:name="_Toc40970217"/>
      <w:bookmarkStart w:id="186" w:name="_Toc40970812"/>
      <w:bookmarkStart w:id="187" w:name="_Toc41383025"/>
      <w:bookmarkStart w:id="188" w:name="_Toc41403356"/>
      <w:bookmarkStart w:id="189" w:name="_Toc41405316"/>
      <w:bookmarkStart w:id="190" w:name="_Toc41405411"/>
      <w:bookmarkStart w:id="191" w:name="_Toc41405438"/>
      <w:bookmarkStart w:id="192" w:name="_Toc41483272"/>
      <w:bookmarkStart w:id="193" w:name="_Toc41483670"/>
      <w:bookmarkStart w:id="194" w:name="_Toc41485184"/>
      <w:bookmarkStart w:id="195" w:name="_Toc41487188"/>
      <w:bookmarkStart w:id="196" w:name="_Toc41488816"/>
      <w:bookmarkStart w:id="197" w:name="_Toc41489016"/>
      <w:bookmarkStart w:id="198" w:name="_Toc41489814"/>
      <w:bookmarkStart w:id="199" w:name="_Toc41492085"/>
      <w:bookmarkStart w:id="200" w:name="_Toc42777660"/>
      <w:bookmarkStart w:id="201" w:name="_Toc42784247"/>
      <w:bookmarkStart w:id="202" w:name="_Toc42852830"/>
      <w:bookmarkStart w:id="203" w:name="_Toc43204807"/>
      <w:bookmarkStart w:id="204" w:name="_Toc43205534"/>
      <w:bookmarkStart w:id="205" w:name="_Toc43205886"/>
      <w:bookmarkStart w:id="206" w:name="_Toc42785562"/>
      <w:bookmarkStart w:id="207" w:name="_Toc42788813"/>
      <w:r w:rsidRPr="00065200">
        <w:br w:type="page"/>
      </w:r>
    </w:p>
    <w:p w14:paraId="0358A911" w14:textId="77777777" w:rsidR="00EF79EE" w:rsidRPr="00065200" w:rsidRDefault="00D947A2" w:rsidP="00EF79EE">
      <w:pPr>
        <w:pStyle w:val="Heading2"/>
        <w:rPr>
          <w:lang w:val="en-AU"/>
        </w:rPr>
      </w:pPr>
      <w:bookmarkStart w:id="208" w:name="_Toc43215097"/>
      <w:bookmarkStart w:id="209" w:name="_Toc43219292"/>
      <w:bookmarkStart w:id="210" w:name="_Toc43220084"/>
      <w:bookmarkStart w:id="211" w:name="_Toc43385204"/>
      <w:bookmarkStart w:id="212" w:name="_Toc43386336"/>
      <w:bookmarkStart w:id="213" w:name="_Toc43386434"/>
      <w:bookmarkStart w:id="214" w:name="_Toc43391350"/>
      <w:bookmarkStart w:id="215" w:name="_Toc43393327"/>
      <w:bookmarkStart w:id="216" w:name="_Toc43394338"/>
      <w:bookmarkStart w:id="217" w:name="_Toc43458520"/>
      <w:bookmarkStart w:id="218" w:name="_Toc43460184"/>
      <w:bookmarkStart w:id="219" w:name="_Toc43466948"/>
      <w:bookmarkStart w:id="220" w:name="_Toc43478642"/>
      <w:bookmarkStart w:id="221" w:name="_Toc43479267"/>
      <w:bookmarkStart w:id="222" w:name="_Toc43481506"/>
      <w:bookmarkStart w:id="223" w:name="_Toc43719157"/>
      <w:bookmarkStart w:id="224" w:name="_Toc43729716"/>
      <w:bookmarkStart w:id="225" w:name="_Toc43730262"/>
      <w:bookmarkStart w:id="226" w:name="_Toc43731108"/>
      <w:bookmarkStart w:id="227" w:name="_Toc43733226"/>
      <w:bookmarkStart w:id="228" w:name="_Toc43733672"/>
      <w:bookmarkStart w:id="229" w:name="_Toc43735614"/>
      <w:bookmarkStart w:id="230" w:name="_Toc43735806"/>
      <w:bookmarkStart w:id="231" w:name="_Toc43737174"/>
      <w:bookmarkStart w:id="232" w:name="_Toc43737675"/>
      <w:bookmarkStart w:id="233" w:name="_Toc44335305"/>
      <w:bookmarkStart w:id="234" w:name="_Toc44069065"/>
      <w:bookmarkStart w:id="235" w:name="_Toc44317939"/>
      <w:bookmarkStart w:id="236" w:name="_Toc44318013"/>
      <w:bookmarkStart w:id="237" w:name="_Toc44328510"/>
      <w:bookmarkStart w:id="238" w:name="_Toc44329576"/>
      <w:bookmarkStart w:id="239" w:name="_Toc44331608"/>
      <w:bookmarkStart w:id="240" w:name="_Toc44331759"/>
      <w:bookmarkStart w:id="241" w:name="_Toc44331891"/>
      <w:bookmarkStart w:id="242" w:name="_Toc44334873"/>
      <w:bookmarkStart w:id="243" w:name="_Toc44422229"/>
      <w:bookmarkStart w:id="244" w:name="_Toc44424099"/>
      <w:bookmarkStart w:id="245" w:name="_Toc44424324"/>
      <w:bookmarkStart w:id="246" w:name="_Toc55910409"/>
      <w:bookmarkStart w:id="247" w:name="_Toc55991212"/>
      <w:bookmarkStart w:id="248" w:name="_Toc55995733"/>
      <w:bookmarkStart w:id="249" w:name="_Toc55997210"/>
      <w:bookmarkStart w:id="250" w:name="_Toc56069452"/>
      <w:bookmarkStart w:id="251" w:name="_Toc57105518"/>
      <w:bookmarkStart w:id="252" w:name="_Toc57134704"/>
      <w:bookmarkStart w:id="253" w:name="_Toc57141292"/>
      <w:bookmarkStart w:id="254" w:name="_Toc57640805"/>
      <w:r w:rsidRPr="00065200">
        <w:rPr>
          <w:lang w:val="en-AU"/>
        </w:rPr>
        <w:lastRenderedPageBreak/>
        <w:t>Recommended Action</w:t>
      </w:r>
      <w:r w:rsidR="002E5595" w:rsidRPr="00065200">
        <w:rPr>
          <w:lang w:val="en-AU"/>
        </w:rPr>
        <w:t xml:space="preserve"> </w:t>
      </w:r>
      <w:r w:rsidR="009B5AC4" w:rsidRPr="00065200">
        <w:rPr>
          <w:lang w:val="en-AU"/>
        </w:rPr>
        <w:t>1</w:t>
      </w:r>
      <w:r w:rsidR="00AC4094" w:rsidRPr="00065200">
        <w:rPr>
          <w:lang w:val="en-AU"/>
        </w:rPr>
        <w:t>:</w:t>
      </w:r>
      <w:bookmarkEnd w:id="156"/>
      <w:bookmarkEnd w:id="157"/>
      <w:r w:rsidR="009B5AC4" w:rsidRPr="00065200">
        <w:rPr>
          <w:lang w:val="en-AU"/>
        </w:rPr>
        <w:t xml:space="preserve"> </w:t>
      </w:r>
      <w:bookmarkEnd w:id="158"/>
      <w:r w:rsidR="001A029E" w:rsidRPr="00065200">
        <w:rPr>
          <w:lang w:val="en-AU"/>
        </w:rPr>
        <w:t>W</w:t>
      </w:r>
      <w:r w:rsidR="007522B6" w:rsidRPr="00065200">
        <w:rPr>
          <w:lang w:val="en-AU"/>
        </w:rPr>
        <w:t>hole</w:t>
      </w:r>
      <w:r w:rsidR="001C0922" w:rsidRPr="00065200">
        <w:rPr>
          <w:lang w:val="en-AU"/>
        </w:rPr>
        <w:t>-</w:t>
      </w:r>
      <w:r w:rsidR="0081346A" w:rsidRPr="00065200">
        <w:rPr>
          <w:lang w:val="en-AU"/>
        </w:rPr>
        <w:t>of</w:t>
      </w:r>
      <w:r w:rsidR="001C0922" w:rsidRPr="00065200">
        <w:rPr>
          <w:lang w:val="en-AU"/>
        </w:rPr>
        <w:t>-</w:t>
      </w:r>
      <w:r w:rsidR="008B3320" w:rsidRPr="00065200">
        <w:rPr>
          <w:lang w:val="en-AU"/>
        </w:rPr>
        <w:t xml:space="preserve">government ISR priorities </w:t>
      </w:r>
      <w:r w:rsidR="007522B6" w:rsidRPr="00065200">
        <w:rPr>
          <w:lang w:val="en-AU"/>
        </w:rPr>
        <w:t>that</w:t>
      </w:r>
      <w:r w:rsidR="008B3320" w:rsidRPr="00065200">
        <w:rPr>
          <w:lang w:val="en-AU"/>
        </w:rPr>
        <w:t xml:space="preserve"> drive investment decisions</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bookmarkEnd w:id="206"/>
    <w:bookmarkEnd w:id="207"/>
    <w:p w14:paraId="7B5A9FEE" w14:textId="2786A6D8" w:rsidR="000C2197" w:rsidRPr="00065200" w:rsidRDefault="000C2197" w:rsidP="000C2197">
      <w:r w:rsidRPr="00065200">
        <w:t>Government investment in ISR is effective when it achieves its intended o</w:t>
      </w:r>
      <w:r w:rsidR="00DB4E4D">
        <w:t>utcomes</w:t>
      </w:r>
      <w:r w:rsidRPr="00065200">
        <w:t>.</w:t>
      </w:r>
      <w:r w:rsidRPr="00065200">
        <w:rPr>
          <w:vertAlign w:val="superscript"/>
        </w:rPr>
        <w:footnoteReference w:id="60"/>
      </w:r>
      <w:r w:rsidRPr="00065200">
        <w:t xml:space="preserve"> Effective ISR investment creates impact through its ability to respond to Government</w:t>
      </w:r>
      <w:r w:rsidR="00BE3512">
        <w:t xml:space="preserve"> priorities</w:t>
      </w:r>
      <w:r w:rsidR="00BC521E" w:rsidRPr="00065200">
        <w:t>.</w:t>
      </w:r>
    </w:p>
    <w:tbl>
      <w:tblPr>
        <w:tblStyle w:val="TableGrid"/>
        <w:tblW w:w="90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2F9"/>
        <w:tblCellMar>
          <w:top w:w="85" w:type="dxa"/>
          <w:bottom w:w="85" w:type="dxa"/>
        </w:tblCellMar>
        <w:tblLook w:val="0620" w:firstRow="1" w:lastRow="0" w:firstColumn="0" w:lastColumn="0" w:noHBand="1" w:noVBand="1"/>
        <w:tblCaption w:val="Recommended Action 1"/>
        <w:tblDescription w:val="Describes key aspects of recommended action 1"/>
      </w:tblPr>
      <w:tblGrid>
        <w:gridCol w:w="9032"/>
      </w:tblGrid>
      <w:tr w:rsidR="00950C16" w:rsidRPr="00065200" w14:paraId="6B11FFB0" w14:textId="77777777" w:rsidTr="00950C16">
        <w:trPr>
          <w:trHeight w:val="400"/>
          <w:tblHeader/>
        </w:trPr>
        <w:tc>
          <w:tcPr>
            <w:tcW w:w="9498" w:type="dxa"/>
            <w:shd w:val="clear" w:color="auto" w:fill="EBF2F9"/>
            <w:tcMar>
              <w:bottom w:w="28" w:type="dxa"/>
            </w:tcMar>
          </w:tcPr>
          <w:p w14:paraId="2B734F3E" w14:textId="77777777" w:rsidR="00950C16" w:rsidRPr="00065200" w:rsidRDefault="00950C16" w:rsidP="00950C16">
            <w:pPr>
              <w:spacing w:after="0"/>
              <w:rPr>
                <w:b/>
                <w:color w:val="2B4354" w:themeColor="accent1" w:themeShade="80"/>
              </w:rPr>
            </w:pPr>
            <w:r w:rsidRPr="00065200">
              <w:rPr>
                <w:b/>
                <w:color w:val="2B4354" w:themeColor="accent1" w:themeShade="80"/>
              </w:rPr>
              <w:t>Recommended Action 1</w:t>
            </w:r>
          </w:p>
          <w:p w14:paraId="01B3D57E" w14:textId="77777777" w:rsidR="00950C16" w:rsidRPr="006D0DFB" w:rsidRDefault="00950C16" w:rsidP="00950C16">
            <w:pPr>
              <w:spacing w:after="0"/>
              <w:rPr>
                <w:b/>
                <w:sz w:val="20"/>
                <w:szCs w:val="20"/>
              </w:rPr>
            </w:pPr>
            <w:r w:rsidRPr="00065200">
              <w:rPr>
                <w:b/>
                <w:sz w:val="20"/>
                <w:szCs w:val="20"/>
              </w:rPr>
              <w:t>The development of whole-of-government ISR priorities could be used to drive investment decisions by ensuring</w:t>
            </w:r>
            <w:r w:rsidRPr="00065200">
              <w:rPr>
                <w:sz w:val="20"/>
                <w:szCs w:val="20"/>
              </w:rPr>
              <w:t>:</w:t>
            </w:r>
          </w:p>
        </w:tc>
      </w:tr>
      <w:tr w:rsidR="00950C16" w:rsidRPr="00065200" w14:paraId="1A26BC27" w14:textId="77777777" w:rsidTr="00950C16">
        <w:trPr>
          <w:trHeight w:val="2443"/>
          <w:tblHeader/>
        </w:trPr>
        <w:tc>
          <w:tcPr>
            <w:tcW w:w="9498" w:type="dxa"/>
            <w:shd w:val="clear" w:color="auto" w:fill="EBF2F9"/>
            <w:tcMar>
              <w:top w:w="28" w:type="dxa"/>
            </w:tcMar>
          </w:tcPr>
          <w:p w14:paraId="2C8AF6A1" w14:textId="77777777" w:rsidR="00950C16" w:rsidRPr="00065200" w:rsidRDefault="00950C16" w:rsidP="000B1E57">
            <w:pPr>
              <w:pStyle w:val="ListParagraph"/>
              <w:numPr>
                <w:ilvl w:val="0"/>
                <w:numId w:val="55"/>
              </w:numPr>
              <w:spacing w:before="40" w:after="0" w:line="240" w:lineRule="auto"/>
              <w:ind w:left="601" w:hanging="425"/>
              <w:rPr>
                <w:sz w:val="20"/>
                <w:szCs w:val="20"/>
              </w:rPr>
            </w:pPr>
            <w:r w:rsidRPr="00065200">
              <w:rPr>
                <w:sz w:val="20"/>
                <w:szCs w:val="20"/>
              </w:rPr>
              <w:t>All new ISR investments, and planned revi</w:t>
            </w:r>
            <w:r>
              <w:rPr>
                <w:sz w:val="20"/>
                <w:szCs w:val="20"/>
              </w:rPr>
              <w:t>ews of existing investments, are</w:t>
            </w:r>
            <w:r w:rsidRPr="00065200">
              <w:rPr>
                <w:sz w:val="20"/>
                <w:szCs w:val="20"/>
              </w:rPr>
              <w:t xml:space="preserve"> tied to </w:t>
            </w:r>
            <w:r>
              <w:rPr>
                <w:sz w:val="20"/>
                <w:szCs w:val="20"/>
              </w:rPr>
              <w:t>whole</w:t>
            </w:r>
            <w:r>
              <w:rPr>
                <w:sz w:val="20"/>
                <w:szCs w:val="20"/>
              </w:rPr>
              <w:noBreakHyphen/>
              <w:t>of</w:t>
            </w:r>
            <w:r>
              <w:rPr>
                <w:sz w:val="20"/>
                <w:szCs w:val="20"/>
              </w:rPr>
              <w:noBreakHyphen/>
              <w:t>government</w:t>
            </w:r>
            <w:r w:rsidRPr="00065200">
              <w:rPr>
                <w:sz w:val="20"/>
                <w:szCs w:val="20"/>
              </w:rPr>
              <w:t xml:space="preserve"> priorities.</w:t>
            </w:r>
          </w:p>
          <w:p w14:paraId="6A245A6C" w14:textId="77777777" w:rsidR="00950C16" w:rsidRPr="00065200" w:rsidRDefault="00950C16" w:rsidP="000B1E57">
            <w:pPr>
              <w:pStyle w:val="ListParagraph"/>
              <w:numPr>
                <w:ilvl w:val="0"/>
                <w:numId w:val="55"/>
              </w:numPr>
              <w:spacing w:before="40" w:after="0" w:line="240" w:lineRule="auto"/>
              <w:ind w:left="601" w:hanging="425"/>
              <w:rPr>
                <w:sz w:val="20"/>
                <w:szCs w:val="20"/>
              </w:rPr>
            </w:pPr>
            <w:r w:rsidRPr="00065200">
              <w:rPr>
                <w:sz w:val="20"/>
                <w:szCs w:val="20"/>
              </w:rPr>
              <w:t>Such ISR priorities</w:t>
            </w:r>
            <w:r>
              <w:rPr>
                <w:sz w:val="20"/>
                <w:szCs w:val="20"/>
              </w:rPr>
              <w:t xml:space="preserve"> should</w:t>
            </w:r>
            <w:r w:rsidRPr="00065200">
              <w:rPr>
                <w:sz w:val="20"/>
                <w:szCs w:val="20"/>
              </w:rPr>
              <w:t>:</w:t>
            </w:r>
          </w:p>
          <w:p w14:paraId="0FADDC92" w14:textId="77777777" w:rsidR="00950C16" w:rsidRPr="00065200" w:rsidRDefault="00950C16" w:rsidP="000B1E57">
            <w:pPr>
              <w:pStyle w:val="ListParagraph"/>
              <w:numPr>
                <w:ilvl w:val="0"/>
                <w:numId w:val="56"/>
              </w:numPr>
              <w:spacing w:before="40" w:after="0" w:line="240" w:lineRule="auto"/>
              <w:ind w:left="1026" w:hanging="425"/>
              <w:rPr>
                <w:sz w:val="20"/>
                <w:szCs w:val="20"/>
              </w:rPr>
            </w:pPr>
            <w:r w:rsidRPr="00065200">
              <w:rPr>
                <w:sz w:val="20"/>
                <w:szCs w:val="20"/>
              </w:rPr>
              <w:t>Provide system-level stability</w:t>
            </w:r>
            <w:r>
              <w:rPr>
                <w:sz w:val="20"/>
                <w:szCs w:val="20"/>
              </w:rPr>
              <w:t>;</w:t>
            </w:r>
            <w:r w:rsidRPr="00065200">
              <w:rPr>
                <w:sz w:val="20"/>
                <w:szCs w:val="20"/>
              </w:rPr>
              <w:t xml:space="preserve"> </w:t>
            </w:r>
            <w:r>
              <w:rPr>
                <w:sz w:val="20"/>
                <w:szCs w:val="20"/>
              </w:rPr>
              <w:t xml:space="preserve">be </w:t>
            </w:r>
            <w:r w:rsidRPr="00065200">
              <w:rPr>
                <w:sz w:val="20"/>
                <w:szCs w:val="20"/>
              </w:rPr>
              <w:t>review</w:t>
            </w:r>
            <w:r>
              <w:rPr>
                <w:sz w:val="20"/>
                <w:szCs w:val="20"/>
              </w:rPr>
              <w:t>ed</w:t>
            </w:r>
            <w:r w:rsidRPr="00065200">
              <w:rPr>
                <w:sz w:val="20"/>
                <w:szCs w:val="20"/>
              </w:rPr>
              <w:t xml:space="preserve"> every 10 years, or when significant changes occur</w:t>
            </w:r>
            <w:r>
              <w:rPr>
                <w:sz w:val="20"/>
                <w:szCs w:val="20"/>
              </w:rPr>
              <w:t>;</w:t>
            </w:r>
            <w:r w:rsidRPr="00065200">
              <w:rPr>
                <w:sz w:val="20"/>
                <w:szCs w:val="20"/>
              </w:rPr>
              <w:t xml:space="preserve"> and be responsive to societal, economic, and environmental challenges.</w:t>
            </w:r>
          </w:p>
          <w:p w14:paraId="1BF37FC5" w14:textId="77777777" w:rsidR="00950C16" w:rsidRPr="00065200" w:rsidRDefault="00950C16" w:rsidP="000B1E57">
            <w:pPr>
              <w:pStyle w:val="ListParagraph"/>
              <w:numPr>
                <w:ilvl w:val="0"/>
                <w:numId w:val="56"/>
              </w:numPr>
              <w:spacing w:before="40" w:after="0" w:line="240" w:lineRule="auto"/>
              <w:ind w:left="1026" w:hanging="425"/>
              <w:rPr>
                <w:sz w:val="20"/>
                <w:szCs w:val="20"/>
              </w:rPr>
            </w:pPr>
            <w:r w:rsidRPr="00065200">
              <w:rPr>
                <w:sz w:val="20"/>
                <w:szCs w:val="20"/>
              </w:rPr>
              <w:t>Be aligned with other Commonwealth Government priorities (such as short</w:t>
            </w:r>
            <w:r>
              <w:rPr>
                <w:sz w:val="20"/>
                <w:szCs w:val="20"/>
              </w:rPr>
              <w:noBreakHyphen/>
            </w:r>
            <w:r w:rsidRPr="00065200">
              <w:rPr>
                <w:sz w:val="20"/>
                <w:szCs w:val="20"/>
              </w:rPr>
              <w:t xml:space="preserve">term stimulus and long-term economic growth priorities). </w:t>
            </w:r>
          </w:p>
          <w:p w14:paraId="67795AEB" w14:textId="77777777" w:rsidR="00950C16" w:rsidRPr="00065200" w:rsidRDefault="00950C16" w:rsidP="000B1E57">
            <w:pPr>
              <w:pStyle w:val="ListParagraph"/>
              <w:numPr>
                <w:ilvl w:val="0"/>
                <w:numId w:val="56"/>
              </w:numPr>
              <w:spacing w:before="40" w:after="0" w:line="240" w:lineRule="auto"/>
              <w:ind w:left="1026" w:hanging="425"/>
              <w:rPr>
                <w:sz w:val="20"/>
                <w:szCs w:val="20"/>
              </w:rPr>
            </w:pPr>
            <w:r w:rsidRPr="00065200">
              <w:rPr>
                <w:sz w:val="20"/>
                <w:szCs w:val="20"/>
              </w:rPr>
              <w:t>Support both R&amp;D and non-R&amp;D innovation.</w:t>
            </w:r>
          </w:p>
          <w:p w14:paraId="35A1C59C" w14:textId="77777777" w:rsidR="00950C16" w:rsidRPr="00065200" w:rsidRDefault="00950C16" w:rsidP="000B1E57">
            <w:pPr>
              <w:pStyle w:val="ListParagraph"/>
              <w:numPr>
                <w:ilvl w:val="0"/>
                <w:numId w:val="56"/>
              </w:numPr>
              <w:spacing w:before="40" w:after="0" w:line="240" w:lineRule="auto"/>
              <w:ind w:left="1026" w:hanging="425"/>
              <w:rPr>
                <w:sz w:val="20"/>
                <w:szCs w:val="20"/>
              </w:rPr>
            </w:pPr>
            <w:r w:rsidRPr="00065200">
              <w:rPr>
                <w:sz w:val="20"/>
                <w:szCs w:val="20"/>
              </w:rPr>
              <w:t>Support ISR excellence.</w:t>
            </w:r>
          </w:p>
        </w:tc>
      </w:tr>
    </w:tbl>
    <w:p w14:paraId="13D40FF6" w14:textId="22CF044F" w:rsidR="004B41F6" w:rsidRPr="00065200" w:rsidRDefault="00A55B11" w:rsidP="00072FCD">
      <w:pPr>
        <w:pStyle w:val="Heading3"/>
      </w:pPr>
      <w:r w:rsidRPr="00065200">
        <w:t>Government</w:t>
      </w:r>
      <w:r w:rsidR="00AE293D" w:rsidRPr="00065200">
        <w:t xml:space="preserve"> </w:t>
      </w:r>
      <w:r w:rsidR="004C0FDF" w:rsidRPr="00065200">
        <w:t xml:space="preserve">ISR priorities </w:t>
      </w:r>
      <w:r w:rsidR="00BE6BB0" w:rsidRPr="00065200">
        <w:t xml:space="preserve">that </w:t>
      </w:r>
      <w:r w:rsidR="004C0FDF" w:rsidRPr="00065200">
        <w:t>drive investment</w:t>
      </w:r>
    </w:p>
    <w:p w14:paraId="597B5520" w14:textId="0AF023B6" w:rsidR="0078125A" w:rsidRDefault="00F55B7F" w:rsidP="002D45DD">
      <w:r>
        <w:t>Identifying the ultimate goals of national research policy is important</w:t>
      </w:r>
      <w:r w:rsidR="0098696F">
        <w:t>,</w:t>
      </w:r>
      <w:r>
        <w:t xml:space="preserve"> because without any consensus about what they should be</w:t>
      </w:r>
      <w:r w:rsidR="0024146C">
        <w:t>,</w:t>
      </w:r>
      <w:r>
        <w:t xml:space="preserve"> it becomes impossible to answer </w:t>
      </w:r>
      <w:r w:rsidR="0098696F">
        <w:t>a</w:t>
      </w:r>
      <w:r>
        <w:t xml:space="preserve"> key question: how much ISR should we </w:t>
      </w:r>
      <w:r w:rsidR="0098696F">
        <w:t xml:space="preserve">currently </w:t>
      </w:r>
      <w:r>
        <w:t>do as a nation</w:t>
      </w:r>
      <w:r w:rsidR="0098696F">
        <w:t>,</w:t>
      </w:r>
      <w:r>
        <w:t xml:space="preserve"> and how much do we need to do?</w:t>
      </w:r>
      <w:r>
        <w:rPr>
          <w:rStyle w:val="FootnoteReference"/>
        </w:rPr>
        <w:footnoteReference w:id="61"/>
      </w:r>
      <w:r w:rsidR="00F70142">
        <w:t xml:space="preserve"> </w:t>
      </w:r>
      <w:r w:rsidR="0078125A">
        <w:t>Whole</w:t>
      </w:r>
      <w:r w:rsidR="0098696F">
        <w:noBreakHyphen/>
      </w:r>
      <w:r w:rsidR="0078125A">
        <w:t>of</w:t>
      </w:r>
      <w:r w:rsidR="0098696F">
        <w:noBreakHyphen/>
      </w:r>
      <w:r w:rsidR="0078125A">
        <w:t xml:space="preserve">government </w:t>
      </w:r>
      <w:r w:rsidR="0078125A" w:rsidRPr="00CC4320">
        <w:t xml:space="preserve">ISR priorities are important mechanisms for signalling how Government ISR investment </w:t>
      </w:r>
      <w:r w:rsidR="00290B91">
        <w:t>supports</w:t>
      </w:r>
      <w:r w:rsidR="0078125A" w:rsidRPr="00CC4320">
        <w:t xml:space="preserve"> the Government’s national priorities</w:t>
      </w:r>
      <w:r w:rsidR="00290B91">
        <w:t>,</w:t>
      </w:r>
      <w:r w:rsidR="0078125A" w:rsidRPr="00CC4320">
        <w:t xml:space="preserve"> which </w:t>
      </w:r>
      <w:r w:rsidR="0098696F">
        <w:t xml:space="preserve">in turn, </w:t>
      </w:r>
      <w:r w:rsidR="0078125A" w:rsidRPr="00CC4320">
        <w:t>can influence actors across the system.</w:t>
      </w:r>
      <w:r w:rsidR="0078125A">
        <w:t xml:space="preserve"> </w:t>
      </w:r>
      <w:r w:rsidR="00F70142">
        <w:t xml:space="preserve">For example, </w:t>
      </w:r>
      <w:r w:rsidR="00BE3512">
        <w:t xml:space="preserve">ISR </w:t>
      </w:r>
      <w:r w:rsidR="0078125A" w:rsidRPr="00CC4320">
        <w:t>priorities can inform and shape policy activity across government to drive effective ISR outcomes, focusing efforts in areas such as skills and capability development, policy</w:t>
      </w:r>
      <w:r w:rsidR="007A0758">
        <w:t xml:space="preserve"> settings</w:t>
      </w:r>
      <w:r w:rsidR="004D1DFD" w:rsidRPr="00CC4320">
        <w:t>,</w:t>
      </w:r>
      <w:r w:rsidR="0078125A" w:rsidRPr="00CC4320">
        <w:t xml:space="preserve"> regulatory </w:t>
      </w:r>
      <w:r w:rsidR="007A0758">
        <w:t xml:space="preserve">settings </w:t>
      </w:r>
      <w:r w:rsidR="0078125A" w:rsidRPr="00CC4320">
        <w:t>and investment attraction.</w:t>
      </w:r>
      <w:r w:rsidR="0078125A">
        <w:t xml:space="preserve"> </w:t>
      </w:r>
    </w:p>
    <w:p w14:paraId="49750DF5" w14:textId="75FC638C" w:rsidR="00B0370D" w:rsidRPr="00065200" w:rsidRDefault="0078125A" w:rsidP="002D45DD">
      <w:r w:rsidRPr="00065200">
        <w:t xml:space="preserve">Currently, a number of different Commonwealth Government prioritisation policy instruments exist. </w:t>
      </w:r>
      <w:r w:rsidR="0060601F" w:rsidRPr="00065200">
        <w:t xml:space="preserve">These </w:t>
      </w:r>
      <w:r w:rsidR="00C84717" w:rsidRPr="00065200">
        <w:t>c</w:t>
      </w:r>
      <w:r w:rsidR="00B0370D" w:rsidRPr="00065200">
        <w:t>ould be</w:t>
      </w:r>
      <w:r w:rsidR="004C0FDF" w:rsidRPr="00065200">
        <w:t xml:space="preserve"> </w:t>
      </w:r>
      <w:r w:rsidR="00B0370D" w:rsidRPr="00065200">
        <w:t>reviewed, updated</w:t>
      </w:r>
      <w:r w:rsidR="004C0FDF" w:rsidRPr="00065200">
        <w:t xml:space="preserve"> </w:t>
      </w:r>
      <w:r w:rsidR="00B0370D" w:rsidRPr="00065200">
        <w:t xml:space="preserve">and coordinated </w:t>
      </w:r>
      <w:r w:rsidR="004C0FDF" w:rsidRPr="00065200">
        <w:t xml:space="preserve">as they </w:t>
      </w:r>
      <w:r w:rsidR="00513091" w:rsidRPr="00065200">
        <w:t xml:space="preserve">do not </w:t>
      </w:r>
      <w:r w:rsidR="00E66C60" w:rsidRPr="00065200">
        <w:t xml:space="preserve">presently </w:t>
      </w:r>
      <w:r w:rsidR="004C0FDF" w:rsidRPr="00065200">
        <w:t xml:space="preserve">drive </w:t>
      </w:r>
      <w:r w:rsidR="0060601F" w:rsidRPr="00065200">
        <w:t xml:space="preserve">Government </w:t>
      </w:r>
      <w:r w:rsidR="004C0FDF" w:rsidRPr="00065200">
        <w:t xml:space="preserve">ISR </w:t>
      </w:r>
      <w:r w:rsidR="0060601F" w:rsidRPr="00065200">
        <w:t xml:space="preserve">investment </w:t>
      </w:r>
      <w:r w:rsidR="00B0370D" w:rsidRPr="00065200">
        <w:t>at a system level</w:t>
      </w:r>
      <w:r w:rsidR="004C0FDF" w:rsidRPr="00065200">
        <w:t xml:space="preserve">. </w:t>
      </w:r>
      <w:r w:rsidR="00CE3755">
        <w:t>G</w:t>
      </w:r>
      <w:r w:rsidR="004C0FDF" w:rsidRPr="00065200">
        <w:t xml:space="preserve">overnment </w:t>
      </w:r>
      <w:r w:rsidR="00F8119D" w:rsidRPr="00065200">
        <w:t xml:space="preserve">ISR </w:t>
      </w:r>
      <w:r w:rsidR="009B1BD0" w:rsidRPr="00065200">
        <w:t>prioritisation</w:t>
      </w:r>
      <w:r w:rsidR="004C0FDF" w:rsidRPr="00065200">
        <w:t xml:space="preserve"> instrument</w:t>
      </w:r>
      <w:r w:rsidR="00C539CD" w:rsidRPr="00065200">
        <w:t xml:space="preserve">s </w:t>
      </w:r>
      <w:r w:rsidR="00602161" w:rsidRPr="00065200">
        <w:t xml:space="preserve">at the system level </w:t>
      </w:r>
      <w:r w:rsidR="0024798F">
        <w:t xml:space="preserve">currently </w:t>
      </w:r>
      <w:r w:rsidR="00C539CD" w:rsidRPr="00065200">
        <w:t>include</w:t>
      </w:r>
      <w:r w:rsidR="002D45DD" w:rsidRPr="00065200">
        <w:t xml:space="preserve"> the 2015 National Science and Research Priorities</w:t>
      </w:r>
      <w:r w:rsidR="001B50E6" w:rsidRPr="00065200">
        <w:t xml:space="preserve"> (NSRPs)</w:t>
      </w:r>
      <w:r w:rsidR="00057CF7" w:rsidRPr="00065200">
        <w:rPr>
          <w:rStyle w:val="FootnoteReference"/>
        </w:rPr>
        <w:footnoteReference w:id="62"/>
      </w:r>
      <w:r w:rsidR="00057CF7" w:rsidRPr="00065200">
        <w:t xml:space="preserve"> </w:t>
      </w:r>
      <w:r w:rsidR="001B50E6" w:rsidRPr="00065200">
        <w:t>and</w:t>
      </w:r>
      <w:r w:rsidR="002D45DD" w:rsidRPr="00065200">
        <w:t xml:space="preserve"> the 2017 </w:t>
      </w:r>
      <w:hyperlink r:id="rId27" w:history="1">
        <w:r w:rsidR="002D45DD" w:rsidRPr="00065200">
          <w:t>National Science Statement</w:t>
        </w:r>
      </w:hyperlink>
      <w:r w:rsidR="001B50E6" w:rsidRPr="00065200">
        <w:t>.</w:t>
      </w:r>
      <w:r w:rsidR="002D45DD" w:rsidRPr="00065200">
        <w:rPr>
          <w:rStyle w:val="FootnoteReference"/>
        </w:rPr>
        <w:footnoteReference w:id="63"/>
      </w:r>
      <w:r w:rsidR="002D45DD" w:rsidRPr="00065200">
        <w:t xml:space="preserve"> </w:t>
      </w:r>
    </w:p>
    <w:p w14:paraId="42612549" w14:textId="77777777" w:rsidR="00D11C2D" w:rsidRPr="00065200" w:rsidRDefault="00482215" w:rsidP="000B7008">
      <w:pPr>
        <w:spacing w:after="240"/>
      </w:pPr>
      <w:r w:rsidRPr="00065200">
        <w:lastRenderedPageBreak/>
        <w:t xml:space="preserve">The NSRPs </w:t>
      </w:r>
      <w:r w:rsidR="00B02B54" w:rsidRPr="00065200">
        <w:t>(</w:t>
      </w:r>
      <w:r w:rsidR="00B02B54" w:rsidRPr="00065200">
        <w:rPr>
          <w:highlight w:val="yellow"/>
        </w:rPr>
        <w:fldChar w:fldCharType="begin"/>
      </w:r>
      <w:r w:rsidR="00B02B54" w:rsidRPr="00065200">
        <w:instrText xml:space="preserve"> REF _Ref40965684 \h </w:instrText>
      </w:r>
      <w:r w:rsidR="00B02B54" w:rsidRPr="00065200">
        <w:rPr>
          <w:highlight w:val="yellow"/>
        </w:rPr>
      </w:r>
      <w:r w:rsidR="00B02B54" w:rsidRPr="00065200">
        <w:rPr>
          <w:highlight w:val="yellow"/>
        </w:rPr>
        <w:fldChar w:fldCharType="separate"/>
      </w:r>
      <w:r w:rsidR="00807393" w:rsidRPr="00065200">
        <w:t xml:space="preserve">Table </w:t>
      </w:r>
      <w:r w:rsidR="00807393">
        <w:rPr>
          <w:noProof/>
        </w:rPr>
        <w:t>3</w:t>
      </w:r>
      <w:r w:rsidR="00B02B54" w:rsidRPr="00065200">
        <w:rPr>
          <w:highlight w:val="yellow"/>
        </w:rPr>
        <w:fldChar w:fldCharType="end"/>
      </w:r>
      <w:r w:rsidR="00B02B54" w:rsidRPr="00065200">
        <w:t>)</w:t>
      </w:r>
      <w:r w:rsidR="00C63321">
        <w:t>, and corresponding Practical Research Challenges</w:t>
      </w:r>
      <w:r w:rsidR="00EE39BD">
        <w:t>,</w:t>
      </w:r>
      <w:r w:rsidRPr="00065200">
        <w:t xml:space="preserve"> are designed to identify areas of immediate and critical importance to the nation</w:t>
      </w:r>
      <w:r w:rsidR="0024146C">
        <w:t>,</w:t>
      </w:r>
      <w:r w:rsidRPr="00065200">
        <w:t xml:space="preserve"> and </w:t>
      </w:r>
      <w:r w:rsidR="00C539CD" w:rsidRPr="00065200">
        <w:t>Australia’s</w:t>
      </w:r>
      <w:r w:rsidRPr="00065200">
        <w:t xml:space="preserve"> place in the world</w:t>
      </w:r>
      <w:r w:rsidR="0024146C">
        <w:t>,</w:t>
      </w:r>
      <w:r w:rsidRPr="00065200">
        <w:t xml:space="preserve"> by focusing</w:t>
      </w:r>
      <w:r w:rsidR="0038740C" w:rsidRPr="00065200">
        <w:t xml:space="preserve"> G</w:t>
      </w:r>
      <w:r w:rsidRPr="00065200">
        <w:t>overnment investment for science and research on the most important challenges</w:t>
      </w:r>
      <w:r w:rsidR="000B779C">
        <w:t>. The NSRPs</w:t>
      </w:r>
      <w:r w:rsidR="00A14048">
        <w:t xml:space="preserve"> also</w:t>
      </w:r>
      <w:r w:rsidRPr="00065200">
        <w:t xml:space="preserve"> help science and research efforts reflect the needs of industry, the economy and the community.</w:t>
      </w:r>
      <w:r w:rsidRPr="00065200">
        <w:rPr>
          <w:rStyle w:val="FootnoteReference"/>
        </w:rPr>
        <w:footnoteReference w:id="64"/>
      </w:r>
      <w:r w:rsidRPr="00065200">
        <w:t xml:space="preserve"> The National Science Statement is designed to </w:t>
      </w:r>
      <w:r w:rsidR="00BB710D" w:rsidRPr="00065200">
        <w:t>articulate</w:t>
      </w:r>
      <w:r w:rsidRPr="00065200">
        <w:t xml:space="preserve"> a long-term approach to achieving a strong science system and provides guidance for government investment and decision making.</w:t>
      </w:r>
      <w:r w:rsidRPr="00065200">
        <w:rPr>
          <w:rStyle w:val="FootnoteReference"/>
        </w:rPr>
        <w:footnoteReference w:id="65"/>
      </w:r>
    </w:p>
    <w:p w14:paraId="23D4E0B6" w14:textId="77777777" w:rsidR="00B02B54" w:rsidRPr="00065200" w:rsidRDefault="00B02B54" w:rsidP="00B02B54">
      <w:pPr>
        <w:pStyle w:val="Caption"/>
        <w:keepNext/>
      </w:pPr>
      <w:bookmarkStart w:id="255" w:name="_Ref40965684"/>
      <w:r w:rsidRPr="00065200">
        <w:t xml:space="preserve">Table </w:t>
      </w:r>
      <w:r w:rsidRPr="00065200">
        <w:fldChar w:fldCharType="begin"/>
      </w:r>
      <w:r w:rsidRPr="00065200">
        <w:instrText xml:space="preserve"> SEQ Table \* ARABIC </w:instrText>
      </w:r>
      <w:r w:rsidRPr="00065200">
        <w:fldChar w:fldCharType="separate"/>
      </w:r>
      <w:r w:rsidR="00807393">
        <w:rPr>
          <w:noProof/>
        </w:rPr>
        <w:t>3</w:t>
      </w:r>
      <w:r w:rsidRPr="00065200">
        <w:fldChar w:fldCharType="end"/>
      </w:r>
      <w:bookmarkEnd w:id="255"/>
      <w:r w:rsidRPr="00065200">
        <w:t xml:space="preserve"> </w:t>
      </w:r>
      <w:r w:rsidR="00251C92" w:rsidRPr="00065200">
        <w:t>Commonwealth</w:t>
      </w:r>
      <w:r w:rsidRPr="00065200">
        <w:t xml:space="preserve"> Government’s National Science and Research priorities</w:t>
      </w:r>
    </w:p>
    <w:tbl>
      <w:tblPr>
        <w:tblStyle w:val="TableGrid"/>
        <w:tblW w:w="9061" w:type="dxa"/>
        <w:shd w:val="clear" w:color="auto" w:fill="DCE2EC" w:themeFill="accent2" w:themeFillTint="33"/>
        <w:tblLayout w:type="fixed"/>
        <w:tblCellMar>
          <w:top w:w="57" w:type="dxa"/>
          <w:left w:w="57" w:type="dxa"/>
          <w:bottom w:w="57" w:type="dxa"/>
          <w:right w:w="57" w:type="dxa"/>
        </w:tblCellMar>
        <w:tblLook w:val="04A0" w:firstRow="1" w:lastRow="0" w:firstColumn="1" w:lastColumn="0" w:noHBand="0" w:noVBand="1"/>
        <w:tblCaption w:val="Table 3 Commonwealth Government’s National Science and Research priorities"/>
        <w:tblDescription w:val="Table 3 describes key research to be carried out under each of the nine national science and research priorities."/>
      </w:tblPr>
      <w:tblGrid>
        <w:gridCol w:w="1414"/>
        <w:gridCol w:w="7647"/>
      </w:tblGrid>
      <w:tr w:rsidR="00E15F49" w:rsidRPr="00065200" w14:paraId="70406C57" w14:textId="77777777" w:rsidTr="000B1E57">
        <w:trPr>
          <w:cantSplit/>
          <w:tblHeader/>
        </w:trPr>
        <w:tc>
          <w:tcPr>
            <w:tcW w:w="780" w:type="pct"/>
            <w:shd w:val="clear" w:color="auto" w:fill="DDEAEF" w:themeFill="text2" w:themeFillTint="33"/>
            <w:tcMar>
              <w:top w:w="57" w:type="dxa"/>
              <w:bottom w:w="57" w:type="dxa"/>
            </w:tcMar>
          </w:tcPr>
          <w:p w14:paraId="29B32E18" w14:textId="667A3716" w:rsidR="00E15F49" w:rsidRPr="00065200" w:rsidRDefault="00E15F49" w:rsidP="000B1E57">
            <w:pPr>
              <w:pStyle w:val="TableText"/>
              <w:spacing w:before="0" w:after="0"/>
              <w:ind w:left="0" w:right="142"/>
              <w:rPr>
                <w:b/>
                <w:sz w:val="20"/>
                <w:szCs w:val="20"/>
              </w:rPr>
            </w:pPr>
            <w:r>
              <w:rPr>
                <w:b/>
                <w:sz w:val="20"/>
                <w:szCs w:val="20"/>
              </w:rPr>
              <w:t>Priority</w:t>
            </w:r>
          </w:p>
        </w:tc>
        <w:tc>
          <w:tcPr>
            <w:tcW w:w="4220" w:type="pct"/>
            <w:shd w:val="clear" w:color="auto" w:fill="DDEAEF" w:themeFill="text2" w:themeFillTint="33"/>
            <w:tcMar>
              <w:top w:w="57" w:type="dxa"/>
              <w:bottom w:w="57" w:type="dxa"/>
            </w:tcMar>
            <w:vAlign w:val="center"/>
          </w:tcPr>
          <w:p w14:paraId="5339ECDB" w14:textId="6F22CE63" w:rsidR="00E15F49" w:rsidRPr="00065200" w:rsidRDefault="00E15F49" w:rsidP="000B1E57">
            <w:pPr>
              <w:pStyle w:val="TableText"/>
              <w:spacing w:before="0" w:after="0"/>
              <w:ind w:left="0" w:right="142"/>
              <w:rPr>
                <w:b/>
                <w:sz w:val="20"/>
                <w:szCs w:val="20"/>
              </w:rPr>
            </w:pPr>
            <w:r>
              <w:rPr>
                <w:b/>
                <w:sz w:val="20"/>
                <w:szCs w:val="20"/>
              </w:rPr>
              <w:t>Priority description</w:t>
            </w:r>
          </w:p>
        </w:tc>
      </w:tr>
      <w:tr w:rsidR="00E15F49" w:rsidRPr="00065200" w14:paraId="32F59E0D" w14:textId="77777777" w:rsidTr="000B1E57">
        <w:trPr>
          <w:cantSplit/>
        </w:trPr>
        <w:tc>
          <w:tcPr>
            <w:tcW w:w="780" w:type="pct"/>
            <w:tcMar>
              <w:top w:w="57" w:type="dxa"/>
              <w:bottom w:w="57" w:type="dxa"/>
            </w:tcMar>
          </w:tcPr>
          <w:p w14:paraId="6E6BC1A3" w14:textId="09438CC1" w:rsidR="00E15F49" w:rsidRPr="00065200" w:rsidRDefault="00E15F49" w:rsidP="004D4545">
            <w:pPr>
              <w:spacing w:after="40" w:line="240" w:lineRule="auto"/>
              <w:rPr>
                <w:sz w:val="20"/>
                <w:szCs w:val="20"/>
              </w:rPr>
            </w:pPr>
            <w:r>
              <w:rPr>
                <w:sz w:val="20"/>
                <w:szCs w:val="20"/>
              </w:rPr>
              <w:t>Food</w:t>
            </w:r>
          </w:p>
        </w:tc>
        <w:tc>
          <w:tcPr>
            <w:tcW w:w="4220" w:type="pct"/>
            <w:shd w:val="clear" w:color="auto" w:fill="auto"/>
            <w:tcMar>
              <w:top w:w="57" w:type="dxa"/>
              <w:bottom w:w="57" w:type="dxa"/>
            </w:tcMar>
            <w:vAlign w:val="center"/>
          </w:tcPr>
          <w:p w14:paraId="15FD56BF" w14:textId="18D99668" w:rsidR="00E15F49" w:rsidRPr="00065200" w:rsidRDefault="00E15F49" w:rsidP="004D4545">
            <w:pPr>
              <w:spacing w:after="40" w:line="240" w:lineRule="auto"/>
              <w:rPr>
                <w:sz w:val="20"/>
                <w:szCs w:val="20"/>
              </w:rPr>
            </w:pPr>
            <w:r w:rsidRPr="00065200">
              <w:rPr>
                <w:sz w:val="20"/>
                <w:szCs w:val="20"/>
              </w:rPr>
              <w:t>Research will aim to optimise food and fibre production and processing, enhance food safety and minimise waste. Research will also be critical to preserve our hard won reputation for clean, safe and sustainable production.</w:t>
            </w:r>
          </w:p>
        </w:tc>
      </w:tr>
      <w:tr w:rsidR="00E15F49" w:rsidRPr="00065200" w14:paraId="34C3DB9B" w14:textId="77777777" w:rsidTr="000B1E57">
        <w:trPr>
          <w:cantSplit/>
        </w:trPr>
        <w:tc>
          <w:tcPr>
            <w:tcW w:w="780" w:type="pct"/>
            <w:tcMar>
              <w:top w:w="57" w:type="dxa"/>
              <w:bottom w:w="57" w:type="dxa"/>
            </w:tcMar>
          </w:tcPr>
          <w:p w14:paraId="6BC2323F" w14:textId="55C5D76C" w:rsidR="00E15F49" w:rsidRPr="00065200" w:rsidRDefault="00E15F49" w:rsidP="004D4545">
            <w:pPr>
              <w:spacing w:after="40" w:line="240" w:lineRule="auto"/>
              <w:rPr>
                <w:sz w:val="20"/>
                <w:szCs w:val="20"/>
              </w:rPr>
            </w:pPr>
            <w:r>
              <w:rPr>
                <w:sz w:val="20"/>
                <w:szCs w:val="20"/>
              </w:rPr>
              <w:t>Soil and water</w:t>
            </w:r>
          </w:p>
        </w:tc>
        <w:tc>
          <w:tcPr>
            <w:tcW w:w="4220" w:type="pct"/>
            <w:shd w:val="clear" w:color="auto" w:fill="auto"/>
            <w:tcMar>
              <w:top w:w="57" w:type="dxa"/>
              <w:bottom w:w="57" w:type="dxa"/>
            </w:tcMar>
            <w:vAlign w:val="center"/>
          </w:tcPr>
          <w:p w14:paraId="5AE24026" w14:textId="29137D7F" w:rsidR="00E15F49" w:rsidRPr="00065200" w:rsidRDefault="00E15F49" w:rsidP="004D4545">
            <w:pPr>
              <w:spacing w:after="40" w:line="240" w:lineRule="auto"/>
              <w:rPr>
                <w:sz w:val="20"/>
                <w:szCs w:val="20"/>
              </w:rPr>
            </w:pPr>
            <w:r w:rsidRPr="00065200">
              <w:rPr>
                <w:sz w:val="20"/>
                <w:szCs w:val="20"/>
              </w:rPr>
              <w:t>Research should focus on critical assets such as the Great Barrier Reef, Northern Australia, key agricultural regions, aquifers and urban catchments, and build capacity for improved accuracy and precision in predicting change. Research will lead to better decision-making strategies in the context of potentially conflicting demands between development, the environment and landscape management.</w:t>
            </w:r>
          </w:p>
        </w:tc>
      </w:tr>
      <w:tr w:rsidR="00E15F49" w:rsidRPr="00065200" w14:paraId="2896D904" w14:textId="77777777" w:rsidTr="000B1E57">
        <w:trPr>
          <w:cantSplit/>
        </w:trPr>
        <w:tc>
          <w:tcPr>
            <w:tcW w:w="780" w:type="pct"/>
            <w:tcMar>
              <w:top w:w="57" w:type="dxa"/>
              <w:bottom w:w="57" w:type="dxa"/>
            </w:tcMar>
          </w:tcPr>
          <w:p w14:paraId="14F4F293" w14:textId="7826FD04" w:rsidR="00E15F49" w:rsidRPr="00065200" w:rsidRDefault="00E15F49" w:rsidP="004D4545">
            <w:pPr>
              <w:spacing w:after="40" w:line="240" w:lineRule="auto"/>
              <w:rPr>
                <w:sz w:val="20"/>
                <w:szCs w:val="20"/>
              </w:rPr>
            </w:pPr>
            <w:r>
              <w:rPr>
                <w:sz w:val="20"/>
                <w:szCs w:val="20"/>
              </w:rPr>
              <w:t>Transport</w:t>
            </w:r>
          </w:p>
        </w:tc>
        <w:tc>
          <w:tcPr>
            <w:tcW w:w="4220" w:type="pct"/>
            <w:shd w:val="clear" w:color="auto" w:fill="auto"/>
            <w:tcMar>
              <w:top w:w="57" w:type="dxa"/>
              <w:bottom w:w="57" w:type="dxa"/>
            </w:tcMar>
            <w:vAlign w:val="center"/>
          </w:tcPr>
          <w:p w14:paraId="3A995D23" w14:textId="5914FB2E" w:rsidR="00E15F49" w:rsidRPr="00065200" w:rsidRDefault="00E15F49" w:rsidP="004D4545">
            <w:pPr>
              <w:spacing w:after="40" w:line="240" w:lineRule="auto"/>
              <w:rPr>
                <w:sz w:val="20"/>
                <w:szCs w:val="20"/>
              </w:rPr>
            </w:pPr>
            <w:r w:rsidRPr="00065200">
              <w:rPr>
                <w:sz w:val="20"/>
                <w:szCs w:val="20"/>
              </w:rPr>
              <w:t>Research will be critical to developing low cost, reliable, resilient and efficient transport systems that meet the needs of businesses and enable sustainable mobility, while lowering carbon emissions and other pollution.</w:t>
            </w:r>
          </w:p>
        </w:tc>
      </w:tr>
      <w:tr w:rsidR="00E15F49" w:rsidRPr="00065200" w14:paraId="1964DC43" w14:textId="77777777" w:rsidTr="000B1E57">
        <w:trPr>
          <w:cantSplit/>
        </w:trPr>
        <w:tc>
          <w:tcPr>
            <w:tcW w:w="780" w:type="pct"/>
            <w:tcMar>
              <w:top w:w="57" w:type="dxa"/>
              <w:bottom w:w="57" w:type="dxa"/>
            </w:tcMar>
          </w:tcPr>
          <w:p w14:paraId="54791DEC" w14:textId="10AC160A" w:rsidR="00E15F49" w:rsidRPr="00065200" w:rsidRDefault="00E15F49" w:rsidP="004D4545">
            <w:pPr>
              <w:spacing w:after="40" w:line="240" w:lineRule="auto"/>
              <w:rPr>
                <w:sz w:val="20"/>
                <w:szCs w:val="20"/>
              </w:rPr>
            </w:pPr>
            <w:r w:rsidRPr="00E15F49">
              <w:rPr>
                <w:sz w:val="20"/>
                <w:szCs w:val="20"/>
              </w:rPr>
              <w:t>Cybersecurity</w:t>
            </w:r>
          </w:p>
        </w:tc>
        <w:tc>
          <w:tcPr>
            <w:tcW w:w="4220" w:type="pct"/>
            <w:shd w:val="clear" w:color="auto" w:fill="auto"/>
            <w:tcMar>
              <w:top w:w="57" w:type="dxa"/>
              <w:bottom w:w="57" w:type="dxa"/>
            </w:tcMar>
            <w:vAlign w:val="center"/>
          </w:tcPr>
          <w:p w14:paraId="0C6853D5" w14:textId="608E8B8B" w:rsidR="00E15F49" w:rsidRPr="00065200" w:rsidRDefault="00E15F49" w:rsidP="004D4545">
            <w:pPr>
              <w:spacing w:after="40" w:line="240" w:lineRule="auto"/>
              <w:rPr>
                <w:sz w:val="20"/>
                <w:szCs w:val="20"/>
              </w:rPr>
            </w:pPr>
            <w:r w:rsidRPr="00065200">
              <w:rPr>
                <w:sz w:val="20"/>
                <w:szCs w:val="20"/>
              </w:rPr>
              <w:t>Research in cybersecurity including quantum technologies will position Australia as a leader in fast moving and emerging areas such as distributed network management, machine learning, and intelligent and secure data management and retention.</w:t>
            </w:r>
          </w:p>
        </w:tc>
      </w:tr>
      <w:tr w:rsidR="00E15F49" w:rsidRPr="00065200" w14:paraId="415ADD81" w14:textId="77777777" w:rsidTr="000B1E57">
        <w:trPr>
          <w:cantSplit/>
        </w:trPr>
        <w:tc>
          <w:tcPr>
            <w:tcW w:w="780" w:type="pct"/>
            <w:tcMar>
              <w:top w:w="57" w:type="dxa"/>
              <w:bottom w:w="57" w:type="dxa"/>
            </w:tcMar>
          </w:tcPr>
          <w:p w14:paraId="6F62CC18" w14:textId="6C2D5A9C" w:rsidR="00E15F49" w:rsidRPr="00065200" w:rsidRDefault="00E15F49" w:rsidP="004D4545">
            <w:pPr>
              <w:spacing w:after="40" w:line="240" w:lineRule="auto"/>
              <w:rPr>
                <w:sz w:val="20"/>
                <w:szCs w:val="20"/>
              </w:rPr>
            </w:pPr>
            <w:r>
              <w:rPr>
                <w:sz w:val="20"/>
                <w:szCs w:val="20"/>
              </w:rPr>
              <w:t>Energy</w:t>
            </w:r>
          </w:p>
        </w:tc>
        <w:tc>
          <w:tcPr>
            <w:tcW w:w="4220" w:type="pct"/>
            <w:shd w:val="clear" w:color="auto" w:fill="auto"/>
            <w:tcMar>
              <w:top w:w="57" w:type="dxa"/>
              <w:bottom w:w="57" w:type="dxa"/>
            </w:tcMar>
            <w:vAlign w:val="center"/>
          </w:tcPr>
          <w:p w14:paraId="5DA94221" w14:textId="090A68CA" w:rsidR="00E15F49" w:rsidRPr="00065200" w:rsidRDefault="00E15F49" w:rsidP="004D4545">
            <w:pPr>
              <w:spacing w:after="40" w:line="240" w:lineRule="auto"/>
              <w:rPr>
                <w:sz w:val="20"/>
                <w:szCs w:val="20"/>
              </w:rPr>
            </w:pPr>
            <w:r w:rsidRPr="00065200">
              <w:rPr>
                <w:sz w:val="20"/>
                <w:szCs w:val="20"/>
              </w:rPr>
              <w:t>Research will lead to the development of reliable, low-cost, sustainable energy supplies that are resilient to sudden shocks, as well as decadal trends in demand and climate, and to technologies that use energy more efficiently.</w:t>
            </w:r>
          </w:p>
        </w:tc>
      </w:tr>
      <w:tr w:rsidR="00E15F49" w:rsidRPr="00065200" w14:paraId="176FB8D1" w14:textId="77777777" w:rsidTr="000B1E57">
        <w:trPr>
          <w:cantSplit/>
        </w:trPr>
        <w:tc>
          <w:tcPr>
            <w:tcW w:w="780" w:type="pct"/>
            <w:tcMar>
              <w:top w:w="57" w:type="dxa"/>
              <w:bottom w:w="57" w:type="dxa"/>
            </w:tcMar>
          </w:tcPr>
          <w:p w14:paraId="3E067B8A" w14:textId="03C163AD" w:rsidR="00E15F49" w:rsidRPr="00065200" w:rsidRDefault="00E15F49" w:rsidP="004D4545">
            <w:pPr>
              <w:spacing w:after="40" w:line="240" w:lineRule="auto"/>
              <w:rPr>
                <w:sz w:val="20"/>
                <w:szCs w:val="20"/>
              </w:rPr>
            </w:pPr>
            <w:r>
              <w:rPr>
                <w:sz w:val="20"/>
                <w:szCs w:val="20"/>
              </w:rPr>
              <w:t>Resources</w:t>
            </w:r>
          </w:p>
        </w:tc>
        <w:tc>
          <w:tcPr>
            <w:tcW w:w="4220" w:type="pct"/>
            <w:shd w:val="clear" w:color="auto" w:fill="auto"/>
            <w:tcMar>
              <w:top w:w="57" w:type="dxa"/>
              <w:bottom w:w="57" w:type="dxa"/>
            </w:tcMar>
            <w:vAlign w:val="center"/>
          </w:tcPr>
          <w:p w14:paraId="063E19C8" w14:textId="508CA0ED" w:rsidR="00E15F49" w:rsidRPr="00065200" w:rsidRDefault="00E15F49" w:rsidP="004D4545">
            <w:pPr>
              <w:spacing w:after="40" w:line="240" w:lineRule="auto"/>
              <w:rPr>
                <w:sz w:val="20"/>
                <w:szCs w:val="20"/>
              </w:rPr>
            </w:pPr>
            <w:r w:rsidRPr="00065200">
              <w:rPr>
                <w:sz w:val="20"/>
                <w:szCs w:val="20"/>
              </w:rPr>
              <w:t>Research will lead to a fundamental understanding of the structure, composition, and processes governing the formation and distribution of resources in Australia. This knowledge will support the exploration, the potential discovery of major new sources, production, distribution of the traditional resources such as strategic metals and minerals, coal and gas and those in increasing demand such as rare earth elements and groundwater.</w:t>
            </w:r>
          </w:p>
        </w:tc>
      </w:tr>
      <w:tr w:rsidR="00E15F49" w:rsidRPr="00065200" w14:paraId="732DCAC1" w14:textId="77777777" w:rsidTr="000B1E57">
        <w:trPr>
          <w:cantSplit/>
        </w:trPr>
        <w:tc>
          <w:tcPr>
            <w:tcW w:w="780" w:type="pct"/>
            <w:tcMar>
              <w:top w:w="57" w:type="dxa"/>
              <w:bottom w:w="57" w:type="dxa"/>
            </w:tcMar>
          </w:tcPr>
          <w:p w14:paraId="3735BED5" w14:textId="578C2D69" w:rsidR="00E15F49" w:rsidRPr="00065200" w:rsidRDefault="00E15F49" w:rsidP="004D4545">
            <w:pPr>
              <w:spacing w:after="40" w:line="240" w:lineRule="auto"/>
              <w:rPr>
                <w:sz w:val="20"/>
                <w:szCs w:val="20"/>
              </w:rPr>
            </w:pPr>
            <w:r w:rsidRPr="00E15F49">
              <w:rPr>
                <w:sz w:val="20"/>
                <w:szCs w:val="20"/>
              </w:rPr>
              <w:t xml:space="preserve">Advanced </w:t>
            </w:r>
            <w:r w:rsidR="0084581C">
              <w:rPr>
                <w:sz w:val="20"/>
                <w:szCs w:val="20"/>
              </w:rPr>
              <w:t>m</w:t>
            </w:r>
            <w:r w:rsidRPr="00E15F49">
              <w:rPr>
                <w:sz w:val="20"/>
                <w:szCs w:val="20"/>
              </w:rPr>
              <w:t>anufacturing</w:t>
            </w:r>
          </w:p>
        </w:tc>
        <w:tc>
          <w:tcPr>
            <w:tcW w:w="4220" w:type="pct"/>
            <w:shd w:val="clear" w:color="auto" w:fill="auto"/>
            <w:tcMar>
              <w:top w:w="57" w:type="dxa"/>
              <w:bottom w:w="57" w:type="dxa"/>
            </w:tcMar>
            <w:vAlign w:val="center"/>
          </w:tcPr>
          <w:p w14:paraId="2FFF60B5" w14:textId="775FF48D" w:rsidR="00E15F49" w:rsidRPr="00065200" w:rsidRDefault="00E15F49" w:rsidP="004D4545">
            <w:pPr>
              <w:spacing w:after="40" w:line="240" w:lineRule="auto"/>
              <w:rPr>
                <w:sz w:val="20"/>
                <w:szCs w:val="20"/>
              </w:rPr>
            </w:pPr>
            <w:r w:rsidRPr="00065200">
              <w:rPr>
                <w:sz w:val="20"/>
                <w:szCs w:val="20"/>
              </w:rPr>
              <w:t>Research will be critical in developing and supporting existing industries while enabling the development of a new and advanced manufacturing sector.</w:t>
            </w:r>
          </w:p>
        </w:tc>
      </w:tr>
      <w:tr w:rsidR="00E15F49" w:rsidRPr="00065200" w14:paraId="5353336C" w14:textId="77777777" w:rsidTr="000B1E57">
        <w:trPr>
          <w:cantSplit/>
        </w:trPr>
        <w:tc>
          <w:tcPr>
            <w:tcW w:w="780" w:type="pct"/>
            <w:tcMar>
              <w:top w:w="57" w:type="dxa"/>
              <w:bottom w:w="57" w:type="dxa"/>
            </w:tcMar>
          </w:tcPr>
          <w:p w14:paraId="467B546E" w14:textId="681C3A65" w:rsidR="00E15F49" w:rsidRPr="00065200" w:rsidRDefault="00E15F49" w:rsidP="004D4545">
            <w:pPr>
              <w:spacing w:after="40" w:line="240" w:lineRule="auto"/>
              <w:rPr>
                <w:sz w:val="20"/>
                <w:szCs w:val="20"/>
              </w:rPr>
            </w:pPr>
            <w:r w:rsidRPr="00E15F49">
              <w:rPr>
                <w:sz w:val="20"/>
                <w:szCs w:val="20"/>
              </w:rPr>
              <w:t>Environmental change</w:t>
            </w:r>
          </w:p>
        </w:tc>
        <w:tc>
          <w:tcPr>
            <w:tcW w:w="4220" w:type="pct"/>
            <w:shd w:val="clear" w:color="auto" w:fill="auto"/>
            <w:tcMar>
              <w:top w:w="57" w:type="dxa"/>
              <w:bottom w:w="57" w:type="dxa"/>
            </w:tcMar>
            <w:vAlign w:val="center"/>
          </w:tcPr>
          <w:p w14:paraId="246BB6DE" w14:textId="5277516B" w:rsidR="00E15F49" w:rsidRPr="00065200" w:rsidRDefault="00E15F49" w:rsidP="004D4545">
            <w:pPr>
              <w:spacing w:after="40" w:line="240" w:lineRule="auto"/>
              <w:rPr>
                <w:sz w:val="20"/>
                <w:szCs w:val="20"/>
              </w:rPr>
            </w:pPr>
            <w:r w:rsidRPr="00065200">
              <w:rPr>
                <w:sz w:val="20"/>
                <w:szCs w:val="20"/>
              </w:rPr>
              <w:t>Research will build Australia’s capacity to respond to environmental change. It will require the integration of research outcomes from biological, physical, social and economic systems.</w:t>
            </w:r>
          </w:p>
        </w:tc>
      </w:tr>
      <w:tr w:rsidR="00E15F49" w:rsidRPr="00065200" w14:paraId="26042982" w14:textId="77777777" w:rsidTr="000B1E57">
        <w:trPr>
          <w:cantSplit/>
        </w:trPr>
        <w:tc>
          <w:tcPr>
            <w:tcW w:w="780" w:type="pct"/>
            <w:tcMar>
              <w:top w:w="57" w:type="dxa"/>
              <w:bottom w:w="57" w:type="dxa"/>
            </w:tcMar>
          </w:tcPr>
          <w:p w14:paraId="0BFC033A" w14:textId="3042F93B" w:rsidR="00E15F49" w:rsidRPr="00065200" w:rsidRDefault="00E15F49" w:rsidP="004D4545">
            <w:pPr>
              <w:spacing w:after="40" w:line="240" w:lineRule="auto"/>
              <w:rPr>
                <w:sz w:val="20"/>
                <w:szCs w:val="20"/>
              </w:rPr>
            </w:pPr>
            <w:r>
              <w:rPr>
                <w:sz w:val="20"/>
                <w:szCs w:val="20"/>
              </w:rPr>
              <w:lastRenderedPageBreak/>
              <w:t>Health</w:t>
            </w:r>
          </w:p>
        </w:tc>
        <w:tc>
          <w:tcPr>
            <w:tcW w:w="4220" w:type="pct"/>
            <w:shd w:val="clear" w:color="auto" w:fill="auto"/>
            <w:tcMar>
              <w:top w:w="57" w:type="dxa"/>
              <w:bottom w:w="57" w:type="dxa"/>
            </w:tcMar>
            <w:vAlign w:val="center"/>
          </w:tcPr>
          <w:p w14:paraId="28D24740" w14:textId="29826F7E" w:rsidR="00E15F49" w:rsidRPr="00065200" w:rsidRDefault="00E15F49" w:rsidP="004D4545">
            <w:pPr>
              <w:spacing w:after="40" w:line="240" w:lineRule="auto"/>
              <w:rPr>
                <w:sz w:val="20"/>
                <w:szCs w:val="20"/>
              </w:rPr>
            </w:pPr>
            <w:r w:rsidRPr="00065200">
              <w:rPr>
                <w:sz w:val="20"/>
                <w:szCs w:val="20"/>
              </w:rPr>
              <w:t>Research will be essential to building healthy and resilient communities throughout Australia. It will capitalise on Australia’s strengths in science and technology to generate wider economic benefits through improved knowledge translation and commercialisation, and partnerships with industry.</w:t>
            </w:r>
          </w:p>
        </w:tc>
      </w:tr>
    </w:tbl>
    <w:p w14:paraId="08B9301B" w14:textId="1D530193" w:rsidR="00482215" w:rsidRPr="00065200" w:rsidRDefault="009E0277" w:rsidP="00D16C78">
      <w:pPr>
        <w:spacing w:before="240"/>
      </w:pPr>
      <w:r w:rsidRPr="00065200">
        <w:t>The NSRPs and National Science Statement</w:t>
      </w:r>
      <w:r w:rsidR="00482215" w:rsidRPr="00065200">
        <w:t xml:space="preserve"> </w:t>
      </w:r>
      <w:r w:rsidR="001B50E6" w:rsidRPr="00065200">
        <w:t>are supplemented by other Gov</w:t>
      </w:r>
      <w:r w:rsidR="00D20F3A" w:rsidRPr="00065200">
        <w:t xml:space="preserve">ernment </w:t>
      </w:r>
      <w:r w:rsidR="005D5DB0" w:rsidRPr="00065200">
        <w:t>priorities</w:t>
      </w:r>
      <w:r w:rsidR="00482215" w:rsidRPr="00065200">
        <w:t>,</w:t>
      </w:r>
      <w:r w:rsidR="00D20F3A" w:rsidRPr="00065200">
        <w:t xml:space="preserve"> such as </w:t>
      </w:r>
      <w:r w:rsidR="001B50E6" w:rsidRPr="00065200">
        <w:t xml:space="preserve">priority </w:t>
      </w:r>
      <w:r w:rsidR="003457C9" w:rsidRPr="00065200">
        <w:t xml:space="preserve">industry </w:t>
      </w:r>
      <w:r w:rsidR="001B50E6" w:rsidRPr="00065200">
        <w:t>growth</w:t>
      </w:r>
      <w:r w:rsidR="002D45DD" w:rsidRPr="00065200">
        <w:t xml:space="preserve"> sectors</w:t>
      </w:r>
      <w:r w:rsidR="005519B8" w:rsidRPr="00065200">
        <w:t>.</w:t>
      </w:r>
      <w:r w:rsidR="005519B8" w:rsidRPr="00065200">
        <w:rPr>
          <w:rStyle w:val="FootnoteReference"/>
        </w:rPr>
        <w:footnoteReference w:id="66"/>
      </w:r>
      <w:r w:rsidR="005519B8" w:rsidRPr="00065200">
        <w:t xml:space="preserve"> </w:t>
      </w:r>
      <w:r w:rsidR="002B7D03" w:rsidRPr="00065200">
        <w:t xml:space="preserve">Priority growth sectors </w:t>
      </w:r>
      <w:r w:rsidR="007A0758">
        <w:t>include</w:t>
      </w:r>
      <w:r w:rsidR="002B7D03" w:rsidRPr="00065200">
        <w:t>: advanced manufacturing, food and agribusiness, medical technologies and pharmaceuticals, mining equipment technology and services and oil, gas and energy resources</w:t>
      </w:r>
      <w:r w:rsidR="005D5DB0" w:rsidRPr="00065200">
        <w:t xml:space="preserve">, and </w:t>
      </w:r>
      <w:r w:rsidR="004B6206" w:rsidRPr="00065200">
        <w:t>cybersecurity</w:t>
      </w:r>
      <w:r w:rsidR="000A30F8" w:rsidRPr="00065200">
        <w:t>.</w:t>
      </w:r>
      <w:r w:rsidR="004B6206" w:rsidRPr="00065200">
        <w:rPr>
          <w:rStyle w:val="FootnoteReference"/>
        </w:rPr>
        <w:footnoteReference w:id="67"/>
      </w:r>
      <w:r w:rsidR="000A30F8" w:rsidRPr="00065200">
        <w:t xml:space="preserve"> </w:t>
      </w:r>
      <w:r w:rsidR="00287180" w:rsidRPr="00065200">
        <w:t>While p</w:t>
      </w:r>
      <w:r w:rsidR="005519B8" w:rsidRPr="00065200">
        <w:t>riority</w:t>
      </w:r>
      <w:r w:rsidR="00287180" w:rsidRPr="00065200">
        <w:t xml:space="preserve"> growth sectors </w:t>
      </w:r>
      <w:r w:rsidR="00C12442" w:rsidRPr="00065200">
        <w:t>influence</w:t>
      </w:r>
      <w:r w:rsidR="005519B8" w:rsidRPr="00065200">
        <w:t xml:space="preserve"> investment decisions</w:t>
      </w:r>
      <w:r w:rsidR="00287180" w:rsidRPr="00065200">
        <w:t xml:space="preserve"> beyond ISR investments, they also i</w:t>
      </w:r>
      <w:r w:rsidR="000A30F8" w:rsidRPr="00065200">
        <w:t>nfluence</w:t>
      </w:r>
      <w:r w:rsidR="00287180" w:rsidRPr="00065200">
        <w:t xml:space="preserve"> some Government ISR investments through programs such as</w:t>
      </w:r>
      <w:r w:rsidR="005519B8" w:rsidRPr="00065200">
        <w:t xml:space="preserve"> the Entrepreneurs’ Programme</w:t>
      </w:r>
      <w:r w:rsidR="00E0516B" w:rsidRPr="00065200">
        <w:t xml:space="preserve"> </w:t>
      </w:r>
      <w:r w:rsidR="009A0957">
        <w:t>(EP)</w:t>
      </w:r>
      <w:r w:rsidR="00E0516B" w:rsidRPr="00065200">
        <w:t xml:space="preserve"> and the </w:t>
      </w:r>
      <w:r w:rsidR="007A0758">
        <w:t>CRC</w:t>
      </w:r>
      <w:r w:rsidR="00E0516B" w:rsidRPr="00065200">
        <w:t xml:space="preserve"> </w:t>
      </w:r>
      <w:r w:rsidR="000160E1">
        <w:t>Program</w:t>
      </w:r>
      <w:r w:rsidR="005519B8" w:rsidRPr="00065200">
        <w:t>.</w:t>
      </w:r>
      <w:r w:rsidR="005519B8" w:rsidRPr="00065200">
        <w:rPr>
          <w:rStyle w:val="FootnoteReference"/>
        </w:rPr>
        <w:footnoteReference w:id="68"/>
      </w:r>
      <w:r w:rsidR="00E0516B" w:rsidRPr="00065200">
        <w:rPr>
          <w:vertAlign w:val="superscript"/>
        </w:rPr>
        <w:t>,</w:t>
      </w:r>
      <w:r w:rsidR="00E0516B" w:rsidRPr="00065200">
        <w:rPr>
          <w:rStyle w:val="FootnoteReference"/>
        </w:rPr>
        <w:footnoteReference w:id="69"/>
      </w:r>
      <w:r w:rsidR="00D10DD4" w:rsidRPr="00065200">
        <w:t xml:space="preserve"> </w:t>
      </w:r>
      <w:r w:rsidR="0024798F">
        <w:t>I</w:t>
      </w:r>
      <w:r w:rsidR="00207382">
        <w:t>n contrast, i</w:t>
      </w:r>
      <w:r w:rsidR="004D1DFD" w:rsidRPr="00CC4320">
        <w:t>nvestments made through the R&amp;</w:t>
      </w:r>
      <w:r w:rsidR="00837814">
        <w:t>DTI</w:t>
      </w:r>
      <w:r w:rsidR="004D1DFD" w:rsidRPr="00CC4320">
        <w:t xml:space="preserve"> are agnostic to the priority growth sectors</w:t>
      </w:r>
      <w:r w:rsidR="00B67E85" w:rsidRPr="00CC4320">
        <w:t xml:space="preserve"> </w:t>
      </w:r>
      <w:r w:rsidR="00DC6195" w:rsidRPr="00CC4320">
        <w:t>due to</w:t>
      </w:r>
      <w:r w:rsidR="00B67E85" w:rsidRPr="00CC4320">
        <w:t xml:space="preserve"> the indirect design of the initiative</w:t>
      </w:r>
      <w:r w:rsidR="004D1DFD" w:rsidRPr="00CC4320">
        <w:t>.</w:t>
      </w:r>
      <w:r w:rsidR="004D1DFD">
        <w:t xml:space="preserve"> </w:t>
      </w:r>
    </w:p>
    <w:p w14:paraId="7320E27F" w14:textId="3F0E5AD0" w:rsidR="00D3303D" w:rsidRDefault="00695E81" w:rsidP="00EA0BD3">
      <w:r w:rsidRPr="00065200">
        <w:t xml:space="preserve">Despite the existence of these whole-of-government ISR prioritisation policy instruments, the </w:t>
      </w:r>
      <w:r w:rsidR="007D0842" w:rsidRPr="00065200">
        <w:t xml:space="preserve">incentives to align ISR activities to government priorities are </w:t>
      </w:r>
      <w:r w:rsidR="00EE4905">
        <w:t>limited</w:t>
      </w:r>
      <w:r w:rsidR="0024798F">
        <w:t xml:space="preserve">, and the process of alignment </w:t>
      </w:r>
      <w:r w:rsidR="000C4D04">
        <w:t>is</w:t>
      </w:r>
      <w:r w:rsidR="0024798F">
        <w:t xml:space="preserve"> complex</w:t>
      </w:r>
      <w:r w:rsidR="007D0842" w:rsidRPr="00065200">
        <w:t xml:space="preserve">. </w:t>
      </w:r>
      <w:r w:rsidR="00DC6195">
        <w:t xml:space="preserve">A recent </w:t>
      </w:r>
      <w:r w:rsidR="00953BEA">
        <w:t xml:space="preserve">ARC </w:t>
      </w:r>
      <w:r w:rsidR="00DC6195">
        <w:t xml:space="preserve">review found </w:t>
      </w:r>
      <w:r w:rsidR="0024798F">
        <w:t xml:space="preserve">that </w:t>
      </w:r>
      <w:r w:rsidR="00DC6195">
        <w:t xml:space="preserve">there are multiple processes in place to </w:t>
      </w:r>
      <w:r w:rsidR="00DC6195" w:rsidRPr="00FE1817">
        <w:t>prioritis</w:t>
      </w:r>
      <w:r w:rsidR="00DC6195">
        <w:t xml:space="preserve">e </w:t>
      </w:r>
      <w:r w:rsidR="00DC6195" w:rsidRPr="00FE1817">
        <w:t>research funding</w:t>
      </w:r>
      <w:r w:rsidR="00DC6195">
        <w:t xml:space="preserve"> across the system, ranging from science and research agency-level priorities through to NSRPs</w:t>
      </w:r>
      <w:r w:rsidR="00EE4905">
        <w:t>.</w:t>
      </w:r>
      <w:r w:rsidR="00DC6195">
        <w:rPr>
          <w:rStyle w:val="FootnoteReference"/>
        </w:rPr>
        <w:footnoteReference w:id="70"/>
      </w:r>
      <w:r w:rsidR="00DC6195">
        <w:t xml:space="preserve"> </w:t>
      </w:r>
      <w:r w:rsidR="007D0842" w:rsidRPr="00065200">
        <w:t>T</w:t>
      </w:r>
      <w:r w:rsidRPr="00065200">
        <w:t xml:space="preserve">he </w:t>
      </w:r>
      <w:r w:rsidR="00AD4BDC" w:rsidRPr="00065200">
        <w:t>Government’s ISR investments are largely driven by agency, institution o</w:t>
      </w:r>
      <w:r w:rsidRPr="00065200">
        <w:t xml:space="preserve">r research community priorities, </w:t>
      </w:r>
      <w:r w:rsidR="00AD4BDC" w:rsidRPr="00065200">
        <w:t xml:space="preserve">based on the priorities </w:t>
      </w:r>
      <w:r w:rsidR="00D955EF" w:rsidRPr="00CC4320">
        <w:t>and mandates</w:t>
      </w:r>
      <w:r w:rsidR="00D955EF">
        <w:t xml:space="preserve"> </w:t>
      </w:r>
      <w:r w:rsidR="00AD4BDC" w:rsidRPr="00065200">
        <w:t xml:space="preserve">of </w:t>
      </w:r>
      <w:r w:rsidR="00EE4905">
        <w:t>the</w:t>
      </w:r>
      <w:r w:rsidR="00AD4BDC" w:rsidRPr="00065200">
        <w:t xml:space="preserve"> organisation</w:t>
      </w:r>
      <w:r w:rsidR="00D955EF">
        <w:t xml:space="preserve">, </w:t>
      </w:r>
      <w:r w:rsidR="00D955EF" w:rsidRPr="00CC4320">
        <w:t>their level of independence</w:t>
      </w:r>
      <w:r w:rsidR="00AD4BDC" w:rsidRPr="00065200">
        <w:t xml:space="preserve"> and in accordance with</w:t>
      </w:r>
      <w:r w:rsidR="00AA1ACC" w:rsidRPr="00065200">
        <w:t xml:space="preserve"> their</w:t>
      </w:r>
      <w:r w:rsidR="00B073F7" w:rsidRPr="00065200">
        <w:t xml:space="preserve"> existing funding arrangements. </w:t>
      </w:r>
      <w:r w:rsidR="00EE4905">
        <w:t xml:space="preserve">This means that investment decisions are made in silos, where similar objectives between organisations are </w:t>
      </w:r>
      <w:r w:rsidR="00953BEA">
        <w:t>seldom capitalised on</w:t>
      </w:r>
      <w:r w:rsidR="0091095C">
        <w:t xml:space="preserve">. </w:t>
      </w:r>
      <w:r w:rsidR="0091095C" w:rsidRPr="00065200">
        <w:t xml:space="preserve">For example, the </w:t>
      </w:r>
      <w:r w:rsidR="0091095C">
        <w:t>Australian Public Service (</w:t>
      </w:r>
      <w:r w:rsidR="0091095C" w:rsidRPr="00065200">
        <w:t>APS</w:t>
      </w:r>
      <w:r w:rsidR="0091095C">
        <w:t>)</w:t>
      </w:r>
      <w:r w:rsidR="0091095C" w:rsidRPr="00065200">
        <w:t xml:space="preserve"> Review found over 170 purpose statements that reinforce agency priorities, rather than whole-of-government priorities.</w:t>
      </w:r>
      <w:r w:rsidR="0091095C" w:rsidRPr="00065200">
        <w:rPr>
          <w:rStyle w:val="FootnoteReference"/>
        </w:rPr>
        <w:footnoteReference w:id="71"/>
      </w:r>
      <w:r w:rsidR="0091095C" w:rsidRPr="00065200">
        <w:t xml:space="preserve"> I</w:t>
      </w:r>
      <w:r w:rsidR="0043279F">
        <w:t>I</w:t>
      </w:r>
      <w:r w:rsidR="0091095C" w:rsidRPr="00065200">
        <w:t>SA’s analysis of key documents</w:t>
      </w:r>
      <w:r w:rsidR="0091095C" w:rsidRPr="00065200">
        <w:rPr>
          <w:rStyle w:val="FootnoteReference"/>
        </w:rPr>
        <w:footnoteReference w:id="72"/>
      </w:r>
      <w:r w:rsidR="0091095C" w:rsidRPr="00065200">
        <w:t xml:space="preserve"> across Government departments also found inconsistent approaches to reporting ISR policies, priorities and investments </w:t>
      </w:r>
      <w:r w:rsidR="0091095C">
        <w:t>with</w:t>
      </w:r>
      <w:r w:rsidR="0091095C" w:rsidRPr="00065200">
        <w:t xml:space="preserve"> regards to the level and type of information reported.</w:t>
      </w:r>
      <w:r w:rsidR="00BE3512">
        <w:t xml:space="preserve"> </w:t>
      </w:r>
    </w:p>
    <w:p w14:paraId="4FF22FF9" w14:textId="4F9E22F0" w:rsidR="0091095C" w:rsidRDefault="0091095C" w:rsidP="00EA0BD3">
      <w:r w:rsidRPr="00065200">
        <w:t xml:space="preserve">While </w:t>
      </w:r>
      <w:r w:rsidRPr="00065200" w:rsidDel="0011291E">
        <w:t>the</w:t>
      </w:r>
      <w:r w:rsidRPr="00065200">
        <w:t xml:space="preserve"> NSRPs may guide some funding decisions,</w:t>
      </w:r>
      <w:r w:rsidRPr="00065200">
        <w:rPr>
          <w:rStyle w:val="FootnoteReference"/>
        </w:rPr>
        <w:footnoteReference w:id="73"/>
      </w:r>
      <w:r w:rsidRPr="00065200">
        <w:t xml:space="preserve"> they are not </w:t>
      </w:r>
      <w:r w:rsidR="00A16878">
        <w:t xml:space="preserve">explicitly </w:t>
      </w:r>
      <w:r w:rsidRPr="00065200">
        <w:t>designed to direct ISR investment</w:t>
      </w:r>
      <w:r>
        <w:t>. R</w:t>
      </w:r>
      <w:r w:rsidRPr="00065200">
        <w:t>ather</w:t>
      </w:r>
      <w:r>
        <w:t>, the NSRPs are designed</w:t>
      </w:r>
      <w:r w:rsidRPr="00065200">
        <w:t xml:space="preserve"> to highlight opportunities and challenges facing Australia.</w:t>
      </w:r>
      <w:r w:rsidRPr="00065200">
        <w:rPr>
          <w:rStyle w:val="FootnoteReference"/>
        </w:rPr>
        <w:footnoteReference w:id="74"/>
      </w:r>
      <w:r w:rsidRPr="00065200">
        <w:t xml:space="preserve"> </w:t>
      </w:r>
      <w:r w:rsidR="00A16878">
        <w:t>G</w:t>
      </w:r>
      <w:r w:rsidRPr="00065200">
        <w:t>iven the Government’s recent focus on building Australia’s space sector</w:t>
      </w:r>
      <w:r w:rsidR="00A16878">
        <w:t xml:space="preserve"> (</w:t>
      </w:r>
      <w:r w:rsidR="00F700C3">
        <w:t>Box 2</w:t>
      </w:r>
      <w:r w:rsidR="00A16878">
        <w:t>)</w:t>
      </w:r>
      <w:r w:rsidRPr="00065200">
        <w:t xml:space="preserve">, and </w:t>
      </w:r>
      <w:r w:rsidRPr="00065200">
        <w:lastRenderedPageBreak/>
        <w:t>that defence</w:t>
      </w:r>
      <w:r w:rsidR="00A16878" w:rsidRPr="00065200">
        <w:rPr>
          <w:rStyle w:val="FootnoteReference"/>
        </w:rPr>
        <w:footnoteReference w:id="75"/>
      </w:r>
      <w:r w:rsidRPr="00065200">
        <w:t xml:space="preserve"> and political and social systems, structures and processes</w:t>
      </w:r>
      <w:r w:rsidRPr="00065200">
        <w:rPr>
          <w:rStyle w:val="FootnoteReference"/>
        </w:rPr>
        <w:footnoteReference w:id="76"/>
      </w:r>
      <w:r w:rsidRPr="00065200">
        <w:t xml:space="preserve"> currently account for 5.3</w:t>
      </w:r>
      <w:r>
        <w:t> per cent</w:t>
      </w:r>
      <w:r w:rsidRPr="00065200">
        <w:t xml:space="preserve"> and 6.5</w:t>
      </w:r>
      <w:r>
        <w:t> per cent</w:t>
      </w:r>
      <w:r w:rsidRPr="00065200">
        <w:t xml:space="preserve"> of Government’s overall ISR investment, respectively,</w:t>
      </w:r>
      <w:r w:rsidRPr="00065200">
        <w:rPr>
          <w:rStyle w:val="FootnoteReference"/>
        </w:rPr>
        <w:footnoteReference w:id="77"/>
      </w:r>
      <w:r w:rsidRPr="00065200">
        <w:t xml:space="preserve"> the NSRPs may no longer fully capture Australia’s ISR investment</w:t>
      </w:r>
      <w:r>
        <w:t xml:space="preserve"> priorities.</w:t>
      </w:r>
    </w:p>
    <w:p w14:paraId="1890723F" w14:textId="77777777" w:rsidR="00F70142" w:rsidRPr="00065200" w:rsidRDefault="00F70142" w:rsidP="00F70142">
      <w:pPr>
        <w:pStyle w:val="Heading3"/>
      </w:pPr>
      <w:r w:rsidRPr="00065200">
        <w:t>ISR priorities could provide system-level stability while remaining responsive to a changing landscape through the use of periodic reviews</w:t>
      </w:r>
    </w:p>
    <w:p w14:paraId="787B94CE" w14:textId="0D1F2C5E" w:rsidR="00F70142" w:rsidRDefault="00F70142" w:rsidP="00F70142">
      <w:r w:rsidRPr="00065200">
        <w:t>Whole-of-government ISR priorities that set the agenda</w:t>
      </w:r>
      <w:r w:rsidR="007A32EA">
        <w:t xml:space="preserve"> for the short, medium and long-</w:t>
      </w:r>
      <w:r w:rsidRPr="00065200">
        <w:t>term ensure system</w:t>
      </w:r>
      <w:r w:rsidRPr="00065200">
        <w:noBreakHyphen/>
        <w:t>level stability</w:t>
      </w:r>
      <w:r w:rsidR="00241E6F">
        <w:t>.</w:t>
      </w:r>
      <w:r w:rsidRPr="00065200">
        <w:t xml:space="preserve"> ISR priorities also need to remain relevant</w:t>
      </w:r>
      <w:r>
        <w:t xml:space="preserve"> in fast-changing environments</w:t>
      </w:r>
      <w:r w:rsidRPr="00065200">
        <w:t>. Designing a suite of enduring and flexible ISR priorities, with appropriate review mechanisms for each, is important.</w:t>
      </w:r>
    </w:p>
    <w:p w14:paraId="70C24C64" w14:textId="77777777" w:rsidR="002D4673" w:rsidRDefault="00F70142" w:rsidP="002D4673">
      <w:r w:rsidRPr="00065200">
        <w:t>The APS Review underlined the need to consider and prioritise investments at a whole</w:t>
      </w:r>
      <w:r w:rsidRPr="00065200">
        <w:noBreakHyphen/>
        <w:t>of</w:t>
      </w:r>
      <w:r w:rsidRPr="00065200">
        <w:noBreakHyphen/>
        <w:t>government l</w:t>
      </w:r>
      <w:r>
        <w:t xml:space="preserve">evel that considers both short </w:t>
      </w:r>
      <w:r w:rsidRPr="00065200">
        <w:t>and long-term investments</w:t>
      </w:r>
      <w:r>
        <w:t>.</w:t>
      </w:r>
      <w:r w:rsidRPr="00065200">
        <w:t xml:space="preserve"> </w:t>
      </w:r>
      <w:r>
        <w:t>T</w:t>
      </w:r>
      <w:r w:rsidRPr="00065200">
        <w:t>he Review highlighted that the customary four-year investment period, coupled with the budget offset rule, leads to a number of long-term unintended consequences.</w:t>
      </w:r>
      <w:r w:rsidRPr="00996A51">
        <w:rPr>
          <w:rStyle w:val="FootnoteReference"/>
        </w:rPr>
        <w:t xml:space="preserve"> </w:t>
      </w:r>
      <w:r w:rsidRPr="00065200">
        <w:rPr>
          <w:rStyle w:val="FootnoteReference"/>
        </w:rPr>
        <w:footnoteReference w:id="78"/>
      </w:r>
      <w:r w:rsidRPr="00065200">
        <w:t xml:space="preserve"> These include a stifling of new ideas and transformational investment for innovation</w:t>
      </w:r>
      <w:r>
        <w:t xml:space="preserve">—an area </w:t>
      </w:r>
      <w:r w:rsidRPr="00065200">
        <w:t xml:space="preserve">where a focus on short-term solutions and outcomes are ultimately less cost efficient. This can result in missed opportunities for Government to consider ambitious investments to deliver </w:t>
      </w:r>
      <w:r>
        <w:t xml:space="preserve">on </w:t>
      </w:r>
      <w:r w:rsidRPr="00065200">
        <w:t>its priorities. The four-year horizon also encourages more small-scale projects that fall within specific p</w:t>
      </w:r>
      <w:r>
        <w:t>ortfolios, rather than adopting</w:t>
      </w:r>
      <w:r w:rsidR="002D4673">
        <w:t xml:space="preserve"> </w:t>
      </w:r>
      <w:r w:rsidR="002D4673" w:rsidRPr="00065200">
        <w:t>a cross</w:t>
      </w:r>
      <w:r w:rsidR="002D4673">
        <w:noBreakHyphen/>
        <w:t>government</w:t>
      </w:r>
      <w:r w:rsidR="002D4673" w:rsidRPr="00065200">
        <w:t xml:space="preserve"> approach with broader and larger benefits. </w:t>
      </w:r>
      <w:r w:rsidR="002D4673">
        <w:t>Collectively, these findings suggest that the inclusion of longer-</w:t>
      </w:r>
      <w:r w:rsidR="002D4673" w:rsidRPr="00065200">
        <w:t xml:space="preserve">term </w:t>
      </w:r>
      <w:r w:rsidR="002D4673">
        <w:t xml:space="preserve">ISR </w:t>
      </w:r>
      <w:r w:rsidR="002D4673" w:rsidRPr="00065200">
        <w:t>investment stra</w:t>
      </w:r>
      <w:r w:rsidR="002D4673">
        <w:t>tegies would be beneficial.</w:t>
      </w:r>
    </w:p>
    <w:p w14:paraId="478A2494" w14:textId="591E3319" w:rsidR="00F70142" w:rsidRPr="00065200" w:rsidRDefault="00F70142" w:rsidP="00F70142"/>
    <w:p w14:paraId="7177A1C7" w14:textId="1B1EA4C3" w:rsidR="00F70142" w:rsidRPr="00065200" w:rsidRDefault="00F70142" w:rsidP="00F70142">
      <w:pPr>
        <w:tabs>
          <w:tab w:val="left" w:pos="2043"/>
        </w:tabs>
        <w:sectPr w:rsidR="00F70142" w:rsidRPr="00065200" w:rsidSect="006211B8">
          <w:headerReference w:type="even" r:id="rId28"/>
          <w:headerReference w:type="default" r:id="rId29"/>
          <w:footerReference w:type="default" r:id="rId30"/>
          <w:headerReference w:type="first" r:id="rId31"/>
          <w:pgSz w:w="11907" w:h="16839" w:code="9"/>
          <w:pgMar w:top="1418" w:right="1418" w:bottom="1418" w:left="1418" w:header="851" w:footer="720" w:gutter="0"/>
          <w:cols w:space="720"/>
          <w:docGrid w:linePitch="360"/>
        </w:sectPr>
      </w:pPr>
    </w:p>
    <w:tbl>
      <w:tblPr>
        <w:tblStyle w:val="TableGrid"/>
        <w:tblW w:w="0" w:type="auto"/>
        <w:shd w:val="clear" w:color="auto" w:fill="E4E9F0"/>
        <w:tblCellMar>
          <w:top w:w="57" w:type="dxa"/>
          <w:left w:w="57" w:type="dxa"/>
          <w:bottom w:w="57" w:type="dxa"/>
          <w:right w:w="57" w:type="dxa"/>
        </w:tblCellMar>
        <w:tblLook w:val="0620" w:firstRow="1" w:lastRow="0" w:firstColumn="0" w:lastColumn="0" w:noHBand="1" w:noVBand="1"/>
        <w:tblCaption w:val="Box 2 Investment prioritisation case study: the space sector"/>
        <w:tblDescription w:val="The Government’s commitment to transform and grow a globally respected Australian space industry that lifts the broader economy has resulted in the creation of the Australian Space Agency, the Civil Space Strategy and an estimated $134.1 million investment in 2018–19.  This investment was distributed across many of the Agency’s civil space priority areas, but is concentrated in positioning navigation and timing (PNT) and earth observation. Early indications from 2019–20 data suggest that the total Government ISR investment in space will be increased, with a shift toward multisector investments. &#10;‘Space’ has not been explicitly identified as a whole-of-government ISR priority through either the NSRPs or the Industry Growth Centres. Priority Industry Growth Centre sectors influence investment decisions in other initiatives, such as EP  and the CRC Program.  This approach has had mixed impact on the space sector as not all ISR investment programs have been flexible enough to prioritise investment in the sector to date. Historically, the CRC has supported space-related investments and continues to do so including through the SmartSat CRC and related CRC Projects with the Australian Space Agency now providing advice to the CRC review process. &#10;It is unclear how the relative priority of space ISR investments are determined across government, and at the project level. Historically, it has been driven by bottom-up investment resulting from a range of representative groups communicating with ‘one voice’ to government. Greater clarification about the Government’s investment prioritisation would benefit the whole of Australia’s space scientific and research community. &#10;The current space investment landscape creates an opportunity for Government to consider how its space sector investment focus is reflected in broader ISR priorities. The Australian Space Agency and the Civil Space Strategy are providing greater certainty for the sector by attracting international partners and investors, driving increased investment by states and territories and opening doors internationally for industrial development purposes, greater alignment and coordination. Further building on this momentum and bringing together civil, defence, industry, and research ISR stakeholders to co-design ongoing government space ISR investment strategies and policies could promote investment at scale, reduce duplication and clearly identify priority strategic gaps for future investment."/>
      </w:tblPr>
      <w:tblGrid>
        <w:gridCol w:w="13745"/>
      </w:tblGrid>
      <w:tr w:rsidR="00950C16" w:rsidRPr="00065200" w14:paraId="7F6C9F69" w14:textId="77777777" w:rsidTr="00950C16">
        <w:trPr>
          <w:tblHeader/>
        </w:trPr>
        <w:tc>
          <w:tcPr>
            <w:tcW w:w="13745" w:type="dxa"/>
            <w:tcBorders>
              <w:bottom w:val="nil"/>
            </w:tcBorders>
            <w:shd w:val="clear" w:color="auto" w:fill="E4E9F0"/>
            <w:tcMar>
              <w:top w:w="57" w:type="dxa"/>
              <w:left w:w="57" w:type="dxa"/>
              <w:bottom w:w="57" w:type="dxa"/>
              <w:right w:w="57" w:type="dxa"/>
            </w:tcMar>
            <w:vAlign w:val="center"/>
          </w:tcPr>
          <w:p w14:paraId="24197365" w14:textId="4540B08E" w:rsidR="00950C16" w:rsidRDefault="00950C16" w:rsidP="006949BB">
            <w:pPr>
              <w:pStyle w:val="Featureboxtextheading"/>
            </w:pPr>
            <w:bookmarkStart w:id="256" w:name="_Ref43388485"/>
            <w:r w:rsidRPr="00065200">
              <w:lastRenderedPageBreak/>
              <w:t xml:space="preserve">Box </w:t>
            </w:r>
            <w:bookmarkEnd w:id="256"/>
            <w:r>
              <w:t xml:space="preserve">2 </w:t>
            </w:r>
            <w:r w:rsidRPr="00065200">
              <w:t>Investment prioritisation case study: the space sector</w:t>
            </w:r>
          </w:p>
        </w:tc>
      </w:tr>
      <w:tr w:rsidR="002D45DD" w:rsidRPr="00065200" w14:paraId="4A2C3E01" w14:textId="77777777" w:rsidTr="00950C16">
        <w:tc>
          <w:tcPr>
            <w:tcW w:w="13745" w:type="dxa"/>
            <w:tcBorders>
              <w:top w:val="nil"/>
            </w:tcBorders>
            <w:shd w:val="clear" w:color="auto" w:fill="E4E9F0"/>
            <w:tcMar>
              <w:top w:w="57" w:type="dxa"/>
              <w:left w:w="57" w:type="dxa"/>
              <w:bottom w:w="57" w:type="dxa"/>
              <w:right w:w="57" w:type="dxa"/>
            </w:tcMar>
            <w:vAlign w:val="center"/>
          </w:tcPr>
          <w:p w14:paraId="36F9A980" w14:textId="220ABC0C" w:rsidR="00ED3761" w:rsidRPr="00065200" w:rsidRDefault="004156F2" w:rsidP="000B1E57">
            <w:pPr>
              <w:spacing w:after="120" w:line="240" w:lineRule="auto"/>
              <w:rPr>
                <w:lang w:eastAsia="en-AU"/>
              </w:rPr>
            </w:pPr>
            <w:r>
              <w:rPr>
                <w:noProof/>
                <w:lang w:eastAsia="en-AU"/>
              </w:rPr>
              <w:drawing>
                <wp:anchor distT="0" distB="0" distL="36195" distR="0" simplePos="0" relativeHeight="251658240" behindDoc="0" locked="0" layoutInCell="1" allowOverlap="1" wp14:anchorId="3162BA41" wp14:editId="4402893C">
                  <wp:simplePos x="0" y="0"/>
                  <wp:positionH relativeFrom="column">
                    <wp:posOffset>5732145</wp:posOffset>
                  </wp:positionH>
                  <wp:positionV relativeFrom="paragraph">
                    <wp:posOffset>-9525</wp:posOffset>
                  </wp:positionV>
                  <wp:extent cx="3006000" cy="2545200"/>
                  <wp:effectExtent l="0" t="0" r="4445" b="7620"/>
                  <wp:wrapSquare wrapText="left"/>
                  <wp:docPr id="19" name="Picture 19" descr="An estimated $134.1 million was invested in the Australian Space Industry in 2018–19 including in earth observation ($38.1 million ), inspire/education ($0.4 million), leapfrog R&amp;D ($12.4 million), multiple ($14.8 million), positioning navigation and timing  ($57.2 million), space situational awareness ($6.5 million ) and communications ($4.7 million)." title="Government space investment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l="22253" t="1707" r="7183" b="4385"/>
                          <a:stretch/>
                        </pic:blipFill>
                        <pic:spPr bwMode="auto">
                          <a:xfrm>
                            <a:off x="0" y="0"/>
                            <a:ext cx="3006000" cy="254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2AD9" w:rsidRPr="00065200">
              <w:t xml:space="preserve">The Government’s </w:t>
            </w:r>
            <w:r w:rsidR="00B56571" w:rsidRPr="00065200">
              <w:t>commitment to</w:t>
            </w:r>
            <w:r w:rsidR="006A2AD9" w:rsidRPr="00065200">
              <w:t xml:space="preserve"> transform and grow a globally respected Australian space industry that lifts the broader economy </w:t>
            </w:r>
            <w:r w:rsidR="00F04236" w:rsidRPr="00065200">
              <w:t>has resulted</w:t>
            </w:r>
            <w:r w:rsidR="006A2AD9" w:rsidRPr="00065200">
              <w:t xml:space="preserve"> in </w:t>
            </w:r>
            <w:r w:rsidR="00D40B53" w:rsidRPr="00065200">
              <w:t xml:space="preserve">the </w:t>
            </w:r>
            <w:r w:rsidR="00B56571" w:rsidRPr="00065200">
              <w:t xml:space="preserve">creation of the </w:t>
            </w:r>
            <w:r w:rsidR="00C47FFD" w:rsidRPr="00065200">
              <w:t>Australian Space Agency</w:t>
            </w:r>
            <w:r w:rsidR="00B56571" w:rsidRPr="00065200">
              <w:t xml:space="preserve">, the Civil Space Strategy and an estimated </w:t>
            </w:r>
            <w:r w:rsidR="006A2AD9" w:rsidRPr="00065200">
              <w:t>$</w:t>
            </w:r>
            <w:r w:rsidR="00E13B59">
              <w:t>134.1</w:t>
            </w:r>
            <w:r w:rsidR="006A2AD9" w:rsidRPr="00065200">
              <w:t xml:space="preserve"> million </w:t>
            </w:r>
            <w:r w:rsidR="00B56571" w:rsidRPr="00065200">
              <w:t xml:space="preserve">investment in </w:t>
            </w:r>
            <w:r w:rsidR="006A2AD9" w:rsidRPr="00065200">
              <w:t>2018–19</w:t>
            </w:r>
            <w:r w:rsidR="00B56571" w:rsidRPr="00065200">
              <w:t>.</w:t>
            </w:r>
            <w:r w:rsidR="006A2AD9" w:rsidRPr="00065200">
              <w:rPr>
                <w:rStyle w:val="FootnoteReference"/>
              </w:rPr>
              <w:footnoteReference w:id="79"/>
            </w:r>
            <w:r w:rsidR="006A2AD9" w:rsidRPr="00065200">
              <w:t xml:space="preserve"> </w:t>
            </w:r>
            <w:r w:rsidR="009A0F4D" w:rsidRPr="00065200">
              <w:t xml:space="preserve">This investment </w:t>
            </w:r>
            <w:r w:rsidR="00A35726" w:rsidRPr="00065200">
              <w:t>wa</w:t>
            </w:r>
            <w:r w:rsidR="009A0F4D" w:rsidRPr="00065200">
              <w:t xml:space="preserve">s distributed across many of the </w:t>
            </w:r>
            <w:r w:rsidR="00B56571" w:rsidRPr="00065200">
              <w:t>A</w:t>
            </w:r>
            <w:r w:rsidR="00C47FFD" w:rsidRPr="00065200">
              <w:t xml:space="preserve">gency’s </w:t>
            </w:r>
            <w:r w:rsidR="009A0F4D" w:rsidRPr="00065200">
              <w:t>civil space priority areas</w:t>
            </w:r>
            <w:r w:rsidR="00742301" w:rsidRPr="00065200">
              <w:rPr>
                <w:rStyle w:val="FootnoteReference"/>
              </w:rPr>
              <w:footnoteReference w:id="80"/>
            </w:r>
            <w:r w:rsidR="009A0F4D" w:rsidRPr="00065200">
              <w:t xml:space="preserve"> </w:t>
            </w:r>
            <w:r w:rsidR="009A0F4D" w:rsidRPr="00FF127D">
              <w:rPr>
                <w:i/>
              </w:rPr>
              <w:t>(</w:t>
            </w:r>
            <w:r w:rsidR="009A0F4D" w:rsidRPr="00065200">
              <w:rPr>
                <w:i/>
              </w:rPr>
              <w:t>right</w:t>
            </w:r>
            <w:r w:rsidR="009A0F4D" w:rsidRPr="00FF127D">
              <w:rPr>
                <w:i/>
              </w:rPr>
              <w:t>)</w:t>
            </w:r>
            <w:r w:rsidR="00742301" w:rsidRPr="00065200">
              <w:t>, but is concentrated in positioning navigation and timing (PNT) and earth observation</w:t>
            </w:r>
            <w:r w:rsidR="009A0F4D" w:rsidRPr="00065200">
              <w:t>.</w:t>
            </w:r>
            <w:r w:rsidR="00742301" w:rsidRPr="00065200">
              <w:t xml:space="preserve"> Early indications from 2019–20 data</w:t>
            </w:r>
            <w:r w:rsidR="00BF595A" w:rsidRPr="00065200">
              <w:t xml:space="preserve"> </w:t>
            </w:r>
            <w:r w:rsidR="00742301" w:rsidRPr="00065200">
              <w:t xml:space="preserve">suggest </w:t>
            </w:r>
            <w:r w:rsidR="00BE1512" w:rsidRPr="00065200">
              <w:t xml:space="preserve">that the total </w:t>
            </w:r>
            <w:r w:rsidR="00AF735A" w:rsidRPr="00065200">
              <w:t>Government ISR</w:t>
            </w:r>
            <w:r w:rsidR="00BE1512" w:rsidRPr="00065200">
              <w:t xml:space="preserve"> investment </w:t>
            </w:r>
            <w:r w:rsidR="00AF735A" w:rsidRPr="00065200">
              <w:t>in space</w:t>
            </w:r>
            <w:r w:rsidR="00BE1512" w:rsidRPr="00065200">
              <w:t xml:space="preserve"> will be increased, with a shift toward </w:t>
            </w:r>
            <w:r w:rsidR="00A35726" w:rsidRPr="00065200">
              <w:t>multi</w:t>
            </w:r>
            <w:r w:rsidR="00742301" w:rsidRPr="00065200">
              <w:t>sector</w:t>
            </w:r>
            <w:r w:rsidR="002B6E76" w:rsidRPr="00065200">
              <w:t xml:space="preserve"> investments.</w:t>
            </w:r>
            <w:r w:rsidR="00B56571" w:rsidRPr="00065200">
              <w:t xml:space="preserve"> </w:t>
            </w:r>
          </w:p>
          <w:p w14:paraId="22E87030" w14:textId="731C323C" w:rsidR="002D45DD" w:rsidRPr="00065200" w:rsidRDefault="00155B6E" w:rsidP="000B1E57">
            <w:pPr>
              <w:spacing w:after="120" w:line="240" w:lineRule="auto"/>
            </w:pPr>
            <w:r w:rsidRPr="00065200">
              <w:t>‘S</w:t>
            </w:r>
            <w:r w:rsidR="002D45DD" w:rsidRPr="00065200">
              <w:t>pace’</w:t>
            </w:r>
            <w:r w:rsidR="00362D37" w:rsidRPr="00065200">
              <w:t xml:space="preserve"> has not been explicitly identified</w:t>
            </w:r>
            <w:r w:rsidR="002D45DD" w:rsidRPr="00065200">
              <w:t xml:space="preserve"> as a </w:t>
            </w:r>
            <w:r w:rsidR="003C2A66" w:rsidRPr="00065200">
              <w:t>whole-of-government</w:t>
            </w:r>
            <w:r w:rsidR="002D45DD" w:rsidRPr="00065200">
              <w:t xml:space="preserve"> ISR priority through either the </w:t>
            </w:r>
            <w:r w:rsidR="00ED6578" w:rsidRPr="00065200">
              <w:t>NSRPs</w:t>
            </w:r>
            <w:r w:rsidR="002D45DD" w:rsidRPr="00065200">
              <w:t xml:space="preserve"> or the Industry Growth </w:t>
            </w:r>
            <w:r w:rsidR="00ED6578" w:rsidRPr="00065200">
              <w:t>Centre</w:t>
            </w:r>
            <w:r w:rsidR="002D45DD" w:rsidRPr="00065200">
              <w:t xml:space="preserve">s. </w:t>
            </w:r>
            <w:r w:rsidR="00B56571" w:rsidRPr="00065200">
              <w:t>Priority</w:t>
            </w:r>
            <w:r w:rsidR="002D45DD" w:rsidRPr="00065200">
              <w:t xml:space="preserve"> Industry Growth Centre sectors influence investment decisions in ot</w:t>
            </w:r>
            <w:r w:rsidR="00362D37" w:rsidRPr="00065200">
              <w:t xml:space="preserve">her initiatives, </w:t>
            </w:r>
            <w:r w:rsidR="006D1862" w:rsidRPr="00065200">
              <w:t xml:space="preserve">such as </w:t>
            </w:r>
            <w:r w:rsidR="009A0957">
              <w:t>EP</w:t>
            </w:r>
            <w:r w:rsidR="002D45DD" w:rsidRPr="00065200">
              <w:rPr>
                <w:rStyle w:val="FootnoteReference"/>
              </w:rPr>
              <w:footnoteReference w:id="81"/>
            </w:r>
            <w:r w:rsidR="00362D37" w:rsidRPr="00065200">
              <w:t xml:space="preserve"> and</w:t>
            </w:r>
            <w:r w:rsidR="002D45DD" w:rsidRPr="00065200">
              <w:t xml:space="preserve"> the </w:t>
            </w:r>
            <w:r w:rsidR="009A0957">
              <w:t>CRC</w:t>
            </w:r>
            <w:r w:rsidR="002D45DD" w:rsidRPr="00065200">
              <w:t xml:space="preserve"> </w:t>
            </w:r>
            <w:r w:rsidR="00140436">
              <w:t>Program</w:t>
            </w:r>
            <w:r w:rsidR="00C53335" w:rsidRPr="00065200">
              <w:t>.</w:t>
            </w:r>
            <w:r w:rsidR="002D45DD" w:rsidRPr="00065200">
              <w:rPr>
                <w:rStyle w:val="FootnoteReference"/>
              </w:rPr>
              <w:footnoteReference w:id="82"/>
            </w:r>
            <w:r w:rsidR="00B56571" w:rsidRPr="00065200">
              <w:t xml:space="preserve"> </w:t>
            </w:r>
            <w:r w:rsidR="00464900" w:rsidRPr="00065200">
              <w:t>This approach has had mixed impact on the space sector</w:t>
            </w:r>
            <w:r w:rsidR="00476002" w:rsidRPr="00065200">
              <w:t xml:space="preserve"> as not </w:t>
            </w:r>
            <w:r w:rsidR="00464900" w:rsidRPr="00065200">
              <w:t>all ISR investment programs have been flexible enough to prioritise investment in the sector to date.</w:t>
            </w:r>
            <w:r w:rsidR="00476002" w:rsidRPr="00065200">
              <w:t xml:space="preserve"> </w:t>
            </w:r>
            <w:r w:rsidRPr="00065200">
              <w:t>Historically</w:t>
            </w:r>
            <w:r w:rsidR="00F04236" w:rsidRPr="00065200">
              <w:t>,</w:t>
            </w:r>
            <w:r w:rsidRPr="00065200">
              <w:t xml:space="preserve"> the CRC has supported space-related investments and continues to do so including through the SmartSat CRC and related CRC Projects with the</w:t>
            </w:r>
            <w:r w:rsidR="00C47FFD" w:rsidRPr="00065200">
              <w:t xml:space="preserve"> Australian Space Agency </w:t>
            </w:r>
            <w:r w:rsidRPr="00065200">
              <w:t xml:space="preserve">now providing advice to the CRC </w:t>
            </w:r>
            <w:r w:rsidR="00B56571" w:rsidRPr="00065200">
              <w:t xml:space="preserve">review process. </w:t>
            </w:r>
          </w:p>
          <w:p w14:paraId="4A24AF5D" w14:textId="710FB060" w:rsidR="00E73C73" w:rsidRPr="00065200" w:rsidRDefault="00155B6E" w:rsidP="000B1E57">
            <w:pPr>
              <w:spacing w:after="120" w:line="240" w:lineRule="auto"/>
            </w:pPr>
            <w:r w:rsidRPr="00065200">
              <w:t>It</w:t>
            </w:r>
            <w:r w:rsidR="002D45DD" w:rsidRPr="00065200">
              <w:t xml:space="preserve"> is unclear how the relative priority of space ISR investments are determined across government, and at the project level. </w:t>
            </w:r>
            <w:r w:rsidRPr="00065200">
              <w:t>Historically,</w:t>
            </w:r>
            <w:r w:rsidR="00FB6A42" w:rsidRPr="00065200">
              <w:t xml:space="preserve"> it has been driven </w:t>
            </w:r>
            <w:r w:rsidR="00E73C73" w:rsidRPr="00065200">
              <w:t>by</w:t>
            </w:r>
            <w:r w:rsidR="00FB6A42" w:rsidRPr="00065200">
              <w:t xml:space="preserve"> bottom-up investment</w:t>
            </w:r>
            <w:r w:rsidR="00E73C73" w:rsidRPr="00065200">
              <w:t xml:space="preserve"> resulting from a range of representative groups communicating with ‘one voice’ to government. </w:t>
            </w:r>
            <w:r w:rsidR="008834DE" w:rsidRPr="00065200">
              <w:t>G</w:t>
            </w:r>
            <w:r w:rsidR="00FB6A42" w:rsidRPr="00065200">
              <w:t xml:space="preserve">reater clarification about </w:t>
            </w:r>
            <w:r w:rsidR="008834DE" w:rsidRPr="00065200">
              <w:t xml:space="preserve">the Government’s </w:t>
            </w:r>
            <w:r w:rsidR="00FB6A42" w:rsidRPr="00065200">
              <w:t xml:space="preserve">investment prioritisation would benefit the </w:t>
            </w:r>
            <w:r w:rsidR="00E73C73" w:rsidRPr="00065200">
              <w:t xml:space="preserve">whole of Australia’s space scientific and research community. </w:t>
            </w:r>
          </w:p>
          <w:p w14:paraId="7C685906" w14:textId="2AEAB63F" w:rsidR="002D45DD" w:rsidRPr="00065200" w:rsidRDefault="002D45DD" w:rsidP="000B1E57">
            <w:pPr>
              <w:spacing w:after="120" w:line="240" w:lineRule="auto"/>
            </w:pPr>
            <w:r w:rsidRPr="00065200">
              <w:t>The</w:t>
            </w:r>
            <w:r w:rsidR="00155B6E" w:rsidRPr="00065200">
              <w:t xml:space="preserve"> </w:t>
            </w:r>
            <w:r w:rsidR="006F2972" w:rsidRPr="00065200">
              <w:t>current</w:t>
            </w:r>
            <w:r w:rsidR="00155B6E" w:rsidRPr="00065200">
              <w:t xml:space="preserve"> space investment landscape creates</w:t>
            </w:r>
            <w:r w:rsidRPr="00065200">
              <w:t xml:space="preserve"> an opportunity for </w:t>
            </w:r>
            <w:r w:rsidR="00FB6A42" w:rsidRPr="00065200">
              <w:t>G</w:t>
            </w:r>
            <w:r w:rsidRPr="00065200">
              <w:t xml:space="preserve">overnment to consider how its </w:t>
            </w:r>
            <w:r w:rsidR="00BF595A" w:rsidRPr="00065200">
              <w:t>space sector investment</w:t>
            </w:r>
            <w:r w:rsidRPr="00065200">
              <w:t xml:space="preserve"> focus is reflected in broader ISR priorities</w:t>
            </w:r>
            <w:r w:rsidR="00FB6A42" w:rsidRPr="00065200">
              <w:t>.</w:t>
            </w:r>
            <w:r w:rsidRPr="00065200">
              <w:t xml:space="preserve"> </w:t>
            </w:r>
            <w:r w:rsidR="00476002" w:rsidRPr="00065200">
              <w:t>The</w:t>
            </w:r>
            <w:r w:rsidR="00FB6A42" w:rsidRPr="00065200">
              <w:t xml:space="preserve"> </w:t>
            </w:r>
            <w:r w:rsidR="000377BD" w:rsidRPr="00065200">
              <w:t xml:space="preserve">Australian Space Agency </w:t>
            </w:r>
            <w:r w:rsidR="00155B6E" w:rsidRPr="00065200">
              <w:t xml:space="preserve">and the </w:t>
            </w:r>
            <w:r w:rsidR="006F2972" w:rsidRPr="00065200">
              <w:t>Civil Space Strategy</w:t>
            </w:r>
            <w:r w:rsidR="00155B6E" w:rsidRPr="00065200">
              <w:t xml:space="preserve"> are</w:t>
            </w:r>
            <w:r w:rsidR="00FB6A42" w:rsidRPr="00065200">
              <w:t xml:space="preserve"> providing greater certainty for the sector by attracting international partners and investors</w:t>
            </w:r>
            <w:r w:rsidR="00155B6E" w:rsidRPr="00065200">
              <w:t>,</w:t>
            </w:r>
            <w:r w:rsidR="00FB6A42" w:rsidRPr="00065200">
              <w:t xml:space="preserve"> </w:t>
            </w:r>
            <w:r w:rsidR="00155B6E" w:rsidRPr="00065200">
              <w:t xml:space="preserve">driving increased </w:t>
            </w:r>
            <w:r w:rsidR="00682FAC" w:rsidRPr="00065200">
              <w:t>investment</w:t>
            </w:r>
            <w:r w:rsidR="00155B6E" w:rsidRPr="00065200">
              <w:t xml:space="preserve"> by states and territories</w:t>
            </w:r>
            <w:r w:rsidR="00FB6A42" w:rsidRPr="00065200">
              <w:t xml:space="preserve"> and opening doors internationally for industrial development purposes, g</w:t>
            </w:r>
            <w:r w:rsidRPr="00065200">
              <w:t xml:space="preserve">reater alignment and </w:t>
            </w:r>
            <w:r w:rsidR="00FD01B5" w:rsidRPr="00065200">
              <w:t>coordination</w:t>
            </w:r>
            <w:r w:rsidR="00476002" w:rsidRPr="00065200">
              <w:t>.</w:t>
            </w:r>
            <w:r w:rsidR="00FD01B5" w:rsidRPr="00065200">
              <w:t xml:space="preserve"> </w:t>
            </w:r>
            <w:r w:rsidR="00923C4B">
              <w:t>Further b</w:t>
            </w:r>
            <w:r w:rsidR="00476002" w:rsidRPr="00065200">
              <w:t>uilding on this momentum and b</w:t>
            </w:r>
            <w:r w:rsidR="00C0045E" w:rsidRPr="00065200">
              <w:t xml:space="preserve">ringing together civil, defence, industry and research ISR stakeholders to co-design </w:t>
            </w:r>
            <w:r w:rsidR="00476002" w:rsidRPr="00065200">
              <w:t xml:space="preserve">ongoing </w:t>
            </w:r>
            <w:r w:rsidR="00C0045E" w:rsidRPr="00065200">
              <w:t xml:space="preserve">government space ISR investment strategies and policies </w:t>
            </w:r>
            <w:r w:rsidR="00BF595A" w:rsidRPr="00065200">
              <w:t xml:space="preserve">could promote investment at scale, reduce duplication and </w:t>
            </w:r>
            <w:r w:rsidR="00CC39D8" w:rsidRPr="00065200">
              <w:t xml:space="preserve">clearly </w:t>
            </w:r>
            <w:r w:rsidR="00BF595A" w:rsidRPr="00065200">
              <w:t>identify</w:t>
            </w:r>
            <w:r w:rsidRPr="00065200">
              <w:t xml:space="preserve"> priority strategic gaps for future in</w:t>
            </w:r>
            <w:r w:rsidR="00BE1512" w:rsidRPr="00065200">
              <w:t>vestment</w:t>
            </w:r>
            <w:r w:rsidR="00BF595A" w:rsidRPr="00065200">
              <w:t>.</w:t>
            </w:r>
          </w:p>
        </w:tc>
      </w:tr>
    </w:tbl>
    <w:p w14:paraId="1E538BE6" w14:textId="77777777" w:rsidR="00ED3761" w:rsidRPr="00065200" w:rsidRDefault="00ED3761" w:rsidP="00B67B36">
      <w:pPr>
        <w:sectPr w:rsidR="00ED3761" w:rsidRPr="00065200" w:rsidSect="006211B8">
          <w:headerReference w:type="even" r:id="rId33"/>
          <w:headerReference w:type="default" r:id="rId34"/>
          <w:footerReference w:type="default" r:id="rId35"/>
          <w:headerReference w:type="first" r:id="rId36"/>
          <w:pgSz w:w="16839" w:h="11907" w:orient="landscape" w:code="9"/>
          <w:pgMar w:top="1418" w:right="1418" w:bottom="1418" w:left="1418" w:header="850" w:footer="720" w:gutter="0"/>
          <w:cols w:space="720"/>
          <w:docGrid w:linePitch="360"/>
        </w:sectPr>
      </w:pPr>
    </w:p>
    <w:p w14:paraId="7A0E9F3F" w14:textId="5E51F555" w:rsidR="00B04291" w:rsidRDefault="00055ECE" w:rsidP="00BD32FF">
      <w:r w:rsidRPr="00065200">
        <w:lastRenderedPageBreak/>
        <w:t>I</w:t>
      </w:r>
      <w:r w:rsidR="00E5037C">
        <w:t>I</w:t>
      </w:r>
      <w:r w:rsidRPr="00065200">
        <w:t xml:space="preserve">SA </w:t>
      </w:r>
      <w:r w:rsidR="004F4DD1">
        <w:t xml:space="preserve">has </w:t>
      </w:r>
      <w:r w:rsidR="00F21BBE">
        <w:t>found that the Government does not have an</w:t>
      </w:r>
      <w:r w:rsidRPr="00065200">
        <w:t xml:space="preserve"> </w:t>
      </w:r>
      <w:r w:rsidR="007C360B" w:rsidRPr="00065200">
        <w:t>effective</w:t>
      </w:r>
      <w:r w:rsidRPr="00065200">
        <w:t xml:space="preserve"> regular mechanism to update </w:t>
      </w:r>
      <w:r w:rsidR="00924609">
        <w:t xml:space="preserve">existing </w:t>
      </w:r>
      <w:r w:rsidRPr="00065200">
        <w:t xml:space="preserve">ISR priorities to </w:t>
      </w:r>
      <w:r w:rsidR="00721B83">
        <w:t xml:space="preserve">ensure they </w:t>
      </w:r>
      <w:r w:rsidRPr="00065200">
        <w:t>align with new nati</w:t>
      </w:r>
      <w:r w:rsidR="0078125A">
        <w:t>onal objectives</w:t>
      </w:r>
      <w:r w:rsidR="00721B83">
        <w:t xml:space="preserve">. </w:t>
      </w:r>
      <w:r w:rsidR="00AD01AC" w:rsidRPr="00065200">
        <w:t>A recent</w:t>
      </w:r>
      <w:r w:rsidR="00E352DC">
        <w:t xml:space="preserve"> </w:t>
      </w:r>
      <w:r w:rsidR="00E352DC" w:rsidRPr="00E352DC">
        <w:t xml:space="preserve">Organisation for Economic Co-operation and Development </w:t>
      </w:r>
      <w:r w:rsidR="00E352DC">
        <w:t>(</w:t>
      </w:r>
      <w:r w:rsidR="00AD01AC" w:rsidRPr="00065200">
        <w:t>OECD</w:t>
      </w:r>
      <w:r w:rsidR="00E352DC">
        <w:t>)</w:t>
      </w:r>
      <w:r w:rsidR="00AD01AC" w:rsidRPr="00065200">
        <w:t xml:space="preserve"> review of science and technology policies examined the </w:t>
      </w:r>
      <w:r w:rsidR="00CA13D6" w:rsidRPr="00065200">
        <w:t>ISR initiatives of 12</w:t>
      </w:r>
      <w:r w:rsidR="00AD01AC" w:rsidRPr="00065200">
        <w:t xml:space="preserve"> countries.</w:t>
      </w:r>
      <w:r w:rsidR="00AD01AC" w:rsidRPr="00065200">
        <w:rPr>
          <w:rStyle w:val="FootnoteReference"/>
        </w:rPr>
        <w:footnoteReference w:id="83"/>
      </w:r>
      <w:r w:rsidR="00AD01AC" w:rsidRPr="00065200">
        <w:t xml:space="preserve"> </w:t>
      </w:r>
      <w:r w:rsidR="00CA13D6" w:rsidRPr="00065200">
        <w:t>Over half of these countries ha</w:t>
      </w:r>
      <w:r w:rsidR="003F12A4" w:rsidRPr="00065200">
        <w:t>ve</w:t>
      </w:r>
      <w:r w:rsidR="00AD01AC" w:rsidRPr="00065200">
        <w:t xml:space="preserve"> successful long</w:t>
      </w:r>
      <w:r w:rsidR="00AD01AC" w:rsidRPr="00065200">
        <w:noBreakHyphen/>
        <w:t>term or enduring ISR strategies</w:t>
      </w:r>
      <w:r w:rsidR="004904A9">
        <w:t xml:space="preserve"> (including funding commitments)</w:t>
      </w:r>
      <w:r w:rsidR="00CA13D6" w:rsidRPr="00065200">
        <w:t>, ranging</w:t>
      </w:r>
      <w:r w:rsidR="00AD01AC" w:rsidRPr="00065200">
        <w:t xml:space="preserve"> </w:t>
      </w:r>
      <w:r w:rsidR="00B65E7B">
        <w:t xml:space="preserve">in duration </w:t>
      </w:r>
      <w:r w:rsidR="00D64F6C">
        <w:t xml:space="preserve">of </w:t>
      </w:r>
      <w:r w:rsidR="00B65E7B">
        <w:t>up</w:t>
      </w:r>
      <w:r w:rsidR="00AD01AC" w:rsidRPr="00065200">
        <w:t xml:space="preserve"> to</w:t>
      </w:r>
      <w:r w:rsidR="003F12A4" w:rsidRPr="00065200">
        <w:t xml:space="preserve"> almost 2</w:t>
      </w:r>
      <w:r w:rsidR="00AD01AC" w:rsidRPr="00065200">
        <w:t>0 years</w:t>
      </w:r>
      <w:r w:rsidR="003F12A4" w:rsidRPr="00065200">
        <w:t>,</w:t>
      </w:r>
      <w:r w:rsidR="00AD01AC" w:rsidRPr="00065200">
        <w:t xml:space="preserve"> organised under overarching priorities, pillars or goals</w:t>
      </w:r>
      <w:r w:rsidR="00CE4CED" w:rsidRPr="00065200">
        <w:t xml:space="preserve"> that are </w:t>
      </w:r>
      <w:r w:rsidR="00924609">
        <w:t>regularly</w:t>
      </w:r>
      <w:r w:rsidR="00924609" w:rsidRPr="00065200">
        <w:t xml:space="preserve"> </w:t>
      </w:r>
      <w:r w:rsidR="00CE4CED" w:rsidRPr="00065200">
        <w:t>reviewed.</w:t>
      </w:r>
      <w:r w:rsidR="00CE4CED" w:rsidRPr="00065200">
        <w:rPr>
          <w:rStyle w:val="FootnoteReference"/>
        </w:rPr>
        <w:footnoteReference w:id="84"/>
      </w:r>
      <w:r w:rsidR="00726D15" w:rsidRPr="00065200">
        <w:t xml:space="preserve"> </w:t>
      </w:r>
    </w:p>
    <w:p w14:paraId="31CF68E1" w14:textId="372D4819" w:rsidR="00A831E4" w:rsidRDefault="00726D15" w:rsidP="00BD32FF">
      <w:r w:rsidRPr="00065200">
        <w:t>These strategies often</w:t>
      </w:r>
      <w:r w:rsidR="00AD01AC" w:rsidRPr="00065200">
        <w:t xml:space="preserve"> combine </w:t>
      </w:r>
      <w:r w:rsidR="003F12A4" w:rsidRPr="00065200">
        <w:t>more traditional national ISR approaches, such as sectoral, technology</w:t>
      </w:r>
      <w:r w:rsidR="00D20882" w:rsidRPr="00065200">
        <w:t>,</w:t>
      </w:r>
      <w:r w:rsidR="003F12A4" w:rsidRPr="00065200">
        <w:t xml:space="preserve"> or national competitiveness-based priorities, with</w:t>
      </w:r>
      <w:r w:rsidR="00AD01AC" w:rsidRPr="00065200">
        <w:t xml:space="preserve"> cross-cutting ‘</w:t>
      </w:r>
      <w:r w:rsidR="00204BEB">
        <w:t>challenge-based</w:t>
      </w:r>
      <w:r w:rsidR="00AD01AC" w:rsidRPr="00065200">
        <w:t>’ approaches aimed at resolving longer-term societal challenges</w:t>
      </w:r>
      <w:r w:rsidR="00EE0807">
        <w:t xml:space="preserve"> </w:t>
      </w:r>
      <w:r w:rsidR="00EE0807" w:rsidRPr="00CC4320">
        <w:t>with an associated outcome or target</w:t>
      </w:r>
      <w:r w:rsidR="00AD01AC" w:rsidRPr="00065200">
        <w:t>.</w:t>
      </w:r>
      <w:r w:rsidR="00AD01AC" w:rsidRPr="00065200">
        <w:rPr>
          <w:rStyle w:val="FootnoteReference"/>
        </w:rPr>
        <w:footnoteReference w:id="85"/>
      </w:r>
      <w:r w:rsidR="00AD01AC" w:rsidRPr="00065200">
        <w:t xml:space="preserve"> </w:t>
      </w:r>
      <w:r w:rsidR="003F12A4" w:rsidRPr="00065200">
        <w:t>Specifically, 94</w:t>
      </w:r>
      <w:r w:rsidR="00205144">
        <w:t> per cent</w:t>
      </w:r>
      <w:r w:rsidR="00AD01AC" w:rsidRPr="00065200">
        <w:t xml:space="preserve"> of OECD countries highlight</w:t>
      </w:r>
      <w:r w:rsidR="003F12A4" w:rsidRPr="00065200">
        <w:t xml:space="preserve"> </w:t>
      </w:r>
      <w:r w:rsidR="00AD01AC" w:rsidRPr="00065200">
        <w:t>the importance of specific scientific research, technologies or economic fields in their priority mix</w:t>
      </w:r>
      <w:r w:rsidR="00804C29" w:rsidRPr="00065200">
        <w:t>,</w:t>
      </w:r>
      <w:r w:rsidR="003F12A4" w:rsidRPr="00065200">
        <w:t xml:space="preserve"> </w:t>
      </w:r>
      <w:r w:rsidR="00804C29" w:rsidRPr="00065200">
        <w:t xml:space="preserve">and </w:t>
      </w:r>
      <w:r w:rsidR="00AD01AC" w:rsidRPr="00065200">
        <w:t>91</w:t>
      </w:r>
      <w:r w:rsidR="00205144">
        <w:t> per cent</w:t>
      </w:r>
      <w:r w:rsidR="00AD01AC" w:rsidRPr="00065200">
        <w:t xml:space="preserve"> have strategies t</w:t>
      </w:r>
      <w:r w:rsidR="00804C29" w:rsidRPr="00065200">
        <w:t>o</w:t>
      </w:r>
      <w:r w:rsidR="00AD01AC" w:rsidRPr="00065200">
        <w:t xml:space="preserve"> address </w:t>
      </w:r>
      <w:r w:rsidR="008C3768" w:rsidRPr="00CC4320">
        <w:t>specific</w:t>
      </w:r>
      <w:r w:rsidR="008C3768">
        <w:t xml:space="preserve"> </w:t>
      </w:r>
      <w:r w:rsidR="00AD01AC" w:rsidRPr="00065200">
        <w:t>societal challenges.</w:t>
      </w:r>
      <w:r w:rsidR="00AD01AC" w:rsidRPr="00065200">
        <w:rPr>
          <w:rStyle w:val="FootnoteReference"/>
        </w:rPr>
        <w:footnoteReference w:id="86"/>
      </w:r>
      <w:r w:rsidR="00FF69F6" w:rsidRPr="00065200">
        <w:t xml:space="preserve"> Canada’s approach, for example, is based on a long tradition of ISR policy settings that</w:t>
      </w:r>
      <w:r w:rsidR="000712CC">
        <w:t xml:space="preserve"> develop practical applications which</w:t>
      </w:r>
      <w:r w:rsidR="00FF69F6" w:rsidRPr="00065200">
        <w:t xml:space="preserve"> build on the nation’s natural, financial, scientific and human resource advantages to address national challenges.</w:t>
      </w:r>
      <w:r w:rsidR="00FF69F6" w:rsidRPr="00065200">
        <w:rPr>
          <w:rStyle w:val="FootnoteReference"/>
        </w:rPr>
        <w:footnoteReference w:id="87"/>
      </w:r>
      <w:r w:rsidR="00BD32FF" w:rsidRPr="00065200">
        <w:t xml:space="preserve"> </w:t>
      </w:r>
    </w:p>
    <w:p w14:paraId="0C385FBA" w14:textId="668B3158" w:rsidR="00DC22E6" w:rsidRDefault="00BD32FF" w:rsidP="007F03D6">
      <w:r w:rsidRPr="00065200">
        <w:t>Ireland’s 2012 Research Prioritisation process aligned the majority of competitively awarded public research investment with 14 priority areas under six broad themes (see</w:t>
      </w:r>
      <w:r w:rsidR="00210761">
        <w:t xml:space="preserve"> </w:t>
      </w:r>
      <w:r w:rsidR="00210761">
        <w:fldChar w:fldCharType="begin"/>
      </w:r>
      <w:r w:rsidR="00210761">
        <w:instrText xml:space="preserve"> REF _Ref56068695 \h </w:instrText>
      </w:r>
      <w:r w:rsidR="00210761">
        <w:fldChar w:fldCharType="separate"/>
      </w:r>
      <w:r w:rsidR="00807393" w:rsidRPr="00065200">
        <w:t xml:space="preserve">Table </w:t>
      </w:r>
      <w:r w:rsidR="00807393">
        <w:rPr>
          <w:noProof/>
        </w:rPr>
        <w:t>4</w:t>
      </w:r>
      <w:r w:rsidR="00210761">
        <w:fldChar w:fldCharType="end"/>
      </w:r>
      <w:r w:rsidRPr="00065200">
        <w:t>).</w:t>
      </w:r>
      <w:r w:rsidRPr="00065200">
        <w:rPr>
          <w:vertAlign w:val="superscript"/>
        </w:rPr>
        <w:footnoteReference w:id="88"/>
      </w:r>
      <w:r w:rsidRPr="00065200">
        <w:t xml:space="preserve"> A </w:t>
      </w:r>
      <w:r w:rsidR="000712CC">
        <w:t xml:space="preserve">scheduled </w:t>
      </w:r>
      <w:r w:rsidRPr="00065200">
        <w:t xml:space="preserve">2018 review process amended the priorities, while the broad themes remained in place. These amendments enabled the </w:t>
      </w:r>
      <w:r w:rsidR="00D950A8">
        <w:t xml:space="preserve">Irish </w:t>
      </w:r>
      <w:r w:rsidRPr="00065200">
        <w:t xml:space="preserve">Government to </w:t>
      </w:r>
      <w:r w:rsidR="000712CC">
        <w:t xml:space="preserve">pivot their investment </w:t>
      </w:r>
      <w:r w:rsidR="00207382">
        <w:t>strategy and</w:t>
      </w:r>
      <w:r w:rsidR="000712CC">
        <w:t xml:space="preserve"> adapt to</w:t>
      </w:r>
      <w:r w:rsidRPr="00065200">
        <w:t xml:space="preserve"> significant developments such as Brexit and </w:t>
      </w:r>
      <w:r w:rsidR="000712CC">
        <w:t xml:space="preserve">the introduction of </w:t>
      </w:r>
      <w:r w:rsidRPr="00065200">
        <w:t>disruptive technologies. Ireland’s prioritisation approach deliberately excluded categories of expenditure including higher education ‘block grants’</w:t>
      </w:r>
      <w:r w:rsidR="00A17499">
        <w:t>,</w:t>
      </w:r>
      <w:r w:rsidRPr="00065200">
        <w:t xml:space="preserve"> which support broader research costs, </w:t>
      </w:r>
      <w:r w:rsidR="00DC22E6">
        <w:t>funding for in</w:t>
      </w:r>
      <w:r w:rsidR="00DC22E6">
        <w:noBreakHyphen/>
      </w:r>
      <w:r w:rsidRPr="00065200">
        <w:t>company performed ISR</w:t>
      </w:r>
      <w:r w:rsidR="00DC22E6">
        <w:t xml:space="preserve"> </w:t>
      </w:r>
      <w:r w:rsidR="00535072">
        <w:t>and b</w:t>
      </w:r>
      <w:r w:rsidR="00A17499">
        <w:t>roader p</w:t>
      </w:r>
      <w:r w:rsidRPr="00065200">
        <w:t>olicy and knowledge research</w:t>
      </w:r>
      <w:r w:rsidR="00535072">
        <w:t>.</w:t>
      </w:r>
    </w:p>
    <w:p w14:paraId="180BE4A0" w14:textId="77777777" w:rsidR="00DC22E6" w:rsidRDefault="00DC22E6">
      <w:pPr>
        <w:spacing w:before="40" w:after="160" w:line="288" w:lineRule="auto"/>
      </w:pPr>
      <w:r>
        <w:br w:type="page"/>
      </w:r>
    </w:p>
    <w:p w14:paraId="537B48E0" w14:textId="18FF1969" w:rsidR="00BD32FF" w:rsidRPr="00065200" w:rsidRDefault="00BD32FF" w:rsidP="00DC22E6">
      <w:pPr>
        <w:pStyle w:val="Caption"/>
      </w:pPr>
      <w:bookmarkStart w:id="257" w:name="_Ref43730525"/>
      <w:bookmarkStart w:id="258" w:name="_Ref56068695"/>
      <w:r w:rsidRPr="00065200">
        <w:lastRenderedPageBreak/>
        <w:t xml:space="preserve">Table </w:t>
      </w:r>
      <w:r w:rsidRPr="00065200">
        <w:fldChar w:fldCharType="begin"/>
      </w:r>
      <w:r w:rsidRPr="00065200">
        <w:instrText xml:space="preserve"> SEQ Table \* ARABIC </w:instrText>
      </w:r>
      <w:r w:rsidRPr="00065200">
        <w:fldChar w:fldCharType="separate"/>
      </w:r>
      <w:r w:rsidR="00807393">
        <w:rPr>
          <w:noProof/>
        </w:rPr>
        <w:t>4</w:t>
      </w:r>
      <w:r w:rsidRPr="00065200">
        <w:fldChar w:fldCharType="end"/>
      </w:r>
      <w:bookmarkEnd w:id="257"/>
      <w:bookmarkEnd w:id="258"/>
      <w:r w:rsidRPr="00065200">
        <w:t xml:space="preserve"> Ireland’s research </w:t>
      </w:r>
      <w:r w:rsidR="000712CC">
        <w:t xml:space="preserve">themes and </w:t>
      </w:r>
      <w:r w:rsidRPr="00065200">
        <w:t>priorit</w:t>
      </w:r>
      <w:r w:rsidR="00224330">
        <w:t>y</w:t>
      </w:r>
      <w:r w:rsidRPr="00065200">
        <w:t xml:space="preserve"> areas: 2018–2023</w:t>
      </w:r>
    </w:p>
    <w:tbl>
      <w:tblPr>
        <w:tblStyle w:val="TableGrid"/>
        <w:tblW w:w="0" w:type="auto"/>
        <w:jc w:val="center"/>
        <w:tblCellMar>
          <w:top w:w="57" w:type="dxa"/>
          <w:left w:w="57" w:type="dxa"/>
          <w:bottom w:w="57" w:type="dxa"/>
          <w:right w:w="57" w:type="dxa"/>
        </w:tblCellMar>
        <w:tblLook w:val="04A0" w:firstRow="1" w:lastRow="0" w:firstColumn="1" w:lastColumn="0" w:noHBand="0" w:noVBand="1"/>
        <w:tblCaption w:val="Table 4 Ireland’s research themes and priority areas: 2018–2023"/>
        <w:tblDescription w:val="Table 4 describes Ireland's six research themes and the priority research areas within each theme."/>
      </w:tblPr>
      <w:tblGrid>
        <w:gridCol w:w="9061"/>
      </w:tblGrid>
      <w:tr w:rsidR="00BD32FF" w:rsidRPr="00065200" w14:paraId="26A21856" w14:textId="77777777" w:rsidTr="000B1E57">
        <w:trPr>
          <w:cantSplit/>
          <w:tblHeader/>
          <w:jc w:val="center"/>
        </w:trPr>
        <w:tc>
          <w:tcPr>
            <w:tcW w:w="0" w:type="auto"/>
            <w:shd w:val="clear" w:color="auto" w:fill="DDEAEF" w:themeFill="text2" w:themeFillTint="33"/>
            <w:vAlign w:val="center"/>
          </w:tcPr>
          <w:p w14:paraId="3BA7923E" w14:textId="441DE2AC" w:rsidR="00BD32FF" w:rsidRPr="00065200" w:rsidRDefault="000712CC" w:rsidP="000B1E57">
            <w:pPr>
              <w:spacing w:after="0" w:line="240" w:lineRule="auto"/>
              <w:rPr>
                <w:b/>
                <w:sz w:val="20"/>
                <w:szCs w:val="20"/>
              </w:rPr>
            </w:pPr>
            <w:r>
              <w:rPr>
                <w:b/>
                <w:sz w:val="20"/>
                <w:szCs w:val="20"/>
              </w:rPr>
              <w:t xml:space="preserve">Theme 1: </w:t>
            </w:r>
            <w:r w:rsidR="00BD32FF" w:rsidRPr="00065200">
              <w:rPr>
                <w:b/>
                <w:sz w:val="20"/>
                <w:szCs w:val="20"/>
              </w:rPr>
              <w:t>ICT</w:t>
            </w:r>
          </w:p>
        </w:tc>
      </w:tr>
      <w:tr w:rsidR="00BD32FF" w:rsidRPr="00065200" w14:paraId="00CC3D25" w14:textId="77777777" w:rsidTr="000B1E57">
        <w:trPr>
          <w:cantSplit/>
          <w:jc w:val="center"/>
        </w:trPr>
        <w:tc>
          <w:tcPr>
            <w:tcW w:w="0" w:type="auto"/>
          </w:tcPr>
          <w:p w14:paraId="338C5D7B" w14:textId="77777777" w:rsidR="00BD32FF" w:rsidRPr="00065200" w:rsidRDefault="00BD32FF" w:rsidP="00774ED4">
            <w:pPr>
              <w:pStyle w:val="ListParagraph"/>
              <w:numPr>
                <w:ilvl w:val="0"/>
                <w:numId w:val="44"/>
              </w:numPr>
              <w:spacing w:after="0" w:line="240" w:lineRule="auto"/>
              <w:rPr>
                <w:sz w:val="20"/>
                <w:szCs w:val="20"/>
              </w:rPr>
            </w:pPr>
            <w:r w:rsidRPr="00065200">
              <w:rPr>
                <w:sz w:val="20"/>
                <w:szCs w:val="20"/>
              </w:rPr>
              <w:t>Future Networks, Communications and Internet of Things</w:t>
            </w:r>
          </w:p>
          <w:p w14:paraId="2AEB010A" w14:textId="77777777" w:rsidR="00BD32FF" w:rsidRPr="00065200" w:rsidRDefault="00BD32FF" w:rsidP="00774ED4">
            <w:pPr>
              <w:pStyle w:val="ListParagraph"/>
              <w:numPr>
                <w:ilvl w:val="0"/>
                <w:numId w:val="44"/>
              </w:numPr>
              <w:spacing w:after="0" w:line="240" w:lineRule="auto"/>
              <w:rPr>
                <w:sz w:val="20"/>
                <w:szCs w:val="20"/>
              </w:rPr>
            </w:pPr>
            <w:r w:rsidRPr="00065200">
              <w:rPr>
                <w:sz w:val="20"/>
                <w:szCs w:val="20"/>
              </w:rPr>
              <w:t>Data Analytics, Management, Security, Privacy, Robotics and Artificial Intelligence (including Machine Learning)</w:t>
            </w:r>
          </w:p>
          <w:p w14:paraId="1493AFCE" w14:textId="77777777" w:rsidR="00BD32FF" w:rsidRPr="00065200" w:rsidRDefault="00BD32FF" w:rsidP="00774ED4">
            <w:pPr>
              <w:pStyle w:val="ListParagraph"/>
              <w:numPr>
                <w:ilvl w:val="0"/>
                <w:numId w:val="44"/>
              </w:numPr>
              <w:spacing w:after="0" w:line="240" w:lineRule="auto"/>
              <w:rPr>
                <w:sz w:val="20"/>
                <w:szCs w:val="20"/>
              </w:rPr>
            </w:pPr>
            <w:r w:rsidRPr="00065200">
              <w:rPr>
                <w:sz w:val="20"/>
                <w:szCs w:val="20"/>
              </w:rPr>
              <w:t>Digital Platforms, Content and Applications, and Augmented Reality and Virtual Reality</w:t>
            </w:r>
          </w:p>
        </w:tc>
      </w:tr>
      <w:tr w:rsidR="00BD32FF" w:rsidRPr="00065200" w14:paraId="0FD171EC" w14:textId="77777777" w:rsidTr="000B1E57">
        <w:trPr>
          <w:cantSplit/>
          <w:jc w:val="center"/>
        </w:trPr>
        <w:tc>
          <w:tcPr>
            <w:tcW w:w="0" w:type="auto"/>
            <w:shd w:val="clear" w:color="auto" w:fill="DDEAEF" w:themeFill="text2" w:themeFillTint="33"/>
          </w:tcPr>
          <w:p w14:paraId="3652569C" w14:textId="262A2830" w:rsidR="00BD32FF" w:rsidRPr="00065200" w:rsidRDefault="000712CC" w:rsidP="00774ED4">
            <w:pPr>
              <w:spacing w:after="0" w:line="240" w:lineRule="auto"/>
              <w:rPr>
                <w:sz w:val="20"/>
                <w:szCs w:val="20"/>
              </w:rPr>
            </w:pPr>
            <w:r>
              <w:rPr>
                <w:b/>
                <w:sz w:val="20"/>
                <w:szCs w:val="20"/>
              </w:rPr>
              <w:t xml:space="preserve">Theme 2: </w:t>
            </w:r>
            <w:r w:rsidR="00BD32FF" w:rsidRPr="00065200">
              <w:rPr>
                <w:b/>
                <w:sz w:val="20"/>
                <w:szCs w:val="20"/>
              </w:rPr>
              <w:t>Health and wellbeing</w:t>
            </w:r>
          </w:p>
        </w:tc>
      </w:tr>
      <w:tr w:rsidR="00BD32FF" w:rsidRPr="00065200" w14:paraId="725C259F" w14:textId="77777777" w:rsidTr="000B1E57">
        <w:trPr>
          <w:cantSplit/>
          <w:jc w:val="center"/>
        </w:trPr>
        <w:tc>
          <w:tcPr>
            <w:tcW w:w="0" w:type="auto"/>
          </w:tcPr>
          <w:p w14:paraId="710C221B" w14:textId="77777777" w:rsidR="00BD32FF" w:rsidRPr="00065200" w:rsidRDefault="00BD32FF" w:rsidP="00774ED4">
            <w:pPr>
              <w:pStyle w:val="ListParagraph"/>
              <w:numPr>
                <w:ilvl w:val="0"/>
                <w:numId w:val="44"/>
              </w:numPr>
              <w:spacing w:after="0" w:line="240" w:lineRule="auto"/>
              <w:rPr>
                <w:sz w:val="20"/>
                <w:szCs w:val="20"/>
              </w:rPr>
            </w:pPr>
            <w:r w:rsidRPr="00065200">
              <w:rPr>
                <w:sz w:val="20"/>
                <w:szCs w:val="20"/>
              </w:rPr>
              <w:t>Connected Health and Independent Living</w:t>
            </w:r>
          </w:p>
          <w:p w14:paraId="79854890" w14:textId="77777777" w:rsidR="00BD32FF" w:rsidRPr="00065200" w:rsidRDefault="00BD32FF" w:rsidP="00774ED4">
            <w:pPr>
              <w:pStyle w:val="ListParagraph"/>
              <w:numPr>
                <w:ilvl w:val="0"/>
                <w:numId w:val="44"/>
              </w:numPr>
              <w:spacing w:after="0" w:line="240" w:lineRule="auto"/>
              <w:rPr>
                <w:sz w:val="20"/>
                <w:szCs w:val="20"/>
              </w:rPr>
            </w:pPr>
            <w:r w:rsidRPr="00065200">
              <w:rPr>
                <w:sz w:val="20"/>
                <w:szCs w:val="20"/>
              </w:rPr>
              <w:t>Medical Devices</w:t>
            </w:r>
          </w:p>
          <w:p w14:paraId="093DA5BE" w14:textId="77777777" w:rsidR="00BD32FF" w:rsidRPr="00065200" w:rsidRDefault="00BD32FF" w:rsidP="00774ED4">
            <w:pPr>
              <w:pStyle w:val="ListParagraph"/>
              <w:numPr>
                <w:ilvl w:val="0"/>
                <w:numId w:val="44"/>
              </w:numPr>
              <w:spacing w:after="0" w:line="240" w:lineRule="auto"/>
              <w:rPr>
                <w:sz w:val="20"/>
                <w:szCs w:val="20"/>
              </w:rPr>
            </w:pPr>
            <w:r w:rsidRPr="00065200">
              <w:rPr>
                <w:sz w:val="20"/>
                <w:szCs w:val="20"/>
              </w:rPr>
              <w:t>Diagnostics</w:t>
            </w:r>
          </w:p>
          <w:p w14:paraId="1D0C0D04" w14:textId="77777777" w:rsidR="00BD32FF" w:rsidRPr="00065200" w:rsidRDefault="00BD32FF" w:rsidP="00774ED4">
            <w:pPr>
              <w:pStyle w:val="ListParagraph"/>
              <w:numPr>
                <w:ilvl w:val="0"/>
                <w:numId w:val="44"/>
              </w:numPr>
              <w:spacing w:after="0" w:line="240" w:lineRule="auto"/>
              <w:rPr>
                <w:sz w:val="20"/>
                <w:szCs w:val="20"/>
              </w:rPr>
            </w:pPr>
            <w:r w:rsidRPr="00065200">
              <w:rPr>
                <w:sz w:val="20"/>
                <w:szCs w:val="20"/>
              </w:rPr>
              <w:t>Therapeutics</w:t>
            </w:r>
          </w:p>
        </w:tc>
      </w:tr>
      <w:tr w:rsidR="00BD32FF" w:rsidRPr="00065200" w14:paraId="5960E291" w14:textId="77777777" w:rsidTr="000B1E57">
        <w:trPr>
          <w:cantSplit/>
          <w:jc w:val="center"/>
        </w:trPr>
        <w:tc>
          <w:tcPr>
            <w:tcW w:w="0" w:type="auto"/>
            <w:shd w:val="clear" w:color="auto" w:fill="DDEAEF" w:themeFill="text2" w:themeFillTint="33"/>
          </w:tcPr>
          <w:p w14:paraId="541C366D" w14:textId="4CE87E87" w:rsidR="00BD32FF" w:rsidRPr="00065200" w:rsidRDefault="000712CC" w:rsidP="00774ED4">
            <w:pPr>
              <w:spacing w:after="0" w:line="240" w:lineRule="auto"/>
              <w:rPr>
                <w:sz w:val="20"/>
                <w:szCs w:val="20"/>
              </w:rPr>
            </w:pPr>
            <w:r>
              <w:rPr>
                <w:b/>
                <w:sz w:val="20"/>
                <w:szCs w:val="20"/>
              </w:rPr>
              <w:t xml:space="preserve">Theme 3: </w:t>
            </w:r>
            <w:r w:rsidR="00BD32FF" w:rsidRPr="00065200">
              <w:rPr>
                <w:b/>
                <w:sz w:val="20"/>
                <w:szCs w:val="20"/>
              </w:rPr>
              <w:t>Food</w:t>
            </w:r>
          </w:p>
        </w:tc>
      </w:tr>
      <w:tr w:rsidR="00BD32FF" w:rsidRPr="00065200" w14:paraId="6AF1180A" w14:textId="77777777" w:rsidTr="000B1E57">
        <w:trPr>
          <w:cantSplit/>
          <w:jc w:val="center"/>
        </w:trPr>
        <w:tc>
          <w:tcPr>
            <w:tcW w:w="0" w:type="auto"/>
          </w:tcPr>
          <w:p w14:paraId="74E0AEE3" w14:textId="77777777" w:rsidR="00BD32FF" w:rsidRPr="00065200" w:rsidRDefault="00BD32FF" w:rsidP="00774ED4">
            <w:pPr>
              <w:pStyle w:val="ListParagraph"/>
              <w:numPr>
                <w:ilvl w:val="0"/>
                <w:numId w:val="44"/>
              </w:numPr>
              <w:spacing w:after="0" w:line="240" w:lineRule="auto"/>
              <w:rPr>
                <w:sz w:val="20"/>
                <w:szCs w:val="20"/>
              </w:rPr>
            </w:pPr>
            <w:r w:rsidRPr="00065200">
              <w:rPr>
                <w:sz w:val="20"/>
                <w:szCs w:val="20"/>
              </w:rPr>
              <w:t>Food for Health</w:t>
            </w:r>
          </w:p>
          <w:p w14:paraId="6AA22EFA" w14:textId="77777777" w:rsidR="00BD32FF" w:rsidRPr="00065200" w:rsidRDefault="00BD32FF" w:rsidP="00774ED4">
            <w:pPr>
              <w:pStyle w:val="ListParagraph"/>
              <w:numPr>
                <w:ilvl w:val="0"/>
                <w:numId w:val="44"/>
              </w:numPr>
              <w:spacing w:after="0" w:line="240" w:lineRule="auto"/>
              <w:rPr>
                <w:sz w:val="20"/>
                <w:szCs w:val="20"/>
              </w:rPr>
            </w:pPr>
            <w:r w:rsidRPr="00065200">
              <w:rPr>
                <w:sz w:val="20"/>
                <w:szCs w:val="20"/>
              </w:rPr>
              <w:t>Smart and Sustainable Food Production and Processing</w:t>
            </w:r>
          </w:p>
        </w:tc>
      </w:tr>
      <w:tr w:rsidR="00BD32FF" w:rsidRPr="00065200" w14:paraId="73E48359" w14:textId="77777777" w:rsidTr="000B1E57">
        <w:trPr>
          <w:cantSplit/>
          <w:jc w:val="center"/>
        </w:trPr>
        <w:tc>
          <w:tcPr>
            <w:tcW w:w="0" w:type="auto"/>
            <w:shd w:val="clear" w:color="auto" w:fill="DDEAEF" w:themeFill="text2" w:themeFillTint="33"/>
          </w:tcPr>
          <w:p w14:paraId="3E343510" w14:textId="73707348" w:rsidR="00BD32FF" w:rsidRPr="00065200" w:rsidRDefault="000712CC" w:rsidP="00774ED4">
            <w:pPr>
              <w:spacing w:after="0" w:line="240" w:lineRule="auto"/>
              <w:rPr>
                <w:sz w:val="20"/>
                <w:szCs w:val="20"/>
              </w:rPr>
            </w:pPr>
            <w:r>
              <w:rPr>
                <w:b/>
                <w:sz w:val="20"/>
                <w:szCs w:val="20"/>
              </w:rPr>
              <w:t xml:space="preserve">Theme 4: </w:t>
            </w:r>
            <w:r w:rsidR="00BD32FF" w:rsidRPr="00065200">
              <w:rPr>
                <w:b/>
                <w:sz w:val="20"/>
                <w:szCs w:val="20"/>
              </w:rPr>
              <w:t>Energy, climate action and sustainability</w:t>
            </w:r>
          </w:p>
        </w:tc>
      </w:tr>
      <w:tr w:rsidR="00BD32FF" w:rsidRPr="00065200" w14:paraId="728C3DE6" w14:textId="77777777" w:rsidTr="000B1E57">
        <w:trPr>
          <w:cantSplit/>
          <w:jc w:val="center"/>
        </w:trPr>
        <w:tc>
          <w:tcPr>
            <w:tcW w:w="0" w:type="auto"/>
          </w:tcPr>
          <w:p w14:paraId="208FD3B0" w14:textId="77777777" w:rsidR="00BD32FF" w:rsidRPr="00065200" w:rsidRDefault="00BD32FF" w:rsidP="00774ED4">
            <w:pPr>
              <w:pStyle w:val="ListParagraph"/>
              <w:numPr>
                <w:ilvl w:val="0"/>
                <w:numId w:val="44"/>
              </w:numPr>
              <w:spacing w:after="0" w:line="240" w:lineRule="auto"/>
              <w:rPr>
                <w:sz w:val="20"/>
                <w:szCs w:val="20"/>
              </w:rPr>
            </w:pPr>
            <w:r w:rsidRPr="00065200">
              <w:rPr>
                <w:sz w:val="20"/>
                <w:szCs w:val="20"/>
              </w:rPr>
              <w:t>Decarbonising the Energy System</w:t>
            </w:r>
          </w:p>
          <w:p w14:paraId="48B8BF35" w14:textId="77777777" w:rsidR="00BD32FF" w:rsidRPr="00065200" w:rsidRDefault="00BD32FF" w:rsidP="00774ED4">
            <w:pPr>
              <w:pStyle w:val="ListParagraph"/>
              <w:numPr>
                <w:ilvl w:val="0"/>
                <w:numId w:val="44"/>
              </w:numPr>
              <w:spacing w:after="0" w:line="240" w:lineRule="auto"/>
              <w:rPr>
                <w:sz w:val="20"/>
                <w:szCs w:val="20"/>
              </w:rPr>
            </w:pPr>
            <w:r w:rsidRPr="00065200">
              <w:rPr>
                <w:sz w:val="20"/>
                <w:szCs w:val="20"/>
              </w:rPr>
              <w:t>Sustainable Living</w:t>
            </w:r>
          </w:p>
        </w:tc>
      </w:tr>
      <w:tr w:rsidR="00BD32FF" w:rsidRPr="00065200" w14:paraId="03DDBCBA" w14:textId="77777777" w:rsidTr="000B1E57">
        <w:trPr>
          <w:cantSplit/>
          <w:jc w:val="center"/>
        </w:trPr>
        <w:tc>
          <w:tcPr>
            <w:tcW w:w="0" w:type="auto"/>
            <w:shd w:val="clear" w:color="auto" w:fill="DDEAEF" w:themeFill="text2" w:themeFillTint="33"/>
          </w:tcPr>
          <w:p w14:paraId="092FA51B" w14:textId="1AA6DB14" w:rsidR="00BD32FF" w:rsidRPr="00065200" w:rsidRDefault="000712CC" w:rsidP="00774ED4">
            <w:pPr>
              <w:spacing w:after="0" w:line="240" w:lineRule="auto"/>
              <w:rPr>
                <w:sz w:val="20"/>
                <w:szCs w:val="20"/>
              </w:rPr>
            </w:pPr>
            <w:r>
              <w:rPr>
                <w:b/>
                <w:sz w:val="20"/>
                <w:szCs w:val="20"/>
              </w:rPr>
              <w:t xml:space="preserve">Theme 5: </w:t>
            </w:r>
            <w:r w:rsidR="00BD32FF" w:rsidRPr="00065200">
              <w:rPr>
                <w:b/>
                <w:sz w:val="20"/>
                <w:szCs w:val="20"/>
              </w:rPr>
              <w:t>Manufacturing and materials</w:t>
            </w:r>
          </w:p>
        </w:tc>
      </w:tr>
      <w:tr w:rsidR="00BD32FF" w:rsidRPr="00065200" w14:paraId="76E1B6C2" w14:textId="77777777" w:rsidTr="000B1E57">
        <w:trPr>
          <w:cantSplit/>
          <w:jc w:val="center"/>
        </w:trPr>
        <w:tc>
          <w:tcPr>
            <w:tcW w:w="0" w:type="auto"/>
          </w:tcPr>
          <w:p w14:paraId="6C9DDCB9" w14:textId="77777777" w:rsidR="00BD32FF" w:rsidRPr="00065200" w:rsidRDefault="00BD32FF" w:rsidP="00774ED4">
            <w:pPr>
              <w:pStyle w:val="ListParagraph"/>
              <w:numPr>
                <w:ilvl w:val="0"/>
                <w:numId w:val="44"/>
              </w:numPr>
              <w:spacing w:after="0" w:line="240" w:lineRule="auto"/>
              <w:rPr>
                <w:sz w:val="20"/>
                <w:szCs w:val="20"/>
              </w:rPr>
            </w:pPr>
            <w:r w:rsidRPr="00065200">
              <w:rPr>
                <w:sz w:val="20"/>
                <w:szCs w:val="20"/>
              </w:rPr>
              <w:t>Advanced and Smart Manufacturing</w:t>
            </w:r>
          </w:p>
          <w:p w14:paraId="7F298509" w14:textId="77777777" w:rsidR="00BD32FF" w:rsidRPr="00065200" w:rsidRDefault="00BD32FF" w:rsidP="00774ED4">
            <w:pPr>
              <w:pStyle w:val="ListParagraph"/>
              <w:numPr>
                <w:ilvl w:val="0"/>
                <w:numId w:val="44"/>
              </w:numPr>
              <w:spacing w:after="0" w:line="240" w:lineRule="auto"/>
              <w:rPr>
                <w:sz w:val="20"/>
                <w:szCs w:val="20"/>
              </w:rPr>
            </w:pPr>
            <w:r w:rsidRPr="00065200">
              <w:rPr>
                <w:sz w:val="20"/>
                <w:szCs w:val="20"/>
              </w:rPr>
              <w:t>Manufacturing and Novel Materials</w:t>
            </w:r>
          </w:p>
        </w:tc>
      </w:tr>
      <w:tr w:rsidR="00BD32FF" w:rsidRPr="00065200" w14:paraId="7A4470E4" w14:textId="77777777" w:rsidTr="000B1E57">
        <w:trPr>
          <w:cantSplit/>
          <w:jc w:val="center"/>
        </w:trPr>
        <w:tc>
          <w:tcPr>
            <w:tcW w:w="0" w:type="auto"/>
            <w:shd w:val="clear" w:color="auto" w:fill="DDEAEF" w:themeFill="text2" w:themeFillTint="33"/>
          </w:tcPr>
          <w:p w14:paraId="4C2D207E" w14:textId="03F61BFF" w:rsidR="00BD32FF" w:rsidRPr="00065200" w:rsidRDefault="000712CC" w:rsidP="00774ED4">
            <w:pPr>
              <w:spacing w:after="0" w:line="240" w:lineRule="auto"/>
              <w:rPr>
                <w:sz w:val="20"/>
                <w:szCs w:val="20"/>
              </w:rPr>
            </w:pPr>
            <w:r>
              <w:rPr>
                <w:b/>
                <w:sz w:val="20"/>
                <w:szCs w:val="20"/>
              </w:rPr>
              <w:t xml:space="preserve">Theme 6: </w:t>
            </w:r>
            <w:r w:rsidR="00BD32FF" w:rsidRPr="00065200">
              <w:rPr>
                <w:b/>
                <w:sz w:val="20"/>
                <w:szCs w:val="20"/>
              </w:rPr>
              <w:t>Services and business processes</w:t>
            </w:r>
          </w:p>
        </w:tc>
      </w:tr>
      <w:tr w:rsidR="00BD32FF" w:rsidRPr="00065200" w14:paraId="0E63DD3F" w14:textId="77777777" w:rsidTr="000B1E57">
        <w:trPr>
          <w:cantSplit/>
          <w:jc w:val="center"/>
        </w:trPr>
        <w:tc>
          <w:tcPr>
            <w:tcW w:w="0" w:type="auto"/>
          </w:tcPr>
          <w:p w14:paraId="2EABC2FB" w14:textId="77777777" w:rsidR="00BD32FF" w:rsidRPr="00065200" w:rsidRDefault="00BD32FF" w:rsidP="00774ED4">
            <w:pPr>
              <w:pStyle w:val="ListParagraph"/>
              <w:numPr>
                <w:ilvl w:val="0"/>
                <w:numId w:val="44"/>
              </w:numPr>
              <w:spacing w:after="0" w:line="240" w:lineRule="auto"/>
              <w:rPr>
                <w:sz w:val="20"/>
                <w:szCs w:val="20"/>
              </w:rPr>
            </w:pPr>
            <w:r w:rsidRPr="00065200">
              <w:rPr>
                <w:sz w:val="20"/>
                <w:szCs w:val="20"/>
              </w:rPr>
              <w:t>Innovation in Services and Business Processes</w:t>
            </w:r>
          </w:p>
        </w:tc>
      </w:tr>
    </w:tbl>
    <w:p w14:paraId="297643C4" w14:textId="77777777" w:rsidR="00B64F01" w:rsidRPr="00065200" w:rsidRDefault="006B5BD6" w:rsidP="00072FCD">
      <w:pPr>
        <w:pStyle w:val="Heading3"/>
      </w:pPr>
      <w:r w:rsidRPr="00065200">
        <w:t>ISR priorities should not be developed in a vacuum</w:t>
      </w:r>
    </w:p>
    <w:p w14:paraId="39127033" w14:textId="0B85C113" w:rsidR="00AD01AC" w:rsidRPr="00065200" w:rsidRDefault="00380104" w:rsidP="00E96CA2">
      <w:r w:rsidRPr="00065200">
        <w:t xml:space="preserve">ISR priorities should be </w:t>
      </w:r>
      <w:r w:rsidR="000C2197" w:rsidRPr="00065200">
        <w:t>designed to align with</w:t>
      </w:r>
      <w:r w:rsidRPr="00065200">
        <w:t xml:space="preserve"> broader government economic, environment</w:t>
      </w:r>
      <w:r w:rsidR="00730B36" w:rsidRPr="00065200">
        <w:t>al</w:t>
      </w:r>
      <w:r w:rsidRPr="00065200">
        <w:t xml:space="preserve"> and social objectives</w:t>
      </w:r>
      <w:r w:rsidR="00207382">
        <w:t>,</w:t>
      </w:r>
      <w:r w:rsidR="002F46A6" w:rsidRPr="00065200">
        <w:t xml:space="preserve"> maintain Australia’s </w:t>
      </w:r>
      <w:r w:rsidR="005F26F3" w:rsidRPr="00065200">
        <w:t>competitive</w:t>
      </w:r>
      <w:r w:rsidR="002F46A6" w:rsidRPr="00065200">
        <w:t xml:space="preserve"> </w:t>
      </w:r>
      <w:r w:rsidR="00403282" w:rsidRPr="00065200">
        <w:t xml:space="preserve">and </w:t>
      </w:r>
      <w:r w:rsidR="005F26F3" w:rsidRPr="00065200">
        <w:t>comparative advantages</w:t>
      </w:r>
      <w:r w:rsidR="002F46A6" w:rsidRPr="00065200">
        <w:t>, and ensure the Government’s own national and sovereign needs are met</w:t>
      </w:r>
      <w:r w:rsidRPr="00065200">
        <w:t xml:space="preserve">. </w:t>
      </w:r>
      <w:r w:rsidR="00AD01AC" w:rsidRPr="00065200">
        <w:t>ISR investments are more likely to effectively address large-scale issues</w:t>
      </w:r>
      <w:r w:rsidR="00C56882" w:rsidRPr="00065200">
        <w:t>,</w:t>
      </w:r>
      <w:r w:rsidR="00AD01AC" w:rsidRPr="00065200">
        <w:t xml:space="preserve"> such as economic growth or good health and well</w:t>
      </w:r>
      <w:r w:rsidR="00AD01AC" w:rsidRPr="00065200">
        <w:noBreakHyphen/>
        <w:t>being</w:t>
      </w:r>
      <w:r w:rsidR="00C56882" w:rsidRPr="00065200">
        <w:t>,</w:t>
      </w:r>
      <w:r w:rsidR="00AD01AC" w:rsidRPr="00065200">
        <w:t xml:space="preserve"> if they are vertically aligned with national</w:t>
      </w:r>
      <w:r w:rsidR="005356BD" w:rsidRPr="00065200">
        <w:t>,</w:t>
      </w:r>
      <w:r w:rsidR="00AD01AC" w:rsidRPr="00065200">
        <w:t xml:space="preserve"> </w:t>
      </w:r>
      <w:r w:rsidR="00FC6E06" w:rsidRPr="00065200">
        <w:t>as well as s</w:t>
      </w:r>
      <w:r w:rsidR="00AD01AC" w:rsidRPr="00065200">
        <w:t xml:space="preserve">tate and </w:t>
      </w:r>
      <w:r w:rsidR="00FC6E06" w:rsidRPr="00065200">
        <w:t>t</w:t>
      </w:r>
      <w:r w:rsidR="00AD01AC" w:rsidRPr="00065200">
        <w:t>erritory</w:t>
      </w:r>
      <w:r w:rsidR="00BE7D0D">
        <w:t>,</w:t>
      </w:r>
      <w:r w:rsidR="00AD01AC" w:rsidRPr="00065200">
        <w:t xml:space="preserve"> priorities early in the design process.</w:t>
      </w:r>
      <w:r w:rsidR="00AD01AC" w:rsidRPr="00065200">
        <w:rPr>
          <w:rStyle w:val="FootnoteReference"/>
        </w:rPr>
        <w:footnoteReference w:id="89"/>
      </w:r>
      <w:r w:rsidR="00AD01AC" w:rsidRPr="00065200">
        <w:rPr>
          <w:vertAlign w:val="superscript"/>
        </w:rPr>
        <w:t>,</w:t>
      </w:r>
      <w:r w:rsidR="00AD01AC" w:rsidRPr="00065200">
        <w:rPr>
          <w:rStyle w:val="FootnoteReference"/>
        </w:rPr>
        <w:footnoteReference w:id="90"/>
      </w:r>
      <w:r w:rsidR="00AD01AC" w:rsidRPr="00065200">
        <w:t xml:space="preserve"> One of the key </w:t>
      </w:r>
      <w:r w:rsidR="00BE6BB0" w:rsidRPr="00065200">
        <w:t>findings</w:t>
      </w:r>
      <w:r w:rsidR="005356BD" w:rsidRPr="00065200">
        <w:t xml:space="preserve"> from</w:t>
      </w:r>
      <w:r w:rsidR="00AD01AC" w:rsidRPr="00065200">
        <w:t xml:space="preserve"> the UK is that science policy does not operate in a vacuum, but is related to other realms of </w:t>
      </w:r>
      <w:r w:rsidR="00106350">
        <w:t xml:space="preserve">public </w:t>
      </w:r>
      <w:r w:rsidR="00AD01AC" w:rsidRPr="00065200">
        <w:t>policy.</w:t>
      </w:r>
      <w:r w:rsidR="00AD01AC" w:rsidRPr="00065200">
        <w:rPr>
          <w:rStyle w:val="FootnoteReference"/>
        </w:rPr>
        <w:footnoteReference w:id="91"/>
      </w:r>
      <w:r w:rsidR="00AD01AC" w:rsidRPr="00065200">
        <w:t xml:space="preserve"> </w:t>
      </w:r>
    </w:p>
    <w:p w14:paraId="13671EA2" w14:textId="4790B3B4" w:rsidR="0009716B" w:rsidRPr="00065200" w:rsidRDefault="00BE7D0D" w:rsidP="00774ED4">
      <w:pPr>
        <w:spacing w:after="160"/>
      </w:pPr>
      <w:r>
        <w:t>I</w:t>
      </w:r>
      <w:r w:rsidR="00175A2A">
        <w:t>I</w:t>
      </w:r>
      <w:r>
        <w:t>SA</w:t>
      </w:r>
      <w:r w:rsidR="00DC22E6">
        <w:t>’s</w:t>
      </w:r>
      <w:r>
        <w:t xml:space="preserve"> a</w:t>
      </w:r>
      <w:r w:rsidR="00DC22E6">
        <w:t>nalyse</w:t>
      </w:r>
      <w:r w:rsidR="00937217" w:rsidRPr="00065200">
        <w:t>s</w:t>
      </w:r>
      <w:r w:rsidR="000C2197" w:rsidRPr="00065200">
        <w:t xml:space="preserve"> </w:t>
      </w:r>
      <w:r w:rsidR="00521536" w:rsidRPr="00065200">
        <w:t xml:space="preserve">of </w:t>
      </w:r>
      <w:r w:rsidR="00730EBC" w:rsidRPr="00065200">
        <w:t>s</w:t>
      </w:r>
      <w:r w:rsidR="00521536" w:rsidRPr="00065200">
        <w:t xml:space="preserve">ocioeconomic objectives (SEOs) data </w:t>
      </w:r>
      <w:r w:rsidR="00AC78C3" w:rsidRPr="00065200">
        <w:t>identifies both overlaps and differences</w:t>
      </w:r>
      <w:r w:rsidR="00937217" w:rsidRPr="00065200">
        <w:t xml:space="preserve"> betwee</w:t>
      </w:r>
      <w:r w:rsidR="00D977E1" w:rsidRPr="00065200">
        <w:t xml:space="preserve">n the </w:t>
      </w:r>
      <w:r w:rsidR="00521536" w:rsidRPr="00065200">
        <w:t xml:space="preserve">intended </w:t>
      </w:r>
      <w:r w:rsidR="00D977E1" w:rsidRPr="00065200">
        <w:t>ISR investment outcomes by</w:t>
      </w:r>
      <w:r w:rsidR="00937217" w:rsidRPr="00065200">
        <w:t xml:space="preserve"> both the Commonwealth and states and </w:t>
      </w:r>
      <w:r w:rsidR="00937217" w:rsidRPr="00065200">
        <w:lastRenderedPageBreak/>
        <w:t>territories.</w:t>
      </w:r>
      <w:r w:rsidR="00730EBC" w:rsidRPr="00065200">
        <w:rPr>
          <w:rStyle w:val="FootnoteReference"/>
        </w:rPr>
        <w:footnoteReference w:id="92"/>
      </w:r>
      <w:r w:rsidR="00937217" w:rsidRPr="00065200">
        <w:t xml:space="preserve"> </w:t>
      </w:r>
      <w:r w:rsidR="00521536" w:rsidRPr="00065200">
        <w:t xml:space="preserve">For example, health was the top SEO objective for both the Commonwealth and state and territory governments in 2016–17, </w:t>
      </w:r>
      <w:r w:rsidR="00730EBC" w:rsidRPr="00065200">
        <w:t>comprising</w:t>
      </w:r>
      <w:r w:rsidR="00867248" w:rsidRPr="00065200">
        <w:t xml:space="preserve"> $3</w:t>
      </w:r>
      <w:r w:rsidR="00207382">
        <w:t>,</w:t>
      </w:r>
      <w:r w:rsidR="00521536" w:rsidRPr="00065200">
        <w:t>837 million and $461 million</w:t>
      </w:r>
      <w:r w:rsidR="00730EBC" w:rsidRPr="00065200">
        <w:t xml:space="preserve"> of R&amp;D expenditure</w:t>
      </w:r>
      <w:r w:rsidR="00521536" w:rsidRPr="00065200">
        <w:t>, respectively.</w:t>
      </w:r>
      <w:r w:rsidR="00521536" w:rsidRPr="00065200">
        <w:rPr>
          <w:rStyle w:val="FootnoteReference"/>
        </w:rPr>
        <w:footnoteReference w:id="93"/>
      </w:r>
      <w:r w:rsidR="00521536" w:rsidRPr="00065200">
        <w:t xml:space="preserve"> </w:t>
      </w:r>
      <w:r w:rsidR="00730EBC" w:rsidRPr="00065200">
        <w:t xml:space="preserve">Environment was another </w:t>
      </w:r>
      <w:r w:rsidR="00AB746A" w:rsidRPr="00065200">
        <w:t>highly ranked</w:t>
      </w:r>
      <w:r w:rsidR="00730EBC" w:rsidRPr="00065200">
        <w:t xml:space="preserve"> </w:t>
      </w:r>
      <w:r w:rsidR="00ED1149" w:rsidRPr="00065200">
        <w:t>SEO objective</w:t>
      </w:r>
      <w:r w:rsidR="00730EBC" w:rsidRPr="00065200">
        <w:t xml:space="preserve"> for both levels of government.</w:t>
      </w:r>
      <w:r w:rsidR="00AC78C3" w:rsidRPr="00065200">
        <w:t xml:space="preserve"> </w:t>
      </w:r>
      <w:r w:rsidR="00521536" w:rsidRPr="00065200">
        <w:t>SEOs that align with</w:t>
      </w:r>
      <w:r w:rsidR="00521536" w:rsidRPr="00065200" w:rsidDel="00521536">
        <w:t xml:space="preserve"> </w:t>
      </w:r>
      <w:r w:rsidR="00521536" w:rsidRPr="00065200">
        <w:t>national objectives</w:t>
      </w:r>
      <w:r w:rsidR="00521536" w:rsidRPr="00065200" w:rsidDel="00521536">
        <w:t>,</w:t>
      </w:r>
      <w:r w:rsidR="00521536" w:rsidRPr="00065200">
        <w:t xml:space="preserve"> or in areas where businesses are unlikely to </w:t>
      </w:r>
      <w:r w:rsidR="009817B0">
        <w:t>invest</w:t>
      </w:r>
      <w:r w:rsidR="00106350">
        <w:t>,</w:t>
      </w:r>
      <w:r w:rsidR="00207382">
        <w:t xml:space="preserve"> </w:t>
      </w:r>
      <w:r w:rsidR="00AB746A" w:rsidRPr="00065200">
        <w:t xml:space="preserve">were ranked </w:t>
      </w:r>
      <w:r w:rsidR="00241E6F" w:rsidRPr="00065200">
        <w:t xml:space="preserve">higher </w:t>
      </w:r>
      <w:r w:rsidR="00AB746A" w:rsidRPr="00065200">
        <w:t>in terms of</w:t>
      </w:r>
      <w:r w:rsidR="00ED1149" w:rsidRPr="00065200">
        <w:t xml:space="preserve"> R&amp;D expenditure </w:t>
      </w:r>
      <w:r w:rsidR="009F5FB9" w:rsidRPr="00065200">
        <w:t>by</w:t>
      </w:r>
      <w:r w:rsidR="00ED1149" w:rsidRPr="00065200">
        <w:t xml:space="preserve"> the Commonwealth</w:t>
      </w:r>
      <w:r w:rsidR="00437340">
        <w:t> </w:t>
      </w:r>
      <w:r w:rsidR="00ED1149" w:rsidRPr="00065200">
        <w:t xml:space="preserve">Government </w:t>
      </w:r>
      <w:r w:rsidR="00207382">
        <w:t xml:space="preserve">as </w:t>
      </w:r>
      <w:r w:rsidR="00ED1149" w:rsidRPr="00065200">
        <w:t xml:space="preserve">compared </w:t>
      </w:r>
      <w:r w:rsidR="00207382">
        <w:t>to</w:t>
      </w:r>
      <w:r w:rsidR="00ED1149" w:rsidRPr="00065200">
        <w:t xml:space="preserve"> state and territory governments</w:t>
      </w:r>
      <w:r w:rsidR="009F5FB9" w:rsidRPr="00065200">
        <w:t>. These include</w:t>
      </w:r>
      <w:r w:rsidR="00C56882" w:rsidRPr="00065200">
        <w:t>d</w:t>
      </w:r>
      <w:r w:rsidR="009F5FB9" w:rsidRPr="00065200">
        <w:t xml:space="preserve"> SEOs</w:t>
      </w:r>
      <w:r w:rsidR="00ED1149" w:rsidRPr="00065200">
        <w:t xml:space="preserve"> such as the</w:t>
      </w:r>
      <w:r w:rsidR="00521536" w:rsidRPr="00065200">
        <w:t xml:space="preserve"> </w:t>
      </w:r>
      <w:r w:rsidR="00730EBC" w:rsidRPr="00065200">
        <w:t>general advancement of knowledge,</w:t>
      </w:r>
      <w:r w:rsidR="00521536" w:rsidRPr="00065200">
        <w:t xml:space="preserve"> defence and agriculture. </w:t>
      </w:r>
    </w:p>
    <w:p w14:paraId="760EF8FA" w14:textId="084EC2E9" w:rsidR="00AD01AC" w:rsidRPr="00065200" w:rsidRDefault="00875774" w:rsidP="00774ED4">
      <w:pPr>
        <w:spacing w:after="160"/>
      </w:pPr>
      <w:r w:rsidRPr="00065200">
        <w:t>Historically</w:t>
      </w:r>
      <w:r w:rsidR="00633212" w:rsidRPr="00065200">
        <w:t>, t</w:t>
      </w:r>
      <w:r w:rsidR="00254B56" w:rsidRPr="00065200">
        <w:t xml:space="preserve">here </w:t>
      </w:r>
      <w:r w:rsidR="009B1BD0" w:rsidRPr="00065200">
        <w:t>has been</w:t>
      </w:r>
      <w:r w:rsidR="00937217" w:rsidRPr="00065200">
        <w:t xml:space="preserve"> limited coordination of </w:t>
      </w:r>
      <w:r w:rsidR="00207382">
        <w:t>ISR</w:t>
      </w:r>
      <w:r w:rsidR="00207382" w:rsidRPr="00065200">
        <w:t xml:space="preserve"> </w:t>
      </w:r>
      <w:r w:rsidR="000A7768" w:rsidRPr="00065200">
        <w:t>investments between the different</w:t>
      </w:r>
      <w:r w:rsidR="000C2197" w:rsidRPr="00065200">
        <w:t xml:space="preserve"> levels of </w:t>
      </w:r>
      <w:r w:rsidR="002F3488">
        <w:t>g</w:t>
      </w:r>
      <w:r w:rsidR="000C2197" w:rsidRPr="00065200">
        <w:t>overnment</w:t>
      </w:r>
      <w:r w:rsidR="00633212" w:rsidRPr="00065200">
        <w:t xml:space="preserve">. </w:t>
      </w:r>
      <w:r w:rsidR="00261F94" w:rsidRPr="00065200">
        <w:t>More recently</w:t>
      </w:r>
      <w:r w:rsidR="0010741F">
        <w:t>,</w:t>
      </w:r>
      <w:r w:rsidR="00261F94" w:rsidRPr="00065200">
        <w:t xml:space="preserve"> greater coordination is being add</w:t>
      </w:r>
      <w:r w:rsidR="00867392" w:rsidRPr="00065200">
        <w:t>ressed in response to the COVID</w:t>
      </w:r>
      <w:r w:rsidR="00867392" w:rsidRPr="00065200">
        <w:noBreakHyphen/>
      </w:r>
      <w:r w:rsidR="00261F94" w:rsidRPr="00065200">
        <w:t>19 crisis, with the</w:t>
      </w:r>
      <w:r w:rsidR="00D13863">
        <w:t xml:space="preserve"> establishment of the National C</w:t>
      </w:r>
      <w:r w:rsidR="00261F94" w:rsidRPr="00065200">
        <w:t xml:space="preserve">abinet, and </w:t>
      </w:r>
      <w:r w:rsidR="0053199B" w:rsidRPr="00065200">
        <w:t xml:space="preserve">through initiatives such as the </w:t>
      </w:r>
      <w:r w:rsidR="005D60FB" w:rsidRPr="00065200">
        <w:t xml:space="preserve">inaugural </w:t>
      </w:r>
      <w:r w:rsidR="0053199B" w:rsidRPr="00065200">
        <w:t xml:space="preserve">Digital Economy and Technology </w:t>
      </w:r>
      <w:r w:rsidR="005D60FB" w:rsidRPr="00065200">
        <w:t>Ministers’ R</w:t>
      </w:r>
      <w:r w:rsidR="0053199B" w:rsidRPr="00065200">
        <w:t>oundtable</w:t>
      </w:r>
      <w:r w:rsidR="00C56882" w:rsidRPr="00065200">
        <w:t>,</w:t>
      </w:r>
      <w:r w:rsidR="005D60FB" w:rsidRPr="00065200">
        <w:t xml:space="preserve"> held in May 2020</w:t>
      </w:r>
      <w:r w:rsidR="00261F94" w:rsidRPr="00065200">
        <w:t>.</w:t>
      </w:r>
      <w:r w:rsidR="0053199B" w:rsidRPr="00065200">
        <w:rPr>
          <w:rStyle w:val="FootnoteReference"/>
        </w:rPr>
        <w:footnoteReference w:id="94"/>
      </w:r>
      <w:r w:rsidR="0053199B" w:rsidRPr="00065200">
        <w:t xml:space="preserve"> </w:t>
      </w:r>
      <w:r w:rsidR="008F231B">
        <w:t>Enduring implementation of i</w:t>
      </w:r>
      <w:r w:rsidR="0053199B" w:rsidRPr="00065200">
        <w:t>nitiatives suc</w:t>
      </w:r>
      <w:r w:rsidRPr="00065200">
        <w:t>h as these should be considered</w:t>
      </w:r>
      <w:r w:rsidR="00B35A09" w:rsidRPr="00065200">
        <w:t xml:space="preserve"> </w:t>
      </w:r>
      <w:r w:rsidR="00C56882" w:rsidRPr="00065200">
        <w:t>across the ISR system</w:t>
      </w:r>
      <w:r w:rsidR="00B35A09" w:rsidRPr="00065200">
        <w:t xml:space="preserve"> </w:t>
      </w:r>
      <w:r w:rsidR="00AD01AC" w:rsidRPr="00065200">
        <w:t>to ensure that Commonwea</w:t>
      </w:r>
      <w:r w:rsidR="005600D5" w:rsidRPr="00065200">
        <w:t>l</w:t>
      </w:r>
      <w:r w:rsidR="00AD01AC" w:rsidRPr="00065200">
        <w:t xml:space="preserve">th </w:t>
      </w:r>
      <w:r w:rsidR="008F231B">
        <w:t>and</w:t>
      </w:r>
      <w:r w:rsidR="00AD01AC" w:rsidRPr="00065200">
        <w:t xml:space="preserve"> </w:t>
      </w:r>
      <w:r w:rsidR="00DD58A9" w:rsidRPr="00065200">
        <w:t>s</w:t>
      </w:r>
      <w:r w:rsidR="00AD01AC" w:rsidRPr="00065200">
        <w:t xml:space="preserve">tate and </w:t>
      </w:r>
      <w:r w:rsidR="00DD58A9" w:rsidRPr="00065200">
        <w:t>t</w:t>
      </w:r>
      <w:r w:rsidR="00187E6A" w:rsidRPr="00065200">
        <w:t>erritory level</w:t>
      </w:r>
      <w:r w:rsidR="008F231B">
        <w:t xml:space="preserve"> priorities and </w:t>
      </w:r>
      <w:r w:rsidR="008F231B" w:rsidRPr="00065200">
        <w:t xml:space="preserve">ISR investments </w:t>
      </w:r>
      <w:r w:rsidR="008F231B">
        <w:t>are complementary</w:t>
      </w:r>
      <w:r w:rsidR="00B35A09" w:rsidRPr="00065200">
        <w:t xml:space="preserve"> </w:t>
      </w:r>
      <w:r w:rsidR="008F231B">
        <w:t xml:space="preserve">to </w:t>
      </w:r>
      <w:r w:rsidR="00AD01AC" w:rsidRPr="00065200">
        <w:t>increase the</w:t>
      </w:r>
      <w:r w:rsidR="008F231B">
        <w:t>ir</w:t>
      </w:r>
      <w:r w:rsidR="00AD01AC" w:rsidRPr="00065200">
        <w:t xml:space="preserve"> effectiveness at all levels of </w:t>
      </w:r>
      <w:r w:rsidR="00DD58A9" w:rsidRPr="00065200">
        <w:t>g</w:t>
      </w:r>
      <w:r w:rsidR="00AD01AC" w:rsidRPr="00065200">
        <w:t>overnment.</w:t>
      </w:r>
    </w:p>
    <w:p w14:paraId="4CA41872" w14:textId="6D021384" w:rsidR="006F4E8D" w:rsidRPr="00065200" w:rsidRDefault="005B0012" w:rsidP="00774ED4">
      <w:pPr>
        <w:spacing w:after="160"/>
      </w:pPr>
      <w:r w:rsidRPr="00065200">
        <w:t>Internationally, c</w:t>
      </w:r>
      <w:r w:rsidR="009B591D" w:rsidRPr="00065200">
        <w:t xml:space="preserve">hallenge-based approaches are </w:t>
      </w:r>
      <w:r w:rsidRPr="00065200">
        <w:t>being used to</w:t>
      </w:r>
      <w:r w:rsidR="009B05C6" w:rsidRPr="00065200">
        <w:t xml:space="preserve"> ensure alignment with national social, economic and environmental objectives</w:t>
      </w:r>
      <w:r w:rsidR="009B05C6">
        <w:t xml:space="preserve">, and </w:t>
      </w:r>
      <w:r w:rsidR="0024008B">
        <w:t>foster</w:t>
      </w:r>
      <w:r w:rsidR="009B591D" w:rsidRPr="00065200">
        <w:t xml:space="preserve"> collaboration </w:t>
      </w:r>
      <w:r w:rsidR="009B05C6">
        <w:t>between</w:t>
      </w:r>
      <w:r w:rsidR="009B591D" w:rsidRPr="00065200">
        <w:t xml:space="preserve"> a broad range of stakeholders, including the public. </w:t>
      </w:r>
      <w:r w:rsidR="009B05C6">
        <w:t>Challenge-based approaches also</w:t>
      </w:r>
      <w:r w:rsidR="009B591D" w:rsidRPr="00065200">
        <w:t xml:space="preserve"> accelerate innovation as they seek to solve big problems</w:t>
      </w:r>
      <w:r w:rsidR="009B05C6">
        <w:t>,</w:t>
      </w:r>
      <w:r w:rsidR="009B591D" w:rsidRPr="00065200">
        <w:t xml:space="preserve"> and generate national passion and pride in innovation and science achievements. Challenges could be used as a mechanism for the </w:t>
      </w:r>
      <w:r w:rsidR="00251C92" w:rsidRPr="00065200">
        <w:t xml:space="preserve">Commonwealth </w:t>
      </w:r>
      <w:r w:rsidR="009B591D" w:rsidRPr="00065200">
        <w:t>Government to promote whole-of-government ISR priorities.</w:t>
      </w:r>
      <w:r w:rsidR="009B591D" w:rsidRPr="00065200">
        <w:rPr>
          <w:rStyle w:val="FootnoteReference"/>
        </w:rPr>
        <w:footnoteReference w:id="95"/>
      </w:r>
    </w:p>
    <w:p w14:paraId="0226B1B2" w14:textId="7693A6F3" w:rsidR="003E799A" w:rsidRPr="00065200" w:rsidRDefault="003E799A" w:rsidP="00774ED4">
      <w:pPr>
        <w:spacing w:after="160"/>
      </w:pPr>
      <w:r w:rsidRPr="00065200">
        <w:t>Internationally</w:t>
      </w:r>
      <w:r w:rsidR="00127632" w:rsidRPr="00065200">
        <w:t>,</w:t>
      </w:r>
      <w:r w:rsidRPr="00065200">
        <w:t xml:space="preserve"> ISR priorities are generally expressed as themes</w:t>
      </w:r>
      <w:r w:rsidR="009B05C6">
        <w:t>,</w:t>
      </w:r>
      <w:r w:rsidRPr="00065200">
        <w:t xml:space="preserve"> goal-oriented objectives or cross</w:t>
      </w:r>
      <w:r w:rsidR="009B05C6">
        <w:noBreakHyphen/>
      </w:r>
      <w:r w:rsidRPr="00065200">
        <w:t xml:space="preserve">cutting challenges spanning several themes. </w:t>
      </w:r>
      <w:r w:rsidR="00C418B6" w:rsidRPr="00CC4320">
        <w:t xml:space="preserve">Framing a priority as a challenge, or an aspirational </w:t>
      </w:r>
      <w:r w:rsidR="00230457" w:rsidRPr="00CC4320">
        <w:t>goal</w:t>
      </w:r>
      <w:r w:rsidR="00C418B6" w:rsidRPr="00CC4320">
        <w:t xml:space="preserve">, </w:t>
      </w:r>
      <w:r w:rsidR="00230457" w:rsidRPr="00CC4320">
        <w:t>can simplify the monitoring and e</w:t>
      </w:r>
      <w:r w:rsidR="00C418B6" w:rsidRPr="00CC4320">
        <w:t>valuation</w:t>
      </w:r>
      <w:r w:rsidR="00230457" w:rsidRPr="00CC4320">
        <w:t xml:space="preserve"> process </w:t>
      </w:r>
      <w:r w:rsidR="009B05C6">
        <w:t>by providing</w:t>
      </w:r>
      <w:r w:rsidR="00D30647" w:rsidRPr="00CC4320">
        <w:t xml:space="preserve"> a pathway to a clear </w:t>
      </w:r>
      <w:r w:rsidR="00230457" w:rsidRPr="00CC4320">
        <w:t>end point.</w:t>
      </w:r>
      <w:r w:rsidR="00230457">
        <w:t xml:space="preserve"> </w:t>
      </w:r>
      <w:r w:rsidR="002412B0">
        <w:t>Some e</w:t>
      </w:r>
      <w:r w:rsidRPr="00065200">
        <w:t>xamples of approaches to ISR prioritisation are provided in the</w:t>
      </w:r>
      <w:r w:rsidR="009B05C6">
        <w:t xml:space="preserve"> </w:t>
      </w:r>
      <w:r w:rsidR="009B05C6">
        <w:fldChar w:fldCharType="begin"/>
      </w:r>
      <w:r w:rsidR="009B05C6">
        <w:instrText xml:space="preserve"> REF _Ref55381682 \h </w:instrText>
      </w:r>
      <w:r w:rsidR="009B05C6">
        <w:fldChar w:fldCharType="separate"/>
      </w:r>
      <w:r w:rsidR="00807393" w:rsidRPr="00065200">
        <w:t>Implementation strategies</w:t>
      </w:r>
      <w:r w:rsidR="009B05C6">
        <w:fldChar w:fldCharType="end"/>
      </w:r>
      <w:r w:rsidRPr="00065200">
        <w:t xml:space="preserve"> section. </w:t>
      </w:r>
    </w:p>
    <w:p w14:paraId="525B16BB" w14:textId="2C2D1546" w:rsidR="00BF0A66" w:rsidRPr="00065200" w:rsidRDefault="0082607C" w:rsidP="00774ED4">
      <w:pPr>
        <w:spacing w:before="240" w:after="160"/>
      </w:pPr>
      <w:r>
        <w:t>I</w:t>
      </w:r>
      <w:r w:rsidR="00DC092A">
        <w:t>I</w:t>
      </w:r>
      <w:r>
        <w:t xml:space="preserve">SA’s proposed ISR prioritisation </w:t>
      </w:r>
      <w:r w:rsidR="00000D1B">
        <w:t>alignment model (</w:t>
      </w:r>
      <w:r w:rsidR="00000D1B">
        <w:fldChar w:fldCharType="begin"/>
      </w:r>
      <w:r w:rsidR="00000D1B">
        <w:instrText xml:space="preserve"> REF _Ref41465277 \h </w:instrText>
      </w:r>
      <w:r w:rsidR="00000D1B">
        <w:fldChar w:fldCharType="separate"/>
      </w:r>
      <w:r w:rsidR="00807393" w:rsidRPr="00065200">
        <w:t xml:space="preserve">Figure </w:t>
      </w:r>
      <w:r w:rsidR="00807393">
        <w:rPr>
          <w:noProof/>
        </w:rPr>
        <w:t>3</w:t>
      </w:r>
      <w:r w:rsidR="00000D1B">
        <w:fldChar w:fldCharType="end"/>
      </w:r>
      <w:r w:rsidR="00000D1B">
        <w:t>)</w:t>
      </w:r>
      <w:r w:rsidR="00244C66">
        <w:t xml:space="preserve"> suggests</w:t>
      </w:r>
      <w:r w:rsidR="004A325A">
        <w:t xml:space="preserve"> </w:t>
      </w:r>
      <w:r w:rsidR="00BF0A66" w:rsidRPr="00065200">
        <w:t xml:space="preserve">ISR priorities </w:t>
      </w:r>
      <w:r w:rsidR="00244C66">
        <w:t xml:space="preserve">should </w:t>
      </w:r>
      <w:r w:rsidR="00BF0A66">
        <w:t>include</w:t>
      </w:r>
      <w:r w:rsidR="00BF0A66" w:rsidRPr="00065200">
        <w:t xml:space="preserve"> a combination of </w:t>
      </w:r>
      <w:r w:rsidR="004A325A">
        <w:t xml:space="preserve">enduring, broadly focussed </w:t>
      </w:r>
      <w:r w:rsidR="00244C66">
        <w:t>whole</w:t>
      </w:r>
      <w:r w:rsidR="00244C66">
        <w:noBreakHyphen/>
        <w:t>of</w:t>
      </w:r>
      <w:r w:rsidR="00244C66">
        <w:noBreakHyphen/>
        <w:t xml:space="preserve">government </w:t>
      </w:r>
      <w:r w:rsidR="004A325A">
        <w:t xml:space="preserve">ISR priorities and </w:t>
      </w:r>
      <w:r w:rsidR="00BF0A66" w:rsidRPr="00065200">
        <w:t>shorter term, and often more specific, subsidiary priorities</w:t>
      </w:r>
      <w:r w:rsidR="00244C66">
        <w:t>. B</w:t>
      </w:r>
      <w:r w:rsidR="004A325A">
        <w:t xml:space="preserve">oth of these </w:t>
      </w:r>
      <w:r w:rsidR="00244C66">
        <w:t>sets of priorities should interact</w:t>
      </w:r>
      <w:r w:rsidR="004A325A">
        <w:t xml:space="preserve"> with</w:t>
      </w:r>
      <w:r w:rsidR="00244C66">
        <w:t xml:space="preserve">, and </w:t>
      </w:r>
      <w:r w:rsidR="00F41B9E">
        <w:t xml:space="preserve">be </w:t>
      </w:r>
      <w:r w:rsidR="00244C66">
        <w:t>respon</w:t>
      </w:r>
      <w:r w:rsidR="00F41B9E">
        <w:t>sive</w:t>
      </w:r>
      <w:r w:rsidR="00244C66">
        <w:t xml:space="preserve"> to,</w:t>
      </w:r>
      <w:r w:rsidR="004A325A">
        <w:t xml:space="preserve"> </w:t>
      </w:r>
      <w:r w:rsidR="00BF0A66" w:rsidRPr="00065200">
        <w:t>Government’s national priorities. I</w:t>
      </w:r>
      <w:r w:rsidR="00783802">
        <w:t>f i</w:t>
      </w:r>
      <w:r w:rsidR="00BF0A66" w:rsidRPr="00065200">
        <w:t xml:space="preserve">mplemented well, </w:t>
      </w:r>
      <w:r w:rsidR="004A325A">
        <w:t xml:space="preserve">these priorities </w:t>
      </w:r>
      <w:r w:rsidR="00783802">
        <w:t>should be</w:t>
      </w:r>
      <w:r w:rsidR="00BF0A66" w:rsidRPr="00065200">
        <w:t xml:space="preserve"> regularly reviewed</w:t>
      </w:r>
      <w:r w:rsidR="0010741F">
        <w:t>,</w:t>
      </w:r>
      <w:r w:rsidR="00BF0A66" w:rsidRPr="00065200">
        <w:t xml:space="preserve"> in consultation with ISR-system stakeholders. </w:t>
      </w:r>
    </w:p>
    <w:p w14:paraId="0B83EF62" w14:textId="77777777" w:rsidR="00BF0A66" w:rsidRPr="00065200" w:rsidRDefault="00BF0A66" w:rsidP="00BF0A66">
      <w:pPr>
        <w:spacing w:after="0" w:line="240" w:lineRule="auto"/>
        <w:jc w:val="center"/>
      </w:pPr>
      <w:r w:rsidRPr="00065200">
        <w:rPr>
          <w:noProof/>
          <w:lang w:eastAsia="en-AU"/>
        </w:rPr>
        <w:lastRenderedPageBreak/>
        <w:drawing>
          <wp:inline distT="0" distB="0" distL="0" distR="0" wp14:anchorId="4A760FA4" wp14:editId="79C3E547">
            <wp:extent cx="4034406" cy="2587924"/>
            <wp:effectExtent l="0" t="0" r="4445" b="0"/>
            <wp:docPr id="38" name="Picture 38" descr="ISA’s proposed ISR prioritisation alignment model suggests ISR priorities should include a combination of the Government’s national economic, environmental and social priorities, broadly focussed whole of government ISR priorities and shorter term, and often more specific, subsidiary priorities." title="Schematic of ISA’s proposed model to align ISR priorities with national pri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640"/>
                    <a:stretch/>
                  </pic:blipFill>
                  <pic:spPr bwMode="auto">
                    <a:xfrm>
                      <a:off x="0" y="0"/>
                      <a:ext cx="4075635" cy="2614371"/>
                    </a:xfrm>
                    <a:prstGeom prst="rect">
                      <a:avLst/>
                    </a:prstGeom>
                    <a:noFill/>
                    <a:ln>
                      <a:noFill/>
                    </a:ln>
                    <a:extLst>
                      <a:ext uri="{53640926-AAD7-44D8-BBD7-CCE9431645EC}">
                        <a14:shadowObscured xmlns:a14="http://schemas.microsoft.com/office/drawing/2010/main"/>
                      </a:ext>
                    </a:extLst>
                  </pic:spPr>
                </pic:pic>
              </a:graphicData>
            </a:graphic>
          </wp:inline>
        </w:drawing>
      </w:r>
    </w:p>
    <w:p w14:paraId="5F834835" w14:textId="4EAB5838" w:rsidR="00BF0A66" w:rsidRPr="00065200" w:rsidRDefault="00BF0A66" w:rsidP="009A78A2">
      <w:pPr>
        <w:pStyle w:val="Caption"/>
        <w:spacing w:after="360"/>
      </w:pPr>
      <w:bookmarkStart w:id="259" w:name="_Ref41465277"/>
      <w:r w:rsidRPr="00065200">
        <w:t xml:space="preserve">Figure </w:t>
      </w:r>
      <w:r w:rsidRPr="00065200">
        <w:fldChar w:fldCharType="begin"/>
      </w:r>
      <w:r w:rsidRPr="00065200">
        <w:instrText xml:space="preserve"> SEQ Figure \* ARABIC </w:instrText>
      </w:r>
      <w:r w:rsidRPr="00065200">
        <w:fldChar w:fldCharType="separate"/>
      </w:r>
      <w:r w:rsidR="00807393">
        <w:rPr>
          <w:noProof/>
        </w:rPr>
        <w:t>3</w:t>
      </w:r>
      <w:r w:rsidRPr="00065200">
        <w:fldChar w:fldCharType="end"/>
      </w:r>
      <w:bookmarkEnd w:id="259"/>
      <w:r w:rsidRPr="00065200">
        <w:t xml:space="preserve"> Schematic of I</w:t>
      </w:r>
      <w:r w:rsidR="00DC092A">
        <w:t>I</w:t>
      </w:r>
      <w:r w:rsidRPr="00065200">
        <w:t xml:space="preserve">SA’s proposed </w:t>
      </w:r>
      <w:r w:rsidR="00244C66">
        <w:t xml:space="preserve">model to </w:t>
      </w:r>
      <w:r w:rsidRPr="00065200">
        <w:t xml:space="preserve">align ISR priorities with </w:t>
      </w:r>
      <w:r w:rsidR="00244C66">
        <w:t>national priorities</w:t>
      </w:r>
    </w:p>
    <w:p w14:paraId="797AFAA2" w14:textId="77777777" w:rsidR="006B5BD6" w:rsidRPr="00065200" w:rsidRDefault="006B5BD6" w:rsidP="00072FCD">
      <w:pPr>
        <w:pStyle w:val="Heading3"/>
      </w:pPr>
      <w:r w:rsidRPr="00065200">
        <w:t>ISR priorities should support both R&amp;D and non-R&amp;D innovation</w:t>
      </w:r>
    </w:p>
    <w:p w14:paraId="7DEDFEFA" w14:textId="05FB6BE5" w:rsidR="00C94E2C" w:rsidRPr="00065200" w:rsidRDefault="00487108" w:rsidP="00B70429">
      <w:r w:rsidRPr="00065200">
        <w:t>To ensure best-practice approaches are imple</w:t>
      </w:r>
      <w:r w:rsidR="00B70429" w:rsidRPr="00065200">
        <w:t>mented, Government should</w:t>
      </w:r>
      <w:r w:rsidRPr="00065200">
        <w:t xml:space="preserve"> </w:t>
      </w:r>
      <w:r w:rsidR="008F231B">
        <w:t>invest in</w:t>
      </w:r>
      <w:r w:rsidR="00244C66" w:rsidRPr="00065200">
        <w:t xml:space="preserve"> both R&amp;D and non</w:t>
      </w:r>
      <w:r w:rsidR="00244C66" w:rsidRPr="00065200">
        <w:noBreakHyphen/>
        <w:t xml:space="preserve">R&amp;D innovation </w:t>
      </w:r>
      <w:r w:rsidR="00244C66">
        <w:t xml:space="preserve">to </w:t>
      </w:r>
      <w:r w:rsidRPr="00065200">
        <w:t xml:space="preserve">deliver innovative solutions </w:t>
      </w:r>
      <w:r w:rsidR="00244C66">
        <w:t>which</w:t>
      </w:r>
      <w:r w:rsidRPr="00065200">
        <w:t xml:space="preserve"> address multi-dimensional issues and problems.</w:t>
      </w:r>
      <w:r w:rsidR="0049659E" w:rsidRPr="00065200">
        <w:rPr>
          <w:rStyle w:val="FootnoteReference"/>
        </w:rPr>
        <w:footnoteReference w:id="96"/>
      </w:r>
      <w:r w:rsidR="00B70429" w:rsidRPr="00065200">
        <w:t xml:space="preserve"> </w:t>
      </w:r>
      <w:r w:rsidR="00EF61F4" w:rsidRPr="0082387C">
        <w:t xml:space="preserve">While </w:t>
      </w:r>
      <w:r w:rsidR="004B2514" w:rsidRPr="0082387C">
        <w:t>non-R&amp;D</w:t>
      </w:r>
      <w:r w:rsidR="00EF61F4" w:rsidRPr="0082387C">
        <w:t xml:space="preserve"> innovation has always been a part of</w:t>
      </w:r>
      <w:r w:rsidR="00181EFD" w:rsidRPr="0082387C">
        <w:t xml:space="preserve"> Government-funded research</w:t>
      </w:r>
      <w:r w:rsidR="00EF61F4" w:rsidRPr="0082387C">
        <w:t>, it has</w:t>
      </w:r>
      <w:r w:rsidR="00867F35" w:rsidRPr="0082387C">
        <w:t xml:space="preserve"> </w:t>
      </w:r>
      <w:r w:rsidR="00EF61F4" w:rsidRPr="0082387C">
        <w:t>n</w:t>
      </w:r>
      <w:r w:rsidR="00867F35" w:rsidRPr="0082387C">
        <w:t>o</w:t>
      </w:r>
      <w:r w:rsidR="00EF61F4" w:rsidRPr="0082387C">
        <w:t>t received the same attention and fun</w:t>
      </w:r>
      <w:r w:rsidRPr="0082387C">
        <w:t>ding as Government-funded R&amp;D</w:t>
      </w:r>
      <w:r w:rsidRPr="00B36E23">
        <w:t>.</w:t>
      </w:r>
      <w:r w:rsidRPr="00065200">
        <w:t xml:space="preserve"> </w:t>
      </w:r>
      <w:r w:rsidR="00EE4404" w:rsidRPr="00065200">
        <w:t>While the spillover benefits of R&amp;D innovation are historically well documented</w:t>
      </w:r>
      <w:r w:rsidR="00E56D3A">
        <w:t>,</w:t>
      </w:r>
      <w:r w:rsidR="00EE4404" w:rsidRPr="00065200">
        <w:t xml:space="preserve"> new research shows that non-R&amp;D innovation can also spur economic growth</w:t>
      </w:r>
      <w:r w:rsidR="00E56D3A">
        <w:t>.</w:t>
      </w:r>
      <w:r w:rsidR="00EE4404" w:rsidRPr="00065200">
        <w:rPr>
          <w:rStyle w:val="FootnoteReference"/>
        </w:rPr>
        <w:footnoteReference w:id="97"/>
      </w:r>
      <w:r w:rsidR="00EE4404" w:rsidRPr="00065200">
        <w:t xml:space="preserve"> </w:t>
      </w:r>
      <w:r w:rsidR="00A106C4">
        <w:t xml:space="preserve">Although </w:t>
      </w:r>
      <w:r w:rsidR="00EE4404" w:rsidRPr="00065200">
        <w:t>G</w:t>
      </w:r>
      <w:r w:rsidR="00181EFD" w:rsidRPr="00065200">
        <w:t>overnment-funded R&amp;D has been recorded since 1979</w:t>
      </w:r>
      <w:r w:rsidR="00C01BAB" w:rsidRPr="00065200">
        <w:t>–</w:t>
      </w:r>
      <w:r w:rsidR="00181EFD" w:rsidRPr="00065200">
        <w:t>80</w:t>
      </w:r>
      <w:r w:rsidR="008C4BCA" w:rsidRPr="00065200">
        <w:t>,</w:t>
      </w:r>
      <w:r w:rsidR="00181EFD" w:rsidRPr="00065200">
        <w:t xml:space="preserve"> </w:t>
      </w:r>
      <w:r w:rsidR="00EF61F4" w:rsidRPr="00065200">
        <w:t>Government-funded non</w:t>
      </w:r>
      <w:r w:rsidR="00C01BAB" w:rsidRPr="00065200">
        <w:noBreakHyphen/>
      </w:r>
      <w:r w:rsidR="00EF61F4" w:rsidRPr="00065200">
        <w:t xml:space="preserve">R&amp;D </w:t>
      </w:r>
      <w:r w:rsidR="0047228E" w:rsidRPr="00065200">
        <w:t xml:space="preserve">innovation investment </w:t>
      </w:r>
      <w:r w:rsidR="008C4BCA" w:rsidRPr="00065200">
        <w:t>has only been</w:t>
      </w:r>
      <w:r w:rsidR="00EF61F4" w:rsidRPr="00065200">
        <w:t xml:space="preserve"> captured in the SRI budget tables </w:t>
      </w:r>
      <w:r w:rsidR="008C4BCA" w:rsidRPr="00065200">
        <w:t xml:space="preserve">since </w:t>
      </w:r>
      <w:r w:rsidR="00C825FB" w:rsidRPr="00065200">
        <w:t>2018</w:t>
      </w:r>
      <w:r w:rsidR="00C01BAB" w:rsidRPr="00065200">
        <w:t>–</w:t>
      </w:r>
      <w:r w:rsidR="00C825FB" w:rsidRPr="00065200">
        <w:t>19</w:t>
      </w:r>
      <w:r w:rsidR="00181EFD" w:rsidRPr="00065200">
        <w:t>.</w:t>
      </w:r>
      <w:r w:rsidR="00C825FB" w:rsidRPr="00065200">
        <w:rPr>
          <w:rStyle w:val="FootnoteReference"/>
        </w:rPr>
        <w:footnoteReference w:id="98"/>
      </w:r>
      <w:r w:rsidR="00853F23" w:rsidRPr="00065200">
        <w:t xml:space="preserve"> </w:t>
      </w:r>
      <w:r w:rsidR="00001014">
        <w:t>To ensure n</w:t>
      </w:r>
      <w:r w:rsidR="00C94E2C" w:rsidRPr="00065200">
        <w:t xml:space="preserve">on-R&amp;D innovation expenditure </w:t>
      </w:r>
      <w:r w:rsidR="00001014">
        <w:t>data reflects</w:t>
      </w:r>
      <w:r w:rsidR="00001014" w:rsidRPr="00065200">
        <w:t xml:space="preserve"> the true level of Government non-R&amp;D investment</w:t>
      </w:r>
      <w:r w:rsidR="00001014">
        <w:t xml:space="preserve">, it </w:t>
      </w:r>
      <w:r w:rsidR="000310C7">
        <w:t>should</w:t>
      </w:r>
      <w:r w:rsidR="00C94E2C" w:rsidRPr="00065200">
        <w:t xml:space="preserve"> be captured and analysed in a more systematic way</w:t>
      </w:r>
      <w:r w:rsidR="00001014">
        <w:t>. This improved data could then be used</w:t>
      </w:r>
      <w:r w:rsidR="00C94E2C" w:rsidRPr="00065200">
        <w:t xml:space="preserve"> </w:t>
      </w:r>
      <w:r w:rsidR="00001014">
        <w:t>to guide an appropriate</w:t>
      </w:r>
      <w:r w:rsidR="00C94E2C" w:rsidRPr="00065200">
        <w:t xml:space="preserve"> balance </w:t>
      </w:r>
      <w:r w:rsidR="00001014">
        <w:t>of</w:t>
      </w:r>
      <w:r w:rsidR="00144428">
        <w:t xml:space="preserve"> Government</w:t>
      </w:r>
      <w:r w:rsidR="00144428" w:rsidRPr="00065200">
        <w:t xml:space="preserve"> investment </w:t>
      </w:r>
      <w:r w:rsidR="00144428">
        <w:t xml:space="preserve">in </w:t>
      </w:r>
      <w:r w:rsidR="00144428" w:rsidRPr="00065200">
        <w:t>ISR</w:t>
      </w:r>
      <w:r w:rsidR="00C94E2C" w:rsidRPr="00065200">
        <w:t>.</w:t>
      </w:r>
      <w:r w:rsidR="00F73CDD">
        <w:rPr>
          <w:rStyle w:val="FootnoteReference"/>
        </w:rPr>
        <w:footnoteReference w:id="99"/>
      </w:r>
    </w:p>
    <w:p w14:paraId="2E5BACD7" w14:textId="51A62D76" w:rsidR="00853F23" w:rsidRPr="00065200" w:rsidRDefault="008C4BCA" w:rsidP="00C82EE4">
      <w:pPr>
        <w:widowControl w:val="0"/>
        <w:spacing w:after="0"/>
      </w:pPr>
      <w:r w:rsidRPr="00065200">
        <w:t>The focus of Government investment in R&amp;D</w:t>
      </w:r>
      <w:r w:rsidR="00590C55" w:rsidRPr="00065200">
        <w:t xml:space="preserve"> is also reflected in the development of Government policies, with many </w:t>
      </w:r>
      <w:r w:rsidR="0000508F" w:rsidRPr="00065200">
        <w:t>focussed</w:t>
      </w:r>
      <w:r w:rsidR="00590C55" w:rsidRPr="00065200">
        <w:t xml:space="preserve"> on R&amp;D investment</w:t>
      </w:r>
      <w:r w:rsidR="00C82EE4">
        <w:t>,</w:t>
      </w:r>
      <w:r w:rsidR="00590C55" w:rsidRPr="00065200">
        <w:t xml:space="preserve"> but few that </w:t>
      </w:r>
      <w:r w:rsidR="00511B92" w:rsidRPr="00065200">
        <w:t>explicitly focus on</w:t>
      </w:r>
      <w:r w:rsidR="00590C55" w:rsidRPr="00065200">
        <w:t xml:space="preserve"> non</w:t>
      </w:r>
      <w:r w:rsidR="0092538C">
        <w:noBreakHyphen/>
      </w:r>
      <w:r w:rsidR="00590C55" w:rsidRPr="00065200">
        <w:t>R&amp;D innovation.</w:t>
      </w:r>
      <w:r w:rsidR="00511B92" w:rsidRPr="00065200">
        <w:t xml:space="preserve"> </w:t>
      </w:r>
      <w:r w:rsidRPr="00065200">
        <w:t>For example, the NSRPs, National Science Statement and R&amp;DTI focus on the role of science, research, and development, rather than broader forms of innovation. Given the economic benefits of non-R&amp;D innovation,</w:t>
      </w:r>
      <w:r w:rsidRPr="00065200">
        <w:rPr>
          <w:rStyle w:val="FootnoteReference"/>
        </w:rPr>
        <w:footnoteReference w:id="100"/>
      </w:r>
      <w:r w:rsidRPr="00065200">
        <w:t xml:space="preserve"> ISR priorities should support both R&amp;D and</w:t>
      </w:r>
      <w:r w:rsidR="00590C55" w:rsidRPr="00065200">
        <w:t xml:space="preserve"> non</w:t>
      </w:r>
      <w:r w:rsidR="00C01BAB" w:rsidRPr="00065200">
        <w:noBreakHyphen/>
      </w:r>
      <w:r w:rsidR="00590C55" w:rsidRPr="00065200">
        <w:t>R&amp;D innovation.</w:t>
      </w:r>
    </w:p>
    <w:p w14:paraId="0E027CDD" w14:textId="3D3B4AC9" w:rsidR="006B5BD6" w:rsidRPr="00065200" w:rsidRDefault="006B5BD6" w:rsidP="00072FCD">
      <w:pPr>
        <w:pStyle w:val="Heading3"/>
      </w:pPr>
      <w:r w:rsidRPr="00065200">
        <w:lastRenderedPageBreak/>
        <w:t xml:space="preserve">ISR priorities should </w:t>
      </w:r>
      <w:r w:rsidR="009C5804">
        <w:t xml:space="preserve">also </w:t>
      </w:r>
      <w:r w:rsidRPr="00065200">
        <w:t>support ISR excellence</w:t>
      </w:r>
    </w:p>
    <w:p w14:paraId="107CEC13" w14:textId="77777777" w:rsidR="000C028D" w:rsidRPr="00065200" w:rsidRDefault="000C028D" w:rsidP="00C622D5">
      <w:r w:rsidRPr="00065200">
        <w:t xml:space="preserve">Research excellence is often an integral component of ensuring world-leading research. While there is no equivalent approach to incentivising ISR excellence at a system level, for example between science and research agencies, there is an opportunity to learn from </w:t>
      </w:r>
      <w:r w:rsidR="00482BD5" w:rsidRPr="00065200">
        <w:t xml:space="preserve">approaches used to achieve </w:t>
      </w:r>
      <w:r w:rsidRPr="00065200">
        <w:t>research excellence.</w:t>
      </w:r>
      <w:r w:rsidR="00A01A85" w:rsidRPr="00065200">
        <w:rPr>
          <w:rStyle w:val="FootnoteReference"/>
        </w:rPr>
        <w:footnoteReference w:id="101"/>
      </w:r>
      <w:r w:rsidRPr="00065200">
        <w:t xml:space="preserve"> </w:t>
      </w:r>
    </w:p>
    <w:p w14:paraId="23795AD0" w14:textId="37695C2D" w:rsidR="00C622D5" w:rsidRPr="00065200" w:rsidRDefault="00A46CF6" w:rsidP="00C622D5">
      <w:r w:rsidRPr="00065200">
        <w:t>The OECD found that over two-thirds of OECD countries ha</w:t>
      </w:r>
      <w:r w:rsidR="000C028D" w:rsidRPr="00065200">
        <w:t>ve</w:t>
      </w:r>
      <w:r w:rsidRPr="00065200">
        <w:t xml:space="preserve"> research excellence schemes, with most established since 2004.</w:t>
      </w:r>
      <w:r w:rsidRPr="00065200">
        <w:rPr>
          <w:rStyle w:val="FootnoteReference"/>
        </w:rPr>
        <w:footnoteReference w:id="102"/>
      </w:r>
      <w:r w:rsidR="000067D6" w:rsidRPr="00065200">
        <w:t xml:space="preserve"> </w:t>
      </w:r>
      <w:r w:rsidR="00625F94" w:rsidRPr="00065200">
        <w:t xml:space="preserve">More recently, </w:t>
      </w:r>
      <w:r w:rsidR="00482BD5" w:rsidRPr="00065200">
        <w:t xml:space="preserve">research excellence </w:t>
      </w:r>
      <w:r w:rsidR="00625F94" w:rsidRPr="00065200">
        <w:t>p</w:t>
      </w:r>
      <w:r w:rsidR="00FF4FE0" w:rsidRPr="00065200">
        <w:t xml:space="preserve">olicies </w:t>
      </w:r>
      <w:r w:rsidR="00482BD5" w:rsidRPr="00065200">
        <w:t xml:space="preserve">involve </w:t>
      </w:r>
      <w:r w:rsidR="00FF4FE0" w:rsidRPr="00065200">
        <w:t>large-scale and</w:t>
      </w:r>
      <w:r w:rsidR="002C701C" w:rsidRPr="00065200">
        <w:t xml:space="preserve"> long-term competitive funding </w:t>
      </w:r>
      <w:r w:rsidR="00482BD5" w:rsidRPr="00065200">
        <w:t>to</w:t>
      </w:r>
      <w:r w:rsidR="00FF4FE0" w:rsidRPr="00065200">
        <w:t xml:space="preserve"> build</w:t>
      </w:r>
      <w:r w:rsidR="002C701C" w:rsidRPr="00065200">
        <w:t xml:space="preserve"> </w:t>
      </w:r>
      <w:r w:rsidR="00FF4FE0" w:rsidRPr="00065200">
        <w:t>research capacity</w:t>
      </w:r>
      <w:r w:rsidR="00482BD5" w:rsidRPr="00065200">
        <w:t xml:space="preserve">, </w:t>
      </w:r>
      <w:r w:rsidR="00FF4FE0" w:rsidRPr="00065200">
        <w:t>develop</w:t>
      </w:r>
      <w:r w:rsidR="00482BD5" w:rsidRPr="00065200">
        <w:t xml:space="preserve"> </w:t>
      </w:r>
      <w:r w:rsidR="002C701C" w:rsidRPr="00065200">
        <w:t xml:space="preserve">critical mass </w:t>
      </w:r>
      <w:r w:rsidR="000067D6" w:rsidRPr="00065200">
        <w:t xml:space="preserve">in </w:t>
      </w:r>
      <w:r w:rsidR="00482BD5" w:rsidRPr="00065200">
        <w:t xml:space="preserve">specific </w:t>
      </w:r>
      <w:r w:rsidR="000067D6" w:rsidRPr="00065200">
        <w:t>areas</w:t>
      </w:r>
      <w:r w:rsidR="00482BD5" w:rsidRPr="00065200">
        <w:t xml:space="preserve">, and generate a strong research base, particularly by training young researchers, </w:t>
      </w:r>
      <w:r w:rsidR="002C701C" w:rsidRPr="00065200">
        <w:t>to</w:t>
      </w:r>
      <w:r w:rsidR="00FF4FE0" w:rsidRPr="00065200">
        <w:t xml:space="preserve"> ensure international competitive</w:t>
      </w:r>
      <w:r w:rsidR="00482BD5" w:rsidRPr="00065200">
        <w:t>ness</w:t>
      </w:r>
      <w:r w:rsidR="002C701C" w:rsidRPr="00065200">
        <w:t>.</w:t>
      </w:r>
      <w:r w:rsidR="00482BD5" w:rsidRPr="00065200">
        <w:rPr>
          <w:rStyle w:val="FootnoteReference"/>
        </w:rPr>
        <w:footnoteReference w:id="103"/>
      </w:r>
      <w:r w:rsidR="002C701C" w:rsidRPr="00065200">
        <w:t xml:space="preserve"> </w:t>
      </w:r>
      <w:r w:rsidR="00482BD5" w:rsidRPr="00065200">
        <w:t xml:space="preserve">Research excellence policies </w:t>
      </w:r>
      <w:r w:rsidR="00D55BA6" w:rsidRPr="00065200">
        <w:t xml:space="preserve">often combine </w:t>
      </w:r>
      <w:r w:rsidR="00141B3A" w:rsidRPr="00065200">
        <w:t xml:space="preserve">goals of </w:t>
      </w:r>
      <w:r w:rsidR="00D55BA6" w:rsidRPr="00065200">
        <w:t>scientific excellence</w:t>
      </w:r>
      <w:r w:rsidR="00141B3A" w:rsidRPr="00065200">
        <w:t>,</w:t>
      </w:r>
      <w:r w:rsidR="00D55BA6" w:rsidRPr="00065200">
        <w:t xml:space="preserve"> the development of key technologies to support competitiveness</w:t>
      </w:r>
      <w:r w:rsidR="00141B3A" w:rsidRPr="00065200">
        <w:t>,</w:t>
      </w:r>
      <w:r w:rsidR="00D55BA6" w:rsidRPr="00065200">
        <w:t xml:space="preserve"> and </w:t>
      </w:r>
      <w:r w:rsidR="00141B3A" w:rsidRPr="00065200">
        <w:t>resolving</w:t>
      </w:r>
      <w:r w:rsidR="00D55BA6" w:rsidRPr="00065200">
        <w:t xml:space="preserve"> societal challenges.</w:t>
      </w:r>
      <w:r w:rsidR="00D55BA6" w:rsidRPr="00065200">
        <w:rPr>
          <w:rStyle w:val="FootnoteReference"/>
        </w:rPr>
        <w:footnoteReference w:id="104"/>
      </w:r>
      <w:r w:rsidR="00D55BA6" w:rsidRPr="00065200">
        <w:t xml:space="preserve"> </w:t>
      </w:r>
    </w:p>
    <w:p w14:paraId="561CB191" w14:textId="11093074" w:rsidR="00BA7006" w:rsidRDefault="00881F16" w:rsidP="00D16C78">
      <w:r w:rsidRPr="00065200">
        <w:t>In Australia</w:t>
      </w:r>
      <w:r w:rsidR="00C833B7" w:rsidRPr="00065200">
        <w:t>,</w:t>
      </w:r>
      <w:r w:rsidRPr="00065200">
        <w:t xml:space="preserve"> the Government’s </w:t>
      </w:r>
      <w:r w:rsidR="001F1413" w:rsidRPr="00065200">
        <w:t>Excelle</w:t>
      </w:r>
      <w:r w:rsidR="003F025F" w:rsidRPr="00065200">
        <w:t>nce in Research for Australia</w:t>
      </w:r>
      <w:r w:rsidR="001F1413" w:rsidRPr="00065200">
        <w:t xml:space="preserve"> framework</w:t>
      </w:r>
      <w:r w:rsidRPr="00065200">
        <w:t xml:space="preserve"> identifies and promotes excellence across the spectrum of research activity in Australia’s higher education institutions</w:t>
      </w:r>
      <w:r w:rsidR="00E352DC">
        <w:t>.</w:t>
      </w:r>
      <w:r w:rsidR="00E352DC" w:rsidRPr="00065200">
        <w:rPr>
          <w:rStyle w:val="FootnoteReference"/>
        </w:rPr>
        <w:footnoteReference w:id="105"/>
      </w:r>
      <w:r w:rsidRPr="00065200">
        <w:t xml:space="preserve"> It </w:t>
      </w:r>
      <w:r w:rsidR="00C93FD0" w:rsidRPr="00065200">
        <w:t>measures</w:t>
      </w:r>
      <w:r w:rsidRPr="00065200">
        <w:t xml:space="preserve"> excellence </w:t>
      </w:r>
      <w:r w:rsidR="0046317B">
        <w:t xml:space="preserve">using </w:t>
      </w:r>
      <w:r w:rsidRPr="00065200">
        <w:t xml:space="preserve">international benchmarks </w:t>
      </w:r>
      <w:r w:rsidR="002E52AF" w:rsidRPr="00065200">
        <w:t>and identifies</w:t>
      </w:r>
      <w:r w:rsidRPr="00065200">
        <w:t xml:space="preserve"> emerging research areas and opportunities for development.</w:t>
      </w:r>
      <w:r w:rsidR="00702F0A" w:rsidRPr="00065200">
        <w:t xml:space="preserve"> </w:t>
      </w:r>
      <w:r w:rsidR="0021462A">
        <w:t>More recently, an Engagement and Impact Assessment</w:t>
      </w:r>
      <w:r w:rsidR="00742217">
        <w:t xml:space="preserve"> </w:t>
      </w:r>
      <w:r w:rsidR="0046317B">
        <w:t xml:space="preserve">process </w:t>
      </w:r>
      <w:r w:rsidR="00742217">
        <w:t xml:space="preserve">has been implemented as a </w:t>
      </w:r>
      <w:r w:rsidR="00024132">
        <w:t>companion to the Excellence in Research for Australia</w:t>
      </w:r>
      <w:r w:rsidR="00742217">
        <w:t xml:space="preserve"> framework.</w:t>
      </w:r>
      <w:r w:rsidR="004F4770">
        <w:t xml:space="preserve"> </w:t>
      </w:r>
      <w:r w:rsidR="0046317B">
        <w:t>In 2018, t</w:t>
      </w:r>
      <w:r w:rsidR="00FC78F4" w:rsidRPr="006A6D71">
        <w:t xml:space="preserve">he inaugural assessment </w:t>
      </w:r>
      <w:r w:rsidR="002E52AF" w:rsidRPr="006A6D71">
        <w:t>found</w:t>
      </w:r>
      <w:r w:rsidR="00FC78F4" w:rsidRPr="006A6D71">
        <w:t xml:space="preserve"> </w:t>
      </w:r>
      <w:r w:rsidR="0046317B">
        <w:t xml:space="preserve">that </w:t>
      </w:r>
      <w:r w:rsidR="00FC78F4" w:rsidRPr="006A6D71">
        <w:t>Australian university research produced a broad range of tangible benefits beyond academia</w:t>
      </w:r>
      <w:r w:rsidR="00D31061">
        <w:t>.</w:t>
      </w:r>
      <w:r w:rsidR="00FC78F4" w:rsidRPr="006A6D71">
        <w:rPr>
          <w:rStyle w:val="FootnoteReference"/>
        </w:rPr>
        <w:footnoteReference w:id="106"/>
      </w:r>
      <w:r w:rsidR="00742217">
        <w:t xml:space="preserve"> In the Excellence in Research for Australia research quality evaluation, </w:t>
      </w:r>
      <w:r w:rsidR="0046317B">
        <w:t>24 per cent</w:t>
      </w:r>
      <w:r w:rsidR="0046317B" w:rsidDel="0046317B">
        <w:t xml:space="preserve"> </w:t>
      </w:r>
      <w:r w:rsidR="0046317B">
        <w:t xml:space="preserve">of </w:t>
      </w:r>
      <w:r w:rsidR="00742217">
        <w:t>Australian university submissions at the broad discipline level, and 40</w:t>
      </w:r>
      <w:r w:rsidR="00205144">
        <w:t> per cent</w:t>
      </w:r>
      <w:r w:rsidR="00742217">
        <w:t xml:space="preserve"> at the sub-discipline level, performed well above world standard.</w:t>
      </w:r>
      <w:r w:rsidR="00FC78F4" w:rsidRPr="006A6D71">
        <w:rPr>
          <w:rStyle w:val="FootnoteReference"/>
        </w:rPr>
        <w:footnoteReference w:id="107"/>
      </w:r>
      <w:r w:rsidR="00C833B7" w:rsidRPr="00065200">
        <w:t xml:space="preserve"> </w:t>
      </w:r>
      <w:bookmarkStart w:id="260" w:name="_Toc39590728"/>
      <w:bookmarkStart w:id="261" w:name="_Toc40282989"/>
      <w:bookmarkStart w:id="262" w:name="_Toc40372687"/>
      <w:bookmarkStart w:id="263" w:name="_Toc40451943"/>
      <w:bookmarkStart w:id="264" w:name="_Toc40453237"/>
      <w:bookmarkStart w:id="265" w:name="_Toc40799903"/>
      <w:bookmarkStart w:id="266" w:name="_Toc40801717"/>
      <w:bookmarkStart w:id="267" w:name="_Toc40877281"/>
      <w:bookmarkStart w:id="268" w:name="_Toc40885904"/>
      <w:bookmarkStart w:id="269" w:name="_Toc40886723"/>
      <w:bookmarkStart w:id="270" w:name="_Toc40897270"/>
      <w:bookmarkStart w:id="271" w:name="_Toc40899218"/>
      <w:bookmarkStart w:id="272" w:name="_Toc40905526"/>
      <w:bookmarkStart w:id="273" w:name="_Toc40906386"/>
      <w:bookmarkStart w:id="274" w:name="_Toc40950886"/>
      <w:bookmarkStart w:id="275" w:name="_Toc40956812"/>
      <w:bookmarkStart w:id="276" w:name="_Toc40957791"/>
      <w:bookmarkStart w:id="277" w:name="_Toc40960220"/>
      <w:bookmarkStart w:id="278" w:name="_Toc40960312"/>
      <w:bookmarkStart w:id="279" w:name="_Toc40964348"/>
      <w:bookmarkStart w:id="280" w:name="_Toc40964766"/>
      <w:bookmarkStart w:id="281" w:name="_Toc40964778"/>
      <w:bookmarkStart w:id="282" w:name="_Toc40964293"/>
      <w:bookmarkStart w:id="283" w:name="_Toc40966964"/>
      <w:bookmarkStart w:id="284" w:name="_Toc40968249"/>
      <w:bookmarkStart w:id="285" w:name="_Toc40969807"/>
      <w:bookmarkStart w:id="286" w:name="_Toc40970218"/>
      <w:bookmarkStart w:id="287" w:name="_Toc40970813"/>
      <w:bookmarkStart w:id="288" w:name="_Toc41383026"/>
    </w:p>
    <w:p w14:paraId="55DD1E1E" w14:textId="2F2B990D" w:rsidR="002E17AA" w:rsidRPr="00194927" w:rsidRDefault="00BA7006" w:rsidP="002E17AA">
      <w:r>
        <w:t xml:space="preserve">Additional analysis relating to </w:t>
      </w:r>
      <w:r w:rsidR="00D96191">
        <w:t>Recommended Action 1</w:t>
      </w:r>
      <w:r>
        <w:t xml:space="preserve"> is provided in Appendix B.</w:t>
      </w:r>
      <w:bookmarkStart w:id="289" w:name="_Toc41403357"/>
      <w:bookmarkStart w:id="290" w:name="_Toc41405412"/>
      <w:bookmarkStart w:id="291" w:name="_Toc41405439"/>
      <w:bookmarkStart w:id="292" w:name="_Toc41483273"/>
      <w:bookmarkStart w:id="293" w:name="_Toc41483671"/>
      <w:bookmarkStart w:id="294" w:name="_Toc41485185"/>
      <w:bookmarkStart w:id="295" w:name="_Toc41487189"/>
      <w:bookmarkStart w:id="296" w:name="_Toc41488817"/>
      <w:bookmarkStart w:id="297" w:name="_Toc41489017"/>
      <w:bookmarkStart w:id="298" w:name="_Toc41489815"/>
      <w:bookmarkStart w:id="299" w:name="_Toc41492086"/>
      <w:bookmarkStart w:id="300" w:name="_Toc42777661"/>
      <w:bookmarkStart w:id="301" w:name="_Toc42784248"/>
      <w:bookmarkStart w:id="302" w:name="_Toc42785563"/>
      <w:bookmarkStart w:id="303" w:name="_Toc42788814"/>
      <w:bookmarkStart w:id="304" w:name="_Toc42852831"/>
      <w:bookmarkStart w:id="305" w:name="_Toc43204808"/>
      <w:bookmarkStart w:id="306" w:name="_Toc43205535"/>
      <w:bookmarkStart w:id="307" w:name="_Toc43205887"/>
      <w:bookmarkStart w:id="308" w:name="_Toc43215098"/>
      <w:bookmarkStart w:id="309" w:name="_Toc43219293"/>
      <w:bookmarkStart w:id="310" w:name="_Toc43220085"/>
      <w:bookmarkStart w:id="311" w:name="_Toc43385205"/>
      <w:bookmarkStart w:id="312" w:name="_Toc43386337"/>
      <w:bookmarkStart w:id="313" w:name="_Toc43386435"/>
      <w:bookmarkStart w:id="314" w:name="_Toc43391351"/>
      <w:bookmarkStart w:id="315" w:name="_Toc43393328"/>
      <w:bookmarkStart w:id="316" w:name="_Toc43394339"/>
      <w:bookmarkStart w:id="317" w:name="_Toc43458521"/>
      <w:bookmarkStart w:id="318" w:name="_Toc43460185"/>
      <w:bookmarkStart w:id="319" w:name="_Toc43466949"/>
      <w:bookmarkStart w:id="320" w:name="_Toc43478643"/>
      <w:bookmarkStart w:id="321" w:name="_Toc43479268"/>
      <w:bookmarkStart w:id="322" w:name="_Toc43481507"/>
      <w:bookmarkStart w:id="323" w:name="_Toc43719158"/>
      <w:bookmarkStart w:id="324" w:name="_Toc43729717"/>
      <w:bookmarkStart w:id="325" w:name="_Toc43730263"/>
      <w:bookmarkStart w:id="326" w:name="_Toc43731109"/>
      <w:bookmarkStart w:id="327" w:name="_Toc43733227"/>
      <w:bookmarkStart w:id="328" w:name="_Toc43733673"/>
      <w:bookmarkStart w:id="329" w:name="_Toc43735615"/>
      <w:bookmarkStart w:id="330" w:name="_Toc43735807"/>
      <w:bookmarkStart w:id="331" w:name="_Toc43737175"/>
      <w:bookmarkStart w:id="332" w:name="_Toc43737676"/>
      <w:bookmarkStart w:id="333" w:name="_Toc44069066"/>
      <w:bookmarkStart w:id="334" w:name="_Toc44317940"/>
      <w:bookmarkStart w:id="335" w:name="_Toc44318014"/>
      <w:bookmarkStart w:id="336" w:name="_Toc44328511"/>
      <w:bookmarkStart w:id="337" w:name="_Toc44329577"/>
      <w:bookmarkStart w:id="338" w:name="_Toc44331609"/>
      <w:bookmarkStart w:id="339" w:name="_Toc44331760"/>
      <w:bookmarkStart w:id="340" w:name="_Toc44331892"/>
      <w:bookmarkStart w:id="341" w:name="_Toc44334874"/>
      <w:bookmarkStart w:id="342" w:name="_Toc44335306"/>
      <w:bookmarkStart w:id="343" w:name="_Toc44422230"/>
      <w:bookmarkStart w:id="344" w:name="_Toc44424100"/>
      <w:bookmarkStart w:id="345" w:name="_Toc44424325"/>
      <w:bookmarkStart w:id="346" w:name="_Toc55910410"/>
      <w:bookmarkStart w:id="347" w:name="_Toc55991213"/>
      <w:bookmarkStart w:id="348" w:name="_Toc55995734"/>
      <w:bookmarkStart w:id="349" w:name="_Toc55997211"/>
      <w:bookmarkStart w:id="350" w:name="_Toc56069453"/>
    </w:p>
    <w:p w14:paraId="1786BF24" w14:textId="69E2AC14" w:rsidR="00AF1E18" w:rsidRPr="00065200" w:rsidRDefault="009B5AC4" w:rsidP="004851ED">
      <w:pPr>
        <w:pStyle w:val="Heading2"/>
        <w:rPr>
          <w:lang w:val="en-AU"/>
        </w:rPr>
      </w:pPr>
      <w:bookmarkStart w:id="351" w:name="_Toc57105519"/>
      <w:bookmarkStart w:id="352" w:name="_Toc57134705"/>
      <w:bookmarkStart w:id="353" w:name="_Toc57141293"/>
      <w:bookmarkStart w:id="354" w:name="_Toc57640806"/>
      <w:r w:rsidRPr="00065200">
        <w:rPr>
          <w:lang w:val="en-AU"/>
        </w:rPr>
        <w:lastRenderedPageBreak/>
        <w:t>Recommend</w:t>
      </w:r>
      <w:r w:rsidR="00D947A2" w:rsidRPr="00065200">
        <w:rPr>
          <w:lang w:val="en-AU"/>
        </w:rPr>
        <w:t>ed Action</w:t>
      </w:r>
      <w:r w:rsidRPr="00065200">
        <w:rPr>
          <w:lang w:val="en-AU"/>
        </w:rPr>
        <w:t xml:space="preserve"> 2: </w:t>
      </w:r>
      <w:bookmarkEnd w:id="289"/>
      <w:bookmarkEnd w:id="290"/>
      <w:bookmarkEnd w:id="291"/>
      <w:bookmarkEnd w:id="292"/>
      <w:bookmarkEnd w:id="293"/>
      <w:bookmarkEnd w:id="294"/>
      <w:bookmarkEnd w:id="295"/>
      <w:bookmarkEnd w:id="296"/>
      <w:bookmarkEnd w:id="297"/>
      <w:bookmarkEnd w:id="298"/>
      <w:bookmarkEnd w:id="299"/>
      <w:bookmarkEnd w:id="300"/>
      <w:r w:rsidR="007522B6" w:rsidRPr="00065200">
        <w:rPr>
          <w:lang w:val="en-AU"/>
        </w:rPr>
        <w:t>A 10-year investment plan</w:t>
      </w:r>
      <w:r w:rsidR="006B0921">
        <w:rPr>
          <w:lang w:val="en-AU"/>
        </w:rPr>
        <w:t>,</w:t>
      </w:r>
      <w:r w:rsidR="001A029E" w:rsidRPr="00065200">
        <w:rPr>
          <w:lang w:val="en-AU"/>
        </w:rPr>
        <w:t xml:space="preserve"> that is aligned with ISR prioriti</w:t>
      </w:r>
      <w:r w:rsidR="00867392" w:rsidRPr="00065200">
        <w:rPr>
          <w:lang w:val="en-AU"/>
        </w:rPr>
        <w:t>es, coordinated at the whole</w:t>
      </w:r>
      <w:r w:rsidR="00867392" w:rsidRPr="00065200">
        <w:rPr>
          <w:lang w:val="en-AU"/>
        </w:rPr>
        <w:noBreakHyphen/>
        <w:t>of</w:t>
      </w:r>
      <w:r w:rsidR="00867392" w:rsidRPr="00065200">
        <w:rPr>
          <w:lang w:val="en-AU"/>
        </w:rPr>
        <w:noBreakHyphen/>
      </w:r>
      <w:r w:rsidR="001A029E" w:rsidRPr="00065200">
        <w:rPr>
          <w:lang w:val="en-AU"/>
        </w:rPr>
        <w:t>government level</w:t>
      </w:r>
      <w:r w:rsidR="006B0921">
        <w:rPr>
          <w:lang w:val="en-AU"/>
        </w:rPr>
        <w:t>,</w:t>
      </w:r>
      <w:r w:rsidR="001A029E" w:rsidRPr="00065200">
        <w:rPr>
          <w:lang w:val="en-AU"/>
        </w:rPr>
        <w:t xml:space="preserve"> and has effective evaluation processes</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79080DEE" w14:textId="3C649955" w:rsidR="005517D7" w:rsidRPr="00065200" w:rsidRDefault="005517D7" w:rsidP="00A15D27">
      <w:r w:rsidRPr="00065200">
        <w:t>Government investment in ISR is effective when</w:t>
      </w:r>
      <w:r w:rsidR="006C7510">
        <w:t xml:space="preserve"> </w:t>
      </w:r>
      <w:r w:rsidR="00F50649">
        <w:t xml:space="preserve">it is </w:t>
      </w:r>
      <w:r w:rsidR="00070AD6" w:rsidRPr="00065200">
        <w:t>stable enough to develop long-term ISR strengths and outcomes</w:t>
      </w:r>
      <w:r w:rsidR="004A0B4F">
        <w:t>.</w:t>
      </w:r>
      <w:r w:rsidR="00DB4E4D">
        <w:t xml:space="preserve"> </w:t>
      </w:r>
      <w:r w:rsidR="006C7510">
        <w:t>E</w:t>
      </w:r>
      <w:r w:rsidR="00DB4E4D">
        <w:t xml:space="preserve">ffectiveness is further enhanced when </w:t>
      </w:r>
      <w:r w:rsidR="006C7510">
        <w:t>ISR investments</w:t>
      </w:r>
      <w:r w:rsidR="00DB4E4D">
        <w:t xml:space="preserve"> are coordinated </w:t>
      </w:r>
      <w:r w:rsidRPr="00065200">
        <w:t>at the whole-of government level</w:t>
      </w:r>
      <w:r w:rsidR="006C7510">
        <w:t xml:space="preserve"> thus</w:t>
      </w:r>
      <w:r w:rsidRPr="00065200">
        <w:t xml:space="preserve"> ensur</w:t>
      </w:r>
      <w:r w:rsidR="00DB4E4D">
        <w:t>ing</w:t>
      </w:r>
      <w:r w:rsidRPr="00065200">
        <w:t xml:space="preserve"> the alignment of system priorities with investments made within agencies, institutions and the research community</w:t>
      </w:r>
      <w:r w:rsidR="004A0B4F">
        <w:t>.</w:t>
      </w:r>
      <w:r w:rsidR="006C7510">
        <w:t xml:space="preserve"> The application of </w:t>
      </w:r>
      <w:r w:rsidRPr="00065200">
        <w:t xml:space="preserve">system-wide evaluation processes </w:t>
      </w:r>
      <w:r w:rsidR="006C7510">
        <w:t>which</w:t>
      </w:r>
      <w:r w:rsidRPr="00065200">
        <w:t xml:space="preserve"> include consistent and transparent performance measures, objectives and outcomes across all ISR investments</w:t>
      </w:r>
      <w:r w:rsidR="006C7510">
        <w:t xml:space="preserve"> are integral to ensuring ISR investments d</w:t>
      </w:r>
      <w:r w:rsidR="006C7510" w:rsidRPr="00065200">
        <w:t>emonstrably</w:t>
      </w:r>
      <w:r w:rsidR="006C7510">
        <w:t xml:space="preserve"> achieve their intended outcomes.</w:t>
      </w:r>
    </w:p>
    <w:p w14:paraId="450B4E92" w14:textId="352759FF" w:rsidR="005517D7" w:rsidRPr="00065200" w:rsidRDefault="005517D7" w:rsidP="005517D7">
      <w:r w:rsidRPr="00065200">
        <w:t>Both the Australian and international literature have observed enduring challenges with the sustainability of Australia’s ISR investments, coordination of these investments at a whole</w:t>
      </w:r>
      <w:r w:rsidR="00D20882" w:rsidRPr="00065200">
        <w:noBreakHyphen/>
      </w:r>
      <w:r w:rsidRPr="00065200">
        <w:t>of</w:t>
      </w:r>
      <w:r w:rsidR="00D20882" w:rsidRPr="00065200">
        <w:noBreakHyphen/>
      </w:r>
      <w:r w:rsidRPr="00065200">
        <w:t>government level, and the demonstrated impact of the</w:t>
      </w:r>
      <w:r w:rsidR="00314895" w:rsidRPr="00065200">
        <w:t>se</w:t>
      </w:r>
      <w:r w:rsidRPr="00065200">
        <w:t xml:space="preserve"> investments</w:t>
      </w:r>
      <w:r w:rsidR="00070AD6" w:rsidRPr="00065200">
        <w:t>.</w:t>
      </w:r>
      <w:r w:rsidRPr="00065200">
        <w:rPr>
          <w:rStyle w:val="FootnoteReference"/>
        </w:rPr>
        <w:footnoteReference w:id="108"/>
      </w:r>
      <w:r w:rsidRPr="00065200">
        <w:rPr>
          <w:vertAlign w:val="superscript"/>
        </w:rPr>
        <w:t>,</w:t>
      </w:r>
      <w:r w:rsidRPr="00065200">
        <w:rPr>
          <w:rStyle w:val="FootnoteReference"/>
        </w:rPr>
        <w:footnoteReference w:id="109"/>
      </w:r>
      <w:r w:rsidRPr="00065200">
        <w:rPr>
          <w:vertAlign w:val="superscript"/>
        </w:rPr>
        <w:t>,</w:t>
      </w:r>
      <w:r w:rsidRPr="00065200">
        <w:rPr>
          <w:rStyle w:val="FootnoteReference"/>
        </w:rPr>
        <w:footnoteReference w:id="110"/>
      </w:r>
      <w:r w:rsidRPr="00065200">
        <w:rPr>
          <w:vertAlign w:val="superscript"/>
        </w:rPr>
        <w:t>,</w:t>
      </w:r>
      <w:r w:rsidRPr="00065200">
        <w:rPr>
          <w:rStyle w:val="FootnoteReference"/>
        </w:rPr>
        <w:footnoteReference w:id="111"/>
      </w:r>
      <w:r w:rsidRPr="00065200">
        <w:t xml:space="preserve"> </w:t>
      </w:r>
    </w:p>
    <w:tbl>
      <w:tblPr>
        <w:tblStyle w:val="TableGrid"/>
        <w:tblW w:w="9032" w:type="dxa"/>
        <w:tblLook w:val="04A0" w:firstRow="1" w:lastRow="0" w:firstColumn="1" w:lastColumn="0" w:noHBand="0" w:noVBand="1"/>
        <w:tblCaption w:val="Recommended Action 2"/>
        <w:tblDescription w:val="Describes key aspects of recommended action 2"/>
      </w:tblPr>
      <w:tblGrid>
        <w:gridCol w:w="9032"/>
      </w:tblGrid>
      <w:tr w:rsidR="00950C16" w:rsidRPr="00065200" w14:paraId="6C20A67D" w14:textId="77777777" w:rsidTr="00950C16">
        <w:trPr>
          <w:tblHeader/>
        </w:trPr>
        <w:tc>
          <w:tcPr>
            <w:tcW w:w="9498" w:type="dxa"/>
            <w:tcBorders>
              <w:top w:val="nil"/>
              <w:left w:val="nil"/>
              <w:bottom w:val="nil"/>
              <w:right w:val="nil"/>
            </w:tcBorders>
            <w:shd w:val="clear" w:color="auto" w:fill="EBF2F9"/>
            <w:tcMar>
              <w:top w:w="85" w:type="dxa"/>
              <w:bottom w:w="28" w:type="dxa"/>
            </w:tcMar>
          </w:tcPr>
          <w:p w14:paraId="2FF71474" w14:textId="77777777" w:rsidR="00950C16" w:rsidRPr="00065200" w:rsidRDefault="00950C16" w:rsidP="00950C16">
            <w:pPr>
              <w:spacing w:after="0"/>
              <w:rPr>
                <w:b/>
                <w:color w:val="2B4354" w:themeColor="accent1" w:themeShade="80"/>
              </w:rPr>
            </w:pPr>
            <w:bookmarkStart w:id="355" w:name="_Ref37017013"/>
            <w:r w:rsidRPr="00065200">
              <w:rPr>
                <w:b/>
                <w:color w:val="2B4354" w:themeColor="accent1" w:themeShade="80"/>
              </w:rPr>
              <w:t>Recommended Action 2</w:t>
            </w:r>
          </w:p>
          <w:p w14:paraId="34D8617C" w14:textId="77777777" w:rsidR="00950C16" w:rsidRPr="006D0DFB" w:rsidRDefault="00950C16" w:rsidP="00950C16">
            <w:pPr>
              <w:spacing w:after="0"/>
              <w:rPr>
                <w:sz w:val="20"/>
                <w:szCs w:val="20"/>
              </w:rPr>
            </w:pPr>
            <w:r w:rsidRPr="00065200">
              <w:rPr>
                <w:b/>
                <w:sz w:val="20"/>
                <w:szCs w:val="20"/>
              </w:rPr>
              <w:t>A 10</w:t>
            </w:r>
            <w:r w:rsidRPr="00065200">
              <w:rPr>
                <w:rFonts w:ascii="Cambria Math" w:hAnsi="Cambria Math" w:cs="Cambria Math"/>
                <w:b/>
                <w:sz w:val="20"/>
                <w:szCs w:val="20"/>
              </w:rPr>
              <w:t>‑</w:t>
            </w:r>
            <w:r w:rsidRPr="00065200">
              <w:rPr>
                <w:b/>
                <w:sz w:val="20"/>
                <w:szCs w:val="20"/>
              </w:rPr>
              <w:t>year ISR investment plan, that is aligned with the Government’s ISR priorities, coordinated at the whole-of-government level, and has effective evaluation processes could increase investment effectiveness by ensuring investments are</w:t>
            </w:r>
            <w:r w:rsidRPr="00065200">
              <w:rPr>
                <w:sz w:val="20"/>
                <w:szCs w:val="20"/>
              </w:rPr>
              <w:t>:</w:t>
            </w:r>
          </w:p>
        </w:tc>
      </w:tr>
      <w:tr w:rsidR="00950C16" w:rsidRPr="00065200" w14:paraId="4159393C" w14:textId="77777777" w:rsidTr="00950C16">
        <w:tc>
          <w:tcPr>
            <w:tcW w:w="9498" w:type="dxa"/>
            <w:tcBorders>
              <w:top w:val="nil"/>
              <w:left w:val="nil"/>
              <w:bottom w:val="nil"/>
              <w:right w:val="nil"/>
            </w:tcBorders>
            <w:shd w:val="clear" w:color="auto" w:fill="EBF2F9"/>
            <w:tcMar>
              <w:top w:w="85" w:type="dxa"/>
              <w:bottom w:w="28" w:type="dxa"/>
            </w:tcMar>
          </w:tcPr>
          <w:p w14:paraId="3B9FFE73" w14:textId="77777777" w:rsidR="00950C16" w:rsidRPr="00065200" w:rsidRDefault="00950C16" w:rsidP="00950C16">
            <w:pPr>
              <w:pStyle w:val="ListParagraph"/>
              <w:numPr>
                <w:ilvl w:val="0"/>
                <w:numId w:val="53"/>
              </w:numPr>
              <w:spacing w:before="40" w:after="0" w:line="240" w:lineRule="auto"/>
              <w:rPr>
                <w:sz w:val="20"/>
                <w:szCs w:val="20"/>
              </w:rPr>
            </w:pPr>
            <w:r>
              <w:rPr>
                <w:sz w:val="20"/>
                <w:szCs w:val="20"/>
              </w:rPr>
              <w:t>Coordinated through centrally-facilitated engagement</w:t>
            </w:r>
            <w:r w:rsidRPr="00065200">
              <w:rPr>
                <w:sz w:val="20"/>
                <w:szCs w:val="20"/>
              </w:rPr>
              <w:t xml:space="preserve"> between Commonwealth Government funders and performers.</w:t>
            </w:r>
          </w:p>
          <w:p w14:paraId="03F15121" w14:textId="77777777" w:rsidR="00950C16" w:rsidRPr="00065200" w:rsidRDefault="00950C16" w:rsidP="00950C16">
            <w:pPr>
              <w:pStyle w:val="ListParagraph"/>
              <w:numPr>
                <w:ilvl w:val="0"/>
                <w:numId w:val="53"/>
              </w:numPr>
              <w:spacing w:before="40" w:after="0" w:line="240" w:lineRule="auto"/>
              <w:ind w:left="601" w:hanging="425"/>
              <w:rPr>
                <w:sz w:val="20"/>
                <w:szCs w:val="20"/>
              </w:rPr>
            </w:pPr>
            <w:r w:rsidRPr="00065200">
              <w:rPr>
                <w:sz w:val="20"/>
                <w:szCs w:val="20"/>
              </w:rPr>
              <w:t xml:space="preserve">Designed with clarity of purpose </w:t>
            </w:r>
            <w:r>
              <w:rPr>
                <w:sz w:val="20"/>
                <w:szCs w:val="20"/>
              </w:rPr>
              <w:t xml:space="preserve">and </w:t>
            </w:r>
            <w:r w:rsidRPr="00065200">
              <w:rPr>
                <w:sz w:val="20"/>
                <w:szCs w:val="20"/>
              </w:rPr>
              <w:t>well-defined milestones, expected outcomes, key performance indicators, return on investment</w:t>
            </w:r>
            <w:r>
              <w:rPr>
                <w:sz w:val="20"/>
                <w:szCs w:val="20"/>
              </w:rPr>
              <w:t>s</w:t>
            </w:r>
            <w:r w:rsidRPr="00065200">
              <w:rPr>
                <w:sz w:val="20"/>
                <w:szCs w:val="20"/>
              </w:rPr>
              <w:t xml:space="preserve"> (societal, economic or environmental) and user/target</w:t>
            </w:r>
            <w:r>
              <w:rPr>
                <w:sz w:val="20"/>
                <w:szCs w:val="20"/>
              </w:rPr>
              <w:t>s</w:t>
            </w:r>
            <w:r w:rsidRPr="00065200">
              <w:rPr>
                <w:sz w:val="20"/>
                <w:szCs w:val="20"/>
              </w:rPr>
              <w:t xml:space="preserve">. This information should be used </w:t>
            </w:r>
            <w:r>
              <w:rPr>
                <w:sz w:val="20"/>
                <w:szCs w:val="20"/>
              </w:rPr>
              <w:t xml:space="preserve">to underpin </w:t>
            </w:r>
            <w:r w:rsidRPr="00065200">
              <w:rPr>
                <w:sz w:val="20"/>
                <w:szCs w:val="20"/>
              </w:rPr>
              <w:t xml:space="preserve">evaluations </w:t>
            </w:r>
            <w:r>
              <w:rPr>
                <w:sz w:val="20"/>
                <w:szCs w:val="20"/>
              </w:rPr>
              <w:t>which</w:t>
            </w:r>
            <w:r w:rsidRPr="00065200">
              <w:rPr>
                <w:sz w:val="20"/>
                <w:szCs w:val="20"/>
              </w:rPr>
              <w:t xml:space="preserve"> assess investment effectiveness at a whole-of-government level, through a coordinated evaluation process. Evaluation outcomes should be used to enhance investment effectiveness and inform investment plan updates.</w:t>
            </w:r>
          </w:p>
          <w:p w14:paraId="5BC2202D" w14:textId="77777777" w:rsidR="00950C16" w:rsidRPr="00065200" w:rsidRDefault="00950C16" w:rsidP="00950C16">
            <w:pPr>
              <w:pStyle w:val="ListParagraph"/>
              <w:numPr>
                <w:ilvl w:val="0"/>
                <w:numId w:val="53"/>
              </w:numPr>
              <w:spacing w:before="40" w:after="0" w:line="240" w:lineRule="auto"/>
              <w:ind w:left="601" w:hanging="425"/>
              <w:rPr>
                <w:sz w:val="20"/>
                <w:szCs w:val="20"/>
              </w:rPr>
            </w:pPr>
            <w:r w:rsidRPr="00065200">
              <w:rPr>
                <w:sz w:val="20"/>
                <w:szCs w:val="20"/>
              </w:rPr>
              <w:t xml:space="preserve">Reviewed on a </w:t>
            </w:r>
            <w:r>
              <w:rPr>
                <w:sz w:val="20"/>
                <w:szCs w:val="20"/>
              </w:rPr>
              <w:t xml:space="preserve">rolling </w:t>
            </w:r>
            <w:r w:rsidRPr="00065200">
              <w:rPr>
                <w:sz w:val="20"/>
                <w:szCs w:val="20"/>
              </w:rPr>
              <w:t>three-yearly basis to provide investment certainty, unless rigorous evaluation proves they are ineffective, or they are pilot investments.</w:t>
            </w:r>
          </w:p>
        </w:tc>
      </w:tr>
    </w:tbl>
    <w:p w14:paraId="5FC44F10" w14:textId="46D6808E" w:rsidR="00202BE8" w:rsidRPr="00065200" w:rsidRDefault="002F1F95" w:rsidP="00072FCD">
      <w:pPr>
        <w:pStyle w:val="Heading3"/>
      </w:pPr>
      <w:r w:rsidRPr="00065200">
        <w:t>The importance of a 10-</w:t>
      </w:r>
      <w:r w:rsidR="00135FD7" w:rsidRPr="00065200">
        <w:t>year investment plan</w:t>
      </w:r>
    </w:p>
    <w:p w14:paraId="091A01CA" w14:textId="2CA1C875" w:rsidR="00F26F5E" w:rsidRPr="00065200" w:rsidRDefault="000B5858" w:rsidP="00F26F5E">
      <w:pPr>
        <w:pStyle w:val="ListParagraph"/>
        <w:ind w:left="0"/>
        <w:contextualSpacing w:val="0"/>
      </w:pPr>
      <w:r w:rsidRPr="00065200">
        <w:t xml:space="preserve">Long-term </w:t>
      </w:r>
      <w:r w:rsidR="00221B89" w:rsidRPr="00065200">
        <w:t>rolling ISR investment plans</w:t>
      </w:r>
      <w:r w:rsidRPr="00065200">
        <w:t xml:space="preserve"> (as per Germany, Japan and Sweden)</w:t>
      </w:r>
      <w:r w:rsidR="000F2AEC" w:rsidRPr="00065200">
        <w:t xml:space="preserve"> increase </w:t>
      </w:r>
      <w:r w:rsidR="000F2AEC">
        <w:t xml:space="preserve">the </w:t>
      </w:r>
      <w:r w:rsidR="000F2AEC" w:rsidRPr="00065200">
        <w:t>effectiveness of government investment</w:t>
      </w:r>
      <w:r w:rsidR="000F2AEC">
        <w:t xml:space="preserve"> by</w:t>
      </w:r>
      <w:r w:rsidR="000F2AEC" w:rsidRPr="00065200">
        <w:t xml:space="preserve"> </w:t>
      </w:r>
      <w:r w:rsidRPr="00065200">
        <w:t>provid</w:t>
      </w:r>
      <w:r w:rsidR="000F2AEC">
        <w:t>ing</w:t>
      </w:r>
      <w:r w:rsidRPr="00065200">
        <w:t xml:space="preserve"> continuity</w:t>
      </w:r>
      <w:r w:rsidR="000F2AEC">
        <w:t xml:space="preserve"> and </w:t>
      </w:r>
      <w:r w:rsidRPr="00065200">
        <w:t>support</w:t>
      </w:r>
      <w:r w:rsidR="000F2AEC">
        <w:t>ing</w:t>
      </w:r>
      <w:r w:rsidRPr="00065200">
        <w:t xml:space="preserve"> coordination</w:t>
      </w:r>
      <w:r w:rsidR="000F2AEC">
        <w:t xml:space="preserve"> </w:t>
      </w:r>
      <w:r w:rsidR="000F2AEC">
        <w:lastRenderedPageBreak/>
        <w:t>through a consistent structure</w:t>
      </w:r>
      <w:r w:rsidRPr="00065200">
        <w:t xml:space="preserve">. </w:t>
      </w:r>
      <w:r w:rsidR="00221B89" w:rsidRPr="00065200">
        <w:t>These plans</w:t>
      </w:r>
      <w:r w:rsidR="00F26F5E" w:rsidRPr="00065200">
        <w:t xml:space="preserve"> often put forward quantitative targets, primarily linked to total expenditure on R&amp;D, such as Germany’s </w:t>
      </w:r>
      <w:r w:rsidR="000F2AEC" w:rsidRPr="00065200">
        <w:t>High</w:t>
      </w:r>
      <w:r w:rsidR="000F2AEC" w:rsidRPr="00065200">
        <w:noBreakHyphen/>
        <w:t xml:space="preserve">Tech Strategy </w:t>
      </w:r>
      <w:r w:rsidR="00F26F5E" w:rsidRPr="00065200">
        <w:t>target of 3.5</w:t>
      </w:r>
      <w:r w:rsidR="00205144">
        <w:t> per cent</w:t>
      </w:r>
      <w:r w:rsidR="00F26F5E" w:rsidRPr="00065200">
        <w:t xml:space="preserve"> of GDP.</w:t>
      </w:r>
    </w:p>
    <w:p w14:paraId="45C36837" w14:textId="5593EF38" w:rsidR="00F26F5E" w:rsidRPr="00065200" w:rsidRDefault="00F26F5E" w:rsidP="00F26F5E">
      <w:pPr>
        <w:pStyle w:val="ListParagraph"/>
        <w:ind w:left="0"/>
        <w:contextualSpacing w:val="0"/>
      </w:pPr>
      <w:r w:rsidRPr="00065200">
        <w:t>These internationa</w:t>
      </w:r>
      <w:r w:rsidR="00221B89" w:rsidRPr="00065200">
        <w:t>l rolling investment plans</w:t>
      </w:r>
      <w:r w:rsidRPr="00065200">
        <w:t xml:space="preserve"> provide continuity to </w:t>
      </w:r>
      <w:r w:rsidR="000F2AEC">
        <w:t xml:space="preserve">the </w:t>
      </w:r>
      <w:r w:rsidRPr="00065200">
        <w:t>business and research sectors</w:t>
      </w:r>
      <w:r w:rsidR="000F2AEC">
        <w:t>,</w:t>
      </w:r>
      <w:r w:rsidRPr="00065200">
        <w:t xml:space="preserve"> and support coordination and efficiency within government through a consistent structure. </w:t>
      </w:r>
      <w:r w:rsidR="00B80118" w:rsidRPr="00065200">
        <w:t>They</w:t>
      </w:r>
      <w:r w:rsidRPr="00065200">
        <w:t xml:space="preserve"> also l</w:t>
      </w:r>
      <w:r w:rsidR="008D443B" w:rsidRPr="00065200">
        <w:t>imit the turnover of investment</w:t>
      </w:r>
      <w:r w:rsidR="00A02D95" w:rsidRPr="00065200">
        <w:t xml:space="preserve"> measure</w:t>
      </w:r>
      <w:r w:rsidR="008D443B" w:rsidRPr="00065200">
        <w:t xml:space="preserve">s </w:t>
      </w:r>
      <w:r w:rsidRPr="00065200">
        <w:t xml:space="preserve">unless rigorous evaluation proves they are ineffective. Within this construct, </w:t>
      </w:r>
      <w:r w:rsidR="0036190C" w:rsidRPr="00065200">
        <w:t>shorter investments</w:t>
      </w:r>
      <w:r w:rsidRPr="00065200">
        <w:t xml:space="preserve"> can be </w:t>
      </w:r>
      <w:r w:rsidR="0000508F" w:rsidRPr="00065200">
        <w:t>focussed</w:t>
      </w:r>
      <w:r w:rsidRPr="00065200">
        <w:t xml:space="preserve"> on pilot initiatives </w:t>
      </w:r>
      <w:r w:rsidR="006D3967" w:rsidRPr="00065200">
        <w:t>that can be incorporated</w:t>
      </w:r>
      <w:r w:rsidRPr="00065200">
        <w:t xml:space="preserve"> into longer-term programs</w:t>
      </w:r>
      <w:r w:rsidR="006D3967" w:rsidRPr="00065200">
        <w:t>, if successful</w:t>
      </w:r>
      <w:r w:rsidRPr="00065200">
        <w:t>.</w:t>
      </w:r>
      <w:r w:rsidRPr="00065200">
        <w:rPr>
          <w:rStyle w:val="FootnoteReference"/>
        </w:rPr>
        <w:footnoteReference w:id="112"/>
      </w:r>
    </w:p>
    <w:p w14:paraId="7481EAE8" w14:textId="6C396268" w:rsidR="00202BE8" w:rsidRPr="00065200" w:rsidRDefault="00B46416" w:rsidP="00202BE8">
      <w:r w:rsidRPr="00065200">
        <w:t>While most</w:t>
      </w:r>
      <w:r w:rsidR="00202BE8" w:rsidRPr="00065200">
        <w:t xml:space="preserve"> </w:t>
      </w:r>
      <w:r w:rsidR="00221B89" w:rsidRPr="00065200">
        <w:t xml:space="preserve">Australian </w:t>
      </w:r>
      <w:r w:rsidR="009C1347" w:rsidRPr="00065200">
        <w:t>ISR programs are based on</w:t>
      </w:r>
      <w:r w:rsidR="00202BE8" w:rsidRPr="00065200">
        <w:t xml:space="preserve"> shorter</w:t>
      </w:r>
      <w:r w:rsidR="00141FAD" w:rsidRPr="00065200">
        <w:t>-term</w:t>
      </w:r>
      <w:r w:rsidR="009C1347" w:rsidRPr="00065200">
        <w:t xml:space="preserve"> investments</w:t>
      </w:r>
      <w:r w:rsidR="008D443B" w:rsidRPr="00065200">
        <w:t xml:space="preserve">, </w:t>
      </w:r>
      <w:r w:rsidR="00202BE8" w:rsidRPr="00065200">
        <w:t>longer-term investment commitments</w:t>
      </w:r>
      <w:r w:rsidR="000F2AEC">
        <w:t xml:space="preserve"> are increasing</w:t>
      </w:r>
      <w:r w:rsidR="00202BE8" w:rsidRPr="00065200">
        <w:t xml:space="preserve">. For example, in 2017 the </w:t>
      </w:r>
      <w:r w:rsidR="00251C92" w:rsidRPr="00065200">
        <w:t>Commonwealth</w:t>
      </w:r>
      <w:r w:rsidR="00202BE8" w:rsidRPr="00065200">
        <w:t xml:space="preserve"> Government committed $2.3 billion over 10 years to support </w:t>
      </w:r>
      <w:r w:rsidR="008E180D" w:rsidRPr="00065200">
        <w:t xml:space="preserve">a national network of </w:t>
      </w:r>
      <w:r w:rsidR="00202BE8" w:rsidRPr="00065200">
        <w:t>research infrastructure through the National Collaborative Research Infrastructure Strategy (NCRIS).</w:t>
      </w:r>
      <w:r w:rsidR="00202BE8" w:rsidRPr="00065200">
        <w:rPr>
          <w:rStyle w:val="FootnoteReference"/>
        </w:rPr>
        <w:footnoteReference w:id="113"/>
      </w:r>
      <w:r w:rsidR="00202BE8" w:rsidRPr="00065200">
        <w:t xml:space="preserve"> </w:t>
      </w:r>
      <w:r w:rsidR="00705EC4">
        <w:t xml:space="preserve">The </w:t>
      </w:r>
      <w:r w:rsidR="000F2AEC">
        <w:t xml:space="preserve">NCRIS </w:t>
      </w:r>
      <w:r w:rsidR="00705EC4">
        <w:t xml:space="preserve">planning process includes a collaboratively developed research infrastructure roadmap </w:t>
      </w:r>
      <w:r w:rsidR="00AB46DF">
        <w:t>of long</w:t>
      </w:r>
      <w:r w:rsidR="000F2AEC">
        <w:noBreakHyphen/>
      </w:r>
      <w:r w:rsidR="00AB46DF">
        <w:t xml:space="preserve">term needs </w:t>
      </w:r>
      <w:r w:rsidR="00705EC4">
        <w:t>and a corresponding 10 year whole-of-government investment plan.</w:t>
      </w:r>
      <w:r w:rsidR="00705EC4" w:rsidRPr="00705EC4">
        <w:rPr>
          <w:rStyle w:val="FootnoteReference"/>
        </w:rPr>
        <w:t xml:space="preserve"> </w:t>
      </w:r>
      <w:r w:rsidR="00705EC4">
        <w:rPr>
          <w:rStyle w:val="FootnoteReference"/>
        </w:rPr>
        <w:footnoteReference w:id="114"/>
      </w:r>
      <w:r w:rsidR="00705EC4">
        <w:t xml:space="preserve"> </w:t>
      </w:r>
      <w:r w:rsidR="00202BE8" w:rsidRPr="00065200">
        <w:t xml:space="preserve">The </w:t>
      </w:r>
      <w:r w:rsidR="000F2AEC" w:rsidRPr="00065200">
        <w:t xml:space="preserve">legislated endowment </w:t>
      </w:r>
      <w:r w:rsidR="00202BE8" w:rsidRPr="00065200">
        <w:t xml:space="preserve">structure of the Medical Research Future Fund (MRFF) has enabled the government to outline a $5 billion, 10-year investment plan </w:t>
      </w:r>
      <w:r w:rsidR="000F2AEC">
        <w:t>which</w:t>
      </w:r>
      <w:r w:rsidR="00202BE8" w:rsidRPr="00065200">
        <w:t xml:space="preserve"> provide</w:t>
      </w:r>
      <w:r w:rsidR="00887070">
        <w:t>s</w:t>
      </w:r>
      <w:r w:rsidR="00202BE8" w:rsidRPr="00065200">
        <w:t xml:space="preserve"> secure funding to support lifesaving research, create jobs, strengthen industry, and reaffirm Australia’s </w:t>
      </w:r>
      <w:r w:rsidR="00141FAD" w:rsidRPr="00065200">
        <w:t xml:space="preserve">global </w:t>
      </w:r>
      <w:r w:rsidR="00202BE8" w:rsidRPr="00065200">
        <w:t>reputation in medical research.</w:t>
      </w:r>
      <w:r w:rsidR="00202BE8" w:rsidRPr="00065200">
        <w:rPr>
          <w:rStyle w:val="FootnoteReference"/>
        </w:rPr>
        <w:footnoteReference w:id="115"/>
      </w:r>
      <w:r w:rsidR="00C02B93">
        <w:t xml:space="preserve"> The G</w:t>
      </w:r>
      <w:r w:rsidR="00202BE8" w:rsidRPr="00065200">
        <w:t xml:space="preserve">overnment’s 10-year Defence </w:t>
      </w:r>
      <w:r w:rsidR="003C0EC2" w:rsidRPr="00065200">
        <w:t>Integrated Investment Plan</w:t>
      </w:r>
      <w:r w:rsidR="00202BE8" w:rsidRPr="00065200">
        <w:t xml:space="preserve"> </w:t>
      </w:r>
      <w:r w:rsidR="00887070">
        <w:t xml:space="preserve">will guide defence investment </w:t>
      </w:r>
      <w:r w:rsidR="003C0EC2" w:rsidRPr="00065200">
        <w:t>as it grows</w:t>
      </w:r>
      <w:r w:rsidR="00202BE8" w:rsidRPr="00065200">
        <w:t xml:space="preserve"> to $58.7 billion by 2025–26, with a high priority placed on maximising the innovation potential of the Australian economy.</w:t>
      </w:r>
      <w:r w:rsidR="00202BE8" w:rsidRPr="00065200">
        <w:rPr>
          <w:rStyle w:val="FootnoteReference"/>
        </w:rPr>
        <w:footnoteReference w:id="116"/>
      </w:r>
      <w:r w:rsidR="00202BE8" w:rsidRPr="00065200">
        <w:t xml:space="preserve"> </w:t>
      </w:r>
      <w:r w:rsidR="00141FAD" w:rsidRPr="00065200">
        <w:t>Defence’s</w:t>
      </w:r>
      <w:r w:rsidR="00202BE8" w:rsidRPr="00065200">
        <w:t xml:space="preserve"> long</w:t>
      </w:r>
      <w:r w:rsidR="0088664D" w:rsidRPr="00065200">
        <w:t>-</w:t>
      </w:r>
      <w:r w:rsidR="00141FAD" w:rsidRPr="00065200">
        <w:t>term</w:t>
      </w:r>
      <w:r w:rsidR="00202BE8" w:rsidRPr="00065200">
        <w:t xml:space="preserve"> plan</w:t>
      </w:r>
      <w:r w:rsidR="00141FAD" w:rsidRPr="00065200">
        <w:t>ning processes</w:t>
      </w:r>
      <w:r w:rsidR="00202BE8" w:rsidRPr="00065200">
        <w:t xml:space="preserve"> </w:t>
      </w:r>
      <w:r w:rsidR="00141FAD" w:rsidRPr="00065200">
        <w:t>include</w:t>
      </w:r>
      <w:r w:rsidR="00202BE8" w:rsidRPr="00065200">
        <w:t xml:space="preserve"> all capital and related investments such as material, estate and facilities, workforce and information and communications technology</w:t>
      </w:r>
      <w:r w:rsidR="00141FAD" w:rsidRPr="00065200">
        <w:t>.</w:t>
      </w:r>
    </w:p>
    <w:p w14:paraId="371DB9D2" w14:textId="77777777" w:rsidR="00B7373C" w:rsidRPr="00065200" w:rsidRDefault="00135FD7" w:rsidP="00072FCD">
      <w:pPr>
        <w:pStyle w:val="Heading3"/>
      </w:pPr>
      <w:r w:rsidRPr="00065200">
        <w:t>An investment plan that is coordinated</w:t>
      </w:r>
      <w:r w:rsidR="00B7373C" w:rsidRPr="00065200">
        <w:t xml:space="preserve"> at the whole-of-government level</w:t>
      </w:r>
    </w:p>
    <w:p w14:paraId="0A6E8ABA" w14:textId="417731BC" w:rsidR="008B3320" w:rsidRDefault="008D443B" w:rsidP="007F0165">
      <w:r w:rsidRPr="00065200">
        <w:t xml:space="preserve">A more strategic whole-of-government approach is required </w:t>
      </w:r>
      <w:r w:rsidR="00437086" w:rsidRPr="00065200">
        <w:t xml:space="preserve">for Government’s </w:t>
      </w:r>
      <w:r w:rsidRPr="00065200">
        <w:t>ISR investment to ensure investment decisions are coordinated</w:t>
      </w:r>
      <w:r w:rsidR="00241E6F">
        <w:t xml:space="preserve"> </w:t>
      </w:r>
      <w:r w:rsidRPr="00065200">
        <w:t xml:space="preserve">at a system level. </w:t>
      </w:r>
      <w:r w:rsidR="00B13488" w:rsidRPr="00065200">
        <w:t xml:space="preserve">The APS </w:t>
      </w:r>
      <w:r w:rsidR="00BB710D" w:rsidRPr="00065200">
        <w:t>R</w:t>
      </w:r>
      <w:r w:rsidR="00B13488" w:rsidRPr="00065200">
        <w:t xml:space="preserve">eview found that the APS typically works in silos and rigid </w:t>
      </w:r>
      <w:r w:rsidR="009B1BD0" w:rsidRPr="00065200">
        <w:t>hierarchies</w:t>
      </w:r>
      <w:r w:rsidR="00B13488" w:rsidRPr="00065200">
        <w:t>.</w:t>
      </w:r>
      <w:r w:rsidR="00B13488" w:rsidRPr="00065200">
        <w:rPr>
          <w:rStyle w:val="FootnoteReference"/>
        </w:rPr>
        <w:footnoteReference w:id="117"/>
      </w:r>
      <w:r w:rsidR="00B13488" w:rsidRPr="00065200">
        <w:t xml:space="preserve"> </w:t>
      </w:r>
      <w:r w:rsidR="006E68BE" w:rsidRPr="00065200">
        <w:t>T</w:t>
      </w:r>
      <w:r w:rsidR="008B3320" w:rsidRPr="00065200">
        <w:t xml:space="preserve">he proliferation of programs, with different objectives, funding rules and processes </w:t>
      </w:r>
      <w:r w:rsidR="001311C2" w:rsidRPr="00065200">
        <w:t xml:space="preserve">(see </w:t>
      </w:r>
      <w:r w:rsidR="00F700C3">
        <w:t xml:space="preserve">Box 3 </w:t>
      </w:r>
      <w:r w:rsidR="001311C2" w:rsidRPr="00065200">
        <w:t>and</w:t>
      </w:r>
      <w:r w:rsidR="00F700C3">
        <w:t xml:space="preserve"> Box 4</w:t>
      </w:r>
      <w:r w:rsidR="001311C2" w:rsidRPr="00065200">
        <w:t xml:space="preserve">) </w:t>
      </w:r>
      <w:r w:rsidR="008B3320" w:rsidRPr="00065200">
        <w:t xml:space="preserve">undermines </w:t>
      </w:r>
      <w:r w:rsidR="00B13488" w:rsidRPr="00065200">
        <w:t xml:space="preserve">the </w:t>
      </w:r>
      <w:r w:rsidR="006E68BE" w:rsidRPr="00065200">
        <w:t>efficiency and effectiveness</w:t>
      </w:r>
      <w:r w:rsidR="00B13488" w:rsidRPr="00065200">
        <w:t xml:space="preserve"> of the Government’s investment</w:t>
      </w:r>
      <w:r w:rsidR="006E68BE" w:rsidRPr="00065200">
        <w:t>,</w:t>
      </w:r>
      <w:r w:rsidR="008B3320" w:rsidRPr="00065200">
        <w:t xml:space="preserve"> and ultimately reduces the likelihood that the out</w:t>
      </w:r>
      <w:r w:rsidR="006E68BE" w:rsidRPr="00065200">
        <w:t xml:space="preserve">comes desired by </w:t>
      </w:r>
      <w:r w:rsidR="00134352">
        <w:t>Government</w:t>
      </w:r>
      <w:r w:rsidR="006E68BE" w:rsidRPr="00065200">
        <w:t xml:space="preserve"> </w:t>
      </w:r>
      <w:r w:rsidR="00B13488" w:rsidRPr="00065200">
        <w:t>will</w:t>
      </w:r>
      <w:r w:rsidR="006E68BE" w:rsidRPr="00065200">
        <w:t xml:space="preserve"> be</w:t>
      </w:r>
      <w:r w:rsidR="008B3320" w:rsidRPr="00065200">
        <w:t xml:space="preserve"> achieved. </w:t>
      </w:r>
      <w:r w:rsidR="006E68BE" w:rsidRPr="00065200">
        <w:t>For example</w:t>
      </w:r>
      <w:r w:rsidR="00BD10FD">
        <w:t>, one submission to a House of Representatives inquiry noted</w:t>
      </w:r>
      <w:r w:rsidR="00134352">
        <w:t>:</w:t>
      </w:r>
    </w:p>
    <w:p w14:paraId="6ABDEF18" w14:textId="77777777" w:rsidR="004A5B27" w:rsidRPr="00065200" w:rsidRDefault="004A5B27" w:rsidP="007F0165"/>
    <w:p w14:paraId="4DCCC874" w14:textId="37B6EDC9" w:rsidR="008B3320" w:rsidRPr="00065200" w:rsidRDefault="00E119C1" w:rsidP="00867392">
      <w:pPr>
        <w:ind w:left="284"/>
        <w:rPr>
          <w:sz w:val="20"/>
          <w:szCs w:val="20"/>
        </w:rPr>
      </w:pPr>
      <w:r>
        <w:rPr>
          <w:i/>
          <w:sz w:val="20"/>
          <w:szCs w:val="20"/>
        </w:rPr>
        <w:lastRenderedPageBreak/>
        <w:t>‘</w:t>
      </w:r>
      <w:r w:rsidR="008B3320" w:rsidRPr="00065200">
        <w:rPr>
          <w:i/>
          <w:sz w:val="20"/>
          <w:szCs w:val="20"/>
        </w:rPr>
        <w:t>The 2018 Australian Competitive Grants Register (ACGR) includes 12 active ARC schemes, 34 active NHMRC schemes, and 34 other active schemes (including Rural R&amp;D schemes). These schemes have non-aligned guidelines, submission and assessment processes, and non</w:t>
      </w:r>
      <w:r w:rsidR="008B3320" w:rsidRPr="00065200">
        <w:rPr>
          <w:i/>
          <w:sz w:val="20"/>
          <w:szCs w:val="20"/>
        </w:rPr>
        <w:noBreakHyphen/>
        <w:t>coordinated deadlines, imposing significant administrative overhead. These schemes operate alongside contracts, consulting, international funders, trusts and CRCs (categories 2</w:t>
      </w:r>
      <w:r w:rsidR="00127302" w:rsidRPr="00065200">
        <w:rPr>
          <w:i/>
          <w:sz w:val="20"/>
          <w:szCs w:val="20"/>
        </w:rPr>
        <w:t>–</w:t>
      </w:r>
      <w:r w:rsidR="008B3320" w:rsidRPr="00065200">
        <w:rPr>
          <w:i/>
          <w:sz w:val="20"/>
          <w:szCs w:val="20"/>
        </w:rPr>
        <w:t>4), many of which fund related areas and projects. As a result, there are frequently schemes or funding opportunities announced ad</w:t>
      </w:r>
      <w:r w:rsidR="00807922">
        <w:rPr>
          <w:i/>
          <w:sz w:val="20"/>
          <w:szCs w:val="20"/>
        </w:rPr>
        <w:t>-</w:t>
      </w:r>
      <w:r w:rsidR="008B3320" w:rsidRPr="00065200">
        <w:rPr>
          <w:i/>
          <w:sz w:val="20"/>
          <w:szCs w:val="20"/>
        </w:rPr>
        <w:t>hoc, with short notice for submission of applications (4</w:t>
      </w:r>
      <w:r w:rsidR="00127302" w:rsidRPr="00065200">
        <w:rPr>
          <w:i/>
          <w:sz w:val="20"/>
          <w:szCs w:val="20"/>
        </w:rPr>
        <w:t>–</w:t>
      </w:r>
      <w:r w:rsidR="008B3320" w:rsidRPr="00065200">
        <w:rPr>
          <w:i/>
          <w:sz w:val="20"/>
          <w:szCs w:val="20"/>
        </w:rPr>
        <w:t>6 weeks), and frequently with new guidelines and applications processes. This fragmentation does not allow for sustained, long term investment and planning in research priorities.</w:t>
      </w:r>
      <w:r>
        <w:rPr>
          <w:i/>
          <w:sz w:val="20"/>
          <w:szCs w:val="20"/>
        </w:rPr>
        <w:t>’</w:t>
      </w:r>
      <w:r w:rsidR="008B3320" w:rsidRPr="00065200">
        <w:rPr>
          <w:rStyle w:val="FootnoteReference"/>
          <w:i/>
          <w:sz w:val="20"/>
          <w:szCs w:val="20"/>
        </w:rPr>
        <w:footnoteReference w:id="118"/>
      </w:r>
    </w:p>
    <w:p w14:paraId="4432DD89" w14:textId="7FCD0D49" w:rsidR="001F0387" w:rsidRPr="00065200" w:rsidRDefault="009A3871" w:rsidP="004A5B27">
      <w:pPr>
        <w:spacing w:after="0"/>
      </w:pPr>
      <w:r w:rsidRPr="00065200">
        <w:t>In addition, a</w:t>
      </w:r>
      <w:r w:rsidR="007C6DFE" w:rsidRPr="00065200">
        <w:t xml:space="preserve">n audit by the </w:t>
      </w:r>
      <w:r w:rsidR="00771C0B" w:rsidRPr="00065200">
        <w:t>C</w:t>
      </w:r>
      <w:r w:rsidR="007C6DFE" w:rsidRPr="00065200">
        <w:t>ouncil of Australian Governments identified 552 policy and program initiatives to stimulate business investment in ISR.</w:t>
      </w:r>
      <w:r w:rsidR="007C6DFE" w:rsidRPr="00065200">
        <w:rPr>
          <w:rStyle w:val="FootnoteReference"/>
        </w:rPr>
        <w:footnoteReference w:id="119"/>
      </w:r>
      <w:r w:rsidR="007C6DFE" w:rsidRPr="00065200">
        <w:t xml:space="preserve"> </w:t>
      </w:r>
      <w:r w:rsidR="00584588">
        <w:t xml:space="preserve">The </w:t>
      </w:r>
      <w:r w:rsidR="008B3320" w:rsidRPr="00065200">
        <w:t xml:space="preserve">recent </w:t>
      </w:r>
      <w:r w:rsidR="006E68BE" w:rsidRPr="00065200">
        <w:rPr>
          <w:i/>
        </w:rPr>
        <w:t xml:space="preserve">Stimulating business investment in innovation </w:t>
      </w:r>
      <w:r w:rsidR="007C6DFE" w:rsidRPr="00065200">
        <w:t>report</w:t>
      </w:r>
      <w:r w:rsidR="001C5FA5" w:rsidRPr="00065200">
        <w:rPr>
          <w:rStyle w:val="FootnoteReference"/>
        </w:rPr>
        <w:footnoteReference w:id="120"/>
      </w:r>
      <w:r w:rsidR="001C5FA5" w:rsidRPr="00065200">
        <w:t xml:space="preserve"> </w:t>
      </w:r>
      <w:r w:rsidR="008B3320" w:rsidRPr="00065200">
        <w:t>found that the number of government programs available</w:t>
      </w:r>
      <w:r w:rsidR="006E68BE" w:rsidRPr="00065200">
        <w:t xml:space="preserve"> to support business ISR</w:t>
      </w:r>
      <w:r w:rsidR="008B3320" w:rsidRPr="00065200">
        <w:t xml:space="preserve"> overwhelmed a high proportion of businesses</w:t>
      </w:r>
      <w:r w:rsidR="00027B9B">
        <w:t>.</w:t>
      </w:r>
      <w:r w:rsidR="007C6DFE" w:rsidRPr="00065200">
        <w:t xml:space="preserve"> </w:t>
      </w:r>
      <w:r w:rsidR="00027B9B">
        <w:t>M</w:t>
      </w:r>
      <w:r w:rsidR="007C6DFE" w:rsidRPr="00065200">
        <w:t xml:space="preserve">any businesses </w:t>
      </w:r>
      <w:r w:rsidR="00027B9B">
        <w:t xml:space="preserve">were </w:t>
      </w:r>
      <w:r w:rsidR="007C6DFE" w:rsidRPr="00065200">
        <w:t>unaware of the programs available to them</w:t>
      </w:r>
      <w:r w:rsidR="00027B9B">
        <w:t>,</w:t>
      </w:r>
      <w:r w:rsidR="007C6DFE" w:rsidRPr="00065200">
        <w:t xml:space="preserve"> or found the administrative process (specifically </w:t>
      </w:r>
      <w:r w:rsidR="00AF2091" w:rsidRPr="00065200">
        <w:t xml:space="preserve">the </w:t>
      </w:r>
      <w:r w:rsidR="007C6DFE" w:rsidRPr="00065200">
        <w:t>significant duplication in applications) burdensome</w:t>
      </w:r>
      <w:r w:rsidR="008B3320" w:rsidRPr="00065200">
        <w:t xml:space="preserve">. </w:t>
      </w:r>
      <w:r w:rsidR="007C6DFE" w:rsidRPr="00065200">
        <w:t>B</w:t>
      </w:r>
      <w:r w:rsidR="008B3320" w:rsidRPr="00065200">
        <w:t>usinesses were</w:t>
      </w:r>
      <w:r w:rsidR="007C6DFE" w:rsidRPr="00065200">
        <w:t xml:space="preserve"> also</w:t>
      </w:r>
      <w:r w:rsidR="008B3320" w:rsidRPr="00065200">
        <w:t xml:space="preserve"> often unsure how Commonwealth and state </w:t>
      </w:r>
      <w:r w:rsidR="00F6623C">
        <w:t>and territory</w:t>
      </w:r>
      <w:r w:rsidR="008B3320" w:rsidRPr="00065200">
        <w:t xml:space="preserve"> grants interacted with one another.</w:t>
      </w:r>
      <w:r w:rsidR="008B59D8" w:rsidRPr="00065200">
        <w:t xml:space="preserve"> </w:t>
      </w:r>
      <w:bookmarkStart w:id="356" w:name="_Ref39675193"/>
    </w:p>
    <w:tbl>
      <w:tblPr>
        <w:tblStyle w:val="TableGrid"/>
        <w:tblpPr w:leftFromText="180" w:rightFromText="180" w:vertAnchor="text" w:horzAnchor="margin" w:tblpY="113"/>
        <w:tblW w:w="9032" w:type="dxa"/>
        <w:shd w:val="clear" w:color="auto" w:fill="E4E9F0"/>
        <w:tblCellMar>
          <w:top w:w="57" w:type="dxa"/>
          <w:left w:w="57" w:type="dxa"/>
          <w:bottom w:w="57" w:type="dxa"/>
          <w:right w:w="57" w:type="dxa"/>
        </w:tblCellMar>
        <w:tblLook w:val="04A0" w:firstRow="1" w:lastRow="0" w:firstColumn="1" w:lastColumn="0" w:noHBand="0" w:noVBand="1"/>
        <w:tblCaption w:val="Box 3 An analysis of the coordination and alignment of a subset of DISER programs"/>
        <w:tblDescription w:val="The Department of Industry, Science, Energy and Resources (DISER) has a suite of programs which support research, foster innovation and enhance commercialisation opportunities to improve the productivity and competitiveness of Australian business and industry.&#10;A subset of these investments were analysed to assess the degree of alignment, overlap or gaps using several comparison points: policy intent;, eligibility and merit selection criteria and assessment process. &#10;The investments analysed included CRCs and CRC-Ps (CRC Projects), EP and the Industry Growth Centres Initiative (IGCs) which span multiple phases of the innovation cycle from research translation and collaboration through to business innovation support. Box continued on next page."/>
      </w:tblPr>
      <w:tblGrid>
        <w:gridCol w:w="9032"/>
      </w:tblGrid>
      <w:tr w:rsidR="00C549E6" w:rsidRPr="00065200" w14:paraId="5A790B00" w14:textId="77777777" w:rsidTr="004A5B27">
        <w:trPr>
          <w:cantSplit/>
          <w:tblHeader/>
        </w:trPr>
        <w:tc>
          <w:tcPr>
            <w:tcW w:w="9032" w:type="dxa"/>
            <w:tcBorders>
              <w:bottom w:val="nil"/>
            </w:tcBorders>
            <w:shd w:val="clear" w:color="auto" w:fill="E4E9F0"/>
            <w:tcMar>
              <w:top w:w="57" w:type="dxa"/>
              <w:left w:w="57" w:type="dxa"/>
              <w:bottom w:w="57" w:type="dxa"/>
              <w:right w:w="57" w:type="dxa"/>
            </w:tcMar>
            <w:vAlign w:val="center"/>
          </w:tcPr>
          <w:p w14:paraId="53AE22C7" w14:textId="2F7C597A" w:rsidR="00C549E6" w:rsidRPr="00065200" w:rsidRDefault="00C549E6" w:rsidP="006949BB">
            <w:pPr>
              <w:pStyle w:val="Featureboxtextheading"/>
            </w:pPr>
            <w:bookmarkStart w:id="357" w:name="_Ref43388553"/>
            <w:bookmarkEnd w:id="356"/>
            <w:r w:rsidRPr="00065200">
              <w:t xml:space="preserve">Box </w:t>
            </w:r>
            <w:bookmarkEnd w:id="357"/>
            <w:r>
              <w:t xml:space="preserve">3 </w:t>
            </w:r>
            <w:r w:rsidRPr="00065200">
              <w:t>An analysis of the coordination and alignmen</w:t>
            </w:r>
            <w:r>
              <w:t>t of a subset of DISER programs</w:t>
            </w:r>
          </w:p>
        </w:tc>
      </w:tr>
      <w:tr w:rsidR="00E22EAB" w:rsidRPr="00065200" w14:paraId="15744353" w14:textId="77777777" w:rsidTr="004A5B27">
        <w:trPr>
          <w:cantSplit/>
        </w:trPr>
        <w:tc>
          <w:tcPr>
            <w:tcW w:w="9032" w:type="dxa"/>
            <w:tcBorders>
              <w:top w:val="nil"/>
              <w:bottom w:val="single" w:sz="4" w:space="0" w:color="auto"/>
            </w:tcBorders>
            <w:shd w:val="clear" w:color="auto" w:fill="E4E9F0"/>
            <w:tcMar>
              <w:top w:w="57" w:type="dxa"/>
              <w:left w:w="57" w:type="dxa"/>
              <w:bottom w:w="57" w:type="dxa"/>
              <w:right w:w="57" w:type="dxa"/>
            </w:tcMar>
            <w:vAlign w:val="center"/>
          </w:tcPr>
          <w:p w14:paraId="67B74959" w14:textId="5CCC6FA2" w:rsidR="00BB2DCE" w:rsidRPr="00065200" w:rsidRDefault="00CA7A2C" w:rsidP="0037723B">
            <w:pPr>
              <w:spacing w:after="120" w:line="240" w:lineRule="auto"/>
            </w:pPr>
            <w:r w:rsidRPr="00065200">
              <w:t>The</w:t>
            </w:r>
            <w:r w:rsidR="00E22EAB" w:rsidRPr="00065200">
              <w:t xml:space="preserve"> </w:t>
            </w:r>
            <w:r w:rsidR="00317454" w:rsidRPr="00065200">
              <w:t xml:space="preserve">Department of </w:t>
            </w:r>
            <w:r w:rsidR="00E22EAB" w:rsidRPr="00065200">
              <w:t xml:space="preserve">Industry, Science, Energy and Resources (DISER) </w:t>
            </w:r>
            <w:r w:rsidR="004C6434" w:rsidRPr="00065200">
              <w:t xml:space="preserve">has a suite of </w:t>
            </w:r>
            <w:r w:rsidR="00B07042" w:rsidRPr="00065200">
              <w:t>programs</w:t>
            </w:r>
            <w:r w:rsidR="004C6434" w:rsidRPr="00065200">
              <w:t xml:space="preserve"> which</w:t>
            </w:r>
            <w:r w:rsidR="00BB2DCE" w:rsidRPr="00065200">
              <w:t xml:space="preserve"> support research, foster innovation and enhanc</w:t>
            </w:r>
            <w:r w:rsidR="00B07042" w:rsidRPr="00065200">
              <w:t>e</w:t>
            </w:r>
            <w:r w:rsidR="00BB2DCE" w:rsidRPr="00065200">
              <w:t xml:space="preserve"> commercialisation opportunities to improve the productivity and competitiveness of Australian business and industry.</w:t>
            </w:r>
          </w:p>
          <w:p w14:paraId="7D85D623" w14:textId="14BBC248" w:rsidR="0004150E" w:rsidRPr="00065200" w:rsidRDefault="004C6434" w:rsidP="0037723B">
            <w:pPr>
              <w:spacing w:after="120" w:line="240" w:lineRule="auto"/>
            </w:pPr>
            <w:r w:rsidRPr="00065200">
              <w:t xml:space="preserve">A subset of these investments </w:t>
            </w:r>
            <w:r w:rsidR="005769D1">
              <w:t>were analysed</w:t>
            </w:r>
            <w:r w:rsidR="00BB2DCE" w:rsidRPr="00065200">
              <w:t xml:space="preserve"> to </w:t>
            </w:r>
            <w:r w:rsidR="00DA6178" w:rsidRPr="00065200">
              <w:t>assess</w:t>
            </w:r>
            <w:r w:rsidR="00BB2DCE" w:rsidRPr="00065200">
              <w:t xml:space="preserve"> the degree of alignment, overlap or gap</w:t>
            </w:r>
            <w:r w:rsidR="005769D1">
              <w:t>s</w:t>
            </w:r>
            <w:r w:rsidR="00BB2DCE" w:rsidRPr="00065200">
              <w:t xml:space="preserve"> using</w:t>
            </w:r>
            <w:r w:rsidR="00E22EAB" w:rsidRPr="00065200">
              <w:t xml:space="preserve"> </w:t>
            </w:r>
            <w:r w:rsidR="00B80118" w:rsidRPr="00065200">
              <w:t>several</w:t>
            </w:r>
            <w:r w:rsidR="00E22EAB" w:rsidRPr="00065200">
              <w:t xml:space="preserve"> comparison points</w:t>
            </w:r>
            <w:r w:rsidR="005769D1">
              <w:t xml:space="preserve">: </w:t>
            </w:r>
            <w:r w:rsidR="00E22EAB" w:rsidRPr="00065200">
              <w:t>policy intent</w:t>
            </w:r>
            <w:r w:rsidR="00241E6F">
              <w:t>;</w:t>
            </w:r>
            <w:r w:rsidR="00E22EAB" w:rsidRPr="00065200">
              <w:t xml:space="preserve"> eligibility and merit selection criteria and assessment process</w:t>
            </w:r>
            <w:r w:rsidR="00BB2DCE" w:rsidRPr="00065200">
              <w:t>.</w:t>
            </w:r>
            <w:r w:rsidR="009172AA" w:rsidRPr="00065200">
              <w:t xml:space="preserve"> </w:t>
            </w:r>
          </w:p>
          <w:p w14:paraId="02E0E9C3" w14:textId="6F8F7459" w:rsidR="00B65C8E" w:rsidRPr="00065200" w:rsidRDefault="00E22EAB" w:rsidP="0037723B">
            <w:pPr>
              <w:spacing w:after="120" w:line="240" w:lineRule="auto"/>
            </w:pPr>
            <w:r w:rsidRPr="00065200">
              <w:t>The investments</w:t>
            </w:r>
            <w:r w:rsidR="00557269" w:rsidRPr="00065200">
              <w:t xml:space="preserve"> analysed included </w:t>
            </w:r>
            <w:r w:rsidR="008B6BBC" w:rsidRPr="00065200">
              <w:t>CRCs</w:t>
            </w:r>
            <w:r w:rsidR="00557269" w:rsidRPr="00065200">
              <w:t xml:space="preserve"> and CRC-Ps</w:t>
            </w:r>
            <w:r w:rsidR="00867392" w:rsidRPr="00065200">
              <w:t xml:space="preserve"> (CRC</w:t>
            </w:r>
            <w:r w:rsidR="00867392" w:rsidRPr="00065200">
              <w:noBreakHyphen/>
            </w:r>
            <w:r w:rsidR="008B6BBC" w:rsidRPr="00065200">
              <w:t>Projects)</w:t>
            </w:r>
            <w:r w:rsidR="00557269" w:rsidRPr="00065200">
              <w:t xml:space="preserve">, EP and the Industry Growth Centres Initiative (IGCs) which </w:t>
            </w:r>
            <w:r w:rsidRPr="00065200">
              <w:t>span multiple phases of the innovation cycle from research translation and collaboration through to business innovation support</w:t>
            </w:r>
            <w:r w:rsidR="003B4BF9" w:rsidRPr="00065200">
              <w:t>.</w:t>
            </w:r>
          </w:p>
          <w:p w14:paraId="09749DFB" w14:textId="3C12B3B5" w:rsidR="00E22EAB" w:rsidRPr="00065200" w:rsidRDefault="00962E76" w:rsidP="0037723B">
            <w:pPr>
              <w:spacing w:after="120" w:line="240" w:lineRule="auto"/>
            </w:pPr>
            <w:r>
              <w:t>This</w:t>
            </w:r>
            <w:r w:rsidR="00E22EAB" w:rsidRPr="00065200">
              <w:t xml:space="preserve"> analysis revealed</w:t>
            </w:r>
            <w:r>
              <w:t xml:space="preserve"> that</w:t>
            </w:r>
            <w:r w:rsidR="00E22EAB" w:rsidRPr="00065200">
              <w:t>:</w:t>
            </w:r>
          </w:p>
          <w:p w14:paraId="7C9C5BA2" w14:textId="583503F5" w:rsidR="000B1E57" w:rsidRPr="00065200" w:rsidRDefault="00E22EAB" w:rsidP="000B1E57">
            <w:pPr>
              <w:pStyle w:val="ListParagraph"/>
              <w:numPr>
                <w:ilvl w:val="0"/>
                <w:numId w:val="15"/>
              </w:numPr>
              <w:spacing w:after="0" w:line="240" w:lineRule="auto"/>
            </w:pPr>
            <w:r w:rsidRPr="00065200">
              <w:t xml:space="preserve">At a high level, there </w:t>
            </w:r>
            <w:r w:rsidR="00D30E7B" w:rsidRPr="00065200">
              <w:t>is some</w:t>
            </w:r>
            <w:r w:rsidRPr="00065200">
              <w:t xml:space="preserve"> potential for overlap in the policy objective</w:t>
            </w:r>
            <w:r w:rsidR="00AF3803" w:rsidRPr="00065200">
              <w:t>s</w:t>
            </w:r>
            <w:r w:rsidRPr="00065200">
              <w:t xml:space="preserve"> of </w:t>
            </w:r>
            <w:r w:rsidR="00D30E7B" w:rsidRPr="00065200">
              <w:t xml:space="preserve">the </w:t>
            </w:r>
            <w:r w:rsidRPr="00065200">
              <w:t>programs</w:t>
            </w:r>
            <w:r w:rsidR="00AF3803" w:rsidRPr="00065200">
              <w:t>,</w:t>
            </w:r>
            <w:r w:rsidRPr="00065200">
              <w:t xml:space="preserve"> </w:t>
            </w:r>
            <w:r w:rsidR="00AF3803" w:rsidRPr="00065200">
              <w:t>but in practice</w:t>
            </w:r>
            <w:r w:rsidRPr="00065200">
              <w:t>, the programs are complementary. For example, CRCs and EP</w:t>
            </w:r>
            <w:r w:rsidR="006D07D6" w:rsidRPr="00065200">
              <w:t>’</w:t>
            </w:r>
            <w:r w:rsidR="00683D4F" w:rsidRPr="00065200">
              <w:t>s</w:t>
            </w:r>
            <w:r w:rsidRPr="00065200">
              <w:t xml:space="preserve"> Innovation Connections </w:t>
            </w:r>
            <w:r w:rsidR="008C5C9C" w:rsidRPr="00065200">
              <w:t>are</w:t>
            </w:r>
            <w:r w:rsidR="00D30E7B" w:rsidRPr="00065200">
              <w:t xml:space="preserve"> both </w:t>
            </w:r>
            <w:r w:rsidR="008C5C9C" w:rsidRPr="00065200">
              <w:t>intended to encourage</w:t>
            </w:r>
            <w:r w:rsidRPr="00065200">
              <w:t xml:space="preserve"> </w:t>
            </w:r>
            <w:r w:rsidR="004603FB">
              <w:t>s</w:t>
            </w:r>
            <w:r w:rsidR="004603FB" w:rsidRPr="004603FB">
              <w:t xml:space="preserve">mall and medium-sized enterprises </w:t>
            </w:r>
            <w:r w:rsidR="004603FB">
              <w:t>(</w:t>
            </w:r>
            <w:r w:rsidRPr="00065200">
              <w:t>SME</w:t>
            </w:r>
            <w:r w:rsidR="00962E76">
              <w:t>s</w:t>
            </w:r>
            <w:r w:rsidR="004603FB">
              <w:t>)</w:t>
            </w:r>
            <w:r w:rsidRPr="00065200">
              <w:t xml:space="preserve"> participation in collaborative research, however Innovation Connections supports SMEs through facilitators assessing their needs to engage with researchers</w:t>
            </w:r>
            <w:r w:rsidR="008C5C9C" w:rsidRPr="00065200">
              <w:t>,</w:t>
            </w:r>
            <w:r w:rsidRPr="00065200">
              <w:t xml:space="preserve"> whereas CRCs support research engagement through industry</w:t>
            </w:r>
            <w:r w:rsidR="00D30E7B" w:rsidRPr="00065200">
              <w:noBreakHyphen/>
            </w:r>
            <w:r w:rsidRPr="00065200">
              <w:t>led collaborations with the research sector.</w:t>
            </w:r>
          </w:p>
        </w:tc>
      </w:tr>
    </w:tbl>
    <w:p w14:paraId="0C0DDCE5" w14:textId="4ACB0AEC" w:rsidR="004A5B27" w:rsidRDefault="004A5B27" w:rsidP="00D71B4A">
      <w:pPr>
        <w:spacing w:before="240"/>
      </w:pPr>
    </w:p>
    <w:tbl>
      <w:tblPr>
        <w:tblStyle w:val="TableGrid"/>
        <w:tblpPr w:leftFromText="180" w:rightFromText="180" w:vertAnchor="text" w:horzAnchor="margin" w:tblpY="113"/>
        <w:tblW w:w="9032" w:type="dxa"/>
        <w:shd w:val="clear" w:color="auto" w:fill="E4E9F0"/>
        <w:tblCellMar>
          <w:top w:w="57" w:type="dxa"/>
          <w:left w:w="57" w:type="dxa"/>
          <w:bottom w:w="57" w:type="dxa"/>
          <w:right w:w="57" w:type="dxa"/>
        </w:tblCellMar>
        <w:tblLook w:val="04A0" w:firstRow="1" w:lastRow="0" w:firstColumn="1" w:lastColumn="0" w:noHBand="0" w:noVBand="1"/>
        <w:tblCaption w:val="Box 3 continued: An analysis of the coordination and alignment of a subset of DISER programs"/>
        <w:tblDescription w:val="The Department of Industry, Science, Energy and Resources (DISER) has a suite of programs which support research, foster innovation and enhance commercialisation opportunities to improve the productivity and competitiveness of Australian business and industry.&#10;A subset of these investments were analysed to assess the degree of alignment, overlap or gaps using several comparison points: policy intent;, eligibility and merit selection criteria and assessment process. &#10;The investments analysed included CRCs and CRC-Ps (CRC Projects), EP and the Industry Growth Centres Initiative (IGCs) which span multiple phases of the innovation cycle from research translation and collaboration through to business innovation support."/>
      </w:tblPr>
      <w:tblGrid>
        <w:gridCol w:w="9032"/>
      </w:tblGrid>
      <w:tr w:rsidR="004A5B27" w:rsidRPr="00065200" w14:paraId="788CD8E4" w14:textId="77777777" w:rsidTr="004A5B27">
        <w:trPr>
          <w:cantSplit/>
          <w:tblHeader/>
        </w:trPr>
        <w:tc>
          <w:tcPr>
            <w:tcW w:w="9032" w:type="dxa"/>
            <w:tcBorders>
              <w:bottom w:val="nil"/>
            </w:tcBorders>
            <w:shd w:val="clear" w:color="auto" w:fill="E4E9F0"/>
            <w:tcMar>
              <w:top w:w="57" w:type="dxa"/>
              <w:left w:w="57" w:type="dxa"/>
              <w:bottom w:w="57" w:type="dxa"/>
              <w:right w:w="57" w:type="dxa"/>
            </w:tcMar>
            <w:vAlign w:val="center"/>
          </w:tcPr>
          <w:p w14:paraId="497A6BF8" w14:textId="3D4CECED" w:rsidR="004A5B27" w:rsidRPr="00065200" w:rsidRDefault="004A5B27" w:rsidP="006949BB">
            <w:pPr>
              <w:pStyle w:val="Featureboxtextheading"/>
            </w:pPr>
            <w:r w:rsidRPr="00065200">
              <w:lastRenderedPageBreak/>
              <w:t xml:space="preserve">Box </w:t>
            </w:r>
            <w:r>
              <w:t xml:space="preserve">3 continued: </w:t>
            </w:r>
            <w:r w:rsidRPr="00065200">
              <w:t>An analysis of the coordination and alignmen</w:t>
            </w:r>
            <w:r>
              <w:t>t of a subset of DISER programs</w:t>
            </w:r>
          </w:p>
        </w:tc>
      </w:tr>
      <w:tr w:rsidR="004A5B27" w:rsidRPr="00065200" w14:paraId="5745CCE3" w14:textId="77777777" w:rsidTr="000B1E57">
        <w:trPr>
          <w:cantSplit/>
        </w:trPr>
        <w:tc>
          <w:tcPr>
            <w:tcW w:w="9032" w:type="dxa"/>
            <w:tcBorders>
              <w:top w:val="nil"/>
              <w:bottom w:val="single" w:sz="4" w:space="0" w:color="auto"/>
            </w:tcBorders>
            <w:shd w:val="clear" w:color="auto" w:fill="E4E9F0"/>
            <w:tcMar>
              <w:top w:w="57" w:type="dxa"/>
              <w:left w:w="57" w:type="dxa"/>
              <w:bottom w:w="57" w:type="dxa"/>
              <w:right w:w="57" w:type="dxa"/>
            </w:tcMar>
            <w:vAlign w:val="center"/>
          </w:tcPr>
          <w:p w14:paraId="658F965B" w14:textId="77777777" w:rsidR="004A5B27" w:rsidRPr="00065200" w:rsidRDefault="004A5B27" w:rsidP="004A5B27">
            <w:pPr>
              <w:pStyle w:val="ListParagraph"/>
              <w:numPr>
                <w:ilvl w:val="0"/>
                <w:numId w:val="15"/>
              </w:numPr>
              <w:spacing w:after="0" w:line="240" w:lineRule="auto"/>
              <w:ind w:left="414" w:hanging="357"/>
            </w:pPr>
            <w:r w:rsidRPr="00065200">
              <w:t xml:space="preserve">There is the potential for unintended duplication and overlap between some investments which focus on sectors of competitive strength, particularly between CRCs and IGCs with similar objectives or in similar domains. This overlap can be constructive, for example where the CRC may have a more niche focus within the domain. There is also potential for duplication, such as between the Innovative Manufacturing CRC and Advanced Manufacturing Growth Centre, due to their strategic role and breadth of activity. It is important to leverage and maximise the connection between investments </w:t>
            </w:r>
            <w:r>
              <w:t xml:space="preserve">through the </w:t>
            </w:r>
            <w:r w:rsidRPr="00065200">
              <w:t>use of industry intelligence and networks to increase understanding and mitigat</w:t>
            </w:r>
            <w:r>
              <w:t>e</w:t>
            </w:r>
            <w:r w:rsidRPr="00065200">
              <w:t xml:space="preserve"> potential overlaps and duplications.</w:t>
            </w:r>
          </w:p>
          <w:p w14:paraId="50880BE8" w14:textId="77777777" w:rsidR="004A5B27" w:rsidRPr="00065200" w:rsidRDefault="004A5B27" w:rsidP="004A5B27">
            <w:pPr>
              <w:pStyle w:val="ListParagraph"/>
              <w:numPr>
                <w:ilvl w:val="0"/>
                <w:numId w:val="15"/>
              </w:numPr>
              <w:spacing w:after="120" w:line="240" w:lineRule="auto"/>
              <w:ind w:left="414" w:hanging="357"/>
            </w:pPr>
            <w:r w:rsidRPr="00065200">
              <w:t>All programs analysed require that investments are focused to some degree on Government priorities to align investment decisions.</w:t>
            </w:r>
            <w:r w:rsidRPr="00065200" w:rsidDel="009E195D">
              <w:t xml:space="preserve"> </w:t>
            </w:r>
            <w:r w:rsidRPr="00065200">
              <w:t>Current Government investment requirements include an eligibility requirement,</w:t>
            </w:r>
            <w:r w:rsidRPr="00065200">
              <w:rPr>
                <w:rStyle w:val="FootnoteReference"/>
              </w:rPr>
              <w:footnoteReference w:id="121"/>
            </w:r>
            <w:r w:rsidRPr="00065200">
              <w:t xml:space="preserve"> to provide additional merit in assessment</w:t>
            </w:r>
            <w:r w:rsidRPr="00065200">
              <w:rPr>
                <w:rStyle w:val="FootnoteReference"/>
              </w:rPr>
              <w:footnoteReference w:id="122"/>
            </w:r>
            <w:r w:rsidRPr="00065200">
              <w:t xml:space="preserve"> if operating in one or more of the growth sectors,</w:t>
            </w:r>
            <w:r w:rsidRPr="00065200">
              <w:rPr>
                <w:vertAlign w:val="superscript"/>
              </w:rPr>
              <w:footnoteReference w:id="123"/>
            </w:r>
            <w:r w:rsidRPr="00065200">
              <w:t xml:space="preserve"> or linking to Government priorities more generally. Government priorities in these contexts are broadly defined as Science and Research Priorities, Industry Knowledge Priorities or any other science and research priorities identified by the Commonwealth Government.</w:t>
            </w:r>
            <w:r w:rsidRPr="00065200">
              <w:rPr>
                <w:rStyle w:val="FootnoteReference"/>
              </w:rPr>
              <w:footnoteReference w:id="124"/>
            </w:r>
            <w:r w:rsidRPr="00065200">
              <w:t xml:space="preserve"> There is an opportunity to provide more focus and greater alignment of investments</w:t>
            </w:r>
            <w:r>
              <w:t xml:space="preserve"> by using</w:t>
            </w:r>
            <w:r w:rsidRPr="00065200">
              <w:t xml:space="preserve"> one consistent set of Government priorities.</w:t>
            </w:r>
          </w:p>
          <w:p w14:paraId="0E3D9DDF" w14:textId="77777777" w:rsidR="004A5B27" w:rsidRPr="00065200" w:rsidRDefault="004A5B27" w:rsidP="004A5B27">
            <w:pPr>
              <w:spacing w:after="120" w:line="240" w:lineRule="auto"/>
              <w:ind w:left="57"/>
            </w:pPr>
            <w:r>
              <w:t>A</w:t>
            </w:r>
            <w:r w:rsidRPr="00065200">
              <w:t xml:space="preserve"> number of constraints were highlighted by those designing and delivering investments which limit the Government’s capacity to respond to challenges in the broader environment. Opportunities for reform exist in the following areas:</w:t>
            </w:r>
          </w:p>
          <w:p w14:paraId="6CDE3EA3" w14:textId="77777777" w:rsidR="004A5B27" w:rsidRPr="00065200" w:rsidRDefault="004A5B27" w:rsidP="004A5B27">
            <w:pPr>
              <w:pStyle w:val="ListParagraph"/>
              <w:numPr>
                <w:ilvl w:val="0"/>
                <w:numId w:val="15"/>
              </w:numPr>
              <w:spacing w:after="0" w:line="240" w:lineRule="auto"/>
              <w:ind w:left="414" w:hanging="357"/>
            </w:pPr>
            <w:r w:rsidRPr="00065200">
              <w:t xml:space="preserve">Developing a strategic approach to priority-themed investment rounds to ensure program objectives can be met while also addressing Government’s priorities. Where priority rounds are used, they should provide advance notice to applicants, </w:t>
            </w:r>
            <w:r>
              <w:t xml:space="preserve">and </w:t>
            </w:r>
            <w:r w:rsidRPr="00065200">
              <w:t>limit fragmented responses and attrition of existing investment funds.</w:t>
            </w:r>
          </w:p>
          <w:p w14:paraId="2515F01F" w14:textId="77777777" w:rsidR="004A5B27" w:rsidRPr="00065200" w:rsidRDefault="004A5B27" w:rsidP="004A5B27">
            <w:pPr>
              <w:pStyle w:val="ListParagraph"/>
              <w:numPr>
                <w:ilvl w:val="0"/>
                <w:numId w:val="15"/>
              </w:numPr>
              <w:spacing w:after="0" w:line="240" w:lineRule="auto"/>
              <w:ind w:left="414" w:hanging="357"/>
            </w:pPr>
            <w:r w:rsidRPr="00065200">
              <w:t>Introducing a flexible funding approach between individual investments to enhance the Government’s ability to provide support and respond. For example, providing a single funding allocation for all investments focused in a thematic area (e.g. business and industry) to offer improved funding flexibility between investments and funding years.</w:t>
            </w:r>
          </w:p>
          <w:p w14:paraId="29F69FA1" w14:textId="77777777" w:rsidR="004A5B27" w:rsidRDefault="004A5B27" w:rsidP="004A5B27">
            <w:pPr>
              <w:pStyle w:val="ListParagraph"/>
              <w:numPr>
                <w:ilvl w:val="0"/>
                <w:numId w:val="15"/>
              </w:numPr>
              <w:spacing w:after="0" w:line="240" w:lineRule="auto"/>
              <w:ind w:left="414" w:hanging="357"/>
            </w:pPr>
            <w:r w:rsidRPr="00065200">
              <w:t>Improving the coordination between investments to provide a more joined-up approach and enhance the end-user experience. While some coordination does already happen, there is an opportunity for the Government to be more proactive in facilitating this coordination.</w:t>
            </w:r>
          </w:p>
          <w:p w14:paraId="765C8ACD" w14:textId="2511D9C8" w:rsidR="009755EF" w:rsidRPr="00065200" w:rsidRDefault="009755EF" w:rsidP="009755EF">
            <w:pPr>
              <w:pStyle w:val="ListParagraph"/>
              <w:numPr>
                <w:ilvl w:val="0"/>
                <w:numId w:val="15"/>
              </w:numPr>
              <w:spacing w:before="240"/>
            </w:pPr>
            <w:r w:rsidRPr="00065200">
              <w:t>Enhancing communication of existing Government investments, rather than creating new investments, to provide better visibility and ease of navigation to end-users. Journey maps</w:t>
            </w:r>
            <w:r w:rsidRPr="00CA42B4">
              <w:rPr>
                <w:rStyle w:val="FootnoteReference"/>
              </w:rPr>
              <w:t xml:space="preserve"> </w:t>
            </w:r>
            <w:r w:rsidRPr="00065200">
              <w:t>were cited as one way to achieve this.</w:t>
            </w:r>
            <w:r w:rsidRPr="00CA42B4">
              <w:rPr>
                <w:rStyle w:val="FootnoteReference"/>
              </w:rPr>
              <w:footnoteReference w:id="125"/>
            </w:r>
          </w:p>
        </w:tc>
      </w:tr>
    </w:tbl>
    <w:p w14:paraId="2847892A" w14:textId="238EFB0E" w:rsidR="00993B48" w:rsidRPr="00065200" w:rsidRDefault="00993B48" w:rsidP="00D71B4A">
      <w:pPr>
        <w:spacing w:before="240"/>
      </w:pPr>
      <w:r w:rsidRPr="00065200">
        <w:lastRenderedPageBreak/>
        <w:t>Some steps have already been taken to improve implementation</w:t>
      </w:r>
      <w:r w:rsidR="00E57BBE">
        <w:noBreakHyphen/>
      </w:r>
      <w:r w:rsidRPr="00065200">
        <w:t>side funding administration processes for Australian business grant programs</w:t>
      </w:r>
      <w:r w:rsidR="00E57BBE">
        <w:t>. For example, the</w:t>
      </w:r>
      <w:r w:rsidRPr="00065200">
        <w:t xml:space="preserve"> 2015 Streamlining Grants Administration Programme </w:t>
      </w:r>
      <w:r w:rsidR="00E57BBE">
        <w:t xml:space="preserve">was </w:t>
      </w:r>
      <w:r w:rsidRPr="00065200">
        <w:t>designed to improve the delivery of grants across the Commonwealth, lowering delivery costs and improving the experience for businesses.</w:t>
      </w:r>
      <w:r w:rsidRPr="00065200">
        <w:rPr>
          <w:rStyle w:val="FootnoteReference"/>
        </w:rPr>
        <w:footnoteReference w:id="126"/>
      </w:r>
      <w:r w:rsidRPr="00065200">
        <w:t xml:space="preserve"> </w:t>
      </w:r>
      <w:r w:rsidR="00E57BBE">
        <w:t>The</w:t>
      </w:r>
      <w:r w:rsidRPr="00065200">
        <w:t xml:space="preserve"> recently completed </w:t>
      </w:r>
      <w:r w:rsidR="009A0957">
        <w:t>EP</w:t>
      </w:r>
      <w:r w:rsidRPr="00065200">
        <w:t xml:space="preserve"> user-centred redesign and implementation reform process </w:t>
      </w:r>
      <w:r w:rsidR="00E57BBE">
        <w:t xml:space="preserve">also </w:t>
      </w:r>
      <w:r w:rsidRPr="00065200">
        <w:t>identified opportunities to improve program effectiveness by simplifying customer processes and better connecting business assistance across government.</w:t>
      </w:r>
    </w:p>
    <w:p w14:paraId="5B65EB12" w14:textId="126818F5" w:rsidR="00993B48" w:rsidRPr="00065200" w:rsidRDefault="00993B48" w:rsidP="00993B48">
      <w:pPr>
        <w:spacing w:before="240"/>
      </w:pPr>
      <w:r w:rsidRPr="00CC4320">
        <w:t xml:space="preserve">The OECD recommended Australia develop a more integrated, whole-of-government approach to its ISR to boost </w:t>
      </w:r>
      <w:r w:rsidR="00E57BBE" w:rsidRPr="00CC4320">
        <w:t>R&amp;D</w:t>
      </w:r>
      <w:r w:rsidR="00E57BBE" w:rsidRPr="00CC4320" w:rsidDel="00E57BBE">
        <w:t xml:space="preserve"> </w:t>
      </w:r>
      <w:r w:rsidRPr="00CC4320">
        <w:t>outcomes.</w:t>
      </w:r>
      <w:r w:rsidRPr="00065200">
        <w:rPr>
          <w:rStyle w:val="FootnoteReference"/>
        </w:rPr>
        <w:footnoteReference w:id="127"/>
      </w:r>
      <w:r w:rsidRPr="00065200">
        <w:t xml:space="preserve"> Internationally, countries are employing a range of whole</w:t>
      </w:r>
      <w:r w:rsidR="00E57BBE">
        <w:noBreakHyphen/>
      </w:r>
      <w:r w:rsidRPr="00065200">
        <w:t>of</w:t>
      </w:r>
      <w:r w:rsidR="00E57BBE">
        <w:noBreakHyphen/>
      </w:r>
      <w:r w:rsidRPr="00065200">
        <w:t>government methods to ensure connectedness and coordination across their ISR systems. This includes creating a ‘one</w:t>
      </w:r>
      <w:r w:rsidRPr="00065200">
        <w:noBreakHyphen/>
        <w:t>stop</w:t>
      </w:r>
      <w:r w:rsidRPr="00065200">
        <w:noBreakHyphen/>
        <w:t>shop’ to reduce the number of funding agencies (such as Denmark’s Innovation Fund</w:t>
      </w:r>
      <w:r w:rsidRPr="00065200">
        <w:rPr>
          <w:rStyle w:val="FootnoteReference"/>
        </w:rPr>
        <w:footnoteReference w:id="128"/>
      </w:r>
      <w:r w:rsidRPr="00065200">
        <w:t>)</w:t>
      </w:r>
      <w:r w:rsidR="00292BC5">
        <w:t>,</w:t>
      </w:r>
      <w:r w:rsidRPr="00065200">
        <w:t xml:space="preserve"> decreasing the number of programs to reduce fragmentation and duplication, and increase efficiency (such as Canada’s Innovation and Skills Plan)</w:t>
      </w:r>
      <w:r w:rsidR="009553D4">
        <w:t>,</w:t>
      </w:r>
      <w:r w:rsidRPr="00065200">
        <w:rPr>
          <w:rStyle w:val="FootnoteReference"/>
        </w:rPr>
        <w:footnoteReference w:id="129"/>
      </w:r>
      <w:r w:rsidRPr="00065200">
        <w:rPr>
          <w:vertAlign w:val="superscript"/>
        </w:rPr>
        <w:t>,</w:t>
      </w:r>
      <w:r w:rsidRPr="00065200">
        <w:rPr>
          <w:rStyle w:val="FootnoteReference"/>
        </w:rPr>
        <w:footnoteReference w:id="130"/>
      </w:r>
      <w:r w:rsidRPr="00065200">
        <w:t xml:space="preserve"> and developing a public portal to increase visibility and ease of navigation (e.g. European Horizon 2020 portal</w:t>
      </w:r>
      <w:r w:rsidRPr="00065200">
        <w:rPr>
          <w:rStyle w:val="FootnoteReference"/>
        </w:rPr>
        <w:footnoteReference w:id="131"/>
      </w:r>
      <w:r w:rsidRPr="00065200">
        <w:t xml:space="preserve">). </w:t>
      </w:r>
    </w:p>
    <w:p w14:paraId="6FF7F112" w14:textId="596B79D1" w:rsidR="007912DC" w:rsidRPr="00065200" w:rsidRDefault="00993B48" w:rsidP="000B2CEF">
      <w:pPr>
        <w:rPr>
          <w:vertAlign w:val="superscript"/>
        </w:rPr>
      </w:pPr>
      <w:r w:rsidRPr="00065200">
        <w:t xml:space="preserve">The OECD also found that whole-of-government coordination of national ISR investment, including broad ministerial involvement and interdepartmental monitoring, was </w:t>
      </w:r>
      <w:r w:rsidR="00A72BA1">
        <w:t xml:space="preserve">often </w:t>
      </w:r>
      <w:r w:rsidRPr="00065200">
        <w:t xml:space="preserve">a key success factor for ISR governance. </w:t>
      </w:r>
      <w:r w:rsidR="00A72BA1">
        <w:t xml:space="preserve">In particular, </w:t>
      </w:r>
      <w:r w:rsidRPr="00065200">
        <w:t xml:space="preserve">ISR commitment at the highest level of government </w:t>
      </w:r>
      <w:r w:rsidR="00A72BA1">
        <w:t xml:space="preserve">was found to </w:t>
      </w:r>
      <w:r w:rsidRPr="00065200">
        <w:t xml:space="preserve">drive inter-agency coordination of priorities and programs. This research has shown that OECD countries coordinate policy action through </w:t>
      </w:r>
      <w:r w:rsidR="00A72BA1">
        <w:t xml:space="preserve">a range of </w:t>
      </w:r>
      <w:r w:rsidRPr="00065200">
        <w:t>mechanisms</w:t>
      </w:r>
      <w:r w:rsidR="009553D4">
        <w:t>,</w:t>
      </w:r>
      <w:r w:rsidRPr="00065200">
        <w:t xml:space="preserve"> such as research and innovation councils, national research and innovation strategies or plans, or inter</w:t>
      </w:r>
      <w:r w:rsidR="00A72BA1">
        <w:noBreakHyphen/>
      </w:r>
      <w:r w:rsidRPr="00065200">
        <w:t>agency joint progra</w:t>
      </w:r>
      <w:r w:rsidR="001E65E2">
        <w:t>m</w:t>
      </w:r>
      <w:r w:rsidRPr="00065200">
        <w:t>ming.</w:t>
      </w:r>
      <w:r w:rsidRPr="00065200">
        <w:rPr>
          <w:rStyle w:val="FootnoteReference"/>
        </w:rPr>
        <w:footnoteReference w:id="132"/>
      </w:r>
      <w:r w:rsidRPr="00065200">
        <w:t xml:space="preserve"> For example, the </w:t>
      </w:r>
      <w:r w:rsidR="009553D4">
        <w:t xml:space="preserve">US </w:t>
      </w:r>
      <w:r w:rsidRPr="00065200">
        <w:t>Govern</w:t>
      </w:r>
      <w:r w:rsidR="003F025F" w:rsidRPr="00065200">
        <w:t>ment Accountability Office</w:t>
      </w:r>
      <w:r w:rsidR="009553D4">
        <w:t xml:space="preserve"> </w:t>
      </w:r>
      <w:r w:rsidRPr="00065200">
        <w:t>has a legislated mandate to identify and report on all federal entities and initiatives across government that have duplicative goals or activities, identif</w:t>
      </w:r>
      <w:r w:rsidR="009553D4">
        <w:t>y</w:t>
      </w:r>
      <w:r w:rsidRPr="00065200">
        <w:t xml:space="preserve"> areas that are fragmented or overlapping and report on opportunities to achieve cost savings or enhance revenue collection.</w:t>
      </w:r>
      <w:r w:rsidRPr="00065200">
        <w:rPr>
          <w:rStyle w:val="FootnoteReference"/>
        </w:rPr>
        <w:footnoteReference w:id="133"/>
      </w:r>
      <w:r w:rsidRPr="00065200">
        <w:rPr>
          <w:vertAlign w:val="superscript"/>
        </w:rPr>
        <w:t xml:space="preserve"> </w:t>
      </w:r>
      <w:r w:rsidR="007912DC" w:rsidRPr="00065200">
        <w:br w:type="page"/>
      </w:r>
    </w:p>
    <w:tbl>
      <w:tblPr>
        <w:tblStyle w:val="TableGrid"/>
        <w:tblpPr w:leftFromText="180" w:rightFromText="180" w:vertAnchor="text" w:horzAnchor="margin" w:tblpY="113"/>
        <w:tblW w:w="9072" w:type="dxa"/>
        <w:shd w:val="clear" w:color="auto" w:fill="E4E9F0"/>
        <w:tblLook w:val="04A0" w:firstRow="1" w:lastRow="0" w:firstColumn="1" w:lastColumn="0" w:noHBand="0" w:noVBand="1"/>
        <w:tblCaption w:val="Box 4 Coordination of government Space ISR investments"/>
        <w:tblDescription w:val="ISA’s analysis shows Government investment in space ISR in 2018–19 was distributed across numerous programs, grants and incentives (see right).  &#10;While some of these investments are large in scale, such as Geoscience Australia’s $56.2 million National Positioning Infrastructure and $15.0 million Digital Earth programs, others are small. For example, ISA estimates that 88 active ARC grants across 10 funding streams averaged just $180,000, and 39 businesses lodged space related R&amp;DTI registrations averaging $587,000 in 2018–19.  Funding complexity has continued to grow, including the $5.85 million announcement of the 2020 space-sector CRC Ps. &#10;The Australian Space Agency, the Space Coordination Committee (SCC), and its working groups perform a key civil space sector coordination role, providing longer-term certainty through frameworks such as the Civil Space Strategy and by engaging with international space agencies. However, there is currently no single mechanism or entity coordinating the Commonwealth Government’s space sector ISR investment and policies, and international ISR engagement beyond the Agency is achieved on an ad hoc basis. Space ISR investment decisions are largely made in isolation across Government while policies and ISR activities are coordinated through a range of government and community (joint government, industry and academia) mechanisms.&#10;This historical fragmentation of space ISR is also reflected in the lack of a whole-of-government space ISR investment evaluation mechanism to effectively feed investment evaluation outcomes back into a holistic investment planning process, despite the internationally recognised value of doing so. &#10;While existing investment and coordination mechanisms have served Australia to date, the increasingly ambitious aims for, and value of investments in, this emerging priority sector suggests there is an opportunity to maximise impact by improving coordination and streamlining space ISR investment and evaluation processes across government. This would reduce the future potential for overlapping or duplicative investments and avoid missed investment opportunities caused by poor visibility across the Government’s investment portfolio. The long-term Civil Space Strategy and the SCC’s State of Space report  are important mechanisms for improving the visibility of space ISR activities across government, including planned investments and reporting of outcomes in alignment with the Strategy."/>
      </w:tblPr>
      <w:tblGrid>
        <w:gridCol w:w="9072"/>
      </w:tblGrid>
      <w:tr w:rsidR="004A5B27" w:rsidRPr="00065200" w14:paraId="4B621511" w14:textId="77777777" w:rsidTr="00E3113F">
        <w:trPr>
          <w:cantSplit/>
          <w:tblHeader/>
        </w:trPr>
        <w:tc>
          <w:tcPr>
            <w:tcW w:w="9072" w:type="dxa"/>
            <w:tcBorders>
              <w:bottom w:val="nil"/>
            </w:tcBorders>
            <w:shd w:val="clear" w:color="auto" w:fill="E4E9F0"/>
            <w:tcMar>
              <w:top w:w="57" w:type="dxa"/>
              <w:left w:w="57" w:type="dxa"/>
              <w:bottom w:w="57" w:type="dxa"/>
              <w:right w:w="57" w:type="dxa"/>
            </w:tcMar>
            <w:vAlign w:val="center"/>
          </w:tcPr>
          <w:p w14:paraId="1B2A9350" w14:textId="03B55874" w:rsidR="004A5B27" w:rsidRDefault="004A5B27" w:rsidP="000E0D2D">
            <w:pPr>
              <w:pStyle w:val="Featureboxtextheading"/>
            </w:pPr>
            <w:bookmarkStart w:id="358" w:name="_Ref43388555"/>
            <w:r w:rsidRPr="00065200">
              <w:lastRenderedPageBreak/>
              <w:t xml:space="preserve">Box </w:t>
            </w:r>
            <w:bookmarkEnd w:id="358"/>
            <w:r>
              <w:t>4</w:t>
            </w:r>
            <w:r w:rsidRPr="00065200">
              <w:t xml:space="preserve"> Coordination of g</w:t>
            </w:r>
            <w:r>
              <w:t xml:space="preserve">overnment </w:t>
            </w:r>
            <w:r w:rsidR="000E0D2D">
              <w:t>s</w:t>
            </w:r>
            <w:r>
              <w:t>pace ISR investments</w:t>
            </w:r>
          </w:p>
        </w:tc>
      </w:tr>
      <w:tr w:rsidR="002D47DD" w:rsidRPr="00065200" w14:paraId="1DDD4756" w14:textId="77777777" w:rsidTr="004A5B27">
        <w:trPr>
          <w:cantSplit/>
        </w:trPr>
        <w:tc>
          <w:tcPr>
            <w:tcW w:w="9072" w:type="dxa"/>
            <w:tcBorders>
              <w:top w:val="nil"/>
            </w:tcBorders>
            <w:shd w:val="clear" w:color="auto" w:fill="E4E9F0"/>
            <w:tcMar>
              <w:top w:w="57" w:type="dxa"/>
              <w:left w:w="57" w:type="dxa"/>
              <w:bottom w:w="57" w:type="dxa"/>
              <w:right w:w="57" w:type="dxa"/>
            </w:tcMar>
            <w:vAlign w:val="center"/>
          </w:tcPr>
          <w:p w14:paraId="078968E1" w14:textId="489B3CFA" w:rsidR="004F3796" w:rsidRPr="00065200" w:rsidRDefault="005E1D3C" w:rsidP="00194927">
            <w:pPr>
              <w:widowControl w:val="0"/>
              <w:spacing w:after="0" w:line="240" w:lineRule="auto"/>
            </w:pPr>
            <w:r>
              <w:rPr>
                <w:noProof/>
                <w:lang w:eastAsia="en-AU"/>
              </w:rPr>
              <w:drawing>
                <wp:anchor distT="0" distB="0" distL="36195" distR="0" simplePos="0" relativeHeight="251658241" behindDoc="0" locked="0" layoutInCell="1" allowOverlap="1" wp14:anchorId="4C7D5212" wp14:editId="3298301E">
                  <wp:simplePos x="0" y="0"/>
                  <wp:positionH relativeFrom="column">
                    <wp:posOffset>2637790</wp:posOffset>
                  </wp:positionH>
                  <wp:positionV relativeFrom="paragraph">
                    <wp:posOffset>-5715</wp:posOffset>
                  </wp:positionV>
                  <wp:extent cx="3200400" cy="2336400"/>
                  <wp:effectExtent l="0" t="0" r="0" b="6985"/>
                  <wp:wrapSquare wrapText="left"/>
                  <wp:docPr id="8" name="Picture 8" descr="Government investment in space ISR in 2018–19 was distributed across numerous programs, grants and incentives; some large in scale and many of a smaller scale." title="Government space investment in the space sector by program, grant and incen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195" t="2028" r="1618" b="8061"/>
                          <a:stretch/>
                        </pic:blipFill>
                        <pic:spPr bwMode="auto">
                          <a:xfrm>
                            <a:off x="0" y="0"/>
                            <a:ext cx="3200400" cy="233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47DD" w:rsidRPr="00065200">
              <w:t>I</w:t>
            </w:r>
            <w:r w:rsidR="00C824BA">
              <w:t>I</w:t>
            </w:r>
            <w:r w:rsidR="002D47DD" w:rsidRPr="00065200">
              <w:t xml:space="preserve">SA’s analysis shows Government investment in </w:t>
            </w:r>
            <w:r w:rsidR="00DD0BDA">
              <w:t>s</w:t>
            </w:r>
            <w:r w:rsidR="002D47DD" w:rsidRPr="00065200">
              <w:t>pace ISR in 2018–19 was distributed across numerous programs, grants</w:t>
            </w:r>
            <w:r w:rsidR="00EA1CCA">
              <w:t xml:space="preserve"> and</w:t>
            </w:r>
            <w:r w:rsidR="002D47DD" w:rsidRPr="00065200">
              <w:t xml:space="preserve"> incentives (see </w:t>
            </w:r>
            <w:r w:rsidR="002D47DD" w:rsidRPr="007F34C9">
              <w:t>right</w:t>
            </w:r>
            <w:r w:rsidR="002D47DD" w:rsidRPr="00065200">
              <w:t>).</w:t>
            </w:r>
            <w:r w:rsidR="002D47DD" w:rsidRPr="00065200">
              <w:rPr>
                <w:rStyle w:val="FootnoteReference"/>
              </w:rPr>
              <w:footnoteReference w:id="134"/>
            </w:r>
            <w:r w:rsidR="002D47DD" w:rsidRPr="00065200">
              <w:t xml:space="preserve"> </w:t>
            </w:r>
          </w:p>
          <w:p w14:paraId="3D892BA6" w14:textId="02E6392A" w:rsidR="002D47DD" w:rsidRPr="00065200" w:rsidRDefault="002D47DD" w:rsidP="00194927">
            <w:pPr>
              <w:widowControl w:val="0"/>
              <w:spacing w:after="0" w:line="240" w:lineRule="auto"/>
            </w:pPr>
            <w:r w:rsidRPr="00065200">
              <w:t xml:space="preserve">While </w:t>
            </w:r>
            <w:r w:rsidR="00112342" w:rsidRPr="00065200">
              <w:t>some</w:t>
            </w:r>
            <w:r w:rsidRPr="00065200">
              <w:t xml:space="preserve"> of these investments are large in scale, such as</w:t>
            </w:r>
            <w:r w:rsidR="00EA1CCA">
              <w:t xml:space="preserve"> Geoscience Australia’s</w:t>
            </w:r>
            <w:r w:rsidRPr="00065200">
              <w:t xml:space="preserve"> $56.2 million National Po</w:t>
            </w:r>
            <w:r w:rsidR="00EA1CCA">
              <w:t>sitioning Infrastructure and</w:t>
            </w:r>
            <w:r w:rsidRPr="00065200">
              <w:t xml:space="preserve"> $15.0 million Digital Earth programs</w:t>
            </w:r>
            <w:r w:rsidR="00EA1CCA">
              <w:t xml:space="preserve">, </w:t>
            </w:r>
            <w:r w:rsidRPr="00065200">
              <w:t>others are small.</w:t>
            </w:r>
            <w:r w:rsidR="00DD0BDA">
              <w:t xml:space="preserve"> For example,</w:t>
            </w:r>
            <w:r w:rsidRPr="00065200">
              <w:t xml:space="preserve"> I</w:t>
            </w:r>
            <w:r w:rsidR="00513A10">
              <w:t>I</w:t>
            </w:r>
            <w:r w:rsidRPr="00065200">
              <w:t xml:space="preserve">SA estimates that 88 </w:t>
            </w:r>
            <w:r w:rsidR="00973B6F" w:rsidRPr="00065200">
              <w:t>active</w:t>
            </w:r>
            <w:r w:rsidR="00214F03">
              <w:t xml:space="preserve"> </w:t>
            </w:r>
            <w:r w:rsidR="00EA1CCA">
              <w:t>ARC</w:t>
            </w:r>
            <w:r w:rsidR="00973B6F" w:rsidRPr="00065200">
              <w:t xml:space="preserve"> </w:t>
            </w:r>
            <w:r w:rsidRPr="00065200">
              <w:t>grants</w:t>
            </w:r>
            <w:r w:rsidR="00C068A8" w:rsidRPr="00065200">
              <w:t xml:space="preserve"> across 10 funding streams</w:t>
            </w:r>
            <w:r w:rsidRPr="00065200">
              <w:t xml:space="preserve"> averaged just $180,000</w:t>
            </w:r>
            <w:r w:rsidR="00C068A8">
              <w:t>,</w:t>
            </w:r>
            <w:r w:rsidR="00973B6F" w:rsidRPr="00065200">
              <w:t xml:space="preserve"> </w:t>
            </w:r>
            <w:r w:rsidR="002C20AB" w:rsidRPr="00C068A8">
              <w:t xml:space="preserve">and </w:t>
            </w:r>
            <w:r w:rsidR="00214F03" w:rsidRPr="00C068A8">
              <w:t xml:space="preserve">39 businesses lodged </w:t>
            </w:r>
            <w:r w:rsidRPr="00C068A8">
              <w:t>space</w:t>
            </w:r>
            <w:r w:rsidRPr="00C068A8">
              <w:noBreakHyphen/>
              <w:t>related R</w:t>
            </w:r>
            <w:r w:rsidR="00C031AA" w:rsidRPr="00C068A8">
              <w:t>&amp;</w:t>
            </w:r>
            <w:r w:rsidR="004F2C71" w:rsidRPr="00C068A8">
              <w:t>DTI registrations averag</w:t>
            </w:r>
            <w:r w:rsidR="00214F03" w:rsidRPr="00C068A8">
              <w:t>ing</w:t>
            </w:r>
            <w:r w:rsidRPr="00C068A8">
              <w:t xml:space="preserve"> </w:t>
            </w:r>
            <w:r w:rsidR="004F2C71" w:rsidRPr="00C068A8">
              <w:t>$58</w:t>
            </w:r>
            <w:r w:rsidR="00E840D1" w:rsidRPr="00C068A8">
              <w:t>7</w:t>
            </w:r>
            <w:r w:rsidRPr="00C068A8">
              <w:t>,000</w:t>
            </w:r>
            <w:r w:rsidR="002C20AB" w:rsidRPr="00C068A8">
              <w:t xml:space="preserve"> in 2018–19</w:t>
            </w:r>
            <w:r w:rsidRPr="00C068A8">
              <w:t>.</w:t>
            </w:r>
            <w:r w:rsidR="004F2C71" w:rsidRPr="00C068A8">
              <w:rPr>
                <w:rStyle w:val="FootnoteReference"/>
              </w:rPr>
              <w:footnoteReference w:id="135"/>
            </w:r>
            <w:r w:rsidR="004F2C71">
              <w:t xml:space="preserve"> F</w:t>
            </w:r>
            <w:r w:rsidR="007F34C9">
              <w:t>unding</w:t>
            </w:r>
            <w:r w:rsidRPr="00065200">
              <w:t xml:space="preserve"> complexity has continued to grow</w:t>
            </w:r>
            <w:r w:rsidR="008E2694">
              <w:t>, including the</w:t>
            </w:r>
            <w:r w:rsidR="00EA1CCA">
              <w:t xml:space="preserve"> </w:t>
            </w:r>
            <w:r w:rsidR="00EA1CCA" w:rsidRPr="00065200">
              <w:t>$5.85 million</w:t>
            </w:r>
            <w:r w:rsidRPr="00065200">
              <w:t xml:space="preserve"> announcement of </w:t>
            </w:r>
            <w:r w:rsidR="008E2694">
              <w:t xml:space="preserve">the </w:t>
            </w:r>
            <w:r w:rsidR="009A78A2">
              <w:t>2020</w:t>
            </w:r>
            <w:r w:rsidR="008E2694">
              <w:t xml:space="preserve"> space-sector </w:t>
            </w:r>
            <w:r w:rsidRPr="00065200">
              <w:t>CRC</w:t>
            </w:r>
            <w:r w:rsidR="00E840D1">
              <w:noBreakHyphen/>
            </w:r>
            <w:r w:rsidR="00A14334">
              <w:t>Ps</w:t>
            </w:r>
            <w:r w:rsidRPr="00065200">
              <w:t>.</w:t>
            </w:r>
            <w:r w:rsidR="008E2694">
              <w:rPr>
                <w:rStyle w:val="FootnoteReference"/>
              </w:rPr>
              <w:footnoteReference w:id="136"/>
            </w:r>
          </w:p>
          <w:p w14:paraId="525C43B7" w14:textId="1FE4181B" w:rsidR="00973B6F" w:rsidRPr="00065200" w:rsidRDefault="0026236D" w:rsidP="00194927">
            <w:pPr>
              <w:widowControl w:val="0"/>
              <w:spacing w:after="0" w:line="240" w:lineRule="auto"/>
            </w:pPr>
            <w:r w:rsidRPr="00065200">
              <w:t>T</w:t>
            </w:r>
            <w:r w:rsidR="000843A4" w:rsidRPr="00065200">
              <w:t xml:space="preserve">he </w:t>
            </w:r>
            <w:r w:rsidR="002D47DD" w:rsidRPr="00065200">
              <w:t xml:space="preserve">Australian Space Agency, </w:t>
            </w:r>
            <w:r w:rsidR="00DD0BDA">
              <w:t>the</w:t>
            </w:r>
            <w:r w:rsidR="002D47DD" w:rsidRPr="00065200">
              <w:t xml:space="preserve"> Space Coordination Committee (SCC)</w:t>
            </w:r>
            <w:r w:rsidR="00C031AA">
              <w:t>,</w:t>
            </w:r>
            <w:r w:rsidR="002D47DD" w:rsidRPr="00065200">
              <w:t xml:space="preserve"> and its working groups perform a key </w:t>
            </w:r>
            <w:r w:rsidR="00DD0BDA" w:rsidRPr="00065200">
              <w:t xml:space="preserve">civil space sector </w:t>
            </w:r>
            <w:r w:rsidR="002D47DD" w:rsidRPr="00065200">
              <w:t xml:space="preserve">coordination </w:t>
            </w:r>
            <w:r w:rsidR="007A32EA">
              <w:t>role, providing longer-</w:t>
            </w:r>
            <w:r w:rsidR="000843A4" w:rsidRPr="00065200">
              <w:t>term certainty through frameworks such as the Civil Space Strategy and by engaging with international space agencies</w:t>
            </w:r>
            <w:r w:rsidRPr="00065200">
              <w:t>. However,</w:t>
            </w:r>
            <w:r w:rsidR="002D47DD" w:rsidRPr="00065200">
              <w:t xml:space="preserve"> there is currently no single mechanism or entity coordinating the </w:t>
            </w:r>
            <w:r w:rsidR="00251C92" w:rsidRPr="00065200">
              <w:t>Commonwealth</w:t>
            </w:r>
            <w:r w:rsidR="002D47DD" w:rsidRPr="00065200">
              <w:t xml:space="preserve"> Government’s space sector ISR investment and policies</w:t>
            </w:r>
            <w:r w:rsidRPr="00065200">
              <w:t>, and internation</w:t>
            </w:r>
            <w:r w:rsidR="000377BD" w:rsidRPr="00065200">
              <w:t>al ISR engagement beyond the Agency</w:t>
            </w:r>
            <w:r w:rsidRPr="00065200">
              <w:t xml:space="preserve"> is achieved on an ad hoc basis</w:t>
            </w:r>
            <w:r w:rsidR="002D47DD" w:rsidRPr="00065200">
              <w:t xml:space="preserve">. </w:t>
            </w:r>
            <w:r w:rsidR="000843A4" w:rsidRPr="00065200">
              <w:t>Space ISR i</w:t>
            </w:r>
            <w:r w:rsidR="002D47DD" w:rsidRPr="00065200">
              <w:t>nvestment decisions are largely</w:t>
            </w:r>
            <w:r w:rsidR="00704FAE">
              <w:t xml:space="preserve"> made</w:t>
            </w:r>
            <w:r w:rsidR="002D47DD" w:rsidRPr="00065200">
              <w:t xml:space="preserve"> in isolation </w:t>
            </w:r>
            <w:r w:rsidR="00D4131E" w:rsidRPr="00065200">
              <w:t>across Government</w:t>
            </w:r>
            <w:r w:rsidR="002D47DD" w:rsidRPr="00065200">
              <w:t xml:space="preserve"> while policies and ISR activities are coordinated through a range of government and community (joint government, industry and academia) mechanisms.</w:t>
            </w:r>
          </w:p>
          <w:p w14:paraId="389E971A" w14:textId="065B6E0D" w:rsidR="002D47DD" w:rsidRPr="00065200" w:rsidRDefault="00973B6F" w:rsidP="00194927">
            <w:pPr>
              <w:widowControl w:val="0"/>
              <w:spacing w:after="0" w:line="240" w:lineRule="auto"/>
            </w:pPr>
            <w:r w:rsidRPr="00065200">
              <w:t>T</w:t>
            </w:r>
            <w:r w:rsidR="004D2F2F" w:rsidRPr="00065200">
              <w:t>h</w:t>
            </w:r>
            <w:r w:rsidR="00E643E5">
              <w:t>is</w:t>
            </w:r>
            <w:r w:rsidR="004D2F2F" w:rsidRPr="00065200">
              <w:t xml:space="preserve"> historical </w:t>
            </w:r>
            <w:r w:rsidRPr="00065200">
              <w:t xml:space="preserve">fragmentation of </w:t>
            </w:r>
            <w:r w:rsidR="001E54EC" w:rsidRPr="00065200">
              <w:t xml:space="preserve">space </w:t>
            </w:r>
            <w:r w:rsidR="00112342" w:rsidRPr="00065200">
              <w:t xml:space="preserve">ISR </w:t>
            </w:r>
            <w:r w:rsidRPr="00065200">
              <w:t xml:space="preserve">is </w:t>
            </w:r>
            <w:r w:rsidR="001E54EC" w:rsidRPr="00065200">
              <w:t xml:space="preserve">also </w:t>
            </w:r>
            <w:r w:rsidRPr="00065200">
              <w:t xml:space="preserve">reflected in the lack of a whole-of-government space ISR investment </w:t>
            </w:r>
            <w:r w:rsidR="00910328" w:rsidRPr="00065200">
              <w:t xml:space="preserve">evaluation </w:t>
            </w:r>
            <w:r w:rsidRPr="00065200">
              <w:t>mechanism</w:t>
            </w:r>
            <w:r w:rsidR="004D2F2F" w:rsidRPr="00065200">
              <w:t xml:space="preserve"> </w:t>
            </w:r>
            <w:r w:rsidR="00910328" w:rsidRPr="00065200">
              <w:t xml:space="preserve">to effectively feed </w:t>
            </w:r>
            <w:r w:rsidR="00112342" w:rsidRPr="00065200">
              <w:t xml:space="preserve">investment </w:t>
            </w:r>
            <w:r w:rsidR="00910328" w:rsidRPr="00065200">
              <w:t>evaluation outcomes back into a holistic investment planning process, despite the internationally recognised value of doing so.</w:t>
            </w:r>
            <w:r w:rsidR="00910328" w:rsidRPr="00065200">
              <w:rPr>
                <w:rStyle w:val="FootnoteReference"/>
              </w:rPr>
              <w:footnoteReference w:id="137"/>
            </w:r>
          </w:p>
          <w:p w14:paraId="37178F32" w14:textId="77777777" w:rsidR="002D47DD" w:rsidRPr="00065200" w:rsidRDefault="002D47DD" w:rsidP="00194927">
            <w:pPr>
              <w:widowControl w:val="0"/>
              <w:spacing w:after="0" w:line="240" w:lineRule="auto"/>
            </w:pPr>
            <w:r w:rsidRPr="00065200">
              <w:t>While</w:t>
            </w:r>
            <w:r w:rsidR="004D2F2F" w:rsidRPr="00065200">
              <w:t xml:space="preserve"> existing</w:t>
            </w:r>
            <w:r w:rsidRPr="00065200">
              <w:t xml:space="preserve"> investment and coordination mechanisms have served Australia </w:t>
            </w:r>
            <w:r w:rsidR="006E2E3E" w:rsidRPr="00065200">
              <w:t>to date</w:t>
            </w:r>
            <w:r w:rsidRPr="00065200">
              <w:t>, the increasingly ambitious aims for, and value of investments in, this emerging priority sector suggests there is an opportunity to maximise impact by improving coordination and streamlining space ISR investment</w:t>
            </w:r>
            <w:r w:rsidR="006E2E3E" w:rsidRPr="00065200">
              <w:t xml:space="preserve"> and evaluation</w:t>
            </w:r>
            <w:r w:rsidRPr="00065200">
              <w:t xml:space="preserve"> processes across government. This would reduce the future potential for overlapping or duplicative investments and avoid missed investment opportunities caused by poor visibility across the </w:t>
            </w:r>
            <w:r w:rsidR="00D4131E" w:rsidRPr="00065200">
              <w:t>G</w:t>
            </w:r>
            <w:r w:rsidRPr="00065200">
              <w:t>overnment</w:t>
            </w:r>
            <w:r w:rsidR="00D4131E" w:rsidRPr="00065200">
              <w:t>’s</w:t>
            </w:r>
            <w:r w:rsidRPr="00065200">
              <w:t xml:space="preserve"> investment portfolio. The </w:t>
            </w:r>
            <w:r w:rsidR="00D4131E" w:rsidRPr="00065200">
              <w:t xml:space="preserve">long-term Civil Space Strategy and the </w:t>
            </w:r>
            <w:r w:rsidRPr="00065200">
              <w:t>SCC’s State of Space report</w:t>
            </w:r>
            <w:r w:rsidRPr="00065200">
              <w:rPr>
                <w:rStyle w:val="FootnoteReference"/>
              </w:rPr>
              <w:footnoteReference w:id="138"/>
            </w:r>
            <w:r w:rsidRPr="00065200">
              <w:t xml:space="preserve"> </w:t>
            </w:r>
            <w:r w:rsidR="00D4131E" w:rsidRPr="00065200">
              <w:t>are</w:t>
            </w:r>
            <w:r w:rsidRPr="00065200">
              <w:t xml:space="preserve"> important </w:t>
            </w:r>
            <w:r w:rsidR="00B63E8C" w:rsidRPr="00065200">
              <w:t>mechanisms for improving</w:t>
            </w:r>
            <w:r w:rsidRPr="00065200">
              <w:t xml:space="preserve"> the visibility of space ISR activities</w:t>
            </w:r>
            <w:r w:rsidR="00D4131E" w:rsidRPr="00065200">
              <w:t xml:space="preserve"> across government</w:t>
            </w:r>
            <w:r w:rsidRPr="00065200">
              <w:t xml:space="preserve">, </w:t>
            </w:r>
            <w:r w:rsidR="00D4131E" w:rsidRPr="00065200">
              <w:t>including planned</w:t>
            </w:r>
            <w:r w:rsidRPr="00065200">
              <w:t xml:space="preserve"> investments and </w:t>
            </w:r>
            <w:r w:rsidR="00D4131E" w:rsidRPr="00065200">
              <w:t xml:space="preserve">reporting of </w:t>
            </w:r>
            <w:r w:rsidRPr="00065200">
              <w:t xml:space="preserve">outcomes in </w:t>
            </w:r>
            <w:r w:rsidR="00D4131E" w:rsidRPr="00065200">
              <w:t>a</w:t>
            </w:r>
            <w:r w:rsidR="00B63E8C" w:rsidRPr="00065200">
              <w:t>lignment with the S</w:t>
            </w:r>
            <w:r w:rsidR="00D4131E" w:rsidRPr="00065200">
              <w:t>trategy.</w:t>
            </w:r>
          </w:p>
        </w:tc>
      </w:tr>
    </w:tbl>
    <w:p w14:paraId="4D065D5F" w14:textId="77777777" w:rsidR="00B7373C" w:rsidRPr="00065200" w:rsidRDefault="00135FD7" w:rsidP="00072FCD">
      <w:pPr>
        <w:pStyle w:val="Heading3"/>
      </w:pPr>
      <w:r w:rsidRPr="00065200">
        <w:lastRenderedPageBreak/>
        <w:t xml:space="preserve">An investment plan that has effective </w:t>
      </w:r>
      <w:r w:rsidR="00B7373C" w:rsidRPr="00065200">
        <w:t>evaluation</w:t>
      </w:r>
      <w:r w:rsidR="00215DB4" w:rsidRPr="00065200">
        <w:t xml:space="preserve"> processes</w:t>
      </w:r>
    </w:p>
    <w:p w14:paraId="0838E905" w14:textId="77777777" w:rsidR="00575902" w:rsidRPr="006A6D71" w:rsidRDefault="00575902" w:rsidP="002D3F20">
      <w:r w:rsidRPr="00065200">
        <w:t>To ensure Australia’s ISR</w:t>
      </w:r>
      <w:r w:rsidR="0081346A" w:rsidRPr="00065200">
        <w:t xml:space="preserve"> investments continue t</w:t>
      </w:r>
      <w:r w:rsidR="002D3F20" w:rsidRPr="00065200">
        <w:t>o be well targeted and achieve</w:t>
      </w:r>
      <w:r w:rsidR="0081346A" w:rsidRPr="00065200">
        <w:t xml:space="preserve"> high-impact outcomes, it is important to incorporate the outcomes of robust evalu</w:t>
      </w:r>
      <w:r w:rsidR="002D3F20" w:rsidRPr="00065200">
        <w:t xml:space="preserve">ation processes into the </w:t>
      </w:r>
      <w:r w:rsidR="002D3F20" w:rsidRPr="006A6D71">
        <w:t>investment</w:t>
      </w:r>
      <w:r w:rsidR="0081346A" w:rsidRPr="006A6D71">
        <w:t xml:space="preserve"> allocation process. </w:t>
      </w:r>
    </w:p>
    <w:p w14:paraId="07105B28" w14:textId="0B2D2603" w:rsidR="00E643E5" w:rsidRDefault="008D443B" w:rsidP="008D443B">
      <w:r w:rsidRPr="006A6D71">
        <w:t>International best</w:t>
      </w:r>
      <w:r w:rsidR="00745C42" w:rsidRPr="006A6D71">
        <w:t>-</w:t>
      </w:r>
      <w:r w:rsidRPr="006A6D71">
        <w:t>practice has shown that ISR investments should</w:t>
      </w:r>
      <w:r w:rsidR="00E643E5">
        <w:t>:</w:t>
      </w:r>
    </w:p>
    <w:p w14:paraId="66328AFD" w14:textId="6F6DB11C" w:rsidR="00E643E5" w:rsidRDefault="007172EA" w:rsidP="00F6392F">
      <w:pPr>
        <w:pStyle w:val="ListParagraph"/>
        <w:numPr>
          <w:ilvl w:val="0"/>
          <w:numId w:val="51"/>
        </w:numPr>
      </w:pPr>
      <w:r>
        <w:t xml:space="preserve">have </w:t>
      </w:r>
      <w:r w:rsidR="008D443B" w:rsidRPr="006A6D71">
        <w:t xml:space="preserve">clearly defined targets, indicators, benchmarks and evaluation stages (such as Canada’s Innovation and Skills Plan); </w:t>
      </w:r>
    </w:p>
    <w:p w14:paraId="0A813864" w14:textId="77777777" w:rsidR="00E643E5" w:rsidRDefault="008D443B" w:rsidP="00F6392F">
      <w:pPr>
        <w:pStyle w:val="ListParagraph"/>
        <w:numPr>
          <w:ilvl w:val="0"/>
          <w:numId w:val="51"/>
        </w:numPr>
      </w:pPr>
      <w:r w:rsidRPr="006A6D71">
        <w:t xml:space="preserve">use templates and consistent scoring techniques; </w:t>
      </w:r>
    </w:p>
    <w:p w14:paraId="7C18917D" w14:textId="77777777" w:rsidR="00E643E5" w:rsidRDefault="008D443B" w:rsidP="00F6392F">
      <w:pPr>
        <w:pStyle w:val="ListParagraph"/>
        <w:numPr>
          <w:ilvl w:val="0"/>
          <w:numId w:val="51"/>
        </w:numPr>
      </w:pPr>
      <w:r w:rsidRPr="006A6D71">
        <w:t xml:space="preserve">consider the economic, environmental and social outcomes of the program; </w:t>
      </w:r>
    </w:p>
    <w:p w14:paraId="6E34103A" w14:textId="77777777" w:rsidR="00E643E5" w:rsidRDefault="008D443B" w:rsidP="00F6392F">
      <w:pPr>
        <w:pStyle w:val="ListParagraph"/>
        <w:numPr>
          <w:ilvl w:val="0"/>
          <w:numId w:val="51"/>
        </w:numPr>
      </w:pPr>
      <w:r w:rsidRPr="006A6D71">
        <w:t>use different types of assessors (</w:t>
      </w:r>
      <w:r w:rsidR="00BC6372" w:rsidRPr="006A6D71">
        <w:t>such as</w:t>
      </w:r>
      <w:r w:rsidRPr="006A6D71">
        <w:t xml:space="preserve"> self-assessment, board, external experts); </w:t>
      </w:r>
    </w:p>
    <w:p w14:paraId="0D9972AA" w14:textId="6811ED9F" w:rsidR="00E643E5" w:rsidRDefault="008D443B" w:rsidP="00F6392F">
      <w:pPr>
        <w:pStyle w:val="ListParagraph"/>
        <w:numPr>
          <w:ilvl w:val="0"/>
          <w:numId w:val="51"/>
        </w:numPr>
      </w:pPr>
      <w:r w:rsidRPr="006A6D71">
        <w:t>require different levels of detail depending upon the investment level (</w:t>
      </w:r>
      <w:r w:rsidR="00BC6372" w:rsidRPr="006A6D71">
        <w:t>i.</w:t>
      </w:r>
      <w:r w:rsidRPr="006A6D71">
        <w:t>e. system, priority, program level);</w:t>
      </w:r>
      <w:r w:rsidR="007172EA">
        <w:t xml:space="preserve"> </w:t>
      </w:r>
    </w:p>
    <w:p w14:paraId="33472006" w14:textId="70E8637B" w:rsidR="00E643E5" w:rsidRDefault="008D443B" w:rsidP="00F6392F">
      <w:pPr>
        <w:pStyle w:val="ListParagraph"/>
        <w:numPr>
          <w:ilvl w:val="0"/>
          <w:numId w:val="51"/>
        </w:numPr>
      </w:pPr>
      <w:r w:rsidRPr="006A6D71">
        <w:t>have evaluations at a range of points in time to assess ongoing effectiveness and long-term impact, which may not be realised for several years (such as Sweden’s Vinnova and Finland’s Tekes</w:t>
      </w:r>
      <w:r w:rsidR="003B4058" w:rsidRPr="006A6D71">
        <w:rPr>
          <w:rStyle w:val="FootnoteReference"/>
        </w:rPr>
        <w:footnoteReference w:id="139"/>
      </w:r>
      <w:r w:rsidRPr="006A6D71">
        <w:t>)</w:t>
      </w:r>
      <w:r w:rsidR="007172EA">
        <w:t>; and</w:t>
      </w:r>
      <w:r w:rsidRPr="006A6D71">
        <w:t xml:space="preserve"> </w:t>
      </w:r>
    </w:p>
    <w:p w14:paraId="0A5020B0" w14:textId="529C958A" w:rsidR="008D443B" w:rsidRPr="006A6D71" w:rsidRDefault="007172EA" w:rsidP="00F6392F">
      <w:pPr>
        <w:pStyle w:val="ListParagraph"/>
        <w:numPr>
          <w:ilvl w:val="0"/>
          <w:numId w:val="51"/>
        </w:numPr>
      </w:pPr>
      <w:r>
        <w:t>ensure e</w:t>
      </w:r>
      <w:r w:rsidRPr="006A6D71">
        <w:t>valuation</w:t>
      </w:r>
      <w:r>
        <w:t>s</w:t>
      </w:r>
      <w:r w:rsidRPr="006A6D71">
        <w:t xml:space="preserve"> </w:t>
      </w:r>
      <w:r w:rsidR="008D443B" w:rsidRPr="006A6D71">
        <w:t>include an assessment of risk taking, including rapidly identifying failed initiatives and scaling-up successful pilot programs.</w:t>
      </w:r>
      <w:r w:rsidR="008D443B" w:rsidRPr="006A6D71">
        <w:rPr>
          <w:rStyle w:val="FootnoteReference"/>
        </w:rPr>
        <w:footnoteReference w:id="140"/>
      </w:r>
      <w:r w:rsidR="008D443B" w:rsidRPr="006A6D71">
        <w:t xml:space="preserve"> </w:t>
      </w:r>
    </w:p>
    <w:p w14:paraId="3F02B86F" w14:textId="2D7451E8" w:rsidR="00E355FB" w:rsidRPr="00065200" w:rsidRDefault="00547842" w:rsidP="00E355FB">
      <w:r w:rsidRPr="006A6D71">
        <w:t xml:space="preserve">The </w:t>
      </w:r>
      <w:r w:rsidR="0081346A" w:rsidRPr="006A6D71">
        <w:t>Australia</w:t>
      </w:r>
      <w:r w:rsidRPr="006A6D71">
        <w:t>n</w:t>
      </w:r>
      <w:r w:rsidR="0081346A" w:rsidRPr="006A6D71">
        <w:t xml:space="preserve"> </w:t>
      </w:r>
      <w:r w:rsidRPr="006A6D71">
        <w:t xml:space="preserve">Government </w:t>
      </w:r>
      <w:r w:rsidR="0081346A" w:rsidRPr="006A6D71">
        <w:t>currently has no system-level ability to independently evaluate the performance of its ISR investments or effectively collate system-wide ISR investment data, despite calls for this since 2015</w:t>
      </w:r>
      <w:r w:rsidR="009E2215">
        <w:t xml:space="preserve"> (see Appendix G</w:t>
      </w:r>
      <w:r w:rsidR="00915BFA">
        <w:t>)</w:t>
      </w:r>
      <w:r w:rsidR="0081346A" w:rsidRPr="006A6D71">
        <w:t>.</w:t>
      </w:r>
      <w:r w:rsidR="0081346A" w:rsidRPr="006A6D71">
        <w:rPr>
          <w:vertAlign w:val="superscript"/>
        </w:rPr>
        <w:footnoteReference w:id="141"/>
      </w:r>
      <w:r w:rsidR="0081346A" w:rsidRPr="006A6D71">
        <w:t xml:space="preserve"> </w:t>
      </w:r>
      <w:r w:rsidR="00E355FB" w:rsidRPr="006A6D71">
        <w:t>While</w:t>
      </w:r>
      <w:r w:rsidR="00E355FB" w:rsidRPr="00065200">
        <w:t xml:space="preserve"> evaluations </w:t>
      </w:r>
      <w:r w:rsidR="00E643E5">
        <w:t xml:space="preserve">do </w:t>
      </w:r>
      <w:r w:rsidR="00E355FB" w:rsidRPr="00065200">
        <w:t xml:space="preserve">occur in some </w:t>
      </w:r>
      <w:r w:rsidR="00E643E5">
        <w:t>parts</w:t>
      </w:r>
      <w:r w:rsidR="00E355FB" w:rsidRPr="00065200">
        <w:t xml:space="preserve"> of the ISR system, they are not coordinated</w:t>
      </w:r>
      <w:r w:rsidR="008D443B" w:rsidRPr="00065200">
        <w:t xml:space="preserve"> at the system level</w:t>
      </w:r>
      <w:r w:rsidR="00E355FB" w:rsidRPr="00065200">
        <w:t xml:space="preserve">. For example, </w:t>
      </w:r>
      <w:r w:rsidR="00903047" w:rsidRPr="00065200">
        <w:t xml:space="preserve">individual </w:t>
      </w:r>
      <w:r w:rsidR="000C4335" w:rsidRPr="00065200">
        <w:t>university teaching and research programs are subject to external quality assurance, professional accreditation and program review processes by professional and government bodies.</w:t>
      </w:r>
      <w:r w:rsidR="00B82295" w:rsidRPr="00065200">
        <w:t xml:space="preserve"> However, the outcomes of these reviews are not </w:t>
      </w:r>
      <w:r w:rsidR="00E643E5">
        <w:t xml:space="preserve">acted upon in a </w:t>
      </w:r>
      <w:r w:rsidR="00B82295" w:rsidRPr="00065200">
        <w:t>coordinated</w:t>
      </w:r>
      <w:r w:rsidR="00E643E5">
        <w:t xml:space="preserve"> manner</w:t>
      </w:r>
      <w:r w:rsidR="00B82295" w:rsidRPr="00065200">
        <w:t>.</w:t>
      </w:r>
      <w:r w:rsidR="000C4335" w:rsidRPr="00065200">
        <w:t xml:space="preserve"> In response</w:t>
      </w:r>
      <w:r w:rsidR="00B11C55" w:rsidRPr="00065200">
        <w:t>,</w:t>
      </w:r>
      <w:r w:rsidR="000C4335" w:rsidRPr="00065200">
        <w:t xml:space="preserve"> </w:t>
      </w:r>
      <w:r w:rsidR="00B82295" w:rsidRPr="00065200">
        <w:t>some</w:t>
      </w:r>
      <w:r w:rsidR="00903047" w:rsidRPr="00065200">
        <w:t xml:space="preserve"> </w:t>
      </w:r>
      <w:r w:rsidR="000C4335" w:rsidRPr="00065200">
        <w:t>u</w:t>
      </w:r>
      <w:r w:rsidRPr="00065200">
        <w:t>n</w:t>
      </w:r>
      <w:r w:rsidR="00D76DA7" w:rsidRPr="00065200">
        <w:t>iversiti</w:t>
      </w:r>
      <w:r w:rsidR="000C4335" w:rsidRPr="00065200">
        <w:t xml:space="preserve">es have established their own procedures to </w:t>
      </w:r>
      <w:r w:rsidR="00903047" w:rsidRPr="00065200">
        <w:t xml:space="preserve">plan for and </w:t>
      </w:r>
      <w:r w:rsidR="000C4335" w:rsidRPr="00065200">
        <w:t xml:space="preserve">streamline their </w:t>
      </w:r>
      <w:r w:rsidR="00903047" w:rsidRPr="00065200">
        <w:t xml:space="preserve">engagement with </w:t>
      </w:r>
      <w:r w:rsidR="000C4335" w:rsidRPr="00065200">
        <w:t>these processes</w:t>
      </w:r>
      <w:r w:rsidR="00B82295" w:rsidRPr="00065200">
        <w:t>.</w:t>
      </w:r>
      <w:r w:rsidR="00903047" w:rsidRPr="00065200">
        <w:rPr>
          <w:rStyle w:val="FootnoteReference"/>
        </w:rPr>
        <w:footnoteReference w:id="142"/>
      </w:r>
      <w:r w:rsidR="000C4335" w:rsidRPr="00065200">
        <w:t xml:space="preserve"> </w:t>
      </w:r>
    </w:p>
    <w:p w14:paraId="666A5283" w14:textId="1A76CD24" w:rsidR="00C65516" w:rsidRPr="00065200" w:rsidRDefault="00165F75" w:rsidP="000B2CEF">
      <w:pPr>
        <w:spacing w:after="210"/>
      </w:pPr>
      <w:r w:rsidRPr="00065200">
        <w:t>The OECD r</w:t>
      </w:r>
      <w:r w:rsidR="00C469A5" w:rsidRPr="00065200">
        <w:t xml:space="preserve">ecommends that Australia </w:t>
      </w:r>
      <w:r w:rsidRPr="00065200">
        <w:t xml:space="preserve">assess </w:t>
      </w:r>
      <w:r w:rsidR="00C469A5" w:rsidRPr="00065200">
        <w:t xml:space="preserve">its </w:t>
      </w:r>
      <w:r w:rsidRPr="00065200">
        <w:t xml:space="preserve">research outcomes and impacts in </w:t>
      </w:r>
      <w:r w:rsidR="003C0C8C" w:rsidRPr="00065200">
        <w:t>a consistent manner</w:t>
      </w:r>
      <w:r w:rsidRPr="00065200">
        <w:t xml:space="preserve"> across public-sector research organisations in order to boost its R&amp;D outcomes.</w:t>
      </w:r>
      <w:r w:rsidRPr="00065200">
        <w:rPr>
          <w:rStyle w:val="FootnoteReference"/>
        </w:rPr>
        <w:footnoteReference w:id="143"/>
      </w:r>
      <w:r w:rsidR="00C469A5" w:rsidRPr="00065200">
        <w:t xml:space="preserve"> For example, the Canadian Policy </w:t>
      </w:r>
      <w:r w:rsidR="00C469A5" w:rsidRPr="00862C7C">
        <w:t>on Results</w:t>
      </w:r>
      <w:r w:rsidR="00C469A5" w:rsidRPr="00065200">
        <w:t xml:space="preserve"> (see</w:t>
      </w:r>
      <w:r w:rsidR="00F700C3">
        <w:t xml:space="preserve"> Box 5</w:t>
      </w:r>
      <w:r w:rsidR="00C469A5" w:rsidRPr="00065200">
        <w:t xml:space="preserve">) </w:t>
      </w:r>
      <w:r w:rsidR="004E1B4C" w:rsidRPr="00065200">
        <w:t>legislat</w:t>
      </w:r>
      <w:r w:rsidR="004E1B4C">
        <w:t>ively</w:t>
      </w:r>
      <w:r w:rsidR="004E1B4C" w:rsidRPr="00065200">
        <w:t xml:space="preserve"> </w:t>
      </w:r>
      <w:r w:rsidR="00C469A5" w:rsidRPr="00065200">
        <w:t>implements consistent evaluation processes across government and publicly reports evaluation results, enabling system-wide investment optimisati</w:t>
      </w:r>
      <w:r w:rsidR="000B2CEF" w:rsidRPr="00065200">
        <w:t>on and ensuring accountability.</w:t>
      </w:r>
    </w:p>
    <w:tbl>
      <w:tblPr>
        <w:tblStyle w:val="TableGrid"/>
        <w:tblW w:w="9032" w:type="dxa"/>
        <w:shd w:val="clear" w:color="auto" w:fill="EBF2F9"/>
        <w:tblCellMar>
          <w:top w:w="57" w:type="dxa"/>
          <w:left w:w="57" w:type="dxa"/>
          <w:bottom w:w="57" w:type="dxa"/>
          <w:right w:w="57" w:type="dxa"/>
        </w:tblCellMar>
        <w:tblLook w:val="04A0" w:firstRow="1" w:lastRow="0" w:firstColumn="1" w:lastColumn="0" w:noHBand="0" w:noVBand="1"/>
        <w:tblCaption w:val="Box 5 International example of effective and accountable ISR funding governance: Canada"/>
        <w:tblDescription w:val="In recent decades Canadian Government financial reporting and accountability framework has evolved to include reporting on results.  In its 2016 Budget, the its government stated “By focusing on outcomes for Canadians and making evidence-based decisions that are anchored in meaningful data and indicators, the Government is moving to a culture of measurement and impact, and is putting in place the tools to deliver on priorities, align resources to programs and activities that deliver real value for Canadians, and provide meaningful information to Canadians and Parliament.” &#10;The Policy on Results (and supplementary Directive) legislates accountability requirements for Canadian federal departmental performance information and evaluation. Departments are required to provide the Treasury with annual departmental evaluation plans and deliver evaluations of ongoing investments with five-year average actual expenditures of $CAD 5 million or greater. These evaluations include a common assessment of the relevance, effectiveness and efficiency of investments. Key elements include departmental delivery with central leadership, an emphasis for both monitoring and evaluation and well-defined rules and expectations for performance measurement and evaluation. &#10;Departments are expected to measure and evaluate performance, using the resulting information to manage and improve programs, policies, and services and allocate resources based on performance to optimise results. The approach is having some success in informing policy and operations in government. A 2019 policy implementation audit in one department found programs were starting to integrate results information in operational planning and program management."/>
      </w:tblPr>
      <w:tblGrid>
        <w:gridCol w:w="9032"/>
      </w:tblGrid>
      <w:tr w:rsidR="004A5B27" w:rsidRPr="00065200" w14:paraId="35263502" w14:textId="77777777" w:rsidTr="00807393">
        <w:trPr>
          <w:tblHeader/>
        </w:trPr>
        <w:tc>
          <w:tcPr>
            <w:tcW w:w="9032" w:type="dxa"/>
            <w:tcBorders>
              <w:bottom w:val="nil"/>
            </w:tcBorders>
            <w:shd w:val="clear" w:color="auto" w:fill="EBF2F9"/>
            <w:vAlign w:val="center"/>
          </w:tcPr>
          <w:p w14:paraId="56A28DC9" w14:textId="77302B04" w:rsidR="004A5B27" w:rsidRPr="00065200" w:rsidRDefault="004A5B27" w:rsidP="006949BB">
            <w:pPr>
              <w:pStyle w:val="Featureboxtextheading"/>
            </w:pPr>
            <w:bookmarkStart w:id="359" w:name="_Ref41475687"/>
            <w:r w:rsidRPr="00065200">
              <w:lastRenderedPageBreak/>
              <w:t xml:space="preserve">Box </w:t>
            </w:r>
            <w:bookmarkEnd w:id="359"/>
            <w:r>
              <w:t>5</w:t>
            </w:r>
            <w:r w:rsidRPr="00065200">
              <w:t xml:space="preserve"> International example of effective and accountable</w:t>
            </w:r>
            <w:r>
              <w:t xml:space="preserve"> ISR funding governance: Canada</w:t>
            </w:r>
          </w:p>
        </w:tc>
      </w:tr>
      <w:tr w:rsidR="00C469A5" w:rsidRPr="00065200" w14:paraId="2EA3BCE5" w14:textId="77777777" w:rsidTr="00807393">
        <w:tc>
          <w:tcPr>
            <w:tcW w:w="9032" w:type="dxa"/>
            <w:tcBorders>
              <w:top w:val="nil"/>
            </w:tcBorders>
            <w:shd w:val="clear" w:color="auto" w:fill="EBF2F9"/>
            <w:vAlign w:val="center"/>
          </w:tcPr>
          <w:p w14:paraId="62BC8A41" w14:textId="5C219DBB" w:rsidR="00C469A5" w:rsidRPr="00065200" w:rsidRDefault="00C469A5" w:rsidP="006949BB">
            <w:pPr>
              <w:spacing w:after="120" w:line="240" w:lineRule="auto"/>
            </w:pPr>
            <w:r w:rsidRPr="00065200">
              <w:t xml:space="preserve">In recent decades </w:t>
            </w:r>
            <w:r w:rsidR="003C0C8C" w:rsidRPr="00065200">
              <w:t xml:space="preserve">Canadian </w:t>
            </w:r>
            <w:r w:rsidRPr="00065200">
              <w:t xml:space="preserve">Government financial reporting and accountability framework </w:t>
            </w:r>
            <w:r w:rsidR="00862C7C">
              <w:t xml:space="preserve">has evolved </w:t>
            </w:r>
            <w:r w:rsidRPr="00065200">
              <w:t>to include reporting on results.</w:t>
            </w:r>
            <w:r w:rsidRPr="00065200">
              <w:rPr>
                <w:rStyle w:val="FootnoteReference"/>
              </w:rPr>
              <w:footnoteReference w:id="144"/>
            </w:r>
            <w:r w:rsidRPr="00065200">
              <w:t xml:space="preserve"> In its 2016 Budget, </w:t>
            </w:r>
            <w:r w:rsidR="007172EA">
              <w:t>its</w:t>
            </w:r>
            <w:r w:rsidR="007172EA" w:rsidRPr="00065200">
              <w:t xml:space="preserve"> </w:t>
            </w:r>
            <w:r w:rsidRPr="00065200">
              <w:t>government stated “By focusing on outcomes for Canadians and making evidence-based decisions that are anchored in meaningful data and indicators, the Government is moving to a culture of measurement and impact, and is putting in place the tools to deliver on priorities, align resources to programs and activities that deliver real value for Canadians, and provide meaningful information to Canadians and Parliament.”</w:t>
            </w:r>
            <w:r w:rsidRPr="00065200">
              <w:rPr>
                <w:rStyle w:val="FootnoteReference"/>
              </w:rPr>
              <w:footnoteReference w:id="145"/>
            </w:r>
          </w:p>
          <w:p w14:paraId="7610CBF5" w14:textId="710685B2" w:rsidR="00C469A5" w:rsidRPr="00065200" w:rsidRDefault="00C469A5" w:rsidP="006949BB">
            <w:pPr>
              <w:spacing w:after="120" w:line="240" w:lineRule="auto"/>
            </w:pPr>
            <w:r w:rsidRPr="00065200">
              <w:t>The Policy on Results</w:t>
            </w:r>
            <w:r w:rsidR="00862C7C">
              <w:t xml:space="preserve"> (and supplementary Directive) </w:t>
            </w:r>
            <w:r w:rsidRPr="00065200">
              <w:t>legislates accountability requirements for Canadian federal departmental performance information and evaluation. Departments are required to provide the Treasury with annual departmental evaluation plans and deliver evaluations of ongoing investments with five-year average actual expenditures of $CAD</w:t>
            </w:r>
            <w:r w:rsidR="00AE3037">
              <w:t> </w:t>
            </w:r>
            <w:r w:rsidRPr="00065200">
              <w:t>5</w:t>
            </w:r>
            <w:r w:rsidR="00AE3037">
              <w:t> </w:t>
            </w:r>
            <w:r w:rsidRPr="00065200">
              <w:t>million or greater. These evaluations include a common assessment of the relevance, effectiveness and efficiency of investments. Key elements include departmental delivery with central leadership, an emphasis for both monitoring and evaluation and well-defined rules and expectations for performance measurement and evaluation.</w:t>
            </w:r>
            <w:r w:rsidRPr="00065200">
              <w:rPr>
                <w:rStyle w:val="FootnoteReference"/>
              </w:rPr>
              <w:footnoteReference w:id="146"/>
            </w:r>
          </w:p>
          <w:p w14:paraId="7D6D68DE" w14:textId="2307DB13" w:rsidR="00C469A5" w:rsidRPr="00065200" w:rsidRDefault="00C469A5" w:rsidP="006949BB">
            <w:pPr>
              <w:spacing w:after="120" w:line="240" w:lineRule="auto"/>
            </w:pPr>
            <w:r w:rsidRPr="00065200">
              <w:t xml:space="preserve">Departments are expected to measure and evaluate performance, using the resulting information to manage and improve programs, policies, and services and allocate resources based on performance to optimise results. The approach is having some success in informing policy and operations in government. A 2019 </w:t>
            </w:r>
            <w:r w:rsidR="00AE3037">
              <w:t xml:space="preserve">policy </w:t>
            </w:r>
            <w:r w:rsidRPr="00065200">
              <w:t xml:space="preserve">implementation </w:t>
            </w:r>
            <w:r w:rsidR="00AE3037">
              <w:t xml:space="preserve">audit </w:t>
            </w:r>
            <w:r w:rsidRPr="00065200">
              <w:t xml:space="preserve">in one department found programs </w:t>
            </w:r>
            <w:r w:rsidR="00D51813" w:rsidRPr="00065200">
              <w:t>were</w:t>
            </w:r>
            <w:r w:rsidRPr="00065200">
              <w:t xml:space="preserve"> start</w:t>
            </w:r>
            <w:r w:rsidR="00D51813" w:rsidRPr="00065200">
              <w:t>ing</w:t>
            </w:r>
            <w:r w:rsidRPr="00065200">
              <w:t xml:space="preserve"> to integrate results information in operational planning and program management.</w:t>
            </w:r>
            <w:r w:rsidRPr="00065200">
              <w:rPr>
                <w:rStyle w:val="FootnoteReference"/>
              </w:rPr>
              <w:footnoteReference w:id="147"/>
            </w:r>
          </w:p>
          <w:p w14:paraId="695CF805" w14:textId="4F4B0031" w:rsidR="00C469A5" w:rsidRPr="00065200" w:rsidRDefault="00C469A5" w:rsidP="006949BB">
            <w:pPr>
              <w:spacing w:after="120" w:line="240" w:lineRule="auto"/>
            </w:pPr>
            <w:r w:rsidRPr="00065200">
              <w:t xml:space="preserve">Outcome metrics </w:t>
            </w:r>
            <w:r w:rsidR="00C84550">
              <w:t xml:space="preserve">(and associated targets) </w:t>
            </w:r>
            <w:r w:rsidRPr="00065200">
              <w:t>are common</w:t>
            </w:r>
            <w:r w:rsidR="00E648B2">
              <w:t>ly used</w:t>
            </w:r>
            <w:r w:rsidRPr="00065200">
              <w:t xml:space="preserve"> </w:t>
            </w:r>
            <w:r w:rsidR="00C84550">
              <w:t xml:space="preserve">in the evaluations. </w:t>
            </w:r>
            <w:r w:rsidRPr="00065200">
              <w:t xml:space="preserve">ISR </w:t>
            </w:r>
            <w:r w:rsidR="00C84550">
              <w:t xml:space="preserve">examples </w:t>
            </w:r>
            <w:r w:rsidRPr="00065200">
              <w:t>include</w:t>
            </w:r>
            <w:r w:rsidR="00E648B2">
              <w:t xml:space="preserve"> </w:t>
            </w:r>
            <w:r w:rsidRPr="00065200">
              <w:t>percentage growth in revenue and employees for businesses supported under the National Research Council</w:t>
            </w:r>
            <w:r w:rsidR="00E648B2">
              <w:t xml:space="preserve"> of Canada’</w:t>
            </w:r>
            <w:r w:rsidRPr="00065200">
              <w:t>s entrepreneurship programs</w:t>
            </w:r>
            <w:r w:rsidR="00C84550">
              <w:t>, and investment in R&amp;D infrastructure</w:t>
            </w:r>
            <w:r w:rsidR="0053575D" w:rsidRPr="00065200">
              <w:t>.</w:t>
            </w:r>
            <w:r w:rsidRPr="00065200">
              <w:rPr>
                <w:rStyle w:val="FootnoteReference"/>
              </w:rPr>
              <w:footnoteReference w:id="148"/>
            </w:r>
            <w:r w:rsidRPr="00065200">
              <w:t xml:space="preserve"> </w:t>
            </w:r>
            <w:r w:rsidR="00C84550">
              <w:t>Evaluation</w:t>
            </w:r>
            <w:r w:rsidRPr="00065200">
              <w:t xml:space="preserve"> results are made available through a public government InfoBase</w:t>
            </w:r>
            <w:r w:rsidR="00A74AFB">
              <w:rPr>
                <w:rStyle w:val="FootnoteReference"/>
              </w:rPr>
              <w:footnoteReference w:id="149"/>
            </w:r>
            <w:r w:rsidR="00D51813" w:rsidRPr="00065200">
              <w:t>,</w:t>
            </w:r>
            <w:r w:rsidRPr="00065200">
              <w:t xml:space="preserve"> an interactive data</w:t>
            </w:r>
            <w:r w:rsidRPr="00065200">
              <w:rPr>
                <w:rFonts w:ascii="Cambria Math" w:hAnsi="Cambria Math" w:cs="Cambria Math"/>
              </w:rPr>
              <w:t>‑</w:t>
            </w:r>
            <w:r w:rsidR="00915BFA">
              <w:t>visualis</w:t>
            </w:r>
            <w:r w:rsidRPr="00065200">
              <w:t xml:space="preserve">ation tool that provides infographics and data on federal finances, people management and </w:t>
            </w:r>
            <w:r w:rsidR="00DB7CB9">
              <w:t xml:space="preserve">evaluation </w:t>
            </w:r>
            <w:r w:rsidRPr="00065200">
              <w:t>results in a searchable format.</w:t>
            </w:r>
          </w:p>
        </w:tc>
      </w:tr>
    </w:tbl>
    <w:p w14:paraId="537912C3" w14:textId="5DEF20E9" w:rsidR="00C50060" w:rsidRDefault="00C83D2E" w:rsidP="00580D7F">
      <w:pPr>
        <w:spacing w:before="240"/>
      </w:pPr>
      <w:r w:rsidRPr="006A6D71">
        <w:t>Currently, it is not possible</w:t>
      </w:r>
      <w:r w:rsidR="002D3F20" w:rsidRPr="006A6D71">
        <w:t xml:space="preserve"> to </w:t>
      </w:r>
      <w:r w:rsidR="008F5D29" w:rsidRPr="006A6D71">
        <w:t>determine if</w:t>
      </w:r>
      <w:r w:rsidR="002D3F20" w:rsidRPr="006A6D71">
        <w:t xml:space="preserve"> the </w:t>
      </w:r>
      <w:r w:rsidR="006E234A" w:rsidRPr="006A6D71">
        <w:t>Commonwealth</w:t>
      </w:r>
      <w:r w:rsidRPr="006A6D71">
        <w:t xml:space="preserve"> </w:t>
      </w:r>
      <w:r w:rsidR="002D3F20" w:rsidRPr="006A6D71">
        <w:t xml:space="preserve">Government’s </w:t>
      </w:r>
      <w:r w:rsidR="008F5D29" w:rsidRPr="006A6D71">
        <w:t xml:space="preserve">ISR </w:t>
      </w:r>
      <w:r w:rsidR="002D3F20" w:rsidRPr="006A6D71">
        <w:t>investments are delivering effective ISR outcomes</w:t>
      </w:r>
      <w:r w:rsidRPr="006A6D71">
        <w:t>,</w:t>
      </w:r>
      <w:r w:rsidR="002D3F20" w:rsidRPr="006A6D71">
        <w:t xml:space="preserve"> due to </w:t>
      </w:r>
      <w:r w:rsidR="00165F75" w:rsidRPr="006A6D71">
        <w:t xml:space="preserve">inconsistent and </w:t>
      </w:r>
      <w:r w:rsidR="002D3F20" w:rsidRPr="006A6D71">
        <w:t>incomplete system-level data</w:t>
      </w:r>
      <w:r w:rsidR="000F7B76" w:rsidRPr="006A6D71">
        <w:t xml:space="preserve"> </w:t>
      </w:r>
      <w:r w:rsidR="009E2215">
        <w:t>(see Appendix G</w:t>
      </w:r>
      <w:r w:rsidR="00722C75">
        <w:t>)</w:t>
      </w:r>
      <w:r w:rsidR="00C50060">
        <w:t xml:space="preserve">, </w:t>
      </w:r>
      <w:r w:rsidR="000F7B76" w:rsidRPr="006A6D71">
        <w:t>varying approaches to evaluation</w:t>
      </w:r>
      <w:r w:rsidR="00C50060">
        <w:t>, and little transp</w:t>
      </w:r>
      <w:r w:rsidR="00774ED4">
        <w:t xml:space="preserve">arency with evaluation results </w:t>
      </w:r>
      <w:r w:rsidR="00C50060">
        <w:lastRenderedPageBreak/>
        <w:t>both across government and to the public</w:t>
      </w:r>
      <w:r w:rsidR="002D3F20" w:rsidRPr="006A6D71">
        <w:t>.</w:t>
      </w:r>
      <w:r w:rsidR="00350F55" w:rsidRPr="006A6D71">
        <w:rPr>
          <w:rStyle w:val="FootnoteReference"/>
        </w:rPr>
        <w:footnoteReference w:id="150"/>
      </w:r>
      <w:r w:rsidR="00575902" w:rsidRPr="006A6D71">
        <w:t xml:space="preserve"> S</w:t>
      </w:r>
      <w:r w:rsidR="0081346A" w:rsidRPr="006A6D71">
        <w:t xml:space="preserve">ome steps have been taken to improve the evaluation of </w:t>
      </w:r>
      <w:r w:rsidR="002D3F20" w:rsidRPr="006A6D71">
        <w:t xml:space="preserve">components of </w:t>
      </w:r>
      <w:r w:rsidR="00575902" w:rsidRPr="006A6D71">
        <w:t>government-funded</w:t>
      </w:r>
      <w:r w:rsidR="00575902" w:rsidRPr="00065200">
        <w:t xml:space="preserve"> ISR</w:t>
      </w:r>
      <w:r w:rsidR="00DB7CB9">
        <w:t>.</w:t>
      </w:r>
      <w:r w:rsidR="00B82295" w:rsidRPr="00065200">
        <w:t xml:space="preserve"> </w:t>
      </w:r>
      <w:r w:rsidR="00DB7CB9">
        <w:t>L</w:t>
      </w:r>
      <w:r w:rsidR="00B82295" w:rsidRPr="00065200">
        <w:t>essons from these evaluations</w:t>
      </w:r>
      <w:r w:rsidR="00BB0F08" w:rsidRPr="00065200">
        <w:t xml:space="preserve"> could</w:t>
      </w:r>
      <w:r w:rsidR="00B82295" w:rsidRPr="00065200">
        <w:t xml:space="preserve"> be used to</w:t>
      </w:r>
      <w:r w:rsidR="00BB0F08" w:rsidRPr="00065200">
        <w:t xml:space="preserve"> inform evaluation approaches in other parts of the system. </w:t>
      </w:r>
    </w:p>
    <w:p w14:paraId="0A0BE99D" w14:textId="372F817D" w:rsidR="00580D7F" w:rsidRPr="006A6D71" w:rsidRDefault="00C50060" w:rsidP="00580D7F">
      <w:pPr>
        <w:spacing w:before="240"/>
      </w:pPr>
      <w:r>
        <w:t>T</w:t>
      </w:r>
      <w:r w:rsidR="003F025F" w:rsidRPr="00C50060" w:rsidDel="00C50060">
        <w:t>he Engagement and Impact</w:t>
      </w:r>
      <w:r w:rsidR="0081346A" w:rsidRPr="00C50060" w:rsidDel="00C50060">
        <w:t xml:space="preserve"> assessment of university research and the Excellence in Research for</w:t>
      </w:r>
      <w:r w:rsidR="003F025F" w:rsidRPr="00C50060" w:rsidDel="00C50060">
        <w:t xml:space="preserve"> Australia</w:t>
      </w:r>
      <w:r w:rsidR="0081346A" w:rsidRPr="00C50060" w:rsidDel="00C50060">
        <w:t xml:space="preserve"> framework</w:t>
      </w:r>
      <w:r>
        <w:t xml:space="preserve"> and the </w:t>
      </w:r>
      <w:r w:rsidR="00D56F1D" w:rsidRPr="00C50060">
        <w:t>‘Evaluation Ready’ process</w:t>
      </w:r>
      <w:r>
        <w:t xml:space="preserve"> </w:t>
      </w:r>
      <w:r w:rsidR="00D56F1D" w:rsidRPr="00C50060">
        <w:t>f</w:t>
      </w:r>
      <w:r w:rsidR="000F7B76" w:rsidRPr="00C50060">
        <w:t>or</w:t>
      </w:r>
      <w:r w:rsidR="008475A7" w:rsidRPr="00C50060">
        <w:t xml:space="preserve"> </w:t>
      </w:r>
      <w:r w:rsidR="00D56F1D" w:rsidRPr="00C50060">
        <w:t>a</w:t>
      </w:r>
      <w:r w:rsidR="00D56F1D" w:rsidRPr="00065200">
        <w:t xml:space="preserve"> number of ISR programs delivered by</w:t>
      </w:r>
      <w:r w:rsidR="008475A7" w:rsidRPr="00065200">
        <w:t xml:space="preserve"> the Department of Industry, Science, Energy and Resources</w:t>
      </w:r>
      <w:r w:rsidR="000F7B76" w:rsidRPr="00065200">
        <w:t xml:space="preserve"> (DISER)</w:t>
      </w:r>
      <w:r>
        <w:t xml:space="preserve"> are examples of recently improved government ISR evaluation processes</w:t>
      </w:r>
      <w:r w:rsidR="008475A7" w:rsidRPr="00065200">
        <w:t>.</w:t>
      </w:r>
      <w:r w:rsidR="00330F55" w:rsidRPr="00065200">
        <w:rPr>
          <w:rStyle w:val="FootnoteReference"/>
        </w:rPr>
        <w:footnoteReference w:id="151"/>
      </w:r>
      <w:r w:rsidR="008475A7" w:rsidRPr="00065200">
        <w:t xml:space="preserve"> Th</w:t>
      </w:r>
      <w:r>
        <w:t>e</w:t>
      </w:r>
      <w:r w:rsidR="008475A7" w:rsidRPr="00065200">
        <w:t xml:space="preserve"> </w:t>
      </w:r>
      <w:r>
        <w:t xml:space="preserve">Evaluation Ready </w:t>
      </w:r>
      <w:r w:rsidR="008475A7" w:rsidRPr="00065200">
        <w:t xml:space="preserve">process is a monitoring and evaluation framework </w:t>
      </w:r>
      <w:r>
        <w:t>which</w:t>
      </w:r>
      <w:r w:rsidR="008475A7" w:rsidRPr="00065200">
        <w:t xml:space="preserve"> ensure</w:t>
      </w:r>
      <w:r>
        <w:t>s</w:t>
      </w:r>
      <w:r w:rsidR="008475A7" w:rsidRPr="00065200">
        <w:t xml:space="preserve"> that programs are prepared for future evaluations and is compulsory for </w:t>
      </w:r>
      <w:r w:rsidR="002055B5" w:rsidRPr="00065200">
        <w:t xml:space="preserve">many </w:t>
      </w:r>
      <w:r w:rsidR="008475A7" w:rsidRPr="00065200">
        <w:t>programs entering through the whole-of</w:t>
      </w:r>
      <w:r w:rsidR="004673BF">
        <w:t>-</w:t>
      </w:r>
      <w:r w:rsidR="008475A7" w:rsidRPr="00065200">
        <w:t>government Business Grants Hub.</w:t>
      </w:r>
      <w:r w:rsidR="008475A7" w:rsidRPr="00065200">
        <w:rPr>
          <w:rStyle w:val="FootnoteReference"/>
        </w:rPr>
        <w:footnoteReference w:id="152"/>
      </w:r>
      <w:r w:rsidR="008475A7" w:rsidRPr="00065200">
        <w:t xml:space="preserve"> The Evaluatio</w:t>
      </w:r>
      <w:r w:rsidR="00D147B7">
        <w:t>n Ready process ensures data is</w:t>
      </w:r>
      <w:r w:rsidR="008475A7" w:rsidRPr="00065200">
        <w:t xml:space="preserve"> collected </w:t>
      </w:r>
      <w:r w:rsidR="002055B5" w:rsidRPr="00065200">
        <w:t xml:space="preserve">and appropriate evaluations are scheduled </w:t>
      </w:r>
      <w:r w:rsidR="008475A7" w:rsidRPr="00065200">
        <w:t xml:space="preserve">to help determine whether a government program is working as intended. Early lessons from this process indicate a need for a strong culture of evaluation among </w:t>
      </w:r>
      <w:r>
        <w:t xml:space="preserve">the </w:t>
      </w:r>
      <w:r w:rsidR="008475A7" w:rsidRPr="00065200">
        <w:t xml:space="preserve">APS </w:t>
      </w:r>
      <w:r w:rsidR="002055B5" w:rsidRPr="00065200">
        <w:t>as a whole</w:t>
      </w:r>
      <w:r w:rsidR="008475A7" w:rsidRPr="00065200">
        <w:t>, supported by</w:t>
      </w:r>
      <w:r w:rsidR="002055B5" w:rsidRPr="00065200">
        <w:t xml:space="preserve"> evaluation champions and</w:t>
      </w:r>
      <w:r w:rsidR="008475A7" w:rsidRPr="00065200" w:rsidDel="002055B5">
        <w:t xml:space="preserve"> </w:t>
      </w:r>
      <w:r w:rsidR="008475A7" w:rsidRPr="00065200">
        <w:t>clear strategic evaluation plan</w:t>
      </w:r>
      <w:r w:rsidR="002055B5" w:rsidRPr="00065200">
        <w:t>s</w:t>
      </w:r>
      <w:r w:rsidR="008475A7" w:rsidRPr="00065200">
        <w:t>.</w:t>
      </w:r>
      <w:r w:rsidR="008475A7" w:rsidRPr="00065200">
        <w:rPr>
          <w:rStyle w:val="FootnoteReference"/>
        </w:rPr>
        <w:footnoteReference w:id="153"/>
      </w:r>
    </w:p>
    <w:p w14:paraId="5C54588D" w14:textId="1A2F8588" w:rsidR="00181E5C" w:rsidRDefault="008475A7" w:rsidP="00580D7F">
      <w:pPr>
        <w:spacing w:before="240"/>
      </w:pPr>
      <w:r w:rsidRPr="006A6D71">
        <w:t>To ensure there is appropriate evaluation of government programs across the system, there have been calls for the establishment of a</w:t>
      </w:r>
      <w:r w:rsidR="002055B5" w:rsidRPr="006A6D71">
        <w:t xml:space="preserve"> whole-of-government</w:t>
      </w:r>
      <w:r w:rsidRPr="006A6D71">
        <w:t xml:space="preserve"> evaluation office, akin to the auditor general. The intent of this office would be to </w:t>
      </w:r>
      <w:r w:rsidR="00575902" w:rsidRPr="006A6D71">
        <w:t>ensure</w:t>
      </w:r>
      <w:r w:rsidRPr="006A6D71">
        <w:t xml:space="preserve"> evidence</w:t>
      </w:r>
      <w:r w:rsidRPr="006A6D71">
        <w:noBreakHyphen/>
        <w:t>based policymaking across government.</w:t>
      </w:r>
      <w:r w:rsidRPr="006A6D71">
        <w:rPr>
          <w:rStyle w:val="FootnoteReference"/>
        </w:rPr>
        <w:footnoteReference w:id="154"/>
      </w:r>
      <w:r w:rsidR="009819D3">
        <w:t xml:space="preserve"> </w:t>
      </w:r>
      <w:r w:rsidR="006E449F" w:rsidRPr="006C6774">
        <w:t xml:space="preserve">In the Republic of </w:t>
      </w:r>
      <w:r w:rsidR="009819D3" w:rsidRPr="006C6774">
        <w:t>Korea</w:t>
      </w:r>
      <w:r w:rsidR="006E449F" w:rsidRPr="006C6774">
        <w:t xml:space="preserve">, a national institute performs a </w:t>
      </w:r>
      <w:r w:rsidR="009819D3" w:rsidRPr="006C6774">
        <w:t>centralised</w:t>
      </w:r>
      <w:r w:rsidR="00BE67D3">
        <w:t>,</w:t>
      </w:r>
      <w:r w:rsidR="009819D3" w:rsidRPr="006C6774">
        <w:t xml:space="preserve"> </w:t>
      </w:r>
      <w:r w:rsidR="006E449F" w:rsidRPr="006C6774">
        <w:t>legislated ISR performance evaluation function</w:t>
      </w:r>
      <w:r w:rsidR="00C94569">
        <w:t>.</w:t>
      </w:r>
      <w:r w:rsidR="00827CEA" w:rsidRPr="006C6774">
        <w:rPr>
          <w:rStyle w:val="FootnoteReference"/>
        </w:rPr>
        <w:footnoteReference w:id="155"/>
      </w:r>
      <w:r w:rsidR="00621990">
        <w:t xml:space="preserve"> T</w:t>
      </w:r>
      <w:r w:rsidR="00827CEA" w:rsidRPr="006C6774">
        <w:t xml:space="preserve">he breadth of </w:t>
      </w:r>
      <w:r w:rsidR="006E449F" w:rsidRPr="006C6774">
        <w:t>the institute’s function</w:t>
      </w:r>
      <w:r w:rsidR="004673BF">
        <w:t xml:space="preserve"> ranges</w:t>
      </w:r>
      <w:r w:rsidR="00827CEA" w:rsidRPr="006C6774">
        <w:t xml:space="preserve"> from collecting internationally comparable national ISR data</w:t>
      </w:r>
      <w:r w:rsidR="00BE67D3">
        <w:t xml:space="preserve">, </w:t>
      </w:r>
      <w:r w:rsidR="00827CEA" w:rsidRPr="006C6774">
        <w:t>evaluating national R&amp;D programs and science agencies, through to diffusing best practice performance measurement</w:t>
      </w:r>
      <w:r w:rsidR="004673BF">
        <w:t xml:space="preserve">. </w:t>
      </w:r>
      <w:r w:rsidR="00621990" w:rsidRPr="006C6774">
        <w:t xml:space="preserve">While some elements of this approach may not </w:t>
      </w:r>
      <w:r w:rsidR="00621990">
        <w:t xml:space="preserve">translate </w:t>
      </w:r>
      <w:r w:rsidR="00621990" w:rsidRPr="006C6774">
        <w:t xml:space="preserve">directly to </w:t>
      </w:r>
      <w:r w:rsidR="00621990">
        <w:t>the</w:t>
      </w:r>
      <w:r w:rsidR="00621990" w:rsidRPr="006C6774">
        <w:t xml:space="preserve"> Australian context</w:t>
      </w:r>
      <w:r w:rsidR="00621990">
        <w:t>, a</w:t>
      </w:r>
      <w:r w:rsidR="004673BF">
        <w:t>n approach such as this</w:t>
      </w:r>
      <w:r w:rsidR="00827CEA" w:rsidRPr="006C6774">
        <w:t xml:space="preserve"> </w:t>
      </w:r>
      <w:r w:rsidR="00FE1B36" w:rsidRPr="006C6774">
        <w:t xml:space="preserve">could </w:t>
      </w:r>
      <w:r w:rsidR="00827CEA" w:rsidRPr="006C6774">
        <w:t xml:space="preserve">inform </w:t>
      </w:r>
      <w:r w:rsidR="004673BF">
        <w:t xml:space="preserve">the development of a </w:t>
      </w:r>
      <w:r w:rsidR="00E7659C">
        <w:t>centralised performance evaluation and monitoring process</w:t>
      </w:r>
      <w:r w:rsidR="004673BF">
        <w:t xml:space="preserve"> in Australia</w:t>
      </w:r>
      <w:r w:rsidR="00827CEA" w:rsidRPr="006C6774">
        <w:t>.</w:t>
      </w:r>
      <w:r w:rsidR="00827CEA" w:rsidRPr="0045074A">
        <w:t xml:space="preserve"> </w:t>
      </w:r>
    </w:p>
    <w:p w14:paraId="1B391546" w14:textId="5C6633C5" w:rsidR="00580D7F" w:rsidRPr="00CF3809" w:rsidRDefault="00E7659C" w:rsidP="00181E5C">
      <w:pPr>
        <w:spacing w:before="240"/>
      </w:pPr>
      <w:r>
        <w:t>Existing m</w:t>
      </w:r>
      <w:r w:rsidR="00181E5C" w:rsidRPr="00181E5C">
        <w:t xml:space="preserve">odels for whole-of-government investment performance monitoring and evaluation </w:t>
      </w:r>
      <w:r w:rsidR="006A1766">
        <w:t xml:space="preserve">can </w:t>
      </w:r>
      <w:r w:rsidR="00D60B68">
        <w:t xml:space="preserve">also </w:t>
      </w:r>
      <w:r>
        <w:t>inform</w:t>
      </w:r>
      <w:r w:rsidR="00181E5C" w:rsidRPr="00181E5C">
        <w:t xml:space="preserve"> </w:t>
      </w:r>
      <w:r w:rsidR="006A1766">
        <w:t xml:space="preserve">the </w:t>
      </w:r>
      <w:r w:rsidR="00181E5C" w:rsidRPr="00181E5C">
        <w:t xml:space="preserve">design </w:t>
      </w:r>
      <w:r>
        <w:t xml:space="preserve">of </w:t>
      </w:r>
      <w:r w:rsidR="00181E5C" w:rsidRPr="00181E5C">
        <w:t xml:space="preserve">effective </w:t>
      </w:r>
      <w:r>
        <w:t xml:space="preserve">ISR </w:t>
      </w:r>
      <w:r w:rsidR="00181E5C" w:rsidRPr="00181E5C">
        <w:t xml:space="preserve">evaluation </w:t>
      </w:r>
      <w:r>
        <w:t xml:space="preserve">and investment </w:t>
      </w:r>
      <w:r w:rsidR="00181E5C" w:rsidRPr="00181E5C">
        <w:t>frameworks. In 2018, t</w:t>
      </w:r>
      <w:r w:rsidR="00580D7F" w:rsidRPr="00181E5C">
        <w:t xml:space="preserve">he NSW Government </w:t>
      </w:r>
      <w:r>
        <w:t>adopted a</w:t>
      </w:r>
      <w:r w:rsidR="00580D7F" w:rsidRPr="00181E5C">
        <w:t xml:space="preserve"> legislated approach to Outcome Budgeting.</w:t>
      </w:r>
      <w:r w:rsidR="00580D7F" w:rsidRPr="00181E5C">
        <w:rPr>
          <w:rStyle w:val="FootnoteReference"/>
        </w:rPr>
        <w:footnoteReference w:id="156"/>
      </w:r>
      <w:r w:rsidR="00580D7F" w:rsidRPr="00181E5C">
        <w:t xml:space="preserve"> This approach facilitates performance-focused investment decision-making and promotes transparency and reporting on the performance of NSW Government agencies</w:t>
      </w:r>
      <w:r w:rsidR="00181E5C" w:rsidRPr="00181E5C">
        <w:t xml:space="preserve">. </w:t>
      </w:r>
      <w:r w:rsidR="00580D7F" w:rsidRPr="00181E5C">
        <w:t xml:space="preserve">The NSW Government has </w:t>
      </w:r>
      <w:r w:rsidR="00580D7F" w:rsidRPr="00181E5C">
        <w:lastRenderedPageBreak/>
        <w:t xml:space="preserve">progressively refined the framework, observing </w:t>
      </w:r>
      <w:r>
        <w:t>that</w:t>
      </w:r>
      <w:r w:rsidR="00580D7F" w:rsidRPr="00181E5C">
        <w:t xml:space="preserve"> achieving </w:t>
      </w:r>
      <w:r>
        <w:t>a</w:t>
      </w:r>
      <w:r w:rsidR="00580D7F" w:rsidRPr="00181E5C">
        <w:t xml:space="preserve"> long</w:t>
      </w:r>
      <w:r>
        <w:noBreakHyphen/>
      </w:r>
      <w:r w:rsidR="00580D7F" w:rsidRPr="00181E5C">
        <w:t>term cultur</w:t>
      </w:r>
      <w:r>
        <w:t>al</w:t>
      </w:r>
      <w:r w:rsidR="00580D7F" w:rsidRPr="00CF3809">
        <w:t xml:space="preserve"> change towards outcomes-focus</w:t>
      </w:r>
      <w:r>
        <w:t>ed decision making</w:t>
      </w:r>
      <w:r w:rsidR="00580D7F" w:rsidRPr="00CF3809">
        <w:t xml:space="preserve"> across Government, </w:t>
      </w:r>
      <w:r>
        <w:t xml:space="preserve">and </w:t>
      </w:r>
      <w:r w:rsidR="00580D7F" w:rsidRPr="00CF3809">
        <w:t>from policy design through to evaluation</w:t>
      </w:r>
      <w:r>
        <w:t>, has been challenging</w:t>
      </w:r>
      <w:r w:rsidR="00580D7F" w:rsidRPr="00CF3809">
        <w:t>.</w:t>
      </w:r>
      <w:r w:rsidR="00580D7F" w:rsidRPr="00CF3809">
        <w:rPr>
          <w:rStyle w:val="FootnoteReference"/>
        </w:rPr>
        <w:footnoteReference w:id="157"/>
      </w:r>
    </w:p>
    <w:p w14:paraId="5E59F24B" w14:textId="09E5527E" w:rsidR="00132CB7" w:rsidRPr="00065200" w:rsidRDefault="008475A7" w:rsidP="00C469A5">
      <w:r w:rsidRPr="00065200">
        <w:t>The OECD has</w:t>
      </w:r>
      <w:r w:rsidR="00873E00">
        <w:t xml:space="preserve"> </w:t>
      </w:r>
      <w:r w:rsidRPr="00065200">
        <w:t>shown that evaluations are increasingly important for justifying public investment in ISR. Continuous evaluation</w:t>
      </w:r>
      <w:r w:rsidR="00873E00">
        <w:t>s</w:t>
      </w:r>
      <w:r w:rsidRPr="00065200">
        <w:t xml:space="preserve"> and ensu</w:t>
      </w:r>
      <w:r w:rsidR="006D07D6" w:rsidRPr="00065200">
        <w:t>r</w:t>
      </w:r>
      <w:r w:rsidRPr="00065200">
        <w:t>ing recommendations are implemented are both critical factors in the success of ISR initiatives.</w:t>
      </w:r>
      <w:r w:rsidRPr="00065200">
        <w:rPr>
          <w:rStyle w:val="FootnoteReference"/>
        </w:rPr>
        <w:footnoteReference w:id="158"/>
      </w:r>
      <w:r w:rsidRPr="00065200">
        <w:t xml:space="preserve"> Programs should operate in cycles of</w:t>
      </w:r>
      <w:r w:rsidR="00575902" w:rsidRPr="00065200">
        <w:t xml:space="preserve"> adoption</w:t>
      </w:r>
      <w:r w:rsidR="00BE19EE">
        <w:t>—</w:t>
      </w:r>
      <w:r w:rsidRPr="00065200">
        <w:t>implementation</w:t>
      </w:r>
      <w:r w:rsidR="00BE19EE">
        <w:t>—</w:t>
      </w:r>
      <w:r w:rsidRPr="00065200">
        <w:t>evaluation</w:t>
      </w:r>
      <w:r w:rsidR="00BE19EE">
        <w:t>—</w:t>
      </w:r>
      <w:r w:rsidRPr="00065200">
        <w:t xml:space="preserve">adjustment, with major programs being adjusted in accordance with the findings of previous evaluations. </w:t>
      </w:r>
    </w:p>
    <w:p w14:paraId="3BB12234" w14:textId="13C42B38" w:rsidR="000F7B76" w:rsidRPr="00065200" w:rsidRDefault="000F7B76" w:rsidP="00072FCD">
      <w:pPr>
        <w:pStyle w:val="Heading3"/>
      </w:pPr>
      <w:r w:rsidRPr="00065200">
        <w:t xml:space="preserve">An investment plan that is reviewed </w:t>
      </w:r>
      <w:r w:rsidR="00BE4C7B">
        <w:t>on</w:t>
      </w:r>
      <w:r w:rsidRPr="00065200">
        <w:t xml:space="preserve"> a </w:t>
      </w:r>
      <w:r w:rsidR="00BE4C7B">
        <w:t xml:space="preserve">rolling </w:t>
      </w:r>
      <w:r w:rsidRPr="00065200">
        <w:t>three-year</w:t>
      </w:r>
      <w:r w:rsidR="00C909B9" w:rsidRPr="00065200">
        <w:t xml:space="preserve"> </w:t>
      </w:r>
      <w:r w:rsidR="00BE4C7B">
        <w:t>basis</w:t>
      </w:r>
    </w:p>
    <w:p w14:paraId="18A32E45" w14:textId="1ADCDB43" w:rsidR="006A1766" w:rsidRDefault="00BE4500" w:rsidP="004607B9">
      <w:r w:rsidRPr="00065200">
        <w:t>A whole-of-government ISR</w:t>
      </w:r>
      <w:r w:rsidR="00887E8B">
        <w:t xml:space="preserve"> investment plan</w:t>
      </w:r>
      <w:r w:rsidRPr="00065200">
        <w:t xml:space="preserve"> </w:t>
      </w:r>
      <w:r w:rsidR="00887E8B">
        <w:t xml:space="preserve">underpinned by robust </w:t>
      </w:r>
      <w:r w:rsidR="007C20EB">
        <w:t xml:space="preserve">investment performance </w:t>
      </w:r>
      <w:r w:rsidRPr="00065200">
        <w:t xml:space="preserve">evaluation </w:t>
      </w:r>
      <w:r w:rsidR="007C20EB">
        <w:t xml:space="preserve">and review </w:t>
      </w:r>
      <w:r w:rsidRPr="00065200">
        <w:t>process</w:t>
      </w:r>
      <w:r w:rsidR="00887E8B">
        <w:t>es</w:t>
      </w:r>
      <w:r w:rsidRPr="00065200">
        <w:t xml:space="preserve">, similar to international best-practice models, would enable the Commonwealth Government to </w:t>
      </w:r>
      <w:r w:rsidR="007C20EB">
        <w:t>align</w:t>
      </w:r>
      <w:r w:rsidR="007C20EB" w:rsidRPr="00065200">
        <w:t xml:space="preserve"> </w:t>
      </w:r>
      <w:r w:rsidR="00DD7F30">
        <w:t>investment</w:t>
      </w:r>
      <w:r w:rsidR="007C20EB">
        <w:t xml:space="preserve">s with, and optimise </w:t>
      </w:r>
      <w:r w:rsidRPr="00065200">
        <w:t>performance</w:t>
      </w:r>
      <w:r w:rsidR="007C20EB">
        <w:t xml:space="preserve"> against ISR </w:t>
      </w:r>
      <w:r w:rsidR="00887E8B">
        <w:t>priorities</w:t>
      </w:r>
      <w:r w:rsidRPr="00065200">
        <w:t>. Th</w:t>
      </w:r>
      <w:r w:rsidR="007C20EB">
        <w:t>ese</w:t>
      </w:r>
      <w:r w:rsidRPr="00065200">
        <w:t xml:space="preserve"> process</w:t>
      </w:r>
      <w:r w:rsidR="007C20EB">
        <w:t>es</w:t>
      </w:r>
      <w:r w:rsidRPr="00065200">
        <w:t xml:space="preserve"> should be </w:t>
      </w:r>
      <w:r w:rsidR="00887E8B">
        <w:t>driven</w:t>
      </w:r>
      <w:r w:rsidR="00887E8B" w:rsidRPr="00065200">
        <w:t xml:space="preserve"> </w:t>
      </w:r>
      <w:r w:rsidRPr="00065200">
        <w:t>by robust</w:t>
      </w:r>
      <w:r w:rsidR="00C4512A" w:rsidRPr="00065200">
        <w:t xml:space="preserve"> </w:t>
      </w:r>
      <w:r w:rsidR="00E217A1">
        <w:t xml:space="preserve">investment </w:t>
      </w:r>
      <w:r w:rsidR="00DA3C47">
        <w:t xml:space="preserve">performance </w:t>
      </w:r>
      <w:r w:rsidR="007C20EB">
        <w:t xml:space="preserve">evaluation </w:t>
      </w:r>
      <w:r w:rsidR="00E217A1">
        <w:t>data</w:t>
      </w:r>
      <w:r w:rsidR="00E217A1" w:rsidRPr="00065200">
        <w:t xml:space="preserve"> </w:t>
      </w:r>
      <w:r w:rsidR="00DD7F30">
        <w:t>and information</w:t>
      </w:r>
      <w:r w:rsidR="00E217A1" w:rsidRPr="00065200">
        <w:t xml:space="preserve"> </w:t>
      </w:r>
      <w:r w:rsidRPr="00065200">
        <w:t xml:space="preserve">collection mechanisms to inform subsequent ISR investment cycles </w:t>
      </w:r>
      <w:r w:rsidR="00873E00">
        <w:t>and</w:t>
      </w:r>
      <w:r w:rsidRPr="00065200">
        <w:t xml:space="preserve"> ensure that </w:t>
      </w:r>
      <w:r w:rsidR="00D221B7" w:rsidRPr="00065200">
        <w:t>investments are</w:t>
      </w:r>
      <w:r w:rsidRPr="00065200">
        <w:t xml:space="preserve"> coordinated, efficient</w:t>
      </w:r>
      <w:r w:rsidR="004841CE" w:rsidRPr="00065200">
        <w:t>,</w:t>
      </w:r>
      <w:r w:rsidRPr="00065200">
        <w:t xml:space="preserve"> effective</w:t>
      </w:r>
      <w:r w:rsidR="004841CE" w:rsidRPr="00065200">
        <w:t xml:space="preserve"> and achieving their intended outcomes</w:t>
      </w:r>
      <w:r w:rsidR="00D42292">
        <w:t xml:space="preserve"> (see </w:t>
      </w:r>
      <w:r w:rsidR="00D42292">
        <w:fldChar w:fldCharType="begin"/>
      </w:r>
      <w:r w:rsidR="00D42292">
        <w:instrText xml:space="preserve"> REF _Ref55988609 \h </w:instrText>
      </w:r>
      <w:r w:rsidR="00D42292">
        <w:fldChar w:fldCharType="separate"/>
      </w:r>
      <w:r w:rsidR="00807393" w:rsidRPr="00065200">
        <w:t>Implementation strategies</w:t>
      </w:r>
      <w:r w:rsidR="00D42292">
        <w:fldChar w:fldCharType="end"/>
      </w:r>
      <w:r w:rsidR="00D42292">
        <w:t xml:space="preserve"> section for more detail)</w:t>
      </w:r>
      <w:r w:rsidRPr="00065200">
        <w:t xml:space="preserve">. </w:t>
      </w:r>
    </w:p>
    <w:p w14:paraId="157A0181" w14:textId="1ADCBB08" w:rsidR="00AF1A9F" w:rsidRPr="00065200" w:rsidRDefault="001731C0" w:rsidP="004607B9">
      <w:r w:rsidRPr="00065200">
        <w:t xml:space="preserve">A </w:t>
      </w:r>
      <w:r w:rsidR="00CF4614" w:rsidRPr="00065200">
        <w:t>regular</w:t>
      </w:r>
      <w:r w:rsidRPr="00065200">
        <w:t xml:space="preserve"> </w:t>
      </w:r>
      <w:r w:rsidR="00C4512A">
        <w:t xml:space="preserve">investment </w:t>
      </w:r>
      <w:r w:rsidRPr="00065200">
        <w:t xml:space="preserve">review </w:t>
      </w:r>
      <w:r w:rsidR="00ED7BE0" w:rsidRPr="00065200">
        <w:t>cycle</w:t>
      </w:r>
      <w:r w:rsidR="00C4512A">
        <w:t>, wh</w:t>
      </w:r>
      <w:r w:rsidR="001F7487">
        <w:t xml:space="preserve">ich utilises ISR </w:t>
      </w:r>
      <w:r w:rsidR="00DD7F30">
        <w:t xml:space="preserve">investment </w:t>
      </w:r>
      <w:r w:rsidR="001F7487">
        <w:t xml:space="preserve">evaluation </w:t>
      </w:r>
      <w:r w:rsidR="00DD7F30">
        <w:t>outcome data</w:t>
      </w:r>
      <w:r w:rsidR="00C4512A">
        <w:t xml:space="preserve"> </w:t>
      </w:r>
      <w:r w:rsidR="00DD7F30">
        <w:t xml:space="preserve">and information </w:t>
      </w:r>
      <w:r w:rsidR="00C4512A">
        <w:t xml:space="preserve">as inputs, </w:t>
      </w:r>
      <w:r w:rsidR="00725259">
        <w:t xml:space="preserve">would </w:t>
      </w:r>
      <w:r w:rsidR="00725259" w:rsidRPr="00065200">
        <w:t xml:space="preserve">provide decision makers with the flexibility to revise the investment plan to </w:t>
      </w:r>
      <w:r w:rsidR="00725259">
        <w:t xml:space="preserve">ensure the appropriate allocation of funding against ISR priorities, and to </w:t>
      </w:r>
      <w:r w:rsidR="00725259" w:rsidRPr="00065200">
        <w:t>respond to chang</w:t>
      </w:r>
      <w:r w:rsidR="00725259">
        <w:t>es in those</w:t>
      </w:r>
      <w:r w:rsidR="00725259" w:rsidRPr="00065200">
        <w:t xml:space="preserve"> priorities and environmental factors</w:t>
      </w:r>
      <w:r w:rsidR="00725259">
        <w:t xml:space="preserve"> over time</w:t>
      </w:r>
      <w:r w:rsidR="00725259" w:rsidRPr="00065200">
        <w:t>.</w:t>
      </w:r>
      <w:r w:rsidR="00725259">
        <w:t xml:space="preserve"> Such a</w:t>
      </w:r>
      <w:r w:rsidR="00725259" w:rsidRPr="00065200">
        <w:t xml:space="preserve"> review cycle would also </w:t>
      </w:r>
      <w:r w:rsidR="00C4512A">
        <w:t>enable</w:t>
      </w:r>
      <w:r w:rsidR="003C35BA" w:rsidRPr="00065200">
        <w:t xml:space="preserve"> </w:t>
      </w:r>
      <w:r w:rsidR="00C4512A">
        <w:t xml:space="preserve">evidence-based decisions to </w:t>
      </w:r>
      <w:r w:rsidR="00E00829">
        <w:t>either</w:t>
      </w:r>
      <w:r w:rsidR="007E183F">
        <w:t xml:space="preserve"> divest</w:t>
      </w:r>
      <w:r w:rsidR="003C35BA" w:rsidRPr="00065200">
        <w:t xml:space="preserve"> ineffective investments, amend investments for greater impact</w:t>
      </w:r>
      <w:r w:rsidR="00C4512A">
        <w:t>,</w:t>
      </w:r>
      <w:r w:rsidR="003C35BA" w:rsidRPr="00065200">
        <w:t xml:space="preserve"> or seek </w:t>
      </w:r>
      <w:r w:rsidRPr="00065200">
        <w:t>budget renewal</w:t>
      </w:r>
      <w:r w:rsidR="00E06855" w:rsidRPr="00065200">
        <w:t xml:space="preserve"> for high-impact programs within the </w:t>
      </w:r>
      <w:r w:rsidR="00A05384" w:rsidRPr="00065200">
        <w:t xml:space="preserve">customary </w:t>
      </w:r>
      <w:r w:rsidR="00776DF8" w:rsidRPr="00065200">
        <w:t xml:space="preserve">funding </w:t>
      </w:r>
      <w:r w:rsidR="00E06855" w:rsidRPr="00065200">
        <w:t xml:space="preserve">investment </w:t>
      </w:r>
      <w:r w:rsidR="00776DF8" w:rsidRPr="00065200">
        <w:t>cycle</w:t>
      </w:r>
      <w:r w:rsidR="003C35BA" w:rsidRPr="00065200">
        <w:t>.</w:t>
      </w:r>
      <w:r w:rsidR="0071234F" w:rsidRPr="00065200">
        <w:rPr>
          <w:rStyle w:val="FootnoteReference"/>
        </w:rPr>
        <w:footnoteReference w:id="159"/>
      </w:r>
      <w:r w:rsidR="003C35BA" w:rsidRPr="00065200">
        <w:t xml:space="preserve"> </w:t>
      </w:r>
    </w:p>
    <w:p w14:paraId="5C441DD5" w14:textId="42FDC205" w:rsidR="00BA7006" w:rsidRDefault="00E00829" w:rsidP="00BA7006">
      <w:r>
        <w:t>E</w:t>
      </w:r>
      <w:r w:rsidR="005F6537" w:rsidRPr="00065200">
        <w:t xml:space="preserve">ffective </w:t>
      </w:r>
      <w:r>
        <w:t xml:space="preserve">investment </w:t>
      </w:r>
      <w:r w:rsidR="005F6537" w:rsidRPr="00065200">
        <w:t>reviews are well designed</w:t>
      </w:r>
      <w:r w:rsidR="008F3801" w:rsidRPr="00065200">
        <w:t>,</w:t>
      </w:r>
      <w:r w:rsidR="005F6537" w:rsidRPr="00065200">
        <w:t xml:space="preserve"> </w:t>
      </w:r>
      <w:r>
        <w:t>and</w:t>
      </w:r>
      <w:r w:rsidR="005F6537" w:rsidRPr="00065200">
        <w:t xml:space="preserve"> careful</w:t>
      </w:r>
      <w:r>
        <w:t>ly</w:t>
      </w:r>
      <w:r w:rsidR="005F6537" w:rsidRPr="00065200">
        <w:t xml:space="preserve"> analys</w:t>
      </w:r>
      <w:r>
        <w:t>e</w:t>
      </w:r>
      <w:r w:rsidR="005F6537" w:rsidRPr="00065200">
        <w:t xml:space="preserve"> what has worked </w:t>
      </w:r>
      <w:r w:rsidR="008F3801" w:rsidRPr="00065200">
        <w:t xml:space="preserve">well </w:t>
      </w:r>
      <w:r w:rsidR="005F6537" w:rsidRPr="00065200">
        <w:t xml:space="preserve">and what has not worked </w:t>
      </w:r>
      <w:r w:rsidR="008F3801" w:rsidRPr="00065200">
        <w:t xml:space="preserve">in </w:t>
      </w:r>
      <w:r w:rsidR="005F6537" w:rsidRPr="00065200">
        <w:t>previous investments. As these reviews can be resource-intensive, it is also key that reviews are designed to be as cost effective as possible</w:t>
      </w:r>
      <w:r w:rsidR="008F3801" w:rsidRPr="00065200">
        <w:t xml:space="preserve"> at the outset</w:t>
      </w:r>
      <w:r w:rsidR="005F6537" w:rsidRPr="00065200">
        <w:t xml:space="preserve">. Well-designed reviews can ensure </w:t>
      </w:r>
      <w:r w:rsidR="008F3801" w:rsidRPr="00065200">
        <w:t xml:space="preserve">Government </w:t>
      </w:r>
      <w:r w:rsidR="005F6537" w:rsidRPr="00065200">
        <w:t xml:space="preserve">investments grow sustainably, particularly in priority areas. </w:t>
      </w:r>
      <w:r>
        <w:t>I</w:t>
      </w:r>
      <w:r w:rsidR="005F6537" w:rsidRPr="00065200">
        <w:t xml:space="preserve">t is crucial that </w:t>
      </w:r>
      <w:r w:rsidR="008F3801" w:rsidRPr="00065200">
        <w:t xml:space="preserve">investment </w:t>
      </w:r>
      <w:r w:rsidR="005F6537" w:rsidRPr="00065200">
        <w:t>reviews are used as an instrument for prioritisation, rather than cost reduction.</w:t>
      </w:r>
      <w:r w:rsidR="008F3801" w:rsidRPr="00065200">
        <w:rPr>
          <w:rStyle w:val="FootnoteReference"/>
        </w:rPr>
        <w:footnoteReference w:id="160"/>
      </w:r>
    </w:p>
    <w:p w14:paraId="049878D3" w14:textId="46DA0A52" w:rsidR="00844960" w:rsidRPr="00065200" w:rsidRDefault="00BA7006" w:rsidP="000B2CEF">
      <w:pPr>
        <w:spacing w:after="0"/>
      </w:pPr>
      <w:r>
        <w:t xml:space="preserve">Additional analysis relating to </w:t>
      </w:r>
      <w:r w:rsidR="00DA7643">
        <w:t>Recommended Action 2</w:t>
      </w:r>
      <w:r w:rsidR="004359AB">
        <w:t xml:space="preserve">, including </w:t>
      </w:r>
      <w:r w:rsidR="00E119C1">
        <w:t>evaluation</w:t>
      </w:r>
      <w:r w:rsidR="004359AB">
        <w:t xml:space="preserve"> and data collection</w:t>
      </w:r>
      <w:r w:rsidR="00E119C1">
        <w:t xml:space="preserve"> details</w:t>
      </w:r>
      <w:r w:rsidR="004359AB">
        <w:t>,</w:t>
      </w:r>
      <w:r>
        <w:t xml:space="preserve"> is provided in </w:t>
      </w:r>
      <w:r w:rsidR="004359AB">
        <w:t xml:space="preserve">the </w:t>
      </w:r>
      <w:r w:rsidR="004359AB">
        <w:fldChar w:fldCharType="begin"/>
      </w:r>
      <w:r w:rsidR="004359AB">
        <w:instrText xml:space="preserve"> REF _Ref55982371 \h </w:instrText>
      </w:r>
      <w:r w:rsidR="004359AB">
        <w:fldChar w:fldCharType="separate"/>
      </w:r>
      <w:r w:rsidR="00807393" w:rsidRPr="00065200">
        <w:t>Implementation strategies</w:t>
      </w:r>
      <w:r w:rsidR="004359AB">
        <w:fldChar w:fldCharType="end"/>
      </w:r>
      <w:r w:rsidR="004359AB">
        <w:t xml:space="preserve"> section and </w:t>
      </w:r>
      <w:r w:rsidR="00D60B68">
        <w:t xml:space="preserve">in </w:t>
      </w:r>
      <w:r>
        <w:t>Appendi</w:t>
      </w:r>
      <w:r w:rsidR="004359AB">
        <w:t>ces</w:t>
      </w:r>
      <w:r>
        <w:t xml:space="preserve"> C, D and E.</w:t>
      </w:r>
    </w:p>
    <w:p w14:paraId="6F3250A0" w14:textId="77777777" w:rsidR="00194927" w:rsidRDefault="00194927">
      <w:pPr>
        <w:spacing w:before="40" w:after="160" w:line="288" w:lineRule="auto"/>
      </w:pPr>
      <w:r>
        <w:br w:type="page"/>
      </w:r>
    </w:p>
    <w:p w14:paraId="685FEAA7" w14:textId="37792473" w:rsidR="00573288" w:rsidRPr="00065200" w:rsidRDefault="009B5AC4" w:rsidP="005A1D4E">
      <w:pPr>
        <w:pStyle w:val="Heading2"/>
        <w:rPr>
          <w:lang w:val="en-AU"/>
        </w:rPr>
      </w:pPr>
      <w:bookmarkStart w:id="360" w:name="_Toc39590729"/>
      <w:bookmarkStart w:id="361" w:name="_Toc40282990"/>
      <w:bookmarkStart w:id="362" w:name="_Toc40372688"/>
      <w:bookmarkStart w:id="363" w:name="_Toc40451944"/>
      <w:bookmarkStart w:id="364" w:name="_Toc40453238"/>
      <w:bookmarkStart w:id="365" w:name="_Toc40799904"/>
      <w:bookmarkStart w:id="366" w:name="_Toc40801718"/>
      <w:bookmarkStart w:id="367" w:name="_Toc40877282"/>
      <w:bookmarkStart w:id="368" w:name="_Toc40885905"/>
      <w:bookmarkStart w:id="369" w:name="_Toc40886724"/>
      <w:bookmarkStart w:id="370" w:name="_Toc40897271"/>
      <w:bookmarkStart w:id="371" w:name="_Toc40899219"/>
      <w:bookmarkStart w:id="372" w:name="_Toc40905527"/>
      <w:bookmarkStart w:id="373" w:name="_Toc40906387"/>
      <w:bookmarkStart w:id="374" w:name="_Toc40950887"/>
      <w:bookmarkStart w:id="375" w:name="_Toc40956813"/>
      <w:bookmarkStart w:id="376" w:name="_Toc40957792"/>
      <w:bookmarkStart w:id="377" w:name="_Toc40960221"/>
      <w:bookmarkStart w:id="378" w:name="_Toc40960313"/>
      <w:bookmarkStart w:id="379" w:name="_Toc40964349"/>
      <w:bookmarkStart w:id="380" w:name="_Toc40964767"/>
      <w:bookmarkStart w:id="381" w:name="_Toc40964779"/>
      <w:bookmarkStart w:id="382" w:name="_Toc40964294"/>
      <w:bookmarkStart w:id="383" w:name="_Toc40966965"/>
      <w:bookmarkStart w:id="384" w:name="_Toc40968250"/>
      <w:bookmarkStart w:id="385" w:name="_Toc40969808"/>
      <w:bookmarkStart w:id="386" w:name="_Toc40970219"/>
      <w:bookmarkStart w:id="387" w:name="_Toc40970814"/>
      <w:bookmarkStart w:id="388" w:name="_Toc41383027"/>
      <w:bookmarkStart w:id="389" w:name="_Toc41403358"/>
      <w:bookmarkStart w:id="390" w:name="_Toc41405413"/>
      <w:bookmarkStart w:id="391" w:name="_Toc41405440"/>
      <w:bookmarkStart w:id="392" w:name="_Toc41483274"/>
      <w:bookmarkStart w:id="393" w:name="_Toc41483672"/>
      <w:bookmarkStart w:id="394" w:name="_Toc41485186"/>
      <w:bookmarkStart w:id="395" w:name="_Toc41487190"/>
      <w:bookmarkStart w:id="396" w:name="_Toc41488818"/>
      <w:bookmarkStart w:id="397" w:name="_Toc41489018"/>
      <w:bookmarkStart w:id="398" w:name="_Toc41489816"/>
      <w:bookmarkStart w:id="399" w:name="_Toc41492087"/>
      <w:bookmarkStart w:id="400" w:name="_Toc42777662"/>
      <w:bookmarkStart w:id="401" w:name="_Toc55910411"/>
      <w:bookmarkStart w:id="402" w:name="_Toc42784249"/>
      <w:bookmarkStart w:id="403" w:name="_Toc42785564"/>
      <w:bookmarkStart w:id="404" w:name="_Toc42788815"/>
      <w:bookmarkStart w:id="405" w:name="_Toc42852832"/>
      <w:bookmarkStart w:id="406" w:name="_Toc43204809"/>
      <w:bookmarkStart w:id="407" w:name="_Toc43205536"/>
      <w:bookmarkStart w:id="408" w:name="_Toc43205888"/>
      <w:bookmarkStart w:id="409" w:name="_Toc43215099"/>
      <w:bookmarkStart w:id="410" w:name="_Toc43219294"/>
      <w:bookmarkStart w:id="411" w:name="_Toc43220086"/>
      <w:bookmarkStart w:id="412" w:name="_Toc43385206"/>
      <w:bookmarkStart w:id="413" w:name="_Toc43386338"/>
      <w:bookmarkStart w:id="414" w:name="_Toc43386436"/>
      <w:bookmarkStart w:id="415" w:name="_Toc43391352"/>
      <w:bookmarkStart w:id="416" w:name="_Toc43393329"/>
      <w:bookmarkStart w:id="417" w:name="_Toc43394340"/>
      <w:bookmarkStart w:id="418" w:name="_Toc43458522"/>
      <w:bookmarkStart w:id="419" w:name="_Toc43460186"/>
      <w:bookmarkStart w:id="420" w:name="_Toc43466950"/>
      <w:bookmarkStart w:id="421" w:name="_Toc43478644"/>
      <w:bookmarkStart w:id="422" w:name="_Toc43479269"/>
      <w:bookmarkStart w:id="423" w:name="_Toc43481508"/>
      <w:bookmarkStart w:id="424" w:name="_Toc43719159"/>
      <w:bookmarkStart w:id="425" w:name="_Toc43729718"/>
      <w:bookmarkStart w:id="426" w:name="_Toc43730264"/>
      <w:bookmarkStart w:id="427" w:name="_Toc43733228"/>
      <w:bookmarkStart w:id="428" w:name="_Toc43733674"/>
      <w:bookmarkStart w:id="429" w:name="_Toc43735616"/>
      <w:bookmarkStart w:id="430" w:name="_Toc43735808"/>
      <w:bookmarkStart w:id="431" w:name="_Toc43737176"/>
      <w:bookmarkStart w:id="432" w:name="_Toc43737677"/>
      <w:bookmarkStart w:id="433" w:name="_Toc44069067"/>
      <w:bookmarkStart w:id="434" w:name="_Toc44317941"/>
      <w:bookmarkStart w:id="435" w:name="_Toc44318015"/>
      <w:bookmarkStart w:id="436" w:name="_Toc44328512"/>
      <w:bookmarkStart w:id="437" w:name="_Toc44329578"/>
      <w:bookmarkStart w:id="438" w:name="_Toc44331610"/>
      <w:bookmarkStart w:id="439" w:name="_Toc44331761"/>
      <w:bookmarkStart w:id="440" w:name="_Toc44331893"/>
      <w:bookmarkStart w:id="441" w:name="_Toc44334875"/>
      <w:bookmarkStart w:id="442" w:name="_Toc44335307"/>
      <w:bookmarkStart w:id="443" w:name="_Toc44422231"/>
      <w:bookmarkStart w:id="444" w:name="_Toc44424101"/>
      <w:bookmarkStart w:id="445" w:name="_Toc44424326"/>
      <w:bookmarkStart w:id="446" w:name="_Toc55991214"/>
      <w:bookmarkStart w:id="447" w:name="_Toc55995735"/>
      <w:bookmarkStart w:id="448" w:name="_Toc55997212"/>
      <w:bookmarkStart w:id="449" w:name="_Toc56069454"/>
      <w:bookmarkStart w:id="450" w:name="_Toc57105520"/>
      <w:bookmarkStart w:id="451" w:name="_Toc57134706"/>
      <w:bookmarkStart w:id="452" w:name="_Toc57141294"/>
      <w:bookmarkStart w:id="453" w:name="_Toc57640807"/>
      <w:bookmarkStart w:id="454" w:name="_Toc35876168"/>
      <w:bookmarkEnd w:id="355"/>
      <w:r w:rsidRPr="00065200">
        <w:rPr>
          <w:lang w:val="en-AU"/>
        </w:rPr>
        <w:lastRenderedPageBreak/>
        <w:t>Recommend</w:t>
      </w:r>
      <w:r w:rsidR="00D947A2" w:rsidRPr="00065200">
        <w:rPr>
          <w:lang w:val="en-AU"/>
        </w:rPr>
        <w:t>ed Action</w:t>
      </w:r>
      <w:r w:rsidRPr="00065200">
        <w:rPr>
          <w:lang w:val="en-AU"/>
        </w:rPr>
        <w:t xml:space="preserve"> 3: </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rsidR="007522B6" w:rsidRPr="00065200">
        <w:rPr>
          <w:lang w:val="en-AU"/>
        </w:rPr>
        <w:t>An investment plan that is strategically balanced</w:t>
      </w:r>
      <w:r w:rsidR="001A029E" w:rsidRPr="00065200">
        <w:rPr>
          <w:lang w:val="en-AU"/>
        </w:rPr>
        <w:t xml:space="preserve"> across the Government’s </w:t>
      </w:r>
      <w:r w:rsidR="000A338E">
        <w:rPr>
          <w:lang w:val="en-AU"/>
        </w:rPr>
        <w:t>investment</w:t>
      </w:r>
      <w:r w:rsidR="001A029E" w:rsidRPr="00065200">
        <w:rPr>
          <w:lang w:val="en-AU"/>
        </w:rPr>
        <w:t xml:space="preserve"> portfolio</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42B9E4C1" w14:textId="44F6A7B7" w:rsidR="005517D7" w:rsidRPr="00065200" w:rsidRDefault="005517D7" w:rsidP="005517D7">
      <w:r w:rsidRPr="00065200">
        <w:t xml:space="preserve">A balanced </w:t>
      </w:r>
      <w:r w:rsidR="00E96CA2" w:rsidRPr="00065200">
        <w:t xml:space="preserve">investment </w:t>
      </w:r>
      <w:r w:rsidRPr="00065200">
        <w:t>portfolio is a key feature of best-practice ISR investment</w:t>
      </w:r>
      <w:r w:rsidR="003C4E7F">
        <w:t>.</w:t>
      </w:r>
      <w:r w:rsidRPr="00065200">
        <w:rPr>
          <w:rStyle w:val="FootnoteReference"/>
        </w:rPr>
        <w:footnoteReference w:id="161"/>
      </w:r>
      <w:r w:rsidRPr="00065200">
        <w:rPr>
          <w:vertAlign w:val="superscript"/>
        </w:rPr>
        <w:t>,</w:t>
      </w:r>
      <w:r w:rsidRPr="00065200">
        <w:rPr>
          <w:rStyle w:val="FootnoteReference"/>
        </w:rPr>
        <w:footnoteReference w:id="162"/>
      </w:r>
      <w:r w:rsidRPr="00065200">
        <w:rPr>
          <w:vertAlign w:val="superscript"/>
        </w:rPr>
        <w:t>,</w:t>
      </w:r>
      <w:r w:rsidRPr="00065200">
        <w:rPr>
          <w:rStyle w:val="FootnoteReference"/>
        </w:rPr>
        <w:footnoteReference w:id="163"/>
      </w:r>
      <w:r w:rsidRPr="00065200">
        <w:t xml:space="preserve"> </w:t>
      </w:r>
      <w:r w:rsidR="003C4E7F">
        <w:t>H</w:t>
      </w:r>
      <w:r w:rsidRPr="00065200">
        <w:t xml:space="preserve">owever, the precise balance of investment should be </w:t>
      </w:r>
      <w:r w:rsidR="003C4E7F">
        <w:t>determined</w:t>
      </w:r>
      <w:r w:rsidR="003C4E7F" w:rsidRPr="00065200">
        <w:t xml:space="preserve"> </w:t>
      </w:r>
      <w:r w:rsidRPr="00065200">
        <w:t>within the context of broader Government priorities. Government should approach its ISR investment in a similar manner to the way in which an investor w</w:t>
      </w:r>
      <w:r w:rsidR="00E82544" w:rsidRPr="00065200">
        <w:t>ould approach a share portfolio</w:t>
      </w:r>
      <w:r w:rsidR="007172EA">
        <w:t>;</w:t>
      </w:r>
      <w:r w:rsidR="00E82544" w:rsidRPr="00065200">
        <w:t xml:space="preserve"> i</w:t>
      </w:r>
      <w:r w:rsidRPr="00065200">
        <w:t xml:space="preserve">nvestments should be balanced across the </w:t>
      </w:r>
      <w:r w:rsidR="00E82544" w:rsidRPr="00065200">
        <w:t>portfolio to ensure they</w:t>
      </w:r>
      <w:r w:rsidRPr="00065200">
        <w:t xml:space="preserve"> have the appropriate level of exposur</w:t>
      </w:r>
      <w:r w:rsidR="008325C9" w:rsidRPr="00065200">
        <w:t xml:space="preserve">e. </w:t>
      </w:r>
      <w:r w:rsidR="00E96CA2" w:rsidRPr="00065200">
        <w:t>This balance</w:t>
      </w:r>
      <w:r w:rsidRPr="00065200">
        <w:t xml:space="preserve"> should be considered </w:t>
      </w:r>
      <w:r w:rsidR="008325C9" w:rsidRPr="00065200">
        <w:t>in light of the broader</w:t>
      </w:r>
      <w:r w:rsidRPr="00065200">
        <w:t xml:space="preserve"> environment and </w:t>
      </w:r>
      <w:r w:rsidR="008325C9" w:rsidRPr="00065200">
        <w:t xml:space="preserve">should be formulated to </w:t>
      </w:r>
      <w:r w:rsidRPr="00065200">
        <w:t>provide resilience i</w:t>
      </w:r>
      <w:r w:rsidR="00D017A3" w:rsidRPr="00065200">
        <w:t>n times of economic uncertain</w:t>
      </w:r>
      <w:r w:rsidR="008325C9" w:rsidRPr="00065200">
        <w:t xml:space="preserve">ty. </w:t>
      </w:r>
    </w:p>
    <w:p w14:paraId="7089A304" w14:textId="121126E1" w:rsidR="00F90C0F" w:rsidRPr="00065200" w:rsidRDefault="00F90C0F" w:rsidP="005517D7">
      <w:r w:rsidRPr="00065200">
        <w:t>I</w:t>
      </w:r>
      <w:r w:rsidR="00B73ECA">
        <w:t>I</w:t>
      </w:r>
      <w:r w:rsidRPr="00065200">
        <w:t>SA</w:t>
      </w:r>
      <w:r w:rsidR="00FD5589">
        <w:t xml:space="preserve"> has</w:t>
      </w:r>
      <w:r w:rsidRPr="00065200">
        <w:t xml:space="preserve"> identified a lack of detailed and consistent investment data as a barrier to understanding how effectively the Government’s ISR investment is balanced</w:t>
      </w:r>
      <w:r w:rsidR="009E2215">
        <w:t xml:space="preserve"> (see Appendix </w:t>
      </w:r>
      <w:r w:rsidR="00967B6D">
        <w:t>F</w:t>
      </w:r>
      <w:r w:rsidR="00722C75">
        <w:t>)</w:t>
      </w:r>
      <w:r w:rsidRPr="00065200">
        <w:t xml:space="preserve">. Improved investment data </w:t>
      </w:r>
      <w:r w:rsidR="00FD5589">
        <w:t xml:space="preserve">quality </w:t>
      </w:r>
      <w:r w:rsidRPr="00065200">
        <w:t xml:space="preserve">could </w:t>
      </w:r>
      <w:r w:rsidR="00FD5589">
        <w:t>more fully reveal</w:t>
      </w:r>
      <w:r w:rsidRPr="00065200">
        <w:t xml:space="preserve"> the</w:t>
      </w:r>
      <w:r w:rsidR="00FD5589">
        <w:t xml:space="preserve"> </w:t>
      </w:r>
      <w:r w:rsidRPr="00065200">
        <w:t>current ISR investment</w:t>
      </w:r>
      <w:r w:rsidR="00FD5589">
        <w:t xml:space="preserve"> balance</w:t>
      </w:r>
      <w:r w:rsidRPr="00065200">
        <w:t xml:space="preserve">, and </w:t>
      </w:r>
      <w:r w:rsidR="00FD5589">
        <w:t>identify opportunities to</w:t>
      </w:r>
      <w:r w:rsidR="00544CBB">
        <w:t xml:space="preserve"> re-</w:t>
      </w:r>
      <w:r w:rsidR="00FD5589">
        <w:t>balance t</w:t>
      </w:r>
      <w:r w:rsidR="00544CBB">
        <w:t>hose investments t</w:t>
      </w:r>
      <w:r w:rsidR="00FD5589">
        <w:t>o</w:t>
      </w:r>
      <w:r w:rsidRPr="00065200">
        <w:t xml:space="preserve"> </w:t>
      </w:r>
      <w:r w:rsidR="00FD5589">
        <w:t>i</w:t>
      </w:r>
      <w:r w:rsidRPr="00065200">
        <w:t xml:space="preserve">mprove </w:t>
      </w:r>
      <w:r w:rsidR="00544CBB">
        <w:t>their overall</w:t>
      </w:r>
      <w:r w:rsidRPr="00065200">
        <w:t xml:space="preserve"> effectiveness. </w:t>
      </w:r>
    </w:p>
    <w:tbl>
      <w:tblPr>
        <w:tblStyle w:val="TableGrid"/>
        <w:tblW w:w="9032" w:type="dxa"/>
        <w:tblCellMar>
          <w:top w:w="85" w:type="dxa"/>
          <w:bottom w:w="85" w:type="dxa"/>
        </w:tblCellMar>
        <w:tblLook w:val="04A0" w:firstRow="1" w:lastRow="0" w:firstColumn="1" w:lastColumn="0" w:noHBand="0" w:noVBand="1"/>
        <w:tblCaption w:val="Recommended Action 3"/>
        <w:tblDescription w:val="Describes key aspects of recommended action 3"/>
      </w:tblPr>
      <w:tblGrid>
        <w:gridCol w:w="9032"/>
      </w:tblGrid>
      <w:tr w:rsidR="00C549E6" w:rsidRPr="00065200" w14:paraId="50EA0B46" w14:textId="77777777" w:rsidTr="00807393">
        <w:trPr>
          <w:cantSplit/>
          <w:tblHeader/>
        </w:trPr>
        <w:tc>
          <w:tcPr>
            <w:tcW w:w="9498" w:type="dxa"/>
            <w:tcBorders>
              <w:top w:val="nil"/>
              <w:left w:val="nil"/>
              <w:bottom w:val="nil"/>
              <w:right w:val="nil"/>
            </w:tcBorders>
            <w:shd w:val="clear" w:color="auto" w:fill="EBF2F9"/>
            <w:tcMar>
              <w:top w:w="57" w:type="dxa"/>
              <w:left w:w="57" w:type="dxa"/>
              <w:bottom w:w="57" w:type="dxa"/>
              <w:right w:w="57" w:type="dxa"/>
            </w:tcMar>
          </w:tcPr>
          <w:p w14:paraId="3E7BD0C1" w14:textId="77777777" w:rsidR="00C549E6" w:rsidRPr="00065200" w:rsidRDefault="00C549E6" w:rsidP="000B1E57">
            <w:pPr>
              <w:spacing w:after="0"/>
              <w:rPr>
                <w:b/>
                <w:color w:val="2B4354" w:themeColor="accent1" w:themeShade="80"/>
              </w:rPr>
            </w:pPr>
            <w:r w:rsidRPr="00065200">
              <w:rPr>
                <w:b/>
                <w:color w:val="2B4354" w:themeColor="accent1" w:themeShade="80"/>
              </w:rPr>
              <w:t>Recommended Action 3</w:t>
            </w:r>
          </w:p>
          <w:p w14:paraId="2F043ECD" w14:textId="77777777" w:rsidR="00C549E6" w:rsidRPr="006D0DFB" w:rsidRDefault="00C549E6" w:rsidP="000B1E57">
            <w:pPr>
              <w:spacing w:after="0"/>
              <w:rPr>
                <w:sz w:val="20"/>
                <w:szCs w:val="20"/>
              </w:rPr>
            </w:pPr>
            <w:r w:rsidRPr="00065200">
              <w:rPr>
                <w:b/>
                <w:sz w:val="20"/>
                <w:szCs w:val="20"/>
              </w:rPr>
              <w:t>A</w:t>
            </w:r>
            <w:r>
              <w:rPr>
                <w:b/>
                <w:sz w:val="20"/>
                <w:szCs w:val="20"/>
              </w:rPr>
              <w:t xml:space="preserve"> </w:t>
            </w:r>
            <w:r w:rsidRPr="00065200">
              <w:rPr>
                <w:b/>
                <w:sz w:val="20"/>
                <w:szCs w:val="20"/>
              </w:rPr>
              <w:t>strategically balanced</w:t>
            </w:r>
            <w:r>
              <w:rPr>
                <w:b/>
                <w:sz w:val="20"/>
                <w:szCs w:val="20"/>
              </w:rPr>
              <w:t>, whole-of-government</w:t>
            </w:r>
            <w:r w:rsidRPr="00065200">
              <w:rPr>
                <w:b/>
                <w:sz w:val="20"/>
                <w:szCs w:val="20"/>
              </w:rPr>
              <w:t xml:space="preserve"> ISR investment plan could ensure there are returns in the short, medium and long</w:t>
            </w:r>
            <w:r>
              <w:rPr>
                <w:b/>
                <w:sz w:val="20"/>
                <w:szCs w:val="20"/>
              </w:rPr>
              <w:t>-</w:t>
            </w:r>
            <w:r w:rsidRPr="00065200">
              <w:rPr>
                <w:b/>
                <w:sz w:val="20"/>
                <w:szCs w:val="20"/>
              </w:rPr>
              <w:t>term by</w:t>
            </w:r>
            <w:r w:rsidRPr="00065200">
              <w:rPr>
                <w:sz w:val="20"/>
                <w:szCs w:val="20"/>
              </w:rPr>
              <w:t>:</w:t>
            </w:r>
          </w:p>
        </w:tc>
      </w:tr>
      <w:tr w:rsidR="00C549E6" w:rsidRPr="00065200" w14:paraId="77B50CA6" w14:textId="77777777" w:rsidTr="00807393">
        <w:trPr>
          <w:cantSplit/>
        </w:trPr>
        <w:tc>
          <w:tcPr>
            <w:tcW w:w="9498" w:type="dxa"/>
            <w:tcBorders>
              <w:top w:val="nil"/>
              <w:left w:val="nil"/>
              <w:bottom w:val="nil"/>
              <w:right w:val="nil"/>
            </w:tcBorders>
            <w:shd w:val="clear" w:color="auto" w:fill="EBF2F9"/>
            <w:tcMar>
              <w:top w:w="57" w:type="dxa"/>
              <w:left w:w="57" w:type="dxa"/>
              <w:bottom w:w="57" w:type="dxa"/>
              <w:right w:w="57" w:type="dxa"/>
            </w:tcMar>
          </w:tcPr>
          <w:p w14:paraId="3DBF5D3D" w14:textId="77777777" w:rsidR="00C549E6" w:rsidRPr="00065200" w:rsidRDefault="00C549E6" w:rsidP="00C549E6">
            <w:pPr>
              <w:pStyle w:val="ListParagraph"/>
              <w:numPr>
                <w:ilvl w:val="0"/>
                <w:numId w:val="54"/>
              </w:numPr>
              <w:spacing w:before="40" w:after="0" w:line="240" w:lineRule="auto"/>
              <w:rPr>
                <w:sz w:val="20"/>
                <w:szCs w:val="20"/>
              </w:rPr>
            </w:pPr>
            <w:r w:rsidRPr="00065200">
              <w:rPr>
                <w:sz w:val="20"/>
                <w:szCs w:val="20"/>
              </w:rPr>
              <w:t>Supporting both R&amp;D and non-R&amp;D innovation.</w:t>
            </w:r>
          </w:p>
          <w:p w14:paraId="7168BAB5" w14:textId="77777777" w:rsidR="00C549E6" w:rsidRPr="00065200" w:rsidRDefault="00C549E6" w:rsidP="00C549E6">
            <w:pPr>
              <w:pStyle w:val="ListParagraph"/>
              <w:numPr>
                <w:ilvl w:val="0"/>
                <w:numId w:val="54"/>
              </w:numPr>
              <w:spacing w:before="40" w:after="0" w:line="240" w:lineRule="auto"/>
              <w:ind w:left="601" w:hanging="425"/>
              <w:rPr>
                <w:sz w:val="20"/>
                <w:szCs w:val="20"/>
              </w:rPr>
            </w:pPr>
            <w:r w:rsidRPr="00065200">
              <w:rPr>
                <w:sz w:val="20"/>
                <w:szCs w:val="20"/>
              </w:rPr>
              <w:t>Ensuring investment in basic research does not fall below current levels (22</w:t>
            </w:r>
            <w:r>
              <w:rPr>
                <w:sz w:val="20"/>
                <w:szCs w:val="20"/>
              </w:rPr>
              <w:t> per cent</w:t>
            </w:r>
            <w:r w:rsidRPr="00065200">
              <w:rPr>
                <w:sz w:val="20"/>
                <w:szCs w:val="20"/>
              </w:rPr>
              <w:t xml:space="preserve"> of overall R&amp;D investment) </w:t>
            </w:r>
            <w:r>
              <w:rPr>
                <w:sz w:val="20"/>
                <w:szCs w:val="20"/>
              </w:rPr>
              <w:t xml:space="preserve">so that </w:t>
            </w:r>
            <w:r w:rsidRPr="00065200">
              <w:rPr>
                <w:sz w:val="20"/>
                <w:szCs w:val="20"/>
              </w:rPr>
              <w:t xml:space="preserve">it can underpin future commercial opportunities. </w:t>
            </w:r>
          </w:p>
          <w:p w14:paraId="59CFB1E1" w14:textId="77777777" w:rsidR="00C549E6" w:rsidRPr="00065200" w:rsidRDefault="00C549E6" w:rsidP="00C549E6">
            <w:pPr>
              <w:pStyle w:val="ListParagraph"/>
              <w:numPr>
                <w:ilvl w:val="0"/>
                <w:numId w:val="54"/>
              </w:numPr>
              <w:spacing w:before="40" w:after="0" w:line="240" w:lineRule="auto"/>
              <w:ind w:left="601" w:hanging="425"/>
              <w:rPr>
                <w:sz w:val="20"/>
                <w:szCs w:val="20"/>
              </w:rPr>
            </w:pPr>
            <w:r w:rsidRPr="00065200">
              <w:rPr>
                <w:sz w:val="20"/>
                <w:szCs w:val="20"/>
              </w:rPr>
              <w:t>Scaling and coordinating research commercialisation</w:t>
            </w:r>
            <w:r>
              <w:rPr>
                <w:sz w:val="20"/>
                <w:szCs w:val="20"/>
              </w:rPr>
              <w:t xml:space="preserve"> programs</w:t>
            </w:r>
            <w:r w:rsidRPr="00065200">
              <w:rPr>
                <w:sz w:val="20"/>
                <w:szCs w:val="20"/>
              </w:rPr>
              <w:t>, particularly those which embed researchers in businesses.</w:t>
            </w:r>
          </w:p>
          <w:p w14:paraId="0FE7F5F5" w14:textId="77777777" w:rsidR="00C549E6" w:rsidRPr="00065200" w:rsidRDefault="00C549E6" w:rsidP="00C549E6">
            <w:pPr>
              <w:pStyle w:val="ListParagraph"/>
              <w:numPr>
                <w:ilvl w:val="0"/>
                <w:numId w:val="54"/>
              </w:numPr>
              <w:spacing w:before="40" w:after="0" w:line="240" w:lineRule="auto"/>
              <w:ind w:left="601" w:hanging="425"/>
              <w:rPr>
                <w:sz w:val="20"/>
                <w:szCs w:val="20"/>
              </w:rPr>
            </w:pPr>
            <w:r w:rsidRPr="00065200">
              <w:rPr>
                <w:sz w:val="20"/>
                <w:szCs w:val="20"/>
              </w:rPr>
              <w:t xml:space="preserve">Ensuring the technical and commercial risk profile of the Government’s ISR investment is higher than would be acceptable in the private sector to enable breakthrough ISR in priority areas. </w:t>
            </w:r>
          </w:p>
          <w:p w14:paraId="50D37D16" w14:textId="77777777" w:rsidR="00C549E6" w:rsidRDefault="00C549E6" w:rsidP="00C549E6">
            <w:pPr>
              <w:pStyle w:val="ListParagraph"/>
              <w:numPr>
                <w:ilvl w:val="0"/>
                <w:numId w:val="54"/>
              </w:numPr>
              <w:spacing w:before="40" w:after="0" w:line="240" w:lineRule="auto"/>
              <w:ind w:left="601" w:hanging="425"/>
              <w:rPr>
                <w:sz w:val="20"/>
                <w:szCs w:val="20"/>
              </w:rPr>
            </w:pPr>
            <w:r w:rsidRPr="00065200">
              <w:rPr>
                <w:sz w:val="20"/>
                <w:szCs w:val="20"/>
              </w:rPr>
              <w:t xml:space="preserve">Ensuring the scale of the Government’s overall ISR investment is sufficient to achieve its priorities, and individual ISR investments are appropriately scaled to achieve maximum impact. </w:t>
            </w:r>
          </w:p>
          <w:p w14:paraId="5C72A0F6" w14:textId="77777777" w:rsidR="00C549E6" w:rsidRDefault="00C549E6" w:rsidP="00C549E6">
            <w:pPr>
              <w:pStyle w:val="ListParagraph"/>
              <w:numPr>
                <w:ilvl w:val="0"/>
                <w:numId w:val="54"/>
              </w:numPr>
              <w:spacing w:before="40" w:after="0" w:line="240" w:lineRule="auto"/>
              <w:ind w:left="601" w:hanging="425"/>
              <w:rPr>
                <w:sz w:val="20"/>
                <w:szCs w:val="20"/>
              </w:rPr>
            </w:pPr>
            <w:r w:rsidRPr="00F96F22">
              <w:rPr>
                <w:sz w:val="20"/>
                <w:szCs w:val="20"/>
              </w:rPr>
              <w:t>Ensuring the costs of conducting research (including researchers, administration and infrastructure) are met by Government or other investors.</w:t>
            </w:r>
          </w:p>
          <w:p w14:paraId="3495F3C1" w14:textId="77777777" w:rsidR="00C549E6" w:rsidRPr="00F96F22" w:rsidRDefault="00C549E6" w:rsidP="00C549E6">
            <w:pPr>
              <w:pStyle w:val="ListParagraph"/>
              <w:numPr>
                <w:ilvl w:val="0"/>
                <w:numId w:val="54"/>
              </w:numPr>
              <w:spacing w:before="40" w:after="0" w:line="240" w:lineRule="auto"/>
              <w:ind w:left="601" w:hanging="425"/>
              <w:rPr>
                <w:sz w:val="20"/>
                <w:szCs w:val="20"/>
              </w:rPr>
            </w:pPr>
            <w:r w:rsidRPr="00F96F22">
              <w:rPr>
                <w:sz w:val="20"/>
                <w:szCs w:val="20"/>
              </w:rPr>
              <w:t xml:space="preserve">Ensuring </w:t>
            </w:r>
            <w:r>
              <w:rPr>
                <w:sz w:val="20"/>
                <w:szCs w:val="20"/>
              </w:rPr>
              <w:t xml:space="preserve">ISR priorities are achieved using </w:t>
            </w:r>
            <w:r w:rsidRPr="00F96F22">
              <w:rPr>
                <w:sz w:val="20"/>
                <w:szCs w:val="20"/>
              </w:rPr>
              <w:t>more targeted support measures for business and higher education</w:t>
            </w:r>
            <w:r>
              <w:rPr>
                <w:sz w:val="20"/>
                <w:szCs w:val="20"/>
              </w:rPr>
              <w:t>-</w:t>
            </w:r>
            <w:r w:rsidRPr="00F96F22">
              <w:rPr>
                <w:sz w:val="20"/>
                <w:szCs w:val="20"/>
              </w:rPr>
              <w:t>performed ISR, while flexible measures are in place across the system to address emerging priorities.</w:t>
            </w:r>
          </w:p>
        </w:tc>
      </w:tr>
    </w:tbl>
    <w:p w14:paraId="08DB9E4D" w14:textId="35DA13B7" w:rsidR="00F90C0F" w:rsidRPr="00065200" w:rsidRDefault="00F90C0F" w:rsidP="00C549E6">
      <w:pPr>
        <w:spacing w:before="240"/>
      </w:pPr>
      <w:r w:rsidRPr="00065200">
        <w:t xml:space="preserve">The sections below highlight </w:t>
      </w:r>
      <w:r w:rsidR="000B7F79">
        <w:t>I</w:t>
      </w:r>
      <w:r w:rsidR="00403A2E">
        <w:t>I</w:t>
      </w:r>
      <w:r w:rsidR="000B7F79">
        <w:t>SA’s</w:t>
      </w:r>
      <w:r w:rsidRPr="00065200">
        <w:t xml:space="preserve"> key findings </w:t>
      </w:r>
      <w:r w:rsidR="00D3426E">
        <w:t>against</w:t>
      </w:r>
      <w:r w:rsidRPr="00065200">
        <w:t xml:space="preserve"> the parameters across which Government’s ISR investments should be balanced</w:t>
      </w:r>
      <w:r w:rsidR="00F116C7">
        <w:t xml:space="preserve"> (</w:t>
      </w:r>
      <w:r w:rsidR="00F116C7" w:rsidRPr="00065200">
        <w:t xml:space="preserve">see </w:t>
      </w:r>
      <w:r w:rsidR="00F116C7" w:rsidRPr="00065200">
        <w:fldChar w:fldCharType="begin"/>
      </w:r>
      <w:r w:rsidR="00F116C7" w:rsidRPr="00065200">
        <w:instrText xml:space="preserve"> REF _Ref41461530 \h </w:instrText>
      </w:r>
      <w:r w:rsidR="00F116C7" w:rsidRPr="00065200">
        <w:fldChar w:fldCharType="separate"/>
      </w:r>
      <w:r w:rsidR="00807393" w:rsidRPr="00065200">
        <w:t xml:space="preserve">Table </w:t>
      </w:r>
      <w:r w:rsidR="00807393">
        <w:rPr>
          <w:noProof/>
        </w:rPr>
        <w:t>2</w:t>
      </w:r>
      <w:r w:rsidR="00F116C7" w:rsidRPr="00065200">
        <w:fldChar w:fldCharType="end"/>
      </w:r>
      <w:r w:rsidR="00F116C7">
        <w:t>)</w:t>
      </w:r>
      <w:r w:rsidRPr="00065200">
        <w:t>.</w:t>
      </w:r>
    </w:p>
    <w:p w14:paraId="6C54A5D8" w14:textId="77777777" w:rsidR="00132CB7" w:rsidRPr="00065200" w:rsidRDefault="00132CB7" w:rsidP="00072FCD">
      <w:pPr>
        <w:pStyle w:val="Heading3"/>
      </w:pPr>
      <w:r w:rsidRPr="00065200">
        <w:lastRenderedPageBreak/>
        <w:t>Supporting both R&amp;D and non-R&amp;D innovation</w:t>
      </w:r>
    </w:p>
    <w:p w14:paraId="066B4051" w14:textId="414BB48C" w:rsidR="008C4BCA" w:rsidRPr="00065200" w:rsidRDefault="008C4BCA" w:rsidP="008C4BCA">
      <w:r w:rsidRPr="00065200">
        <w:t>While</w:t>
      </w:r>
      <w:r w:rsidR="00E62A91">
        <w:t xml:space="preserve"> elements of</w:t>
      </w:r>
      <w:r w:rsidRPr="00065200">
        <w:t xml:space="preserve"> </w:t>
      </w:r>
      <w:r w:rsidR="00B36E23">
        <w:t xml:space="preserve">non-R&amp;D </w:t>
      </w:r>
      <w:r w:rsidRPr="00065200">
        <w:t xml:space="preserve">innovation </w:t>
      </w:r>
      <w:r w:rsidR="00E62A91">
        <w:t>are</w:t>
      </w:r>
      <w:r w:rsidRPr="00065200">
        <w:t xml:space="preserve"> </w:t>
      </w:r>
      <w:r w:rsidR="00E62A91">
        <w:t>included in</w:t>
      </w:r>
      <w:r w:rsidRPr="00065200">
        <w:t xml:space="preserve"> Government-fund</w:t>
      </w:r>
      <w:r w:rsidR="00E62A91">
        <w:t>ing</w:t>
      </w:r>
      <w:r w:rsidRPr="00065200">
        <w:t>, it has</w:t>
      </w:r>
      <w:r w:rsidR="00B80118" w:rsidRPr="00065200">
        <w:t xml:space="preserve"> </w:t>
      </w:r>
      <w:r w:rsidRPr="00065200">
        <w:t>n</w:t>
      </w:r>
      <w:r w:rsidR="00B80118" w:rsidRPr="00065200">
        <w:t>o</w:t>
      </w:r>
      <w:r w:rsidRPr="00065200">
        <w:t>t received the same attention and funding as Government-funded R&amp;D. However, this trend is starting to change.</w:t>
      </w:r>
      <w:r w:rsidR="004679DE" w:rsidRPr="00065200">
        <w:t xml:space="preserve"> </w:t>
      </w:r>
      <w:r w:rsidRPr="00065200">
        <w:t>In 2017</w:t>
      </w:r>
      <w:r w:rsidR="0037018F" w:rsidRPr="00065200">
        <w:t>–</w:t>
      </w:r>
      <w:r w:rsidRPr="00065200">
        <w:t>18, the three-year, $500</w:t>
      </w:r>
      <w:r w:rsidR="00D3426E">
        <w:t> </w:t>
      </w:r>
      <w:r w:rsidRPr="00065200">
        <w:t>million Public Service Modernisation Fund (PSMF) was established to modernise and enhance the productivity of the public sector.</w:t>
      </w:r>
      <w:r w:rsidRPr="00065200">
        <w:rPr>
          <w:rStyle w:val="FootnoteReference"/>
        </w:rPr>
        <w:footnoteReference w:id="164"/>
      </w:r>
      <w:r w:rsidR="00633751" w:rsidRPr="00065200">
        <w:rPr>
          <w:vertAlign w:val="superscript"/>
        </w:rPr>
        <w:t>,</w:t>
      </w:r>
      <w:r w:rsidR="00633751" w:rsidRPr="00065200">
        <w:rPr>
          <w:rStyle w:val="FootnoteReference"/>
        </w:rPr>
        <w:footnoteReference w:id="165"/>
      </w:r>
      <w:r w:rsidR="00DC73BE" w:rsidRPr="00065200">
        <w:t xml:space="preserve"> This fund included $350 </w:t>
      </w:r>
      <w:r w:rsidRPr="00065200">
        <w:t>million for transformation and innovation, funding 21 projects to modernise and enhance public sector productivity and innovati</w:t>
      </w:r>
      <w:r w:rsidR="0037018F" w:rsidRPr="00065200">
        <w:t>on. The fund also included $150 </w:t>
      </w:r>
      <w:r w:rsidRPr="00065200">
        <w:t>million for agency sustainability</w:t>
      </w:r>
      <w:r w:rsidR="000B7F79">
        <w:t xml:space="preserve">, </w:t>
      </w:r>
      <w:r w:rsidRPr="00065200">
        <w:t>funding</w:t>
      </w:r>
      <w:r w:rsidR="00E0453C" w:rsidRPr="00065200">
        <w:t xml:space="preserve"> </w:t>
      </w:r>
      <w:r w:rsidR="00DC73BE" w:rsidRPr="00065200">
        <w:t xml:space="preserve">an additional </w:t>
      </w:r>
      <w:r w:rsidR="004679DE" w:rsidRPr="00065200">
        <w:t>21 projects to</w:t>
      </w:r>
      <w:r w:rsidRPr="00065200">
        <w:t xml:space="preserve"> support </w:t>
      </w:r>
      <w:r w:rsidR="00E0453C" w:rsidRPr="00065200">
        <w:t xml:space="preserve">agencies’ </w:t>
      </w:r>
      <w:r w:rsidRPr="00065200">
        <w:t>transition</w:t>
      </w:r>
      <w:r w:rsidR="00E0453C" w:rsidRPr="00065200">
        <w:t>s</w:t>
      </w:r>
      <w:r w:rsidRPr="00065200">
        <w:t xml:space="preserve"> to more modern and sustainable models</w:t>
      </w:r>
      <w:r w:rsidR="0037018F" w:rsidRPr="00065200">
        <w:t xml:space="preserve"> of operation</w:t>
      </w:r>
      <w:r w:rsidRPr="00065200">
        <w:t>.</w:t>
      </w:r>
      <w:r w:rsidR="005036C5" w:rsidRPr="00065200">
        <w:t xml:space="preserve"> Ano</w:t>
      </w:r>
      <w:r w:rsidRPr="00065200">
        <w:t xml:space="preserve">ther </w:t>
      </w:r>
      <w:r w:rsidR="005036C5" w:rsidRPr="00065200">
        <w:t>example of Government investment</w:t>
      </w:r>
      <w:r w:rsidRPr="00065200">
        <w:t xml:space="preserve"> in non</w:t>
      </w:r>
      <w:r w:rsidR="0092538C">
        <w:noBreakHyphen/>
      </w:r>
      <w:r w:rsidRPr="00065200">
        <w:t xml:space="preserve">R&amp;D innovation </w:t>
      </w:r>
      <w:r w:rsidR="005036C5" w:rsidRPr="00065200">
        <w:t>is</w:t>
      </w:r>
      <w:r w:rsidR="0037018F" w:rsidRPr="00065200">
        <w:t xml:space="preserve"> the two-year $1.5 </w:t>
      </w:r>
      <w:r w:rsidRPr="00065200">
        <w:t>million Supersonic Deposition 3D printer pilot program, a world</w:t>
      </w:r>
      <w:r w:rsidR="0092538C">
        <w:noBreakHyphen/>
      </w:r>
      <w:r w:rsidRPr="00065200">
        <w:t>first program that has installed Australian-made 3D printers on Australian Navy vessels to st</w:t>
      </w:r>
      <w:r w:rsidR="00DC73BE" w:rsidRPr="00065200">
        <w:t>reamline maintenance processes.</w:t>
      </w:r>
      <w:r w:rsidR="00DC73BE" w:rsidRPr="00065200">
        <w:rPr>
          <w:rStyle w:val="FootnoteReference"/>
        </w:rPr>
        <w:footnoteReference w:id="166"/>
      </w:r>
    </w:p>
    <w:p w14:paraId="5B8F05D1" w14:textId="5FD30016" w:rsidR="008C4BCA" w:rsidRPr="00065200" w:rsidRDefault="008C4BCA" w:rsidP="008C4BCA">
      <w:r w:rsidRPr="00065200">
        <w:t>The impact of investment in non-R&amp;D innovation programs has been recognised in the Public Sector Innovation Awards,</w:t>
      </w:r>
      <w:r w:rsidRPr="00065200">
        <w:rPr>
          <w:rStyle w:val="FootnoteReference"/>
        </w:rPr>
        <w:footnoteReference w:id="167"/>
      </w:r>
      <w:r w:rsidRPr="00065200">
        <w:t xml:space="preserve"> including PSMF programs such as the Behavioural Economics Team of the </w:t>
      </w:r>
      <w:r w:rsidR="00D10713" w:rsidRPr="00065200">
        <w:t>Australian Government (BETA), the</w:t>
      </w:r>
      <w:r w:rsidRPr="00065200">
        <w:t xml:space="preserve"> Digital Library Infrastructure Replacement Program, and the Defence Industry and Innovation Program. </w:t>
      </w:r>
    </w:p>
    <w:p w14:paraId="14D6E8EE" w14:textId="78839E7B" w:rsidR="00CE02B2" w:rsidRPr="00065200" w:rsidRDefault="005E408C" w:rsidP="008C4BCA">
      <w:r>
        <w:t>P</w:t>
      </w:r>
      <w:r w:rsidR="00F812CC" w:rsidRPr="00065200">
        <w:t>revious analys</w:t>
      </w:r>
      <w:r w:rsidR="0064130E">
        <w:t>e</w:t>
      </w:r>
      <w:r w:rsidR="00F812CC" w:rsidRPr="00065200">
        <w:t>s ha</w:t>
      </w:r>
      <w:r w:rsidR="0064130E">
        <w:t>ve</w:t>
      </w:r>
      <w:r w:rsidR="007F77F3" w:rsidRPr="00065200">
        <w:t xml:space="preserve"> shown that little government investment </w:t>
      </w:r>
      <w:r w:rsidR="00F812CC" w:rsidRPr="00065200">
        <w:t>is directed at supporting non</w:t>
      </w:r>
      <w:r w:rsidR="00F812CC" w:rsidRPr="00065200">
        <w:noBreakHyphen/>
      </w:r>
      <w:r w:rsidR="007F77F3" w:rsidRPr="00065200">
        <w:t>R&amp;D innovation for business</w:t>
      </w:r>
      <w:r w:rsidR="00572DD7" w:rsidRPr="00065200">
        <w:t>es</w:t>
      </w:r>
      <w:r w:rsidR="00191BDA">
        <w:t>.</w:t>
      </w:r>
      <w:r w:rsidR="005E35B3" w:rsidRPr="00065200">
        <w:t xml:space="preserve"> </w:t>
      </w:r>
      <w:r w:rsidR="00DB4997">
        <w:t>D</w:t>
      </w:r>
      <w:r w:rsidR="00DB4997" w:rsidRPr="00065200">
        <w:t>espite the increasing recognition of the role that non</w:t>
      </w:r>
      <w:r w:rsidR="00DB4997" w:rsidRPr="00065200">
        <w:noBreakHyphen/>
        <w:t>R&amp;D innovation plays in business productivity</w:t>
      </w:r>
      <w:r w:rsidR="00DB4997">
        <w:t>, g</w:t>
      </w:r>
      <w:r w:rsidR="007B1160" w:rsidRPr="00065200">
        <w:t xml:space="preserve">overnment support for businesses </w:t>
      </w:r>
      <w:r w:rsidR="0096316C">
        <w:t>is</w:t>
      </w:r>
      <w:r w:rsidR="0096316C" w:rsidRPr="00065200">
        <w:t xml:space="preserve"> </w:t>
      </w:r>
      <w:r w:rsidR="007B1160" w:rsidRPr="00065200">
        <w:t xml:space="preserve">primarily </w:t>
      </w:r>
      <w:r w:rsidR="005E35B3" w:rsidRPr="00065200">
        <w:t>(</w:t>
      </w:r>
      <w:r w:rsidR="007B1160" w:rsidRPr="00065200">
        <w:t>90</w:t>
      </w:r>
      <w:r w:rsidR="00205144">
        <w:t> per cent</w:t>
      </w:r>
      <w:r w:rsidR="007B1160" w:rsidRPr="00065200">
        <w:t xml:space="preserve"> of all support, and 96</w:t>
      </w:r>
      <w:r w:rsidR="00205144">
        <w:t> per cent</w:t>
      </w:r>
      <w:r w:rsidR="007B1160" w:rsidRPr="00065200">
        <w:t xml:space="preserve"> of broad-based support</w:t>
      </w:r>
      <w:r w:rsidR="005E35B3" w:rsidRPr="00065200">
        <w:t xml:space="preserve">) </w:t>
      </w:r>
      <w:r w:rsidR="007B1160" w:rsidRPr="00065200">
        <w:t xml:space="preserve">focussed through </w:t>
      </w:r>
      <w:r w:rsidR="00191BDA">
        <w:t xml:space="preserve">the </w:t>
      </w:r>
      <w:r w:rsidR="007B1160" w:rsidRPr="00065200">
        <w:t>R&amp;DTI</w:t>
      </w:r>
      <w:r w:rsidR="00886126">
        <w:t>,</w:t>
      </w:r>
      <w:r w:rsidR="005E35B3" w:rsidRPr="00065200">
        <w:t xml:space="preserve"> which </w:t>
      </w:r>
      <w:r w:rsidR="007B1160" w:rsidRPr="00065200">
        <w:t xml:space="preserve">excludes </w:t>
      </w:r>
      <w:r w:rsidR="005E35B3" w:rsidRPr="00065200">
        <w:t xml:space="preserve">many aspects of </w:t>
      </w:r>
      <w:r w:rsidR="007B1160" w:rsidRPr="00065200">
        <w:t>non-R&amp;D innovation by design</w:t>
      </w:r>
      <w:r w:rsidR="007F77F3" w:rsidRPr="00065200">
        <w:t xml:space="preserve">. This analysis </w:t>
      </w:r>
      <w:r w:rsidR="00DB4997">
        <w:t xml:space="preserve">also </w:t>
      </w:r>
      <w:r w:rsidR="007F77F3" w:rsidRPr="00065200">
        <w:t xml:space="preserve">showed that </w:t>
      </w:r>
      <w:r w:rsidR="00F812CC" w:rsidRPr="00065200">
        <w:t>firms</w:t>
      </w:r>
      <w:r w:rsidR="00DB4997">
        <w:t xml:space="preserve"> which</w:t>
      </w:r>
      <w:r w:rsidR="00F812CC" w:rsidRPr="00065200">
        <w:t xml:space="preserve"> invested in non</w:t>
      </w:r>
      <w:r w:rsidR="00F812CC" w:rsidRPr="00065200">
        <w:noBreakHyphen/>
      </w:r>
      <w:r w:rsidR="007F77F3" w:rsidRPr="00065200">
        <w:t>R&amp;D innovation outperformed firms that did not invest</w:t>
      </w:r>
      <w:r w:rsidR="00F812CC" w:rsidRPr="00065200">
        <w:t xml:space="preserve"> in innovation. For example,</w:t>
      </w:r>
      <w:r w:rsidR="00886126">
        <w:t xml:space="preserve"> s</w:t>
      </w:r>
      <w:r w:rsidR="00886126" w:rsidRPr="004603FB">
        <w:t>mall and medium-sized enterprises</w:t>
      </w:r>
      <w:r w:rsidR="004603FB" w:rsidRPr="004603FB">
        <w:t xml:space="preserve"> </w:t>
      </w:r>
      <w:r w:rsidR="00886126">
        <w:t>(</w:t>
      </w:r>
      <w:r w:rsidR="00F812CC" w:rsidRPr="00065200">
        <w:t>SMEs</w:t>
      </w:r>
      <w:r w:rsidR="00886126">
        <w:t>)</w:t>
      </w:r>
      <w:r w:rsidR="007F77F3" w:rsidRPr="00065200">
        <w:t xml:space="preserve"> with a high growth in technology spending increased the</w:t>
      </w:r>
      <w:r w:rsidR="00F812CC" w:rsidRPr="00065200">
        <w:t>ir revenue by an additional 3.5 </w:t>
      </w:r>
      <w:r w:rsidR="007F77F3" w:rsidRPr="00065200">
        <w:t>percentage points per year faster</w:t>
      </w:r>
      <w:r w:rsidR="00AF6E54" w:rsidRPr="00065200">
        <w:t>,</w:t>
      </w:r>
      <w:r w:rsidR="007F77F3" w:rsidRPr="00065200">
        <w:t xml:space="preserve"> and employment by an addition</w:t>
      </w:r>
      <w:r w:rsidR="00F812CC" w:rsidRPr="00065200">
        <w:t>al 5.2 </w:t>
      </w:r>
      <w:r w:rsidR="007F77F3" w:rsidRPr="00065200">
        <w:t>percentage points faster than those with low technology spending.</w:t>
      </w:r>
      <w:r w:rsidR="00DB4997" w:rsidRPr="00065200">
        <w:rPr>
          <w:vertAlign w:val="superscript"/>
        </w:rPr>
        <w:footnoteReference w:id="168"/>
      </w:r>
    </w:p>
    <w:p w14:paraId="36B6D490" w14:textId="23369911" w:rsidR="00CE02B2" w:rsidRPr="00065200" w:rsidRDefault="00DB4997" w:rsidP="008C4BCA">
      <w:r>
        <w:t>The OECD has found that n</w:t>
      </w:r>
      <w:r w:rsidR="00CE02B2" w:rsidRPr="00065200">
        <w:t xml:space="preserve">on-R&amp;D innovation </w:t>
      </w:r>
      <w:r>
        <w:t xml:space="preserve">also </w:t>
      </w:r>
      <w:r w:rsidR="00CE02B2" w:rsidRPr="00065200">
        <w:t xml:space="preserve">plays a significant role in increasing business value. For example, between 1995 and 2010, </w:t>
      </w:r>
      <w:r w:rsidR="00405354">
        <w:t>US</w:t>
      </w:r>
      <w:r w:rsidR="00CE02B2" w:rsidRPr="00065200">
        <w:t xml:space="preserve"> spending on R&amp;D rose from 2.3</w:t>
      </w:r>
      <w:r w:rsidR="00E96CA2" w:rsidRPr="00065200">
        <w:t> </w:t>
      </w:r>
      <w:r w:rsidR="00CE02B2" w:rsidRPr="00065200">
        <w:t>to 2.4</w:t>
      </w:r>
      <w:r w:rsidR="00205144">
        <w:t> per cent</w:t>
      </w:r>
      <w:r w:rsidR="00CE02B2" w:rsidRPr="00065200">
        <w:t xml:space="preserve"> of value added across the economy</w:t>
      </w:r>
      <w:r w:rsidR="007172EA">
        <w:t>,</w:t>
      </w:r>
      <w:r w:rsidR="00CE02B2" w:rsidRPr="00065200">
        <w:t xml:space="preserve"> while spending on non-R&amp;D innovation increased from 8.5</w:t>
      </w:r>
      <w:r w:rsidR="00E96CA2" w:rsidRPr="00065200">
        <w:t> </w:t>
      </w:r>
      <w:r w:rsidR="00CE02B2" w:rsidRPr="00065200">
        <w:t xml:space="preserve">to </w:t>
      </w:r>
      <w:r w:rsidR="00CE02B2" w:rsidRPr="00065200">
        <w:lastRenderedPageBreak/>
        <w:t>11.2</w:t>
      </w:r>
      <w:r w:rsidR="00205144">
        <w:t> per cent</w:t>
      </w:r>
      <w:r w:rsidR="00CE02B2" w:rsidRPr="00065200">
        <w:t xml:space="preserve"> of value added across the economy.</w:t>
      </w:r>
      <w:r w:rsidR="00CE02B2" w:rsidRPr="00065200">
        <w:rPr>
          <w:rStyle w:val="FootnoteReference"/>
        </w:rPr>
        <w:footnoteReference w:id="169"/>
      </w:r>
      <w:r w:rsidR="00CE02B2" w:rsidRPr="00065200">
        <w:t xml:space="preserve"> </w:t>
      </w:r>
      <w:r>
        <w:t>Non-R&amp;D i</w:t>
      </w:r>
      <w:r w:rsidR="00CE02B2" w:rsidRPr="00065200">
        <w:t xml:space="preserve">nnovation can also spur economic growth </w:t>
      </w:r>
      <w:r>
        <w:t>as</w:t>
      </w:r>
      <w:r w:rsidRPr="00065200">
        <w:t xml:space="preserve"> </w:t>
      </w:r>
      <w:r w:rsidR="00CE02B2" w:rsidRPr="00065200">
        <w:t>some forms of innovation (such as software and designs) can be replicated at almost no cost and this c</w:t>
      </w:r>
      <w:r w:rsidR="00095E4E">
        <w:t>an lead to increasing returns on</w:t>
      </w:r>
      <w:r w:rsidR="00CE02B2" w:rsidRPr="00065200">
        <w:t xml:space="preserve"> scale.</w:t>
      </w:r>
    </w:p>
    <w:p w14:paraId="18DF0B14" w14:textId="06EF0BA3" w:rsidR="007F77F3" w:rsidRPr="00065200" w:rsidRDefault="00572DD7" w:rsidP="008C4BCA">
      <w:r w:rsidRPr="00065200">
        <w:t xml:space="preserve">Given the potential for non-R&amp;D innovation to boost productivity, jobs and growth, </w:t>
      </w:r>
      <w:r w:rsidR="007172EA" w:rsidRPr="00065200">
        <w:t>it</w:t>
      </w:r>
      <w:r w:rsidR="007172EA">
        <w:t xml:space="preserve"> is </w:t>
      </w:r>
      <w:r w:rsidRPr="00065200">
        <w:t>imperative that government accelerates it</w:t>
      </w:r>
      <w:r w:rsidR="00E82544" w:rsidRPr="00065200">
        <w:t>s support for</w:t>
      </w:r>
      <w:r w:rsidRPr="00065200">
        <w:t xml:space="preserve"> non-R&amp;D innovation</w:t>
      </w:r>
      <w:r w:rsidR="00673854" w:rsidRPr="00065200">
        <w:t xml:space="preserve"> both to businesses and </w:t>
      </w:r>
      <w:r w:rsidR="00343888">
        <w:t>government</w:t>
      </w:r>
      <w:r w:rsidR="0069335D" w:rsidRPr="00065200">
        <w:t xml:space="preserve">. However, </w:t>
      </w:r>
      <w:r w:rsidR="00673854" w:rsidRPr="00065200">
        <w:t xml:space="preserve">care needs to be taken not to do so at the expense of </w:t>
      </w:r>
      <w:r w:rsidR="00160FC1" w:rsidRPr="00065200">
        <w:t xml:space="preserve">effective </w:t>
      </w:r>
      <w:r w:rsidR="00EE4404" w:rsidRPr="00065200">
        <w:t xml:space="preserve">investment in innovation stemming from </w:t>
      </w:r>
      <w:r w:rsidR="00673854" w:rsidRPr="00065200">
        <w:t>R&amp;D</w:t>
      </w:r>
      <w:r w:rsidRPr="00065200">
        <w:t>.</w:t>
      </w:r>
    </w:p>
    <w:p w14:paraId="3FB8C42D" w14:textId="77777777" w:rsidR="00C20DED" w:rsidRPr="00065200" w:rsidRDefault="005F4741" w:rsidP="00072FCD">
      <w:pPr>
        <w:pStyle w:val="Heading3"/>
      </w:pPr>
      <w:r w:rsidRPr="00065200">
        <w:t>Ensuring a core of funding for basic r</w:t>
      </w:r>
      <w:r w:rsidR="00C20DED" w:rsidRPr="00065200">
        <w:t>esearch</w:t>
      </w:r>
    </w:p>
    <w:p w14:paraId="2E4AB7E2" w14:textId="1C71D821" w:rsidR="008B3320" w:rsidRPr="00065200" w:rsidRDefault="008B3320" w:rsidP="008B3320">
      <w:pPr>
        <w:rPr>
          <w:rFonts w:eastAsia="Microsoft New Tai Lue"/>
        </w:rPr>
      </w:pPr>
      <w:r w:rsidRPr="00065200">
        <w:t>Australia’s research performs well globally</w:t>
      </w:r>
      <w:r w:rsidR="007172EA">
        <w:t xml:space="preserve"> </w:t>
      </w:r>
      <w:r w:rsidR="00B54EAA">
        <w:t>and</w:t>
      </w:r>
      <w:r w:rsidR="00AF6E54" w:rsidRPr="00065200">
        <w:t xml:space="preserve"> is responsible for 2.7</w:t>
      </w:r>
      <w:r w:rsidR="00205144">
        <w:t> per cent</w:t>
      </w:r>
      <w:r w:rsidR="00E0453C" w:rsidRPr="00065200">
        <w:t xml:space="preserve"> of the world’s scientific output</w:t>
      </w:r>
      <w:r w:rsidR="00AF6E54" w:rsidRPr="00065200">
        <w:t>, while being home to 0.34</w:t>
      </w:r>
      <w:r w:rsidR="00205144">
        <w:t> per cent</w:t>
      </w:r>
      <w:r w:rsidRPr="00065200">
        <w:t xml:space="preserve"> of the world’s population</w:t>
      </w:r>
      <w:r w:rsidR="00E0453C" w:rsidRPr="00065200">
        <w:t xml:space="preserve">. </w:t>
      </w:r>
      <w:r w:rsidR="00AF6E54" w:rsidRPr="00065200">
        <w:t>In terms of the overall quality and quantity of its scientific publications</w:t>
      </w:r>
      <w:r w:rsidR="00641EBE">
        <w:t>,</w:t>
      </w:r>
      <w:r w:rsidR="00AF6E54" w:rsidRPr="00065200">
        <w:t xml:space="preserve"> Australia ranked tenth globally in 2018</w:t>
      </w:r>
      <w:r w:rsidRPr="00065200">
        <w:t>.</w:t>
      </w:r>
      <w:r w:rsidRPr="00065200">
        <w:rPr>
          <w:rStyle w:val="FootnoteReference"/>
        </w:rPr>
        <w:footnoteReference w:id="170"/>
      </w:r>
      <w:r w:rsidRPr="00065200">
        <w:t xml:space="preserve"> </w:t>
      </w:r>
      <w:r w:rsidRPr="00065200">
        <w:rPr>
          <w:rFonts w:eastAsia="Microsoft New Tai Lue"/>
        </w:rPr>
        <w:t>Previous reviews have highlighted a need for significant improvement in knowledge application, including collaboration between publicly funde</w:t>
      </w:r>
      <w:r w:rsidR="00641EBE">
        <w:rPr>
          <w:rFonts w:eastAsia="Microsoft New Tai Lue"/>
        </w:rPr>
        <w:t>d researchers and businesses as well as the</w:t>
      </w:r>
      <w:r w:rsidRPr="00065200">
        <w:rPr>
          <w:rFonts w:eastAsia="Microsoft New Tai Lue"/>
        </w:rPr>
        <w:t xml:space="preserve"> commercialisation of Government</w:t>
      </w:r>
      <w:r w:rsidR="00966644">
        <w:rPr>
          <w:rFonts w:eastAsia="Microsoft New Tai Lue"/>
        </w:rPr>
        <w:t>-</w:t>
      </w:r>
      <w:r w:rsidRPr="00065200">
        <w:rPr>
          <w:rFonts w:eastAsia="Microsoft New Tai Lue"/>
        </w:rPr>
        <w:t>funded research.</w:t>
      </w:r>
      <w:r w:rsidRPr="00065200">
        <w:rPr>
          <w:rStyle w:val="FootnoteReference"/>
          <w:rFonts w:eastAsia="Microsoft New Tai Lue"/>
        </w:rPr>
        <w:footnoteReference w:id="171"/>
      </w:r>
    </w:p>
    <w:p w14:paraId="037D2229" w14:textId="502A92B0" w:rsidR="00B87126" w:rsidRPr="00065200" w:rsidRDefault="00B87126" w:rsidP="008B3320">
      <w:r w:rsidRPr="00065200">
        <w:fldChar w:fldCharType="begin"/>
      </w:r>
      <w:r w:rsidRPr="00065200">
        <w:instrText xml:space="preserve"> REF _Ref40797194 \h </w:instrText>
      </w:r>
      <w:r w:rsidRPr="00065200">
        <w:fldChar w:fldCharType="separate"/>
      </w:r>
      <w:r w:rsidR="00807393" w:rsidRPr="00065200">
        <w:t xml:space="preserve">Figure </w:t>
      </w:r>
      <w:r w:rsidR="00807393">
        <w:rPr>
          <w:noProof/>
        </w:rPr>
        <w:t>4</w:t>
      </w:r>
      <w:r w:rsidRPr="00065200">
        <w:fldChar w:fldCharType="end"/>
      </w:r>
      <w:r w:rsidRPr="00065200">
        <w:t xml:space="preserve"> shows</w:t>
      </w:r>
      <w:r w:rsidR="00603B7D">
        <w:t xml:space="preserve"> </w:t>
      </w:r>
      <w:r w:rsidR="001503D5">
        <w:t>Australia’s</w:t>
      </w:r>
      <w:r w:rsidRPr="00065200">
        <w:t xml:space="preserve"> gross expenditure in R&amp;D (GERD)</w:t>
      </w:r>
      <w:r w:rsidR="004865A6">
        <w:t xml:space="preserve">, which </w:t>
      </w:r>
      <w:r w:rsidR="00EC0323">
        <w:t>encompasses</w:t>
      </w:r>
      <w:r w:rsidR="004865A6">
        <w:t xml:space="preserve"> </w:t>
      </w:r>
      <w:r w:rsidR="004865A6" w:rsidRPr="00EC0323">
        <w:t>both</w:t>
      </w:r>
      <w:r w:rsidRPr="00EC0323">
        <w:t xml:space="preserve"> basic research</w:t>
      </w:r>
      <w:r w:rsidR="002659DC">
        <w:t>,</w:t>
      </w:r>
      <w:r w:rsidRPr="00065200">
        <w:t xml:space="preserve"> </w:t>
      </w:r>
      <w:r w:rsidR="004865A6">
        <w:t>and</w:t>
      </w:r>
      <w:r w:rsidRPr="00065200">
        <w:t xml:space="preserve"> applied research and experimental development, as a percentage of GDP.</w:t>
      </w:r>
      <w:r w:rsidRPr="00065200">
        <w:rPr>
          <w:rStyle w:val="FootnoteReference"/>
        </w:rPr>
        <w:footnoteReference w:id="172"/>
      </w:r>
      <w:r w:rsidRPr="00065200">
        <w:t xml:space="preserve"> It also shows expenditure by type</w:t>
      </w:r>
      <w:r w:rsidR="00EC0323">
        <w:t xml:space="preserve"> of </w:t>
      </w:r>
      <w:r w:rsidR="00CE742D">
        <w:t>R&amp;D</w:t>
      </w:r>
      <w:r w:rsidRPr="00065200">
        <w:t xml:space="preserve"> across key ISR </w:t>
      </w:r>
      <w:r w:rsidR="0046274E" w:rsidRPr="00065200">
        <w:t>actors</w:t>
      </w:r>
      <w:r w:rsidRPr="00065200">
        <w:t xml:space="preserve">, as a percentage of total R&amp;D expenditure. This </w:t>
      </w:r>
      <w:r w:rsidR="00CE742D">
        <w:t>figure</w:t>
      </w:r>
      <w:r w:rsidRPr="00065200">
        <w:t xml:space="preserve"> shows the overall level of basic research being performed in Australia has been relatively stable from 2000 to 2016. Thi</w:t>
      </w:r>
      <w:r w:rsidR="00AA56AF" w:rsidRPr="00065200">
        <w:t>s equates to an average of 22.3</w:t>
      </w:r>
      <w:r w:rsidR="00205144">
        <w:t> per cent</w:t>
      </w:r>
      <w:r w:rsidRPr="00065200">
        <w:t xml:space="preserve"> of the total R&amp;D expenditure</w:t>
      </w:r>
      <w:r w:rsidR="00FF7519" w:rsidRPr="00065200">
        <w:t xml:space="preserve"> invested by all ISR actors</w:t>
      </w:r>
      <w:r w:rsidR="006A4655">
        <w:t xml:space="preserve"> over the period</w:t>
      </w:r>
      <w:r w:rsidRPr="00065200">
        <w:t xml:space="preserve">. </w:t>
      </w:r>
      <w:r w:rsidR="00AA56AF" w:rsidRPr="00065200">
        <w:t>Sixty two</w:t>
      </w:r>
      <w:r w:rsidR="00205144">
        <w:t> per cent</w:t>
      </w:r>
      <w:r w:rsidRPr="00065200">
        <w:t xml:space="preserve"> of</w:t>
      </w:r>
      <w:r w:rsidR="002729CD">
        <w:t xml:space="preserve"> all</w:t>
      </w:r>
      <w:r w:rsidRPr="00065200">
        <w:t xml:space="preserve"> basic research </w:t>
      </w:r>
      <w:r w:rsidR="006A4655">
        <w:t xml:space="preserve">was </w:t>
      </w:r>
      <w:r w:rsidRPr="00065200">
        <w:t>performed by the higher education sector.</w:t>
      </w:r>
    </w:p>
    <w:p w14:paraId="223168C5" w14:textId="0D09D2E3" w:rsidR="00194927" w:rsidRPr="00065200" w:rsidRDefault="00194927" w:rsidP="008B3320">
      <w:r w:rsidRPr="00065200">
        <w:t>In contrast, applied research and experimental development are performed at much higher levels than basic research</w:t>
      </w:r>
      <w:r>
        <w:t>; this trend is particularly marked in the business-performed R&amp;D sector</w:t>
      </w:r>
      <w:r w:rsidRPr="00065200">
        <w:t xml:space="preserve">. While the level of applied research and experimental development has been steadily decreasing in some sectors (government and business performed R&amp;D), </w:t>
      </w:r>
      <w:r>
        <w:t>it</w:t>
      </w:r>
      <w:r w:rsidRPr="00065200">
        <w:t xml:space="preserve"> still remain</w:t>
      </w:r>
      <w:r>
        <w:t>s</w:t>
      </w:r>
      <w:r w:rsidRPr="00065200">
        <w:t xml:space="preserve"> significantly higher than basic research. In the higher education sector</w:t>
      </w:r>
      <w:r>
        <w:t>,</w:t>
      </w:r>
      <w:r w:rsidRPr="00065200">
        <w:t xml:space="preserve"> however, there has been an increase in the amount of applied research and experimental development as a percentage of total R&amp;D expenditure</w:t>
      </w:r>
      <w:r>
        <w:t xml:space="preserve"> (two</w:t>
      </w:r>
      <w:r>
        <w:noBreakHyphen/>
      </w:r>
      <w:r w:rsidRPr="00065200">
        <w:t>fold over the period 1992 to 2016), where this type of research overtook the level of basic research performed by the higher education sector in 2006.</w:t>
      </w:r>
    </w:p>
    <w:p w14:paraId="72943630" w14:textId="1E9C3DF9" w:rsidR="00EB24CA" w:rsidRPr="00065200" w:rsidRDefault="00EC0323" w:rsidP="007549DF">
      <w:pPr>
        <w:keepNext/>
        <w:spacing w:after="0"/>
        <w:jc w:val="center"/>
      </w:pPr>
      <w:r>
        <w:rPr>
          <w:noProof/>
          <w:lang w:eastAsia="en-AU"/>
        </w:rPr>
        <w:lastRenderedPageBreak/>
        <w:drawing>
          <wp:inline distT="0" distB="0" distL="0" distR="0" wp14:anchorId="564E10B2" wp14:editId="055F5D39">
            <wp:extent cx="5635461" cy="5093070"/>
            <wp:effectExtent l="0" t="0" r="3810" b="0"/>
            <wp:docPr id="4" name="Picture 4" descr="Figure 4 shows Australia’s gross expenditure in R&amp;D, basic research and applied research/experimental development as a percentage of GDP. This figure shows the overall level of basic research being performed in Australia has been relatively stable from 2000 to 2016. In contrast GERD and applied research/experimental development peaked in 2008-09 and have been declining since. &#10;This figure also shows expenditure by type of R&amp;D across key ISR actors, as a percentage of total R&amp;D expenditure. Commonwealth, and state and territory  performed basic research and applied research/experimental development has declined consistently since 2001-01. Higher education perfomed basic research and applied research/experimental development has risen since 2008-09." title="Comparison of R&amp;D expenditure in basic research with applied research and experimental development across key ISR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35461" cy="5093070"/>
                    </a:xfrm>
                    <a:prstGeom prst="rect">
                      <a:avLst/>
                    </a:prstGeom>
                    <a:noFill/>
                  </pic:spPr>
                </pic:pic>
              </a:graphicData>
            </a:graphic>
          </wp:inline>
        </w:drawing>
      </w:r>
    </w:p>
    <w:p w14:paraId="3AEFD197" w14:textId="77777777" w:rsidR="00893246" w:rsidRPr="00065200" w:rsidRDefault="00893246" w:rsidP="00621990">
      <w:pPr>
        <w:pStyle w:val="Caption"/>
        <w:spacing w:before="240"/>
      </w:pPr>
      <w:bookmarkStart w:id="455" w:name="_Ref40797194"/>
      <w:r w:rsidRPr="00065200">
        <w:t xml:space="preserve">Figure </w:t>
      </w:r>
      <w:r w:rsidRPr="00065200">
        <w:fldChar w:fldCharType="begin"/>
      </w:r>
      <w:r w:rsidRPr="00065200">
        <w:instrText xml:space="preserve"> SEQ Figure \* ARABIC </w:instrText>
      </w:r>
      <w:r w:rsidRPr="00065200">
        <w:fldChar w:fldCharType="separate"/>
      </w:r>
      <w:r w:rsidR="00807393">
        <w:rPr>
          <w:noProof/>
        </w:rPr>
        <w:t>4</w:t>
      </w:r>
      <w:r w:rsidRPr="00065200">
        <w:fldChar w:fldCharType="end"/>
      </w:r>
      <w:bookmarkEnd w:id="455"/>
      <w:r w:rsidRPr="00065200">
        <w:t xml:space="preserve"> </w:t>
      </w:r>
      <w:r w:rsidR="00E3236A" w:rsidRPr="00065200">
        <w:t>Comparison</w:t>
      </w:r>
      <w:r w:rsidRPr="00065200">
        <w:t xml:space="preserve"> of R&amp;D expenditure </w:t>
      </w:r>
      <w:r w:rsidR="00E3236A" w:rsidRPr="00065200">
        <w:t>in basic research with applied research and experimental development</w:t>
      </w:r>
      <w:r w:rsidRPr="00065200">
        <w:t xml:space="preserve"> across key ISR sectors</w:t>
      </w:r>
    </w:p>
    <w:p w14:paraId="7AF049AA" w14:textId="4DB685ED" w:rsidR="00C20DED" w:rsidRPr="00065200" w:rsidRDefault="008C424D" w:rsidP="00C20DED">
      <w:r w:rsidRPr="00065200">
        <w:t xml:space="preserve">Investment in basic research is important to ensure Australia develops both </w:t>
      </w:r>
      <w:r w:rsidR="003E5B76">
        <w:t>a</w:t>
      </w:r>
      <w:r w:rsidRPr="00065200">
        <w:t xml:space="preserve"> foundation of technological innovation</w:t>
      </w:r>
      <w:r w:rsidR="005E7A97">
        <w:t xml:space="preserve"> </w:t>
      </w:r>
      <w:r w:rsidRPr="00065200">
        <w:t>and the ability to ensure successful applied and commercialised research.</w:t>
      </w:r>
      <w:r w:rsidRPr="00065200">
        <w:rPr>
          <w:rStyle w:val="FootnoteReference"/>
        </w:rPr>
        <w:footnoteReference w:id="173"/>
      </w:r>
      <w:r w:rsidR="006C60E7" w:rsidRPr="00065200">
        <w:t xml:space="preserve"> </w:t>
      </w:r>
      <w:r w:rsidR="00C20DED" w:rsidRPr="00065200">
        <w:t>The OECD has shown that basic research</w:t>
      </w:r>
      <w:r w:rsidR="0064130E">
        <w:t xml:space="preserve"> in particular</w:t>
      </w:r>
      <w:r w:rsidR="00C20DED" w:rsidRPr="00065200">
        <w:t xml:space="preserve"> drive</w:t>
      </w:r>
      <w:r w:rsidR="00C61079" w:rsidRPr="00065200">
        <w:t xml:space="preserve">s long-term productivity growth. </w:t>
      </w:r>
      <w:r w:rsidR="00C20DED" w:rsidRPr="00065200">
        <w:t>Government funding of basic research is particularly important to address inherent under-investment in basic research by businesses</w:t>
      </w:r>
      <w:r w:rsidR="005620C4" w:rsidRPr="00065200">
        <w:t xml:space="preserve"> due to the </w:t>
      </w:r>
      <w:r w:rsidR="006A4655">
        <w:t>high costs involved and the potential for</w:t>
      </w:r>
      <w:r w:rsidR="005620C4" w:rsidRPr="00065200">
        <w:t xml:space="preserve"> large knowledge spillovers</w:t>
      </w:r>
      <w:r w:rsidR="00C20DED" w:rsidRPr="00065200">
        <w:t>.</w:t>
      </w:r>
      <w:r w:rsidR="00C20DED" w:rsidRPr="00065200">
        <w:rPr>
          <w:rStyle w:val="FootnoteReference"/>
        </w:rPr>
        <w:footnoteReference w:id="174"/>
      </w:r>
      <w:r w:rsidR="00C20DED" w:rsidRPr="00065200">
        <w:t xml:space="preserve"> </w:t>
      </w:r>
      <w:r w:rsidR="00E175BD" w:rsidRPr="00065200">
        <w:t xml:space="preserve">Government funding of basic research is </w:t>
      </w:r>
      <w:r w:rsidR="00206A40">
        <w:t>also</w:t>
      </w:r>
      <w:r w:rsidR="00E175BD" w:rsidRPr="00065200">
        <w:t xml:space="preserve"> needed to ensure Australia develops world-leading technologies.</w:t>
      </w:r>
      <w:r w:rsidR="00E175BD" w:rsidRPr="00065200">
        <w:rPr>
          <w:rStyle w:val="FootnoteReference"/>
        </w:rPr>
        <w:footnoteReference w:id="175"/>
      </w:r>
    </w:p>
    <w:p w14:paraId="6F46F8F7" w14:textId="77777777" w:rsidR="00C20DED" w:rsidRPr="00065200" w:rsidRDefault="005F4741" w:rsidP="00072FCD">
      <w:pPr>
        <w:pStyle w:val="Heading3"/>
      </w:pPr>
      <w:r w:rsidRPr="00065200">
        <w:lastRenderedPageBreak/>
        <w:t xml:space="preserve">Improving </w:t>
      </w:r>
      <w:r w:rsidR="003A490E" w:rsidRPr="00065200">
        <w:t>business-research collaboration and</w:t>
      </w:r>
      <w:r w:rsidR="003A490E" w:rsidRPr="009B687D">
        <w:rPr>
          <w:lang w:val="en-AU"/>
        </w:rPr>
        <w:t xml:space="preserve"> </w:t>
      </w:r>
      <w:r w:rsidRPr="009B687D">
        <w:rPr>
          <w:lang w:val="en-AU"/>
        </w:rPr>
        <w:t>commercialisation</w:t>
      </w:r>
      <w:r w:rsidRPr="00065200">
        <w:t xml:space="preserve"> outcomes</w:t>
      </w:r>
    </w:p>
    <w:p w14:paraId="10C9FF77" w14:textId="280BB240" w:rsidR="008B3320" w:rsidRPr="00065200" w:rsidRDefault="008B3320" w:rsidP="008B3320">
      <w:r w:rsidRPr="00065200">
        <w:t xml:space="preserve">While Australia is globally ranked </w:t>
      </w:r>
      <w:r w:rsidR="00047668">
        <w:t xml:space="preserve">as </w:t>
      </w:r>
      <w:r w:rsidRPr="00065200">
        <w:t xml:space="preserve">above average at knowledge creation, there is </w:t>
      </w:r>
      <w:r w:rsidR="00B80118" w:rsidRPr="00065200">
        <w:t>substantial scope</w:t>
      </w:r>
      <w:r w:rsidRPr="00065200">
        <w:t xml:space="preserve"> to improve the effectiveness of Australia’s knowledge translation and commercialisat</w:t>
      </w:r>
      <w:r w:rsidR="00B134BD" w:rsidRPr="00065200">
        <w:t>ion. T</w:t>
      </w:r>
      <w:r w:rsidRPr="00065200">
        <w:t>here are proven benefits of industry-research collaboration</w:t>
      </w:r>
      <w:r w:rsidR="005E7A97">
        <w:t xml:space="preserve"> </w:t>
      </w:r>
      <w:r w:rsidRPr="00065200">
        <w:t>and government has invested in multiple measures to directly stimulate the commercialisation of publicly-funded research</w:t>
      </w:r>
      <w:r w:rsidR="00B134BD" w:rsidRPr="00065200">
        <w:t xml:space="preserve"> including </w:t>
      </w:r>
      <w:r w:rsidR="00625C1A" w:rsidRPr="00065200">
        <w:t>CRCs/CRC</w:t>
      </w:r>
      <w:r w:rsidR="00625C1A" w:rsidRPr="00065200">
        <w:noBreakHyphen/>
        <w:t xml:space="preserve">P’s, ARC Linkage Projects, </w:t>
      </w:r>
      <w:r w:rsidR="004603FB" w:rsidRPr="004603FB">
        <w:t xml:space="preserve">National Health and Medical Research Council </w:t>
      </w:r>
      <w:r w:rsidR="004603FB">
        <w:t>(</w:t>
      </w:r>
      <w:r w:rsidR="00625C1A" w:rsidRPr="00065200">
        <w:t>NHMRC</w:t>
      </w:r>
      <w:r w:rsidR="004603FB">
        <w:t>)</w:t>
      </w:r>
      <w:r w:rsidR="00625C1A" w:rsidRPr="00065200">
        <w:t xml:space="preserve"> Development Grants, Innovation Connections, Industry PhDs through CSIRO</w:t>
      </w:r>
      <w:r w:rsidR="00394BB4">
        <w:t xml:space="preserve">, </w:t>
      </w:r>
      <w:r w:rsidR="00394BB4" w:rsidRPr="006C6774">
        <w:t>the CSIRO Innovation Fund</w:t>
      </w:r>
      <w:r w:rsidR="00274EA8">
        <w:t>,</w:t>
      </w:r>
      <w:r w:rsidR="00394BB4" w:rsidRPr="006C6774">
        <w:t xml:space="preserve"> the CSIRO ON science and technology accelerator program</w:t>
      </w:r>
      <w:r w:rsidR="007164E8">
        <w:t>,</w:t>
      </w:r>
      <w:r w:rsidR="00625C1A" w:rsidRPr="00065200">
        <w:t xml:space="preserve"> and the Australian Postgraduate Research Intern program</w:t>
      </w:r>
      <w:r w:rsidR="00B134BD" w:rsidRPr="00065200">
        <w:t xml:space="preserve">. </w:t>
      </w:r>
      <w:r w:rsidR="0098163E" w:rsidRPr="006C6774">
        <w:t>However</w:t>
      </w:r>
      <w:r w:rsidR="00F26B7E">
        <w:t>,</w:t>
      </w:r>
      <w:r w:rsidR="0098163E" w:rsidRPr="006C6774">
        <w:t xml:space="preserve"> the commercialisation of publicly funded research and innovation </w:t>
      </w:r>
      <w:r w:rsidR="001B1B0B" w:rsidRPr="006C6774">
        <w:t>continues to prove</w:t>
      </w:r>
      <w:r w:rsidR="0098163E" w:rsidRPr="006C6774">
        <w:t xml:space="preserve"> challenging</w:t>
      </w:r>
      <w:r w:rsidR="006A4655">
        <w:t>.</w:t>
      </w:r>
      <w:r w:rsidR="0098163E" w:rsidRPr="006C6774">
        <w:t xml:space="preserve"> </w:t>
      </w:r>
      <w:r w:rsidR="006A4655">
        <w:t>In</w:t>
      </w:r>
      <w:r w:rsidR="0098163E" w:rsidRPr="006C6774">
        <w:t xml:space="preserve"> particular</w:t>
      </w:r>
      <w:r w:rsidR="005E7A97">
        <w:t>,</w:t>
      </w:r>
      <w:r w:rsidR="0098163E" w:rsidRPr="006C6774">
        <w:t xml:space="preserve"> drawing an idea through </w:t>
      </w:r>
      <w:r w:rsidR="001B1B0B" w:rsidRPr="006C6774">
        <w:t xml:space="preserve">the innovation pipeline, </w:t>
      </w:r>
      <w:r w:rsidR="0098163E" w:rsidRPr="006C6774">
        <w:t xml:space="preserve">from </w:t>
      </w:r>
      <w:r w:rsidR="001B1B0B" w:rsidRPr="006C6774">
        <w:t>prototyping through</w:t>
      </w:r>
      <w:r w:rsidR="0098163E" w:rsidRPr="006C6774">
        <w:t xml:space="preserve"> to realising a commercially viable opportunity.</w:t>
      </w:r>
      <w:r w:rsidR="0098163E" w:rsidRPr="0045074A">
        <w:t xml:space="preserve"> </w:t>
      </w:r>
      <w:r w:rsidRPr="00065200">
        <w:t>Australia continues to lag behind its international partners on measures such as the percentage of higher education expenditure on R&amp;D funded by industry</w:t>
      </w:r>
      <w:r w:rsidR="00355CF7">
        <w:t>,</w:t>
      </w:r>
      <w:r w:rsidR="006C2A47" w:rsidRPr="00065200">
        <w:t xml:space="preserve"> and bu</w:t>
      </w:r>
      <w:r w:rsidR="00401F85" w:rsidRPr="00065200">
        <w:t>siness expenditure on R&amp;D</w:t>
      </w:r>
      <w:r w:rsidRPr="00065200">
        <w:t>.</w:t>
      </w:r>
      <w:r w:rsidRPr="00065200">
        <w:rPr>
          <w:vertAlign w:val="superscript"/>
        </w:rPr>
        <w:footnoteReference w:id="176"/>
      </w:r>
    </w:p>
    <w:p w14:paraId="305A22B7" w14:textId="7F5764D5" w:rsidR="004637FC" w:rsidRPr="00065200" w:rsidRDefault="008B3320" w:rsidP="008B3320">
      <w:r w:rsidRPr="00065200">
        <w:t xml:space="preserve">Strong collaboration between </w:t>
      </w:r>
      <w:r w:rsidR="006C2A47" w:rsidRPr="00065200">
        <w:t>government researchers</w:t>
      </w:r>
      <w:r w:rsidRPr="00065200">
        <w:t xml:space="preserve"> and business has been identified by the OECD as a critical element of successful ISR</w:t>
      </w:r>
      <w:r w:rsidR="00054AFF">
        <w:t>.</w:t>
      </w:r>
      <w:r w:rsidR="006C2A47" w:rsidRPr="00065200">
        <w:t xml:space="preserve"> </w:t>
      </w:r>
      <w:r w:rsidR="00054AFF">
        <w:t>S</w:t>
      </w:r>
      <w:r w:rsidR="006C2A47" w:rsidRPr="00065200">
        <w:t xml:space="preserve">trengthening </w:t>
      </w:r>
      <w:r w:rsidRPr="00065200">
        <w:t>links between the public and private research sectors through commercialisation of public research, technology transfer, open innovation, and collaborative networks of multi</w:t>
      </w:r>
      <w:r w:rsidRPr="00065200">
        <w:noBreakHyphen/>
        <w:t xml:space="preserve">disciplinary </w:t>
      </w:r>
      <w:r w:rsidR="00054AFF">
        <w:t xml:space="preserve">teams are </w:t>
      </w:r>
      <w:r w:rsidR="00355CF7">
        <w:t xml:space="preserve">particularly </w:t>
      </w:r>
      <w:r w:rsidR="00054AFF">
        <w:t>crucial</w:t>
      </w:r>
      <w:r w:rsidRPr="00065200">
        <w:t>.</w:t>
      </w:r>
      <w:r w:rsidRPr="00065200">
        <w:rPr>
          <w:vertAlign w:val="superscript"/>
        </w:rPr>
        <w:footnoteReference w:id="177"/>
      </w:r>
      <w:r w:rsidRPr="00065200">
        <w:t xml:space="preserve"> The success of these approaches is dependent on the scale and stability of associated funding, the capacity of researchers and companies to understand each other’s interests</w:t>
      </w:r>
      <w:r w:rsidR="00B134BD" w:rsidRPr="00065200">
        <w:t xml:space="preserve">, </w:t>
      </w:r>
      <w:r w:rsidR="00355CF7">
        <w:t>and the</w:t>
      </w:r>
      <w:r w:rsidRPr="00065200">
        <w:t xml:space="preserve"> establis</w:t>
      </w:r>
      <w:r w:rsidR="00355CF7">
        <w:t>hment of</w:t>
      </w:r>
      <w:r w:rsidRPr="00065200">
        <w:t xml:space="preserve"> </w:t>
      </w:r>
      <w:r w:rsidR="00B134BD" w:rsidRPr="00065200">
        <w:t>clear collaboration agreements—</w:t>
      </w:r>
      <w:r w:rsidRPr="00065200">
        <w:t>particularly around intellectual property.</w:t>
      </w:r>
      <w:r w:rsidRPr="00065200">
        <w:rPr>
          <w:vertAlign w:val="superscript"/>
        </w:rPr>
        <w:footnoteReference w:id="178"/>
      </w:r>
    </w:p>
    <w:p w14:paraId="0CF29FF3" w14:textId="0C8BCBC6" w:rsidR="00E07C29" w:rsidRPr="00065200" w:rsidRDefault="00E07C29" w:rsidP="008B3320">
      <w:r w:rsidRPr="00065200">
        <w:t>The Australian literature notes further barriers to the commercialisation</w:t>
      </w:r>
      <w:r w:rsidR="003F75C9" w:rsidRPr="00065200">
        <w:t xml:space="preserve"> of government research</w:t>
      </w:r>
      <w:r w:rsidR="00355CF7">
        <w:t>. These</w:t>
      </w:r>
      <w:r w:rsidR="003F75C9" w:rsidRPr="00065200">
        <w:t xml:space="preserve"> includ</w:t>
      </w:r>
      <w:r w:rsidR="00355CF7">
        <w:t>e</w:t>
      </w:r>
      <w:r w:rsidRPr="00065200">
        <w:t xml:space="preserve"> the availability of staff with relevant commercial skills</w:t>
      </w:r>
      <w:r w:rsidR="003F75C9" w:rsidRPr="00065200">
        <w:t>,</w:t>
      </w:r>
      <w:r w:rsidRPr="00065200">
        <w:t xml:space="preserve"> and limited internal and external incentives for researchers to prioritise engagement </w:t>
      </w:r>
      <w:r w:rsidR="002055B5" w:rsidRPr="00065200">
        <w:t xml:space="preserve">in commercial activity </w:t>
      </w:r>
      <w:r w:rsidRPr="00065200">
        <w:t>alongside other research and teaching obligations.</w:t>
      </w:r>
      <w:r w:rsidRPr="00065200">
        <w:rPr>
          <w:rStyle w:val="FootnoteReference"/>
        </w:rPr>
        <w:footnoteReference w:id="179"/>
      </w:r>
      <w:r w:rsidRPr="00065200">
        <w:t xml:space="preserve"> </w:t>
      </w:r>
      <w:r w:rsidR="007D33CB" w:rsidRPr="00065200">
        <w:t>A</w:t>
      </w:r>
      <w:r w:rsidRPr="00065200">
        <w:t xml:space="preserve">s researcher-to-business collaborations drive stronger productivity growth and more novel innovations, improved networks for researcher-to-business collaboration and innovation </w:t>
      </w:r>
      <w:r w:rsidR="00355CF7">
        <w:t>should</w:t>
      </w:r>
      <w:r w:rsidRPr="00065200">
        <w:t xml:space="preserve"> support improvements in successful research commercialisation.</w:t>
      </w:r>
      <w:r w:rsidRPr="00065200">
        <w:rPr>
          <w:rStyle w:val="FootnoteReference"/>
        </w:rPr>
        <w:footnoteReference w:id="180"/>
      </w:r>
      <w:r w:rsidRPr="00065200">
        <w:t xml:space="preserve"> In addition, there should be a focus on ensuring researchers have time to focus on commercialisation and have the relevant commercial skills</w:t>
      </w:r>
      <w:r w:rsidR="00355CF7">
        <w:t xml:space="preserve"> to achieve this</w:t>
      </w:r>
      <w:r w:rsidRPr="00065200">
        <w:t>.</w:t>
      </w:r>
    </w:p>
    <w:p w14:paraId="52EEDC1B" w14:textId="0F16EF79" w:rsidR="00CD1070" w:rsidRPr="00065200" w:rsidRDefault="00394BB4" w:rsidP="009172C0">
      <w:r>
        <w:t xml:space="preserve">Some actors in the </w:t>
      </w:r>
      <w:r w:rsidR="00355CF7">
        <w:t xml:space="preserve">ISR </w:t>
      </w:r>
      <w:r>
        <w:t xml:space="preserve">system are better placed </w:t>
      </w:r>
      <w:r w:rsidR="001B1B0B">
        <w:t xml:space="preserve">and incentivised </w:t>
      </w:r>
      <w:r>
        <w:t xml:space="preserve">to deliver commercialisation and collaboration outcomes than others. For example, </w:t>
      </w:r>
      <w:r w:rsidR="00CD1070" w:rsidRPr="00065200">
        <w:t xml:space="preserve">research </w:t>
      </w:r>
      <w:r w:rsidR="0034369E" w:rsidRPr="00065200">
        <w:t>commercialisation</w:t>
      </w:r>
      <w:r w:rsidR="00CD1070" w:rsidRPr="00065200">
        <w:t xml:space="preserve"> brokers facilitate research-industry collaboration</w:t>
      </w:r>
      <w:r w:rsidR="001E4DB7" w:rsidRPr="00065200">
        <w:t>, research translation</w:t>
      </w:r>
      <w:r w:rsidR="00762B94" w:rsidRPr="00065200">
        <w:t xml:space="preserve"> and commercialisation outcome</w:t>
      </w:r>
      <w:r w:rsidR="00CD1070" w:rsidRPr="00065200">
        <w:t xml:space="preserve">s </w:t>
      </w:r>
      <w:r w:rsidR="001B1B0B">
        <w:t>by acting</w:t>
      </w:r>
      <w:r w:rsidR="00CD1070" w:rsidRPr="00065200">
        <w:t xml:space="preserve"> as an independent </w:t>
      </w:r>
      <w:r w:rsidR="00CE372E">
        <w:t>advise</w:t>
      </w:r>
      <w:r w:rsidR="00653110" w:rsidRPr="00065200">
        <w:t>r</w:t>
      </w:r>
      <w:r w:rsidR="00DC4196" w:rsidRPr="00065200">
        <w:t xml:space="preserve"> providing objective and unbiased advice to all parties. </w:t>
      </w:r>
      <w:r w:rsidR="000B5CE4">
        <w:t>T</w:t>
      </w:r>
      <w:r w:rsidR="004E6867" w:rsidRPr="00065200">
        <w:t xml:space="preserve">he </w:t>
      </w:r>
      <w:r w:rsidR="004E6867" w:rsidRPr="00065200">
        <w:lastRenderedPageBreak/>
        <w:t>Government’s Innovation Connections program assists businesses to understand their research needs, connect with the research sector and fund collaborative research projects.</w:t>
      </w:r>
      <w:r w:rsidR="004E6867" w:rsidRPr="00065200">
        <w:rPr>
          <w:rStyle w:val="FootnoteReference"/>
        </w:rPr>
        <w:footnoteReference w:id="181"/>
      </w:r>
      <w:r w:rsidR="004E6867" w:rsidRPr="00065200">
        <w:t xml:space="preserve"> </w:t>
      </w:r>
      <w:r w:rsidR="002C59B7">
        <w:t xml:space="preserve">These </w:t>
      </w:r>
      <w:r w:rsidR="00355CF7">
        <w:t xml:space="preserve">broker </w:t>
      </w:r>
      <w:r w:rsidR="004E6867" w:rsidRPr="00065200">
        <w:t xml:space="preserve">arrangements </w:t>
      </w:r>
      <w:r w:rsidR="00DC4196" w:rsidRPr="00065200">
        <w:t xml:space="preserve">can help </w:t>
      </w:r>
      <w:r w:rsidR="00355CF7" w:rsidRPr="00065200">
        <w:t xml:space="preserve">university or government-based </w:t>
      </w:r>
      <w:r w:rsidR="00DC4196" w:rsidRPr="00065200">
        <w:t>researchers understand</w:t>
      </w:r>
      <w:r w:rsidR="00355CF7" w:rsidRPr="00355CF7">
        <w:t xml:space="preserve"> </w:t>
      </w:r>
      <w:r w:rsidR="00355CF7" w:rsidRPr="00065200">
        <w:t>businesses</w:t>
      </w:r>
      <w:r w:rsidR="00355CF7" w:rsidRPr="00065200" w:rsidDel="00355CF7">
        <w:t xml:space="preserve"> </w:t>
      </w:r>
      <w:r w:rsidR="00DC4196" w:rsidRPr="00065200">
        <w:t>research strategy and objectives</w:t>
      </w:r>
      <w:r w:rsidR="00CF5B5C">
        <w:t xml:space="preserve"> better</w:t>
      </w:r>
      <w:r w:rsidR="00DC4196" w:rsidRPr="00065200">
        <w:t xml:space="preserve">, in order to select the best industry partner and address any tangible needs during negotiations. Brokers can </w:t>
      </w:r>
      <w:r w:rsidR="001656A5" w:rsidRPr="00065200">
        <w:t>also</w:t>
      </w:r>
      <w:r w:rsidR="00DC4196" w:rsidRPr="00065200">
        <w:t xml:space="preserve"> help businesses identify which research institutions are active in their field of interest, which researchers to collaborate with, and which groups are best </w:t>
      </w:r>
      <w:r w:rsidR="002C59B7">
        <w:t xml:space="preserve">equipped </w:t>
      </w:r>
      <w:r w:rsidR="001656A5" w:rsidRPr="00065200">
        <w:t xml:space="preserve">to </w:t>
      </w:r>
      <w:r w:rsidR="002C59B7">
        <w:t>collaborate</w:t>
      </w:r>
      <w:r w:rsidR="00CF5B5C">
        <w:t xml:space="preserve"> t</w:t>
      </w:r>
      <w:r w:rsidR="00437113">
        <w:t>o</w:t>
      </w:r>
      <w:r w:rsidR="00CF5B5C">
        <w:t xml:space="preserve"> jointly agreed timeline</w:t>
      </w:r>
      <w:r w:rsidR="00437113">
        <w:t>s</w:t>
      </w:r>
      <w:r w:rsidR="00DC4196" w:rsidRPr="00065200">
        <w:t xml:space="preserve">. </w:t>
      </w:r>
      <w:r w:rsidR="001656A5" w:rsidRPr="00065200">
        <w:t>Brokers</w:t>
      </w:r>
      <w:r w:rsidR="00762B94" w:rsidRPr="00065200">
        <w:t xml:space="preserve"> c</w:t>
      </w:r>
      <w:r w:rsidR="001656A5" w:rsidRPr="00065200">
        <w:t>ould</w:t>
      </w:r>
      <w:r w:rsidR="00762B94" w:rsidRPr="00065200">
        <w:t xml:space="preserve"> also </w:t>
      </w:r>
      <w:r w:rsidR="001656A5" w:rsidRPr="00065200">
        <w:t xml:space="preserve">facilitate </w:t>
      </w:r>
      <w:r w:rsidR="00762B94" w:rsidRPr="00065200">
        <w:t xml:space="preserve">researchers and businesses participating in </w:t>
      </w:r>
      <w:r w:rsidR="001656A5" w:rsidRPr="00065200">
        <w:t xml:space="preserve">collaborative research </w:t>
      </w:r>
      <w:r w:rsidR="00762B94" w:rsidRPr="00065200">
        <w:t xml:space="preserve">programs </w:t>
      </w:r>
      <w:r w:rsidR="001656A5" w:rsidRPr="00065200">
        <w:t>which</w:t>
      </w:r>
      <w:r w:rsidR="00762B94" w:rsidRPr="00065200">
        <w:t xml:space="preserve"> embed researchers within business. </w:t>
      </w:r>
    </w:p>
    <w:p w14:paraId="39F23EDD" w14:textId="6C63C35A" w:rsidR="00D20882" w:rsidRPr="00065200" w:rsidRDefault="00AC3B61" w:rsidP="00F76DCA">
      <w:r w:rsidRPr="00065200">
        <w:t xml:space="preserve">In Australia, </w:t>
      </w:r>
      <w:r w:rsidR="00E30E31">
        <w:t>approximately</w:t>
      </w:r>
      <w:r w:rsidRPr="00065200">
        <w:t xml:space="preserve"> 30</w:t>
      </w:r>
      <w:r w:rsidR="00205144">
        <w:t> per cent</w:t>
      </w:r>
      <w:r w:rsidR="00B74DAD" w:rsidRPr="00065200">
        <w:t xml:space="preserve"> of researchers a</w:t>
      </w:r>
      <w:r w:rsidRPr="00065200">
        <w:t>re based in industry</w:t>
      </w:r>
      <w:r w:rsidR="00E30E31">
        <w:t>.</w:t>
      </w:r>
      <w:r w:rsidRPr="00065200">
        <w:rPr>
          <w:rStyle w:val="FootnoteReference"/>
        </w:rPr>
        <w:footnoteReference w:id="182"/>
      </w:r>
      <w:r w:rsidRPr="00065200">
        <w:t xml:space="preserve"> </w:t>
      </w:r>
      <w:r w:rsidR="00E30E31">
        <w:t>This is low by international standards</w:t>
      </w:r>
      <w:r w:rsidR="005E7A97">
        <w:t>;</w:t>
      </w:r>
      <w:r w:rsidR="00E30E31">
        <w:t xml:space="preserve"> for example </w:t>
      </w:r>
      <w:r w:rsidRPr="00065200">
        <w:t>80</w:t>
      </w:r>
      <w:r w:rsidR="00205144">
        <w:t> per cent</w:t>
      </w:r>
      <w:r w:rsidRPr="00065200">
        <w:t xml:space="preserve"> in Korea, 73</w:t>
      </w:r>
      <w:r w:rsidR="00205144">
        <w:t> per cent</w:t>
      </w:r>
      <w:r w:rsidRPr="00065200">
        <w:t xml:space="preserve"> in Japan and 71</w:t>
      </w:r>
      <w:r w:rsidR="00205144">
        <w:t> per cent</w:t>
      </w:r>
      <w:r w:rsidRPr="00065200">
        <w:t xml:space="preserve"> in the </w:t>
      </w:r>
      <w:r w:rsidR="00405354">
        <w:t>US</w:t>
      </w:r>
      <w:r w:rsidRPr="00065200">
        <w:t>.</w:t>
      </w:r>
      <w:r w:rsidRPr="00065200">
        <w:rPr>
          <w:rStyle w:val="FootnoteReference"/>
        </w:rPr>
        <w:footnoteReference w:id="183"/>
      </w:r>
      <w:r w:rsidRPr="00065200">
        <w:t xml:space="preserve"> </w:t>
      </w:r>
      <w:r w:rsidR="00B76057" w:rsidRPr="00065200">
        <w:t xml:space="preserve">Programs </w:t>
      </w:r>
      <w:r w:rsidR="009172C0" w:rsidRPr="00065200">
        <w:t>that</w:t>
      </w:r>
      <w:r w:rsidR="00B76057" w:rsidRPr="00065200">
        <w:t xml:space="preserve"> embed researchers within businesses are o</w:t>
      </w:r>
      <w:r w:rsidR="00762B94" w:rsidRPr="00065200">
        <w:t xml:space="preserve">ne </w:t>
      </w:r>
      <w:r w:rsidR="00B76057" w:rsidRPr="00065200">
        <w:t xml:space="preserve">effective </w:t>
      </w:r>
      <w:r w:rsidR="00762B94" w:rsidRPr="00065200">
        <w:t>way to increase</w:t>
      </w:r>
      <w:r w:rsidR="007D33CB" w:rsidRPr="00065200">
        <w:t xml:space="preserve"> the </w:t>
      </w:r>
      <w:r w:rsidR="00762B94" w:rsidRPr="00065200">
        <w:t>number</w:t>
      </w:r>
      <w:r w:rsidR="007D33CB" w:rsidRPr="00065200">
        <w:t xml:space="preserve"> of </w:t>
      </w:r>
      <w:r w:rsidR="00762B94" w:rsidRPr="00065200">
        <w:t>researchers in industry and</w:t>
      </w:r>
      <w:r w:rsidR="007D33CB" w:rsidRPr="00065200">
        <w:t xml:space="preserve"> stimulate researcher</w:t>
      </w:r>
      <w:r w:rsidR="00B76057" w:rsidRPr="00065200">
        <w:noBreakHyphen/>
      </w:r>
      <w:r w:rsidR="007D33CB" w:rsidRPr="00065200">
        <w:t>to</w:t>
      </w:r>
      <w:r w:rsidR="00B76057" w:rsidRPr="00065200">
        <w:noBreakHyphen/>
      </w:r>
      <w:r w:rsidR="007D33CB" w:rsidRPr="00065200">
        <w:t>business collaboration.</w:t>
      </w:r>
      <w:r w:rsidR="00957961" w:rsidRPr="00065200">
        <w:t xml:space="preserve"> </w:t>
      </w:r>
      <w:r w:rsidR="00315D78" w:rsidRPr="00315D78">
        <w:t xml:space="preserve">International higher degree by research </w:t>
      </w:r>
      <w:r w:rsidR="00E30E31" w:rsidRPr="00315D78">
        <w:t xml:space="preserve">industry </w:t>
      </w:r>
      <w:r w:rsidR="00315D78" w:rsidRPr="00315D78">
        <w:t xml:space="preserve">placement programs such as the French </w:t>
      </w:r>
      <w:r w:rsidR="004603FB" w:rsidRPr="00315D78">
        <w:t xml:space="preserve">Convention Industrielle de Formation par la Recherche </w:t>
      </w:r>
      <w:r w:rsidR="004603FB">
        <w:t>(</w:t>
      </w:r>
      <w:r w:rsidR="00315D78" w:rsidRPr="00315D78">
        <w:t>CIFRE</w:t>
      </w:r>
      <w:r w:rsidR="004603FB">
        <w:t>)</w:t>
      </w:r>
      <w:r w:rsidR="00315D78" w:rsidRPr="00315D78">
        <w:rPr>
          <w:rStyle w:val="FootnoteReference"/>
        </w:rPr>
        <w:footnoteReference w:id="184"/>
      </w:r>
      <w:r w:rsidR="00315D78" w:rsidRPr="00315D78">
        <w:t xml:space="preserve"> and the </w:t>
      </w:r>
      <w:r w:rsidR="00405354">
        <w:t>UK’s</w:t>
      </w:r>
      <w:r w:rsidR="00315D78" w:rsidRPr="00315D78">
        <w:t xml:space="preserve"> Knowledge Transfer Partnerships (see</w:t>
      </w:r>
      <w:r w:rsidR="00F700C3">
        <w:t xml:space="preserve"> Box 6</w:t>
      </w:r>
      <w:r w:rsidR="00315D78" w:rsidRPr="00315D78">
        <w:t xml:space="preserve">) demonstrate that longevity, stability and scale are key to </w:t>
      </w:r>
      <w:r w:rsidR="00E30E31">
        <w:t xml:space="preserve">the </w:t>
      </w:r>
      <w:r w:rsidR="00315D78" w:rsidRPr="00315D78">
        <w:t>success</w:t>
      </w:r>
      <w:r w:rsidR="00315D78">
        <w:t xml:space="preserve"> of such programs</w:t>
      </w:r>
      <w:r w:rsidR="00315D78" w:rsidRPr="00315D78">
        <w:t xml:space="preserve">. </w:t>
      </w:r>
      <w:r w:rsidR="00762B94" w:rsidRPr="00065200">
        <w:t xml:space="preserve">In Australia, </w:t>
      </w:r>
      <w:r w:rsidR="00957961" w:rsidRPr="00065200">
        <w:t>I</w:t>
      </w:r>
      <w:r w:rsidR="00CE7D12">
        <w:t>I</w:t>
      </w:r>
      <w:r w:rsidR="00957961" w:rsidRPr="00065200">
        <w:t xml:space="preserve">SA </w:t>
      </w:r>
      <w:r w:rsidR="00B76057" w:rsidRPr="00065200">
        <w:t xml:space="preserve">has identified </w:t>
      </w:r>
      <w:r w:rsidR="009172C0" w:rsidRPr="00065200">
        <w:t>at least</w:t>
      </w:r>
      <w:r w:rsidR="00B76057" w:rsidRPr="00065200">
        <w:t xml:space="preserve"> </w:t>
      </w:r>
      <w:r w:rsidR="00326322" w:rsidRPr="00065200">
        <w:t>five</w:t>
      </w:r>
      <w:r w:rsidR="00957961" w:rsidRPr="00065200">
        <w:t xml:space="preserve"> different programs </w:t>
      </w:r>
      <w:r w:rsidR="00315D78" w:rsidRPr="006C6774">
        <w:t>of varying sizes</w:t>
      </w:r>
      <w:r w:rsidR="00C20EB4" w:rsidRPr="006C6774">
        <w:t xml:space="preserve"> and duration</w:t>
      </w:r>
      <w:r w:rsidR="00315D78">
        <w:t xml:space="preserve"> </w:t>
      </w:r>
      <w:r w:rsidR="00957961" w:rsidRPr="00065200">
        <w:t>where researchers can apply to be embedded in a business.</w:t>
      </w:r>
      <w:r w:rsidR="00957961" w:rsidRPr="00065200">
        <w:rPr>
          <w:rStyle w:val="FootnoteReference"/>
        </w:rPr>
        <w:footnoteReference w:id="185"/>
      </w:r>
      <w:r w:rsidR="00957961" w:rsidRPr="00065200">
        <w:t xml:space="preserve"> However, there is little coordination between these programs</w:t>
      </w:r>
      <w:r w:rsidR="00E30E31">
        <w:t>,</w:t>
      </w:r>
      <w:r w:rsidR="00957961" w:rsidRPr="00065200">
        <w:t xml:space="preserve"> and </w:t>
      </w:r>
      <w:r w:rsidR="00326322" w:rsidRPr="00065200">
        <w:t xml:space="preserve">eligibility is largely limited to PhD students. Broadening the </w:t>
      </w:r>
      <w:r w:rsidR="00653110" w:rsidRPr="00065200">
        <w:t>program</w:t>
      </w:r>
      <w:r w:rsidR="00326322" w:rsidRPr="00065200">
        <w:t xml:space="preserve"> scope to make these </w:t>
      </w:r>
      <w:r w:rsidR="00653110" w:rsidRPr="00065200">
        <w:t xml:space="preserve">opportunities </w:t>
      </w:r>
      <w:r w:rsidR="00326322" w:rsidRPr="00065200">
        <w:t>available to more experienced researchers (</w:t>
      </w:r>
      <w:r w:rsidR="00E30E31">
        <w:t>as in</w:t>
      </w:r>
      <w:r w:rsidR="00326322" w:rsidRPr="00065200">
        <w:t xml:space="preserve"> the MRFF’s Researcher Exchange and Development within Industry initiative), and ensuring these programs are </w:t>
      </w:r>
      <w:r w:rsidR="00957961" w:rsidRPr="00065200">
        <w:t xml:space="preserve">coordinated and </w:t>
      </w:r>
      <w:r w:rsidR="00326322" w:rsidRPr="00065200">
        <w:t xml:space="preserve">appropriately </w:t>
      </w:r>
      <w:r w:rsidR="00957961" w:rsidRPr="00065200">
        <w:t xml:space="preserve">scaled </w:t>
      </w:r>
      <w:r w:rsidR="00326322" w:rsidRPr="00065200">
        <w:t>will</w:t>
      </w:r>
      <w:r w:rsidR="00957961" w:rsidRPr="00065200">
        <w:t xml:space="preserve"> impr</w:t>
      </w:r>
      <w:r w:rsidR="003F75C9" w:rsidRPr="00065200">
        <w:t xml:space="preserve">ove </w:t>
      </w:r>
      <w:r w:rsidR="008442C4" w:rsidRPr="00065200">
        <w:t xml:space="preserve">collaboration and </w:t>
      </w:r>
      <w:r w:rsidR="003F75C9" w:rsidRPr="00065200">
        <w:t>commercialisation outcomes.</w:t>
      </w:r>
      <w:bookmarkStart w:id="456" w:name="_Ref41475029"/>
    </w:p>
    <w:p w14:paraId="27D57DEB" w14:textId="77777777" w:rsidR="00194927" w:rsidRDefault="00194927">
      <w:pPr>
        <w:spacing w:before="40" w:after="160" w:line="288" w:lineRule="auto"/>
      </w:pPr>
      <w:r>
        <w:br w:type="page"/>
      </w:r>
    </w:p>
    <w:tbl>
      <w:tblPr>
        <w:tblStyle w:val="TableGrid"/>
        <w:tblW w:w="9032" w:type="dxa"/>
        <w:shd w:val="clear" w:color="auto" w:fill="EBF2F9"/>
        <w:tblCellMar>
          <w:top w:w="57" w:type="dxa"/>
          <w:left w:w="57" w:type="dxa"/>
          <w:bottom w:w="57" w:type="dxa"/>
          <w:right w:w="57" w:type="dxa"/>
        </w:tblCellMar>
        <w:tblLook w:val="0620" w:firstRow="1" w:lastRow="0" w:firstColumn="0" w:lastColumn="0" w:noHBand="1" w:noVBand="1"/>
        <w:tblCaption w:val="Box 6 International example of effective ISR commercialisation"/>
        <w:tblDescription w:val="The UK’s 40-year-old Knowledge Transfer Partnerships (KTP) program is designed to increase the competitiveness and productivity of UK businesses through better knowledge, technology and skills transfer between government researchers and businesses.  It is a three-way partnership between a UK-based business or a not-for-profit organisation; UK university or research organisation ; and a graduate capable of leading a strategic business project. &#10;In this business led program, a graduate is selected to work on a specific knowledge-transfer project that is central to the business’ development.  The graduate is jointly supervised and typically commits half a day per week to a KTP project, based mainly at the business.  This physical co-location is important to build and maintain relationships and an understanding of the project environment.&#10;KTP projects are usually two years in duration, but can last between 12 and 26 months. KTPs are funded by a co-contribution from business, where the level of co-contribution depends on the size of the business. SMEs contribute 33 per cent , and large companies contribute 50 per cent of the costs. KTPs support businesses with both R&amp;D and non-R&amp;D innovation,  and about three quarters involve businesses that employ less than 250 people.  &#10;Over 70 per cent of graduates are offered full time employment with the host business on completion of their KTP, indicating that this program supports graduate employment and contributes to the ongoing development of an innovation culture for businesses.  An independent evaluation of the effectiveness of the KTP Programme identified £7.5–£8 of net gross value added generated for every £1 of grant funding invested, alongside positive income outcomes reported by the majority of research participants, and a closer relationship between research and industry participants."/>
      </w:tblPr>
      <w:tblGrid>
        <w:gridCol w:w="9032"/>
      </w:tblGrid>
      <w:tr w:rsidR="006949BB" w:rsidRPr="00065200" w14:paraId="6854E026" w14:textId="77777777" w:rsidTr="00807393">
        <w:trPr>
          <w:tblHeader/>
        </w:trPr>
        <w:tc>
          <w:tcPr>
            <w:tcW w:w="9032" w:type="dxa"/>
            <w:tcBorders>
              <w:bottom w:val="nil"/>
            </w:tcBorders>
            <w:shd w:val="clear" w:color="auto" w:fill="EBF2F9"/>
          </w:tcPr>
          <w:p w14:paraId="0A89ECFA" w14:textId="7A4068E9" w:rsidR="006949BB" w:rsidRPr="00065200" w:rsidRDefault="006949BB" w:rsidP="006949BB">
            <w:pPr>
              <w:pStyle w:val="Featureboxtextheading"/>
            </w:pPr>
            <w:bookmarkStart w:id="457" w:name="_Ref55551350"/>
            <w:bookmarkEnd w:id="456"/>
            <w:r w:rsidRPr="00065200">
              <w:lastRenderedPageBreak/>
              <w:t xml:space="preserve">Box </w:t>
            </w:r>
            <w:bookmarkEnd w:id="457"/>
            <w:r>
              <w:t>6</w:t>
            </w:r>
            <w:r w:rsidRPr="00065200">
              <w:t xml:space="preserve"> International example of </w:t>
            </w:r>
            <w:r>
              <w:t>effective ISR commercialisation</w:t>
            </w:r>
          </w:p>
        </w:tc>
      </w:tr>
      <w:tr w:rsidR="006E595D" w:rsidRPr="00065200" w14:paraId="0B1FFE7D" w14:textId="77777777" w:rsidTr="00807393">
        <w:tc>
          <w:tcPr>
            <w:tcW w:w="9032" w:type="dxa"/>
            <w:tcBorders>
              <w:top w:val="nil"/>
            </w:tcBorders>
            <w:shd w:val="clear" w:color="auto" w:fill="EBF2F9"/>
          </w:tcPr>
          <w:p w14:paraId="1D024185" w14:textId="42BECA71" w:rsidR="006E595D" w:rsidRPr="00065200" w:rsidRDefault="006E595D" w:rsidP="00523BC2">
            <w:pPr>
              <w:spacing w:after="120"/>
            </w:pPr>
            <w:r w:rsidRPr="00065200">
              <w:t>The UK’s 40-year-old Knowledge Transfer Partnerships (KTP) program is designed to increase the competitiveness and productivity of UK businesses through better knowledge, technology and skills transfer between government researchers and businesses.</w:t>
            </w:r>
            <w:r w:rsidRPr="00065200">
              <w:rPr>
                <w:rStyle w:val="FootnoteReference"/>
              </w:rPr>
              <w:footnoteReference w:id="186"/>
            </w:r>
            <w:r w:rsidRPr="00065200">
              <w:t xml:space="preserve"> It is a </w:t>
            </w:r>
            <w:r w:rsidR="00523BC2">
              <w:t xml:space="preserve">three-way partnership between a </w:t>
            </w:r>
            <w:r w:rsidRPr="00065200">
              <w:t>UK-based business or a not-for-profit organisation;</w:t>
            </w:r>
            <w:r w:rsidR="00523BC2">
              <w:t xml:space="preserve"> </w:t>
            </w:r>
            <w:r w:rsidRPr="00065200">
              <w:t>UK university or research organisation</w:t>
            </w:r>
            <w:r w:rsidR="005E7A97">
              <w:t xml:space="preserve"> </w:t>
            </w:r>
            <w:r w:rsidRPr="00065200">
              <w:t>and</w:t>
            </w:r>
            <w:r w:rsidR="00523BC2">
              <w:t xml:space="preserve"> a </w:t>
            </w:r>
            <w:r w:rsidRPr="00065200">
              <w:t>graduate</w:t>
            </w:r>
            <w:r w:rsidR="004213A0">
              <w:t xml:space="preserve"> </w:t>
            </w:r>
            <w:r w:rsidRPr="00065200">
              <w:t>capab</w:t>
            </w:r>
            <w:r w:rsidR="004213A0">
              <w:t>le of</w:t>
            </w:r>
            <w:r w:rsidRPr="00065200">
              <w:t xml:space="preserve"> lead</w:t>
            </w:r>
            <w:r w:rsidR="004213A0">
              <w:t>ing</w:t>
            </w:r>
            <w:r w:rsidRPr="00065200">
              <w:t xml:space="preserve"> a strategic business project.</w:t>
            </w:r>
            <w:r w:rsidRPr="00065200">
              <w:rPr>
                <w:rStyle w:val="FootnoteReference"/>
              </w:rPr>
              <w:footnoteReference w:id="187"/>
            </w:r>
          </w:p>
          <w:p w14:paraId="7A984B01" w14:textId="7C15A4F6" w:rsidR="006E595D" w:rsidRPr="00065200" w:rsidRDefault="006E595D" w:rsidP="00A23D32">
            <w:pPr>
              <w:spacing w:after="120"/>
            </w:pPr>
            <w:r w:rsidRPr="00065200">
              <w:t xml:space="preserve">In this </w:t>
            </w:r>
            <w:r w:rsidR="00C61079" w:rsidRPr="00065200">
              <w:t xml:space="preserve">business led </w:t>
            </w:r>
            <w:r w:rsidRPr="00065200">
              <w:t>program</w:t>
            </w:r>
            <w:r w:rsidR="00401F85" w:rsidRPr="00065200">
              <w:t>,</w:t>
            </w:r>
            <w:r w:rsidRPr="00065200">
              <w:t xml:space="preserve"> a graduate is selected to work on a specific knowledge-transfer project that is central to the business’ development.</w:t>
            </w:r>
            <w:r w:rsidR="004E5861" w:rsidRPr="00065200">
              <w:rPr>
                <w:rStyle w:val="FootnoteReference"/>
              </w:rPr>
              <w:footnoteReference w:id="188"/>
            </w:r>
            <w:r w:rsidRPr="00065200">
              <w:t xml:space="preserve"> The graduate is jointly supervised and typically commits </w:t>
            </w:r>
            <w:r w:rsidR="003F75C9" w:rsidRPr="00065200">
              <w:t xml:space="preserve">half </w:t>
            </w:r>
            <w:r w:rsidR="002415B2">
              <w:t xml:space="preserve">a </w:t>
            </w:r>
            <w:r w:rsidRPr="00065200">
              <w:t xml:space="preserve">day </w:t>
            </w:r>
            <w:r w:rsidR="003F75C9" w:rsidRPr="00065200">
              <w:t>per</w:t>
            </w:r>
            <w:r w:rsidRPr="00065200">
              <w:t xml:space="preserve"> week to a KTP project, </w:t>
            </w:r>
            <w:r w:rsidR="003F75C9" w:rsidRPr="00065200">
              <w:t xml:space="preserve">based </w:t>
            </w:r>
            <w:r w:rsidRPr="00065200">
              <w:t>mainly at the business.</w:t>
            </w:r>
            <w:r w:rsidRPr="00065200">
              <w:rPr>
                <w:rStyle w:val="FootnoteReference"/>
              </w:rPr>
              <w:footnoteReference w:id="189"/>
            </w:r>
            <w:r w:rsidRPr="00065200">
              <w:t xml:space="preserve"> This </w:t>
            </w:r>
            <w:r w:rsidR="002415B2">
              <w:t xml:space="preserve">physical co-location </w:t>
            </w:r>
            <w:r w:rsidRPr="00065200">
              <w:t xml:space="preserve">is important to build and maintain </w:t>
            </w:r>
            <w:r w:rsidR="008F3422" w:rsidRPr="00065200">
              <w:t xml:space="preserve">relationships </w:t>
            </w:r>
            <w:r w:rsidR="008F3422">
              <w:t xml:space="preserve">and </w:t>
            </w:r>
            <w:r w:rsidRPr="00065200">
              <w:t>an understanding of the project environment</w:t>
            </w:r>
            <w:r w:rsidR="00A23D32" w:rsidRPr="00065200">
              <w:t>.</w:t>
            </w:r>
          </w:p>
          <w:p w14:paraId="3F824E57" w14:textId="5BA1C759" w:rsidR="006E595D" w:rsidRPr="00065200" w:rsidRDefault="006E595D" w:rsidP="00A23D32">
            <w:pPr>
              <w:spacing w:after="120"/>
            </w:pPr>
            <w:r w:rsidRPr="00065200">
              <w:t>KTP projects are usually two year</w:t>
            </w:r>
            <w:r w:rsidR="003F75C9" w:rsidRPr="00065200">
              <w:t>s in duration</w:t>
            </w:r>
            <w:r w:rsidRPr="00065200">
              <w:t>, but c</w:t>
            </w:r>
            <w:r w:rsidR="008F3422">
              <w:t>an</w:t>
            </w:r>
            <w:r w:rsidRPr="00065200">
              <w:t xml:space="preserve"> last between 12 and 26 months. KTPs are funded by a co-contribution from business, where the level of co-contribution depends on the size of the business</w:t>
            </w:r>
            <w:r w:rsidR="008F3422">
              <w:t>.</w:t>
            </w:r>
            <w:r w:rsidRPr="00065200">
              <w:t xml:space="preserve"> </w:t>
            </w:r>
            <w:r w:rsidR="00F812CC" w:rsidRPr="00065200">
              <w:t>S</w:t>
            </w:r>
            <w:r w:rsidRPr="00065200">
              <w:t>MEs</w:t>
            </w:r>
            <w:r w:rsidR="003F75C9" w:rsidRPr="00065200">
              <w:t xml:space="preserve"> contribute 33</w:t>
            </w:r>
            <w:r w:rsidR="00205144">
              <w:t> per cent</w:t>
            </w:r>
            <w:r w:rsidR="005E7A97">
              <w:t xml:space="preserve"> </w:t>
            </w:r>
            <w:r w:rsidRPr="00065200">
              <w:t>and large companies cont</w:t>
            </w:r>
            <w:r w:rsidR="003F75C9" w:rsidRPr="00065200">
              <w:t>ribute 50</w:t>
            </w:r>
            <w:r w:rsidR="00205144">
              <w:t> per cent</w:t>
            </w:r>
            <w:r w:rsidR="003F75C9" w:rsidRPr="00065200">
              <w:t xml:space="preserve"> of the costs</w:t>
            </w:r>
            <w:r w:rsidRPr="00065200">
              <w:t>. KTPs support businesses with both R&amp;D and non-R&amp;D innovation,</w:t>
            </w:r>
            <w:r w:rsidRPr="00065200">
              <w:rPr>
                <w:rStyle w:val="FootnoteReference"/>
              </w:rPr>
              <w:footnoteReference w:id="190"/>
            </w:r>
            <w:r w:rsidRPr="00065200">
              <w:t xml:space="preserve"> and about three quarters involve businesses that employ less than 250 people.</w:t>
            </w:r>
            <w:r w:rsidRPr="00065200">
              <w:rPr>
                <w:rStyle w:val="FootnoteReference"/>
              </w:rPr>
              <w:footnoteReference w:id="191"/>
            </w:r>
            <w:r w:rsidRPr="00065200">
              <w:t xml:space="preserve"> </w:t>
            </w:r>
          </w:p>
          <w:p w14:paraId="05042584" w14:textId="6F85922A" w:rsidR="006E595D" w:rsidRPr="00065200" w:rsidRDefault="006E595D" w:rsidP="00B479E6">
            <w:pPr>
              <w:spacing w:after="0"/>
            </w:pPr>
            <w:r w:rsidRPr="00065200">
              <w:t>Over 70</w:t>
            </w:r>
            <w:r w:rsidR="00205144">
              <w:t> per cent</w:t>
            </w:r>
            <w:r w:rsidRPr="00065200">
              <w:t xml:space="preserve"> of graduates are offered full</w:t>
            </w:r>
            <w:r w:rsidR="008F3422">
              <w:noBreakHyphen/>
            </w:r>
            <w:r w:rsidRPr="00065200">
              <w:t xml:space="preserve">time employment with the host business on completion of their KTP, </w:t>
            </w:r>
            <w:r w:rsidR="003F75C9" w:rsidRPr="00065200">
              <w:t>indicating</w:t>
            </w:r>
            <w:r w:rsidRPr="00065200">
              <w:t xml:space="preserve"> that this program supports </w:t>
            </w:r>
            <w:r w:rsidR="008F3422">
              <w:t xml:space="preserve">graduate </w:t>
            </w:r>
            <w:r w:rsidRPr="00065200">
              <w:t>employment and contributes to the ongoing development of an i</w:t>
            </w:r>
            <w:r w:rsidR="00BD0D83" w:rsidRPr="00065200">
              <w:t>nnovation culture for</w:t>
            </w:r>
            <w:r w:rsidRPr="00065200">
              <w:t xml:space="preserve"> businesses.</w:t>
            </w:r>
            <w:r w:rsidRPr="00065200">
              <w:rPr>
                <w:rStyle w:val="FootnoteReference"/>
              </w:rPr>
              <w:footnoteReference w:id="192"/>
            </w:r>
            <w:r w:rsidRPr="00065200">
              <w:t xml:space="preserve"> </w:t>
            </w:r>
            <w:r w:rsidR="00C61079" w:rsidRPr="00065200">
              <w:t>An</w:t>
            </w:r>
            <w:r w:rsidRPr="00065200">
              <w:t xml:space="preserve"> independent evaluation of the effectiveness of the KTP </w:t>
            </w:r>
            <w:r w:rsidR="004F3300" w:rsidRPr="00065200">
              <w:t>P</w:t>
            </w:r>
            <w:r w:rsidRPr="00065200">
              <w:t>rogram</w:t>
            </w:r>
            <w:r w:rsidR="004F3300" w:rsidRPr="00065200">
              <w:t>me</w:t>
            </w:r>
            <w:r w:rsidRPr="00065200">
              <w:t xml:space="preserve"> </w:t>
            </w:r>
            <w:r w:rsidR="00C61079" w:rsidRPr="00065200">
              <w:t>identified</w:t>
            </w:r>
            <w:r w:rsidR="003F75C9" w:rsidRPr="00065200">
              <w:t xml:space="preserve"> £7.5–</w:t>
            </w:r>
            <w:r w:rsidRPr="00065200">
              <w:t>£</w:t>
            </w:r>
            <w:r w:rsidR="003F75C9" w:rsidRPr="00065200">
              <w:t>8 of net gross value added</w:t>
            </w:r>
            <w:r w:rsidRPr="00065200">
              <w:t xml:space="preserve"> generated for every £1 of grant funding invested</w:t>
            </w:r>
            <w:r w:rsidR="003F75C9" w:rsidRPr="00065200">
              <w:t>,</w:t>
            </w:r>
            <w:r w:rsidR="00C61079" w:rsidRPr="00065200">
              <w:t xml:space="preserve"> alongside positive income</w:t>
            </w:r>
            <w:r w:rsidR="00B479E6">
              <w:t xml:space="preserve"> </w:t>
            </w:r>
            <w:r w:rsidR="00C61079" w:rsidRPr="00065200">
              <w:t>outcomes</w:t>
            </w:r>
            <w:r w:rsidRPr="00065200">
              <w:t xml:space="preserve"> reported </w:t>
            </w:r>
            <w:r w:rsidR="00C61079" w:rsidRPr="00065200">
              <w:t>by the majority</w:t>
            </w:r>
            <w:r w:rsidRPr="00065200">
              <w:t xml:space="preserve"> of research </w:t>
            </w:r>
            <w:r w:rsidR="00C61079" w:rsidRPr="00065200">
              <w:t>participants</w:t>
            </w:r>
            <w:r w:rsidR="008F3422">
              <w:t>,</w:t>
            </w:r>
            <w:r w:rsidR="00C61079" w:rsidRPr="00065200">
              <w:t xml:space="preserve"> and</w:t>
            </w:r>
            <w:r w:rsidRPr="00065200">
              <w:t xml:space="preserve"> a closer relationship </w:t>
            </w:r>
            <w:r w:rsidR="00C61079" w:rsidRPr="00065200">
              <w:t>between research and</w:t>
            </w:r>
            <w:r w:rsidRPr="00065200">
              <w:t xml:space="preserve"> industry </w:t>
            </w:r>
            <w:r w:rsidR="00C61079" w:rsidRPr="00065200">
              <w:t>participants.</w:t>
            </w:r>
            <w:r w:rsidRPr="00065200">
              <w:rPr>
                <w:rStyle w:val="FootnoteReference"/>
              </w:rPr>
              <w:footnoteReference w:id="193"/>
            </w:r>
          </w:p>
        </w:tc>
      </w:tr>
    </w:tbl>
    <w:p w14:paraId="6572CA77" w14:textId="72453CE2" w:rsidR="008B3320" w:rsidRPr="00065200" w:rsidRDefault="004D7E9C" w:rsidP="00072FCD">
      <w:pPr>
        <w:pStyle w:val="Heading3"/>
      </w:pPr>
      <w:r>
        <w:t>Ensuring</w:t>
      </w:r>
      <w:r w:rsidR="00B35DCA">
        <w:t xml:space="preserve"> </w:t>
      </w:r>
      <w:r>
        <w:t>the</w:t>
      </w:r>
      <w:r w:rsidR="00B35DCA">
        <w:t xml:space="preserve"> </w:t>
      </w:r>
      <w:r w:rsidR="00ED4480" w:rsidRPr="00065200">
        <w:t>Government</w:t>
      </w:r>
      <w:r>
        <w:t>’s ISR</w:t>
      </w:r>
      <w:r w:rsidR="000206B1" w:rsidRPr="00065200">
        <w:t xml:space="preserve"> r</w:t>
      </w:r>
      <w:r w:rsidR="008B3320" w:rsidRPr="00065200">
        <w:t>isk</w:t>
      </w:r>
      <w:r w:rsidR="00ED4480" w:rsidRPr="00065200">
        <w:t xml:space="preserve"> profile</w:t>
      </w:r>
      <w:r>
        <w:t xml:space="preserve"> achieves effective outcomes</w:t>
      </w:r>
    </w:p>
    <w:p w14:paraId="7FCE14E3" w14:textId="60B0E255" w:rsidR="00A05C25" w:rsidRPr="00065200" w:rsidRDefault="008B3320" w:rsidP="008928C4">
      <w:r w:rsidRPr="00065200">
        <w:t>A strategically balanced portfolio</w:t>
      </w:r>
      <w:r w:rsidR="00C20DED" w:rsidRPr="00065200">
        <w:t xml:space="preserve"> </w:t>
      </w:r>
      <w:r w:rsidR="00B80118" w:rsidRPr="00065200">
        <w:t>must</w:t>
      </w:r>
      <w:r w:rsidRPr="00065200">
        <w:t xml:space="preserve"> actively evaluate risk, ensuring that high</w:t>
      </w:r>
      <w:r w:rsidR="00EE1D4C">
        <w:noBreakHyphen/>
      </w:r>
      <w:r w:rsidRPr="00065200">
        <w:t>risk</w:t>
      </w:r>
      <w:r w:rsidR="00225F20" w:rsidRPr="00065200">
        <w:t xml:space="preserve"> and </w:t>
      </w:r>
      <w:r w:rsidRPr="00065200">
        <w:t>high</w:t>
      </w:r>
      <w:r w:rsidR="00EE1D4C">
        <w:noBreakHyphen/>
      </w:r>
      <w:r w:rsidRPr="00065200">
        <w:t xml:space="preserve">reward breakthrough ISR is encouraged, while continuing to support more conservative incremental ISR programs. Traditionally, most governments have </w:t>
      </w:r>
      <w:r w:rsidR="0000508F" w:rsidRPr="00065200">
        <w:t>focussed</w:t>
      </w:r>
      <w:r w:rsidRPr="00065200">
        <w:t xml:space="preserve"> their innovation efforts towards </w:t>
      </w:r>
      <w:r w:rsidR="008928C4" w:rsidRPr="00065200">
        <w:t>incremental or ‘</w:t>
      </w:r>
      <w:r w:rsidRPr="00065200">
        <w:t>enhancement</w:t>
      </w:r>
      <w:r w:rsidRPr="00065200">
        <w:noBreakHyphen/>
        <w:t>oriented</w:t>
      </w:r>
      <w:r w:rsidR="008928C4" w:rsidRPr="00065200">
        <w:t>’</w:t>
      </w:r>
      <w:r w:rsidRPr="00065200">
        <w:t xml:space="preserve"> innovation</w:t>
      </w:r>
      <w:r w:rsidR="00225F20" w:rsidRPr="00065200">
        <w:t>.</w:t>
      </w:r>
      <w:r w:rsidRPr="00065200">
        <w:rPr>
          <w:vertAlign w:val="superscript"/>
        </w:rPr>
        <w:footnoteReference w:id="194"/>
      </w:r>
      <w:r w:rsidR="00225F20" w:rsidRPr="00065200">
        <w:t xml:space="preserve"> High</w:t>
      </w:r>
      <w:r w:rsidR="00EE1D4C">
        <w:noBreakHyphen/>
      </w:r>
      <w:r w:rsidR="00225F20" w:rsidRPr="00065200">
        <w:t>risk and high</w:t>
      </w:r>
      <w:r w:rsidR="00EE1D4C">
        <w:noBreakHyphen/>
      </w:r>
      <w:r w:rsidR="00225F20" w:rsidRPr="00065200">
        <w:t>reward ISR classically includes novel, potentially disruptive ISR that has significant societal impact. G</w:t>
      </w:r>
      <w:r w:rsidRPr="00065200">
        <w:t xml:space="preserve">overnments are increasingly (and successfully) supporting breakthrough innovation and entrepreneurial ISR, for example </w:t>
      </w:r>
      <w:r w:rsidR="00225F20" w:rsidRPr="00065200">
        <w:t xml:space="preserve">through </w:t>
      </w:r>
      <w:r w:rsidRPr="00065200">
        <w:t>the creation of government-supported tech</w:t>
      </w:r>
      <w:r w:rsidR="00225F20" w:rsidRPr="00065200">
        <w:t>nology</w:t>
      </w:r>
      <w:r w:rsidRPr="00065200">
        <w:t xml:space="preserve"> which allowed the creation of the iPhone.</w:t>
      </w:r>
      <w:r w:rsidRPr="00065200">
        <w:rPr>
          <w:vertAlign w:val="superscript"/>
        </w:rPr>
        <w:footnoteReference w:id="195"/>
      </w:r>
      <w:r w:rsidRPr="00065200">
        <w:rPr>
          <w:vertAlign w:val="superscript"/>
        </w:rPr>
        <w:t>,</w:t>
      </w:r>
      <w:r w:rsidRPr="00065200">
        <w:rPr>
          <w:vertAlign w:val="superscript"/>
        </w:rPr>
        <w:footnoteReference w:id="196"/>
      </w:r>
      <w:r w:rsidR="00A05C25" w:rsidRPr="00065200">
        <w:t xml:space="preserve"> </w:t>
      </w:r>
    </w:p>
    <w:p w14:paraId="20044A9E" w14:textId="391C69AC" w:rsidR="008B3320" w:rsidRPr="00065200" w:rsidRDefault="002B272E" w:rsidP="008928C4">
      <w:r>
        <w:t>A positive risk culture is increasingly</w:t>
      </w:r>
      <w:r w:rsidR="00225F20" w:rsidRPr="00065200">
        <w:t xml:space="preserve"> </w:t>
      </w:r>
      <w:r>
        <w:t xml:space="preserve">being </w:t>
      </w:r>
      <w:r w:rsidR="00752571" w:rsidRPr="00065200">
        <w:t xml:space="preserve">recognised as both an </w:t>
      </w:r>
      <w:r w:rsidR="004E345B">
        <w:t xml:space="preserve">innovation </w:t>
      </w:r>
      <w:r w:rsidR="00752571" w:rsidRPr="00065200">
        <w:t xml:space="preserve">enabler and </w:t>
      </w:r>
      <w:r w:rsidR="004E345B">
        <w:t xml:space="preserve">an </w:t>
      </w:r>
      <w:r w:rsidR="00752571" w:rsidRPr="00065200">
        <w:t xml:space="preserve">essential </w:t>
      </w:r>
      <w:r w:rsidR="004E345B">
        <w:t>tool to</w:t>
      </w:r>
      <w:r w:rsidR="00752571" w:rsidRPr="00065200">
        <w:t xml:space="preserve"> identify and address program risk.</w:t>
      </w:r>
      <w:r w:rsidR="00752571" w:rsidRPr="00065200">
        <w:rPr>
          <w:vertAlign w:val="superscript"/>
        </w:rPr>
        <w:footnoteReference w:id="197"/>
      </w:r>
      <w:r w:rsidR="00752571">
        <w:t xml:space="preserve"> </w:t>
      </w:r>
      <w:r w:rsidRPr="00065200">
        <w:t>I</w:t>
      </w:r>
      <w:r w:rsidR="00CE5184">
        <w:t>I</w:t>
      </w:r>
      <w:r w:rsidRPr="00065200">
        <w:t>SA found no evidence of a government</w:t>
      </w:r>
      <w:r w:rsidR="0064130E">
        <w:noBreakHyphen/>
      </w:r>
      <w:r w:rsidRPr="00065200">
        <w:t>wide framework or data</w:t>
      </w:r>
      <w:r>
        <w:t>set</w:t>
      </w:r>
      <w:r w:rsidRPr="00065200">
        <w:t xml:space="preserve"> to inform</w:t>
      </w:r>
      <w:r>
        <w:t xml:space="preserve"> </w:t>
      </w:r>
      <w:r w:rsidRPr="00065200">
        <w:t>ISR investment risk considerations</w:t>
      </w:r>
      <w:r>
        <w:t>. However,</w:t>
      </w:r>
      <w:r w:rsidR="00F423D0">
        <w:t xml:space="preserve"> I</w:t>
      </w:r>
      <w:r w:rsidR="008D1177">
        <w:t>I</w:t>
      </w:r>
      <w:r w:rsidR="00F423D0">
        <w:t>SA did find that</w:t>
      </w:r>
      <w:r w:rsidR="00752571" w:rsidRPr="00065200">
        <w:rPr>
          <w:vertAlign w:val="superscript"/>
        </w:rPr>
        <w:t xml:space="preserve"> </w:t>
      </w:r>
      <w:r>
        <w:t>r</w:t>
      </w:r>
      <w:r w:rsidR="00225F20" w:rsidRPr="00065200">
        <w:t xml:space="preserve">isk </w:t>
      </w:r>
      <w:r w:rsidR="008B3320" w:rsidRPr="00065200">
        <w:t xml:space="preserve">management processes have been established </w:t>
      </w:r>
      <w:r w:rsidR="00F423D0">
        <w:t>for</w:t>
      </w:r>
      <w:r w:rsidR="008B3320" w:rsidRPr="00065200">
        <w:t xml:space="preserve"> </w:t>
      </w:r>
      <w:r w:rsidR="0088208E">
        <w:t xml:space="preserve">some </w:t>
      </w:r>
      <w:r w:rsidR="00225F20" w:rsidRPr="00065200">
        <w:t xml:space="preserve">complex </w:t>
      </w:r>
      <w:r w:rsidR="006E234A" w:rsidRPr="00065200">
        <w:t>Commonwealth</w:t>
      </w:r>
      <w:r w:rsidR="008B3320" w:rsidRPr="00065200">
        <w:t xml:space="preserve"> Government</w:t>
      </w:r>
      <w:r w:rsidR="008B3320" w:rsidRPr="00065200">
        <w:noBreakHyphen/>
        <w:t xml:space="preserve">funded ISR initiatives, </w:t>
      </w:r>
      <w:r>
        <w:t>such as</w:t>
      </w:r>
      <w:r w:rsidR="00752571" w:rsidRPr="00065200">
        <w:t xml:space="preserve"> </w:t>
      </w:r>
      <w:r w:rsidR="00F423D0">
        <w:t>Department of Defence acquisitions</w:t>
      </w:r>
      <w:r w:rsidR="008B3320" w:rsidRPr="00065200">
        <w:t>.</w:t>
      </w:r>
      <w:r w:rsidR="008B3320" w:rsidRPr="00065200">
        <w:rPr>
          <w:vertAlign w:val="superscript"/>
        </w:rPr>
        <w:footnoteReference w:id="198"/>
      </w:r>
    </w:p>
    <w:p w14:paraId="5FAF5681" w14:textId="4A4A3879" w:rsidR="002071C5" w:rsidRPr="00065200" w:rsidRDefault="001C4DA3" w:rsidP="008B3320">
      <w:r w:rsidRPr="00065200">
        <w:t>Effective</w:t>
      </w:r>
      <w:r w:rsidR="00A05C25" w:rsidRPr="00065200">
        <w:t xml:space="preserve"> policies </w:t>
      </w:r>
      <w:r w:rsidRPr="00065200">
        <w:t>for fostering</w:t>
      </w:r>
      <w:r w:rsidR="00A05C25" w:rsidRPr="00065200">
        <w:t xml:space="preserve"> high</w:t>
      </w:r>
      <w:r w:rsidR="00EE1D4C">
        <w:noBreakHyphen/>
      </w:r>
      <w:r w:rsidR="00A05C25" w:rsidRPr="00065200">
        <w:t>risk</w:t>
      </w:r>
      <w:r w:rsidRPr="00065200">
        <w:t xml:space="preserve"> and </w:t>
      </w:r>
      <w:r w:rsidR="00A05C25" w:rsidRPr="00065200">
        <w:t>high</w:t>
      </w:r>
      <w:r w:rsidR="00EE1D4C">
        <w:noBreakHyphen/>
      </w:r>
      <w:r w:rsidR="00A05C25" w:rsidRPr="00065200">
        <w:t xml:space="preserve">reward research </w:t>
      </w:r>
      <w:r w:rsidRPr="00065200">
        <w:t>are</w:t>
      </w:r>
      <w:r w:rsidR="00A05C25" w:rsidRPr="00065200">
        <w:t xml:space="preserve"> being </w:t>
      </w:r>
      <w:r w:rsidRPr="00065200">
        <w:t>developed</w:t>
      </w:r>
      <w:r w:rsidR="00A05C25" w:rsidRPr="00065200">
        <w:t xml:space="preserve"> internationally</w:t>
      </w:r>
      <w:r w:rsidRPr="00065200">
        <w:t>,</w:t>
      </w:r>
      <w:r w:rsidR="00A05C25" w:rsidRPr="00065200">
        <w:t xml:space="preserve"> </w:t>
      </w:r>
      <w:r w:rsidRPr="00065200">
        <w:t>h</w:t>
      </w:r>
      <w:r w:rsidR="00A05C25" w:rsidRPr="00065200">
        <w:t>owever, this work is still in its early stages.</w:t>
      </w:r>
      <w:r w:rsidRPr="00065200">
        <w:rPr>
          <w:rStyle w:val="FootnoteReference"/>
        </w:rPr>
        <w:footnoteReference w:id="199"/>
      </w:r>
      <w:r w:rsidRPr="00065200">
        <w:t xml:space="preserve"> </w:t>
      </w:r>
      <w:r w:rsidR="004E345B">
        <w:t>T</w:t>
      </w:r>
      <w:r w:rsidR="00A05C25" w:rsidRPr="00065200">
        <w:t xml:space="preserve">o date, </w:t>
      </w:r>
      <w:r w:rsidR="004E345B">
        <w:t xml:space="preserve">government risk literature </w:t>
      </w:r>
      <w:r w:rsidR="00A05C25" w:rsidRPr="00065200">
        <w:t xml:space="preserve">has </w:t>
      </w:r>
      <w:r w:rsidR="0000508F" w:rsidRPr="00065200">
        <w:t>focussed</w:t>
      </w:r>
      <w:r w:rsidR="00A05C25" w:rsidRPr="00065200">
        <w:t xml:space="preserve"> on t</w:t>
      </w:r>
      <w:r w:rsidR="008B3320" w:rsidRPr="00065200">
        <w:t xml:space="preserve">he role </w:t>
      </w:r>
      <w:r w:rsidR="004E345B">
        <w:t>it</w:t>
      </w:r>
      <w:r w:rsidR="004E345B" w:rsidRPr="00065200">
        <w:t xml:space="preserve"> </w:t>
      </w:r>
      <w:r w:rsidR="008B3320" w:rsidRPr="00065200">
        <w:t xml:space="preserve">should play in supporting ambitious approaches to large challenges that enable breakthrough ISR. </w:t>
      </w:r>
      <w:r w:rsidR="002071C5" w:rsidRPr="00065200">
        <w:t>Governments often take the role</w:t>
      </w:r>
      <w:r w:rsidR="008B3320" w:rsidRPr="00065200">
        <w:t xml:space="preserve"> of </w:t>
      </w:r>
      <w:r w:rsidR="002071C5" w:rsidRPr="00065200">
        <w:t>investing</w:t>
      </w:r>
      <w:r w:rsidR="008B3320" w:rsidRPr="00065200">
        <w:t xml:space="preserve"> in </w:t>
      </w:r>
      <w:r w:rsidR="002071C5" w:rsidRPr="00065200">
        <w:t xml:space="preserve">ISR that </w:t>
      </w:r>
      <w:r w:rsidR="000A2BEC" w:rsidRPr="00065200">
        <w:t>other sectors (</w:t>
      </w:r>
      <w:r w:rsidR="002071C5" w:rsidRPr="00065200">
        <w:t xml:space="preserve">businesses </w:t>
      </w:r>
      <w:r w:rsidR="000A2BEC" w:rsidRPr="00065200">
        <w:t>in particular)</w:t>
      </w:r>
      <w:r w:rsidR="002071C5" w:rsidRPr="00065200">
        <w:t xml:space="preserve"> deem too risky and uncertain</w:t>
      </w:r>
      <w:r w:rsidR="00CE0240" w:rsidRPr="00065200">
        <w:t xml:space="preserve"> for sustained investment</w:t>
      </w:r>
      <w:r w:rsidR="004E345B">
        <w:t>,</w:t>
      </w:r>
      <w:r w:rsidR="002071C5" w:rsidRPr="00065200">
        <w:t xml:space="preserve"> and in areas where governments have a </w:t>
      </w:r>
      <w:r w:rsidR="008B3320" w:rsidRPr="00065200">
        <w:t>higher</w:t>
      </w:r>
      <w:r w:rsidR="002071C5" w:rsidRPr="00065200">
        <w:t xml:space="preserve"> </w:t>
      </w:r>
      <w:r w:rsidR="008B3320" w:rsidRPr="00065200">
        <w:t xml:space="preserve">risk </w:t>
      </w:r>
      <w:r w:rsidR="002071C5" w:rsidRPr="00065200">
        <w:t>tolerance compared to the private sector.</w:t>
      </w:r>
      <w:r w:rsidR="002071C5" w:rsidRPr="00065200">
        <w:rPr>
          <w:vertAlign w:val="superscript"/>
        </w:rPr>
        <w:footnoteReference w:id="200"/>
      </w:r>
      <w:r w:rsidR="002071C5" w:rsidRPr="00065200">
        <w:t xml:space="preserve"> </w:t>
      </w:r>
    </w:p>
    <w:p w14:paraId="64967B29" w14:textId="6A5A52F2" w:rsidR="008B3320" w:rsidRPr="00065200" w:rsidRDefault="002071C5" w:rsidP="008B3320">
      <w:r w:rsidRPr="00065200">
        <w:t xml:space="preserve">While </w:t>
      </w:r>
      <w:r w:rsidR="008B3320" w:rsidRPr="00065200">
        <w:t xml:space="preserve">the </w:t>
      </w:r>
      <w:r w:rsidR="004E345B">
        <w:t xml:space="preserve">whole-of-government </w:t>
      </w:r>
      <w:r w:rsidRPr="00065200">
        <w:t xml:space="preserve">risk </w:t>
      </w:r>
      <w:r w:rsidR="00186398" w:rsidRPr="00065200">
        <w:t xml:space="preserve">assessment </w:t>
      </w:r>
      <w:r w:rsidRPr="00065200">
        <w:t xml:space="preserve">framework is </w:t>
      </w:r>
      <w:r w:rsidR="00186398" w:rsidRPr="00065200">
        <w:t>currently</w:t>
      </w:r>
      <w:r w:rsidRPr="00065200">
        <w:t xml:space="preserve"> </w:t>
      </w:r>
      <w:r w:rsidR="00186398" w:rsidRPr="00065200">
        <w:t>incomplete</w:t>
      </w:r>
      <w:r w:rsidRPr="00065200">
        <w:t>, the Government has already moved to invest</w:t>
      </w:r>
      <w:r w:rsidR="008B3320" w:rsidRPr="00065200">
        <w:t xml:space="preserve"> in higher</w:t>
      </w:r>
      <w:r w:rsidR="008B3320" w:rsidRPr="00065200">
        <w:noBreakHyphen/>
        <w:t>risk ISR</w:t>
      </w:r>
      <w:r w:rsidRPr="00065200">
        <w:t>. Examples of</w:t>
      </w:r>
      <w:r w:rsidR="00D53FBF">
        <w:t xml:space="preserve"> government</w:t>
      </w:r>
      <w:r w:rsidR="008B3320" w:rsidRPr="00065200">
        <w:t xml:space="preserve"> </w:t>
      </w:r>
      <w:r w:rsidR="00D53FBF">
        <w:t xml:space="preserve">investments which </w:t>
      </w:r>
      <w:r w:rsidR="00D53FBF" w:rsidRPr="00065200">
        <w:t>suppo</w:t>
      </w:r>
      <w:r w:rsidR="00D53FBF">
        <w:t>rt</w:t>
      </w:r>
      <w:r w:rsidR="00D53FBF" w:rsidRPr="00065200">
        <w:t xml:space="preserve"> higher-risk, often early</w:t>
      </w:r>
      <w:r w:rsidR="00D53FBF" w:rsidRPr="00065200">
        <w:noBreakHyphen/>
        <w:t>stage innovative ISR</w:t>
      </w:r>
      <w:r w:rsidR="0017225C">
        <w:t>,</w:t>
      </w:r>
      <w:r w:rsidR="00D53FBF" w:rsidRPr="00065200">
        <w:t xml:space="preserve"> </w:t>
      </w:r>
      <w:r w:rsidR="008B3320" w:rsidRPr="00065200">
        <w:t xml:space="preserve">include the MRFF Frontier Health and Medical Research initiative, NHMRC Ideas grants and </w:t>
      </w:r>
      <w:r w:rsidR="001C4DA3" w:rsidRPr="00065200">
        <w:t>CSIRO</w:t>
      </w:r>
      <w:r w:rsidR="00D53FBF">
        <w:t>’s</w:t>
      </w:r>
      <w:r w:rsidR="008B3320" w:rsidRPr="00065200">
        <w:t xml:space="preserve"> </w:t>
      </w:r>
      <w:hyperlink r:id="rId40" w:history="1">
        <w:r w:rsidR="008B3320" w:rsidRPr="00065200">
          <w:t>Main Sequence Ventures</w:t>
        </w:r>
      </w:hyperlink>
      <w:r w:rsidR="008B3320" w:rsidRPr="00065200">
        <w:t>.</w:t>
      </w:r>
    </w:p>
    <w:p w14:paraId="7BFFCE19" w14:textId="286E7EFA" w:rsidR="008B3320" w:rsidRPr="00065200" w:rsidRDefault="008B3320" w:rsidP="008B3320">
      <w:r w:rsidRPr="00065200">
        <w:t xml:space="preserve">Internationally, governments are </w:t>
      </w:r>
      <w:r w:rsidR="002071C5" w:rsidRPr="00065200">
        <w:t xml:space="preserve">also </w:t>
      </w:r>
      <w:r w:rsidRPr="00065200">
        <w:t>funding high</w:t>
      </w:r>
      <w:r w:rsidR="00EE1D4C">
        <w:noBreakHyphen/>
      </w:r>
      <w:r w:rsidRPr="00065200">
        <w:t>risk breakthrough innovation which would likely be rejected by other investors. For example</w:t>
      </w:r>
      <w:r w:rsidR="00325D72">
        <w:t>,</w:t>
      </w:r>
      <w:r w:rsidRPr="00065200">
        <w:t xml:space="preserve"> Israel’s Office of the Chief Scientist considers that a failure rate </w:t>
      </w:r>
      <w:r w:rsidR="00186398" w:rsidRPr="00065200">
        <w:t>of</w:t>
      </w:r>
      <w:r w:rsidRPr="00065200">
        <w:t xml:space="preserve"> </w:t>
      </w:r>
      <w:r w:rsidR="00186398" w:rsidRPr="00065200">
        <w:t>less than 30</w:t>
      </w:r>
      <w:r w:rsidR="00205144">
        <w:t> per cent</w:t>
      </w:r>
      <w:r w:rsidR="00186398" w:rsidRPr="00065200">
        <w:t xml:space="preserve"> </w:t>
      </w:r>
      <w:r w:rsidRPr="00065200">
        <w:t xml:space="preserve">in their high-risk grants represents an ‘institutional failure’ indicative of </w:t>
      </w:r>
      <w:r w:rsidR="00186398" w:rsidRPr="00065200">
        <w:t>insufficient</w:t>
      </w:r>
      <w:r w:rsidRPr="00065200">
        <w:t xml:space="preserve"> risk-taking and a ‘crowding out’ of private sector investment.</w:t>
      </w:r>
      <w:r w:rsidRPr="00065200">
        <w:rPr>
          <w:vertAlign w:val="superscript"/>
        </w:rPr>
        <w:footnoteReference w:id="201"/>
      </w:r>
      <w:r w:rsidRPr="00065200">
        <w:t xml:space="preserve"> UKRI’s Smart Grants, Canada’s ‘Challenge Programs’, Japan’s </w:t>
      </w:r>
      <w:r w:rsidR="001C4DA3" w:rsidRPr="00065200">
        <w:t xml:space="preserve">disruptive technologies </w:t>
      </w:r>
      <w:r w:rsidRPr="00065200">
        <w:t xml:space="preserve">ImPACT program, and Singapore’s National Research Foundation Investigatorships are other examples of mechanisms implemented specifically to support </w:t>
      </w:r>
      <w:r w:rsidR="003E37A8">
        <w:t>high</w:t>
      </w:r>
      <w:r w:rsidR="00EE1D4C">
        <w:noBreakHyphen/>
      </w:r>
      <w:r w:rsidR="003E37A8">
        <w:t xml:space="preserve">risk </w:t>
      </w:r>
      <w:r w:rsidRPr="00065200">
        <w:t>breakthrough innovation</w:t>
      </w:r>
      <w:r w:rsidR="001C4DA3" w:rsidRPr="00065200">
        <w:t>.</w:t>
      </w:r>
      <w:r w:rsidRPr="00065200">
        <w:rPr>
          <w:vertAlign w:val="superscript"/>
        </w:rPr>
        <w:footnoteReference w:id="202"/>
      </w:r>
    </w:p>
    <w:p w14:paraId="1F929F1A" w14:textId="191973D2" w:rsidR="008B3320" w:rsidRPr="00065200" w:rsidRDefault="00ED4480" w:rsidP="00072FCD">
      <w:pPr>
        <w:pStyle w:val="Heading3"/>
      </w:pPr>
      <w:r w:rsidRPr="00065200">
        <w:t>Ensuring</w:t>
      </w:r>
      <w:r w:rsidR="000206B1" w:rsidRPr="00065200">
        <w:t xml:space="preserve"> s</w:t>
      </w:r>
      <w:r w:rsidR="008B3320" w:rsidRPr="00065200">
        <w:t>cale</w:t>
      </w:r>
      <w:r w:rsidR="00C739D1">
        <w:t>,</w:t>
      </w:r>
      <w:r w:rsidRPr="00065200">
        <w:t xml:space="preserve"> and funding </w:t>
      </w:r>
      <w:r w:rsidR="003A490E" w:rsidRPr="00065200">
        <w:t xml:space="preserve">the full </w:t>
      </w:r>
      <w:r w:rsidR="00370CD1" w:rsidRPr="00065200">
        <w:t>cost</w:t>
      </w:r>
      <w:r w:rsidRPr="00065200">
        <w:t xml:space="preserve"> </w:t>
      </w:r>
      <w:r w:rsidR="00B80118" w:rsidRPr="00065200">
        <w:t>of</w:t>
      </w:r>
      <w:r w:rsidRPr="00065200">
        <w:t xml:space="preserve"> ISR</w:t>
      </w:r>
    </w:p>
    <w:p w14:paraId="56EE7266" w14:textId="25D7431B" w:rsidR="0023013A" w:rsidRPr="00065200" w:rsidRDefault="00964E79" w:rsidP="008B3320">
      <w:r w:rsidRPr="00065200">
        <w:t xml:space="preserve">A key element of a strategically balanced </w:t>
      </w:r>
      <w:r w:rsidR="00186398" w:rsidRPr="00065200">
        <w:t xml:space="preserve">government investment ISR </w:t>
      </w:r>
      <w:r w:rsidRPr="00065200">
        <w:t>portfolio is appropriately scale</w:t>
      </w:r>
      <w:r w:rsidR="003E37A8">
        <w:t>d</w:t>
      </w:r>
      <w:r w:rsidRPr="00065200">
        <w:t xml:space="preserve"> investments </w:t>
      </w:r>
      <w:r w:rsidR="003E37A8">
        <w:t>which</w:t>
      </w:r>
      <w:r w:rsidRPr="00065200">
        <w:t xml:space="preserve"> </w:t>
      </w:r>
      <w:r w:rsidR="00B51769" w:rsidRPr="00065200">
        <w:t xml:space="preserve">deliver meaningful impact </w:t>
      </w:r>
      <w:r w:rsidR="00186398" w:rsidRPr="00065200">
        <w:t>by</w:t>
      </w:r>
      <w:r w:rsidR="00B51769" w:rsidRPr="00065200">
        <w:t xml:space="preserve"> </w:t>
      </w:r>
      <w:r w:rsidR="00186398" w:rsidRPr="00065200">
        <w:t>achieving</w:t>
      </w:r>
      <w:r w:rsidRPr="00065200">
        <w:t xml:space="preserve"> critical mass.</w:t>
      </w:r>
      <w:r w:rsidR="00B51769" w:rsidRPr="00065200">
        <w:t xml:space="preserve"> </w:t>
      </w:r>
      <w:r w:rsidR="009964CA">
        <w:t xml:space="preserve">A </w:t>
      </w:r>
      <w:r w:rsidR="009964CA" w:rsidRPr="00065200">
        <w:t xml:space="preserve">recurring theme </w:t>
      </w:r>
      <w:r w:rsidR="009964CA">
        <w:t>in the</w:t>
      </w:r>
      <w:r w:rsidR="009964CA" w:rsidRPr="00065200">
        <w:t xml:space="preserve"> literature </w:t>
      </w:r>
      <w:r w:rsidR="009964CA">
        <w:t>is</w:t>
      </w:r>
      <w:r w:rsidR="00B51769" w:rsidRPr="00065200">
        <w:t xml:space="preserve"> that Australia’s ISR investments lack scale, both at a program</w:t>
      </w:r>
      <w:r w:rsidR="00774ED4">
        <w:t xml:space="preserve"> and</w:t>
      </w:r>
      <w:r w:rsidR="00B51769" w:rsidRPr="00065200">
        <w:t xml:space="preserve"> the overall system</w:t>
      </w:r>
      <w:r w:rsidR="00774ED4">
        <w:t>-level</w:t>
      </w:r>
      <w:r w:rsidR="001311C2" w:rsidRPr="00065200">
        <w:t xml:space="preserve"> (see </w:t>
      </w:r>
      <w:r w:rsidR="00F700C3">
        <w:t xml:space="preserve">Box 7 </w:t>
      </w:r>
      <w:r w:rsidR="001311C2" w:rsidRPr="00065200">
        <w:t>for a sectoral example)</w:t>
      </w:r>
      <w:r w:rsidR="00B51769" w:rsidRPr="00065200">
        <w:t>.</w:t>
      </w:r>
      <w:r w:rsidRPr="00065200">
        <w:t xml:space="preserve"> </w:t>
      </w:r>
      <w:r w:rsidR="008B3320" w:rsidRPr="00065200">
        <w:t xml:space="preserve">The </w:t>
      </w:r>
      <w:r w:rsidR="006D07D6" w:rsidRPr="00065200">
        <w:t>G</w:t>
      </w:r>
      <w:r w:rsidR="008B3320" w:rsidRPr="00065200">
        <w:t>overnment’s</w:t>
      </w:r>
      <w:r w:rsidR="0023013A" w:rsidRPr="00065200">
        <w:t xml:space="preserve"> investment </w:t>
      </w:r>
      <w:r w:rsidR="00C56A12">
        <w:t xml:space="preserve">in ISR </w:t>
      </w:r>
      <w:r w:rsidR="00E65071" w:rsidRPr="00065200">
        <w:t>in 2019–20</w:t>
      </w:r>
      <w:r w:rsidR="00E65071">
        <w:t xml:space="preserve"> </w:t>
      </w:r>
      <w:r w:rsidR="00C56A12">
        <w:t>was</w:t>
      </w:r>
      <w:r w:rsidR="00C56A12" w:rsidRPr="00065200">
        <w:t xml:space="preserve"> </w:t>
      </w:r>
      <w:r w:rsidR="0023013A" w:rsidRPr="00065200">
        <w:t>$10.1</w:t>
      </w:r>
      <w:r w:rsidR="003413A4" w:rsidRPr="00065200">
        <w:t> </w:t>
      </w:r>
      <w:r w:rsidR="0023013A" w:rsidRPr="00065200">
        <w:t>billion, or 0.5</w:t>
      </w:r>
      <w:r w:rsidR="00D31EF9" w:rsidRPr="00065200">
        <w:t>1</w:t>
      </w:r>
      <w:r w:rsidR="00205144">
        <w:t> per cent</w:t>
      </w:r>
      <w:r w:rsidR="0023013A" w:rsidRPr="00065200">
        <w:t xml:space="preserve"> of GDP. ISR investment as a percentage of GDP </w:t>
      </w:r>
      <w:r w:rsidR="00E65071">
        <w:t xml:space="preserve">has gradually declined </w:t>
      </w:r>
      <w:r w:rsidR="0023013A" w:rsidRPr="00065200">
        <w:t>since 2011</w:t>
      </w:r>
      <w:r w:rsidR="003413A4" w:rsidRPr="00065200">
        <w:t>–</w:t>
      </w:r>
      <w:r w:rsidR="0023013A" w:rsidRPr="00065200">
        <w:t>12</w:t>
      </w:r>
      <w:r w:rsidR="00186398" w:rsidRPr="00065200">
        <w:t>, when</w:t>
      </w:r>
      <w:r w:rsidR="000524BB" w:rsidRPr="00065200">
        <w:t xml:space="preserve"> the total Government investment in ISR was 0.68</w:t>
      </w:r>
      <w:r w:rsidR="00205144">
        <w:t> per cent</w:t>
      </w:r>
      <w:r w:rsidR="000524BB" w:rsidRPr="00065200">
        <w:t xml:space="preserve"> of GDP.</w:t>
      </w:r>
      <w:r w:rsidR="00186398" w:rsidRPr="00065200">
        <w:rPr>
          <w:rStyle w:val="FootnoteReference"/>
        </w:rPr>
        <w:footnoteReference w:id="203"/>
      </w:r>
      <w:r w:rsidR="009E4715" w:rsidRPr="00065200">
        <w:t xml:space="preserve"> </w:t>
      </w:r>
    </w:p>
    <w:p w14:paraId="290C83CD" w14:textId="6951B001" w:rsidR="00E8541F" w:rsidRPr="00065200" w:rsidRDefault="0010009E" w:rsidP="00E8541F">
      <w:pPr>
        <w:spacing w:before="240"/>
      </w:pPr>
      <w:r>
        <w:t>In 2019–20 t</w:t>
      </w:r>
      <w:r w:rsidR="00E8541F" w:rsidRPr="00065200">
        <w:t xml:space="preserve">he Government’s ISR investment </w:t>
      </w:r>
      <w:r w:rsidR="002B272E">
        <w:t>wa</w:t>
      </w:r>
      <w:r w:rsidR="00E8541F" w:rsidRPr="00065200">
        <w:t>s split across</w:t>
      </w:r>
      <w:r w:rsidR="006D07D6" w:rsidRPr="00065200">
        <w:t xml:space="preserve"> 202 programs and</w:t>
      </w:r>
      <w:r w:rsidR="00E8541F" w:rsidRPr="00065200">
        <w:t xml:space="preserve"> </w:t>
      </w:r>
      <w:r w:rsidR="004F4770">
        <w:t>13</w:t>
      </w:r>
      <w:r w:rsidR="00E8541F" w:rsidRPr="00065200">
        <w:t xml:space="preserve"> portfolios.</w:t>
      </w:r>
      <w:r w:rsidR="00E8541F" w:rsidRPr="00065200">
        <w:rPr>
          <w:vertAlign w:val="superscript"/>
        </w:rPr>
        <w:footnoteReference w:id="204"/>
      </w:r>
      <w:r w:rsidR="00E8541F" w:rsidRPr="00065200">
        <w:t xml:space="preserve"> Numerous reviews have observed the negative impacts resulting from this fragmentation</w:t>
      </w:r>
      <w:r w:rsidR="0017225C">
        <w:t>,</w:t>
      </w:r>
      <w:r w:rsidR="00E8541F" w:rsidRPr="00065200">
        <w:rPr>
          <w:vertAlign w:val="superscript"/>
        </w:rPr>
        <w:footnoteReference w:id="205"/>
      </w:r>
      <w:r w:rsidR="00E8541F" w:rsidRPr="00065200">
        <w:rPr>
          <w:vertAlign w:val="superscript"/>
        </w:rPr>
        <w:t>,</w:t>
      </w:r>
      <w:r w:rsidR="00E8541F" w:rsidRPr="00065200">
        <w:rPr>
          <w:vertAlign w:val="superscript"/>
        </w:rPr>
        <w:footnoteReference w:id="206"/>
      </w:r>
      <w:r w:rsidR="00E8541F" w:rsidRPr="00065200">
        <w:t xml:space="preserve"> compounded by the lack of an overarching investment strategy. The</w:t>
      </w:r>
      <w:r w:rsidR="008B4576">
        <w:t>se impacts include</w:t>
      </w:r>
      <w:r w:rsidR="00E8541F" w:rsidRPr="00065200">
        <w:t xml:space="preserve"> reduced scale</w:t>
      </w:r>
      <w:r>
        <w:t xml:space="preserve"> and</w:t>
      </w:r>
      <w:r w:rsidR="00E8541F" w:rsidRPr="00065200">
        <w:t xml:space="preserve"> uncoordinated investments across agencies and funding sources. This degree of fragmentation in ISR funding administrative processes has </w:t>
      </w:r>
      <w:r w:rsidR="008B4576">
        <w:t xml:space="preserve">also </w:t>
      </w:r>
      <w:r w:rsidR="00E8541F" w:rsidRPr="00065200">
        <w:t>been identified as inefficient, costly and time consuming for Australian researchers and businesses.</w:t>
      </w:r>
      <w:r w:rsidR="00E8541F" w:rsidRPr="00065200">
        <w:rPr>
          <w:rStyle w:val="FootnoteReference"/>
        </w:rPr>
        <w:footnoteReference w:id="207"/>
      </w:r>
      <w:r w:rsidR="00E8541F" w:rsidRPr="00065200">
        <w:t xml:space="preserve"> Internationally</w:t>
      </w:r>
      <w:r w:rsidR="008B4576">
        <w:t>,</w:t>
      </w:r>
      <w:r w:rsidR="00E8541F" w:rsidRPr="00065200">
        <w:t xml:space="preserve"> collective administrative arrangements</w:t>
      </w:r>
      <w:r w:rsidR="0017225C">
        <w:t>,</w:t>
      </w:r>
      <w:r w:rsidR="00E8541F" w:rsidRPr="00065200">
        <w:t xml:space="preserve"> </w:t>
      </w:r>
      <w:r w:rsidR="008B4576" w:rsidRPr="00065200">
        <w:t>such as the UK’s Industrial Strategy</w:t>
      </w:r>
      <w:r w:rsidR="008B4576">
        <w:t xml:space="preserve">, have </w:t>
      </w:r>
      <w:r w:rsidR="008B4576" w:rsidRPr="00065200">
        <w:t>improve</w:t>
      </w:r>
      <w:r w:rsidR="008B4576">
        <w:t>d investment scale</w:t>
      </w:r>
      <w:r w:rsidR="008B4576" w:rsidRPr="00065200">
        <w:t xml:space="preserve"> and reduce</w:t>
      </w:r>
      <w:r w:rsidR="008B4576">
        <w:t>d</w:t>
      </w:r>
      <w:r w:rsidR="008B4576" w:rsidRPr="00065200">
        <w:t xml:space="preserve"> program fragmentation </w:t>
      </w:r>
      <w:r w:rsidR="008B4576">
        <w:t>by grouping</w:t>
      </w:r>
      <w:r w:rsidR="00E8541F" w:rsidRPr="00065200">
        <w:t xml:space="preserve"> smaller</w:t>
      </w:r>
      <w:r w:rsidR="00E8541F" w:rsidRPr="00065200">
        <w:noBreakHyphen/>
        <w:t>scale activities under each Grand Challenge</w:t>
      </w:r>
      <w:r w:rsidR="008B4576">
        <w:t>,</w:t>
      </w:r>
      <w:r w:rsidR="00E8541F" w:rsidRPr="00065200">
        <w:t xml:space="preserve"> </w:t>
      </w:r>
      <w:r w:rsidR="008B4576">
        <w:t xml:space="preserve">which are </w:t>
      </w:r>
      <w:r w:rsidR="00E8541F" w:rsidRPr="00065200">
        <w:t xml:space="preserve">directly supported by </w:t>
      </w:r>
      <w:r w:rsidR="00B66DB1">
        <w:t>the</w:t>
      </w:r>
      <w:r w:rsidR="008B4576">
        <w:t xml:space="preserve"> </w:t>
      </w:r>
      <w:r w:rsidR="00E8541F" w:rsidRPr="00065200">
        <w:t>significant Industrial Strategy Challenge Fund.</w:t>
      </w:r>
      <w:r w:rsidR="00E8541F" w:rsidRPr="00065200">
        <w:rPr>
          <w:rStyle w:val="FootnoteReference"/>
        </w:rPr>
        <w:footnoteReference w:id="208"/>
      </w:r>
    </w:p>
    <w:p w14:paraId="437BB6C2" w14:textId="1A0E50A0" w:rsidR="00663FD9" w:rsidRPr="00065200" w:rsidRDefault="003D45FA" w:rsidP="00663FD9">
      <w:pPr>
        <w:spacing w:before="240"/>
      </w:pPr>
      <w:r>
        <w:t>T</w:t>
      </w:r>
      <w:r w:rsidR="00663FD9" w:rsidRPr="00065200">
        <w:t>o ensure that all components of the ISR system are appropriately resourced</w:t>
      </w:r>
      <w:r>
        <w:t xml:space="preserve">, </w:t>
      </w:r>
      <w:r w:rsidR="00663FD9" w:rsidRPr="00065200">
        <w:t>the direct cost of research and innovation activity, researchers, administration, infrastructure and operating costs</w:t>
      </w:r>
      <w:r>
        <w:t xml:space="preserve"> must be carefully considered</w:t>
      </w:r>
      <w:r w:rsidR="00663FD9" w:rsidRPr="00065200">
        <w:t>. Effectively investing in national research infrastructure is critical to Australia’s research proposition, as knowledge creation is increasingly dependent on access to large</w:t>
      </w:r>
      <w:r w:rsidR="00663FD9" w:rsidRPr="00065200">
        <w:noBreakHyphen/>
        <w:t xml:space="preserve">scale capital equipment, digital technologies and expert operators. </w:t>
      </w:r>
      <w:r w:rsidR="007F2D94" w:rsidRPr="006C6774">
        <w:t xml:space="preserve">An effective level of infrastructure investment also underpins Australia’s ability to take up global scientific and commercial opportunities. </w:t>
      </w:r>
      <w:r w:rsidR="00663FD9" w:rsidRPr="00065200">
        <w:t xml:space="preserve">However, despite a </w:t>
      </w:r>
      <w:r w:rsidRPr="00065200">
        <w:t>2018</w:t>
      </w:r>
      <w:r>
        <w:t xml:space="preserve"> </w:t>
      </w:r>
      <w:r w:rsidR="00663FD9" w:rsidRPr="00065200">
        <w:t>Commonwealth Government funding commitment for national research infrastructure, funding for costs associated with conducting research, including the broader indirect costs of research, remains broadly unaddressed.</w:t>
      </w:r>
    </w:p>
    <w:tbl>
      <w:tblPr>
        <w:tblStyle w:val="TableGrid"/>
        <w:tblW w:w="9032" w:type="dxa"/>
        <w:shd w:val="clear" w:color="auto" w:fill="EBF2F9"/>
        <w:tblCellMar>
          <w:top w:w="57" w:type="dxa"/>
          <w:left w:w="57" w:type="dxa"/>
          <w:bottom w:w="57" w:type="dxa"/>
          <w:right w:w="57" w:type="dxa"/>
        </w:tblCellMar>
        <w:tblLook w:val="0600" w:firstRow="0" w:lastRow="0" w:firstColumn="0" w:lastColumn="0" w:noHBand="1" w:noVBand="1"/>
        <w:tblCaption w:val="Box 7 A strategically balanced space investment: scale and resourcing"/>
        <w:tblDescription w:val="The Commonwealth Government’s introduction of targeted investment programs for the space sector have been well received by industry participants, and are regarded as appropriately subscribed, relative to the current scale of program investment. &#10;As the space industry base grows and its investment needs evolve over the longer-term, there will be an opportunity to re-consider the scale of government support for this sector. This might include improving connections between space specific support and the broader ISR granting environment, scaling successful programs, or combining overlapping initiatives and appropriately resourcing administrators to meet industry needs to achieve the greatest impact. The Australian Space Agency’s current work to map the Australian space industry will provide some insight about the required scale and type of support needed to grow the capacity of the sector in the future. &#10;The scale of space ISR investments outside of the Agency’s programs is more difficult to assess, particularly within Publicly Funded Research Agencies (PFRAs). While larger PFRA programs with dedicated funds are relatively easy to identify and quantify (e.g. Digital Earth Australia), smaller programs funded within annual agency appropriation budgets are less visible.&#10;Internationally, space agencies similar to the Australian Space Agency (in UK, Canada, France, and Norway) suggest that the scale of investments required to grow and diversify the economy is on the order of 0.016–0.070 per cent of GDP.  In Australia this would have equated to an investment in the order of $250 million per annum, pre-COVID-19. While the scale of Australia’s support for industrial space ISR investments is currently broadly fit-for-purpose, this international comparison suggests that supporting initiatives at scale may be required in the future to support the sector’s participation in the global space economy. &#10;The Australian space sector also faces challenges navigating the Government’s variable levels of support for the indirect costs of research. While PFRA funding makes few distinctions between research, development and agency operations, government funding for universities clearly separates research, infrastructure and operational support, including for indirect research costs. This disparity has created differences in funding objectives, and challenges in transitioning research between national research infrastructure funding models, for example when operationalising earth observation data via government funded research facilities.&#10;Challenges in accessing government-funded space assets and infrastructure at an acceptable cost was also observed. While the Government’s new space infrastructure funding is welcomed by the sector, the previously identified need for ongoing public funding for such facilities, including to cover ongoing running costs (such as staffing, maintenance and depreciation) for a diverse commercial and non-commercial user base, was confirmed through consultation. "/>
      </w:tblPr>
      <w:tblGrid>
        <w:gridCol w:w="9032"/>
      </w:tblGrid>
      <w:tr w:rsidR="006949BB" w:rsidRPr="00065200" w14:paraId="4A41EA5D" w14:textId="77777777" w:rsidTr="00807393">
        <w:trPr>
          <w:tblHeader/>
        </w:trPr>
        <w:tc>
          <w:tcPr>
            <w:tcW w:w="9032" w:type="dxa"/>
            <w:tcBorders>
              <w:bottom w:val="nil"/>
            </w:tcBorders>
            <w:shd w:val="clear" w:color="auto" w:fill="EBF2F9"/>
          </w:tcPr>
          <w:p w14:paraId="77712268" w14:textId="5DB381ED" w:rsidR="006949BB" w:rsidRPr="00065200" w:rsidRDefault="006949BB" w:rsidP="006949BB">
            <w:pPr>
              <w:pStyle w:val="Featureboxtextheading"/>
            </w:pPr>
            <w:bookmarkStart w:id="458" w:name="_Ref43388907"/>
            <w:r w:rsidRPr="00065200">
              <w:t xml:space="preserve">Box </w:t>
            </w:r>
            <w:bookmarkEnd w:id="458"/>
            <w:r>
              <w:t>7</w:t>
            </w:r>
            <w:r w:rsidRPr="00065200">
              <w:t xml:space="preserve"> A strategically balanced space investment: scale and resourcing</w:t>
            </w:r>
          </w:p>
        </w:tc>
      </w:tr>
      <w:tr w:rsidR="00771EA1" w:rsidRPr="00065200" w14:paraId="1BD4EBCC" w14:textId="77777777" w:rsidTr="00807393">
        <w:tc>
          <w:tcPr>
            <w:tcW w:w="9032" w:type="dxa"/>
            <w:tcBorders>
              <w:top w:val="nil"/>
            </w:tcBorders>
            <w:shd w:val="clear" w:color="auto" w:fill="EBF2F9"/>
          </w:tcPr>
          <w:p w14:paraId="57E5B111" w14:textId="355BC01E" w:rsidR="004B5254" w:rsidRPr="00065200" w:rsidRDefault="00771EA1" w:rsidP="006949BB">
            <w:pPr>
              <w:spacing w:after="120" w:line="240" w:lineRule="auto"/>
            </w:pPr>
            <w:r w:rsidRPr="00065200">
              <w:t xml:space="preserve">The </w:t>
            </w:r>
            <w:r w:rsidR="00811E61" w:rsidRPr="00065200">
              <w:t>Commonwealth Government’s introduction</w:t>
            </w:r>
            <w:r w:rsidRPr="00065200">
              <w:t xml:space="preserve"> of targeted investment programs for the space sector have been well received by industry participants</w:t>
            </w:r>
            <w:r w:rsidR="00C03750" w:rsidRPr="00065200">
              <w:t xml:space="preserve">, and </w:t>
            </w:r>
            <w:r w:rsidRPr="00065200">
              <w:t xml:space="preserve">are </w:t>
            </w:r>
            <w:r w:rsidR="00C03750" w:rsidRPr="00065200">
              <w:t xml:space="preserve">regarded as </w:t>
            </w:r>
            <w:r w:rsidRPr="00065200">
              <w:t>appropriately subscribed</w:t>
            </w:r>
            <w:r w:rsidR="00C11855" w:rsidRPr="00065200">
              <w:t>,</w:t>
            </w:r>
            <w:r w:rsidRPr="00065200">
              <w:t xml:space="preserve"> relative to the current scale of program investment. </w:t>
            </w:r>
          </w:p>
          <w:p w14:paraId="21C6C680" w14:textId="24335297" w:rsidR="00771EA1" w:rsidRPr="00065200" w:rsidRDefault="00771EA1" w:rsidP="006949BB">
            <w:pPr>
              <w:spacing w:after="120" w:line="240" w:lineRule="auto"/>
            </w:pPr>
            <w:r w:rsidRPr="00065200">
              <w:t>As the</w:t>
            </w:r>
            <w:r w:rsidR="004B5254" w:rsidRPr="00065200">
              <w:t xml:space="preserve"> space</w:t>
            </w:r>
            <w:r w:rsidRPr="00065200">
              <w:t xml:space="preserve"> industry base grows and its investment </w:t>
            </w:r>
            <w:r w:rsidR="007A32EA">
              <w:t>needs evolve over the longer-</w:t>
            </w:r>
            <w:r w:rsidRPr="00065200">
              <w:t xml:space="preserve">term, there will be an opportunity to </w:t>
            </w:r>
            <w:r w:rsidR="00C11855" w:rsidRPr="00065200">
              <w:t>re-</w:t>
            </w:r>
            <w:r w:rsidRPr="00065200">
              <w:t xml:space="preserve">consider </w:t>
            </w:r>
            <w:r w:rsidR="00C11855" w:rsidRPr="00065200">
              <w:t>the</w:t>
            </w:r>
            <w:r w:rsidRPr="00065200">
              <w:t xml:space="preserve"> scale </w:t>
            </w:r>
            <w:r w:rsidR="00C11855" w:rsidRPr="00065200">
              <w:t xml:space="preserve">of </w:t>
            </w:r>
            <w:r w:rsidRPr="00065200">
              <w:t xml:space="preserve">government support for </w:t>
            </w:r>
            <w:r w:rsidR="00C11855" w:rsidRPr="00065200">
              <w:t>this</w:t>
            </w:r>
            <w:r w:rsidRPr="00065200">
              <w:t xml:space="preserve"> sector. This might include improving connections between space</w:t>
            </w:r>
            <w:r w:rsidR="00C03750" w:rsidRPr="00065200">
              <w:noBreakHyphen/>
            </w:r>
            <w:r w:rsidRPr="00065200">
              <w:t>specific support and the broader ISR granting environment, scaling successful programs, or combining overlapping initiatives and appropriately resourcing administrators to meet industry needs to achieve the greatest impact.</w:t>
            </w:r>
            <w:r w:rsidR="004B5254" w:rsidRPr="00065200">
              <w:t xml:space="preserve"> The </w:t>
            </w:r>
            <w:r w:rsidR="000377BD" w:rsidRPr="00065200">
              <w:t xml:space="preserve">Australian Space Agency’s </w:t>
            </w:r>
            <w:r w:rsidR="004D2F2F" w:rsidRPr="00065200">
              <w:t>current work</w:t>
            </w:r>
            <w:r w:rsidR="004B5254" w:rsidRPr="00065200">
              <w:t xml:space="preserve"> to map the Australian space industry will provide </w:t>
            </w:r>
            <w:r w:rsidR="00C11855" w:rsidRPr="00065200">
              <w:t>some insight about</w:t>
            </w:r>
            <w:r w:rsidR="004B5254" w:rsidRPr="00065200">
              <w:t xml:space="preserve"> the required scale and type of support needed to grow the capacity of the sector in </w:t>
            </w:r>
            <w:r w:rsidR="003D44FA">
              <w:t>the</w:t>
            </w:r>
            <w:r w:rsidR="004B5254" w:rsidRPr="00065200">
              <w:t xml:space="preserve"> future. </w:t>
            </w:r>
          </w:p>
          <w:p w14:paraId="61B9D080" w14:textId="3209F458" w:rsidR="00771EA1" w:rsidRPr="00065200" w:rsidRDefault="00771EA1" w:rsidP="006949BB">
            <w:pPr>
              <w:spacing w:after="120" w:line="240" w:lineRule="auto"/>
            </w:pPr>
            <w:r w:rsidRPr="00065200">
              <w:t xml:space="preserve">The scale of space ISR investments outside the </w:t>
            </w:r>
            <w:r w:rsidR="000377BD" w:rsidRPr="00065200">
              <w:t xml:space="preserve">Agency’s </w:t>
            </w:r>
            <w:r w:rsidRPr="00065200">
              <w:t xml:space="preserve">programs is more difficult to assess, particularly within </w:t>
            </w:r>
            <w:r w:rsidR="00405354">
              <w:t>Publicly Funded Research Agencies (</w:t>
            </w:r>
            <w:r w:rsidRPr="00065200">
              <w:t>PFRAs</w:t>
            </w:r>
            <w:r w:rsidR="00405354">
              <w:t>)</w:t>
            </w:r>
            <w:r w:rsidRPr="00065200">
              <w:t xml:space="preserve">. While larger </w:t>
            </w:r>
            <w:r w:rsidR="003220D9" w:rsidRPr="00065200">
              <w:t xml:space="preserve">PFRA </w:t>
            </w:r>
            <w:r w:rsidRPr="00065200">
              <w:t xml:space="preserve">programs </w:t>
            </w:r>
            <w:r w:rsidR="003220D9" w:rsidRPr="00065200">
              <w:t xml:space="preserve">with dedicated funds </w:t>
            </w:r>
            <w:r w:rsidRPr="00065200">
              <w:t xml:space="preserve">are relatively easy to identify and quantify (e.g. Digital Earth Australia), smaller programs </w:t>
            </w:r>
            <w:r w:rsidR="003220D9" w:rsidRPr="00065200">
              <w:t xml:space="preserve">funded </w:t>
            </w:r>
            <w:r w:rsidRPr="00065200">
              <w:t xml:space="preserve">within annual </w:t>
            </w:r>
            <w:r w:rsidR="004B5254" w:rsidRPr="00065200">
              <w:t xml:space="preserve">agency </w:t>
            </w:r>
            <w:r w:rsidRPr="00065200">
              <w:t>appropriation</w:t>
            </w:r>
            <w:r w:rsidR="003220D9" w:rsidRPr="00065200">
              <w:t xml:space="preserve"> budgets are </w:t>
            </w:r>
            <w:r w:rsidR="003D45FA">
              <w:t>less</w:t>
            </w:r>
            <w:r w:rsidR="003220D9" w:rsidRPr="00065200">
              <w:t xml:space="preserve"> visible</w:t>
            </w:r>
            <w:r w:rsidRPr="00065200">
              <w:t>.</w:t>
            </w:r>
          </w:p>
          <w:p w14:paraId="50B74F66" w14:textId="1C655FA3" w:rsidR="00771EA1" w:rsidRPr="00065200" w:rsidRDefault="00A703BE" w:rsidP="006949BB">
            <w:pPr>
              <w:spacing w:after="120" w:line="240" w:lineRule="auto"/>
            </w:pPr>
            <w:r w:rsidRPr="00065200">
              <w:t>Internationally,</w:t>
            </w:r>
            <w:r w:rsidR="00771EA1" w:rsidRPr="00065200">
              <w:t xml:space="preserve"> space agencies</w:t>
            </w:r>
            <w:r w:rsidR="003220D9" w:rsidRPr="00065200">
              <w:t xml:space="preserve"> similar to the </w:t>
            </w:r>
            <w:r w:rsidR="000377BD" w:rsidRPr="00065200">
              <w:t>Australian Space Agency</w:t>
            </w:r>
            <w:r w:rsidR="00771EA1" w:rsidRPr="00065200">
              <w:t xml:space="preserve"> (</w:t>
            </w:r>
            <w:r w:rsidR="000377BD" w:rsidRPr="00065200">
              <w:t xml:space="preserve">in </w:t>
            </w:r>
            <w:r w:rsidR="00771EA1" w:rsidRPr="00065200">
              <w:t xml:space="preserve">UK, Canada, France, and Norway) suggest that the scale of investments required to grow and diversify the economy is </w:t>
            </w:r>
            <w:r w:rsidR="004F20E2">
              <w:t>i</w:t>
            </w:r>
            <w:r w:rsidR="00771EA1" w:rsidRPr="00065200">
              <w:t>n the order of 0.016–0.07</w:t>
            </w:r>
            <w:r w:rsidR="00E41E70">
              <w:t>0</w:t>
            </w:r>
            <w:r w:rsidR="00205144">
              <w:t> per cent</w:t>
            </w:r>
            <w:r w:rsidR="00771EA1" w:rsidRPr="00065200">
              <w:t xml:space="preserve"> of GDP.</w:t>
            </w:r>
            <w:r w:rsidR="003220D9" w:rsidRPr="00065200">
              <w:rPr>
                <w:rStyle w:val="FootnoteReference"/>
              </w:rPr>
              <w:footnoteReference w:id="209"/>
            </w:r>
            <w:r w:rsidR="00771EA1" w:rsidRPr="00065200">
              <w:t xml:space="preserve"> </w:t>
            </w:r>
            <w:r w:rsidR="003220D9" w:rsidRPr="00065200">
              <w:t>In Australia t</w:t>
            </w:r>
            <w:r w:rsidR="00771EA1" w:rsidRPr="00065200">
              <w:t xml:space="preserve">his would </w:t>
            </w:r>
            <w:r w:rsidR="004B5254" w:rsidRPr="00065200">
              <w:t xml:space="preserve">have </w:t>
            </w:r>
            <w:r w:rsidR="00771EA1" w:rsidRPr="00065200">
              <w:t>equate</w:t>
            </w:r>
            <w:r w:rsidR="004B5254" w:rsidRPr="00065200">
              <w:t>d</w:t>
            </w:r>
            <w:r w:rsidR="00771EA1" w:rsidRPr="00065200">
              <w:t xml:space="preserve"> to an investment </w:t>
            </w:r>
            <w:r w:rsidR="000377BD" w:rsidRPr="00065200">
              <w:t>i</w:t>
            </w:r>
            <w:r w:rsidR="00771EA1" w:rsidRPr="00065200">
              <w:t>n the order of $250</w:t>
            </w:r>
            <w:r w:rsidR="003220D9" w:rsidRPr="00065200">
              <w:t> </w:t>
            </w:r>
            <w:r w:rsidR="00771EA1" w:rsidRPr="00065200">
              <w:t>million per annum</w:t>
            </w:r>
            <w:r w:rsidRPr="00065200">
              <w:t>,</w:t>
            </w:r>
            <w:r w:rsidR="003220D9" w:rsidRPr="00065200">
              <w:t xml:space="preserve"> </w:t>
            </w:r>
            <w:r w:rsidR="00EA2308" w:rsidRPr="00065200">
              <w:t>pre-COVID-19</w:t>
            </w:r>
            <w:r w:rsidR="00771EA1" w:rsidRPr="00065200">
              <w:t xml:space="preserve">. While the scale of Australia’s support for industrial space ISR investments </w:t>
            </w:r>
            <w:r w:rsidR="004B5254" w:rsidRPr="00065200">
              <w:t xml:space="preserve">is </w:t>
            </w:r>
            <w:r w:rsidR="00771EA1" w:rsidRPr="00065200">
              <w:t xml:space="preserve">currently broadly fit-for-purpose, this international comparison suggests that </w:t>
            </w:r>
            <w:r w:rsidR="00F34891" w:rsidRPr="00065200">
              <w:t>supporting initiatives at scale</w:t>
            </w:r>
            <w:r w:rsidR="00771EA1" w:rsidRPr="00065200">
              <w:t xml:space="preserve"> may be required </w:t>
            </w:r>
            <w:r w:rsidR="003D45FA">
              <w:t xml:space="preserve">in the future </w:t>
            </w:r>
            <w:r w:rsidR="00771EA1" w:rsidRPr="00065200">
              <w:t xml:space="preserve">to support the </w:t>
            </w:r>
            <w:r w:rsidR="004B5254" w:rsidRPr="00065200">
              <w:t>sector’s participation</w:t>
            </w:r>
            <w:r w:rsidR="00771EA1" w:rsidRPr="00065200">
              <w:t xml:space="preserve"> in the </w:t>
            </w:r>
            <w:r w:rsidR="004B5254" w:rsidRPr="00065200">
              <w:t>global space economy</w:t>
            </w:r>
            <w:r w:rsidR="00771EA1" w:rsidRPr="00065200">
              <w:t xml:space="preserve">. </w:t>
            </w:r>
          </w:p>
          <w:p w14:paraId="236DCCE8" w14:textId="7812B658" w:rsidR="00771EA1" w:rsidRPr="00065200" w:rsidRDefault="00F34891" w:rsidP="006949BB">
            <w:pPr>
              <w:spacing w:after="120" w:line="240" w:lineRule="auto"/>
              <w:rPr>
                <w:color w:val="000000" w:themeColor="text1"/>
              </w:rPr>
            </w:pPr>
            <w:r w:rsidRPr="00065200">
              <w:rPr>
                <w:color w:val="000000" w:themeColor="text1"/>
              </w:rPr>
              <w:t xml:space="preserve">The </w:t>
            </w:r>
            <w:r w:rsidR="00C03750" w:rsidRPr="00065200">
              <w:rPr>
                <w:color w:val="000000" w:themeColor="text1"/>
              </w:rPr>
              <w:t xml:space="preserve">Australian </w:t>
            </w:r>
            <w:r w:rsidRPr="00065200">
              <w:rPr>
                <w:color w:val="000000" w:themeColor="text1"/>
              </w:rPr>
              <w:t xml:space="preserve">space sector also faces challenges </w:t>
            </w:r>
            <w:r w:rsidR="00A67C7D" w:rsidRPr="00065200">
              <w:rPr>
                <w:color w:val="000000" w:themeColor="text1"/>
              </w:rPr>
              <w:t xml:space="preserve">navigating the </w:t>
            </w:r>
            <w:r w:rsidRPr="00065200">
              <w:rPr>
                <w:color w:val="000000" w:themeColor="text1"/>
              </w:rPr>
              <w:t>Government</w:t>
            </w:r>
            <w:r w:rsidR="00A67C7D" w:rsidRPr="00065200">
              <w:rPr>
                <w:color w:val="000000" w:themeColor="text1"/>
              </w:rPr>
              <w:t>’s</w:t>
            </w:r>
            <w:r w:rsidRPr="00065200">
              <w:rPr>
                <w:color w:val="000000" w:themeColor="text1"/>
              </w:rPr>
              <w:t xml:space="preserve"> </w:t>
            </w:r>
            <w:r w:rsidR="00C03750" w:rsidRPr="00065200">
              <w:rPr>
                <w:color w:val="000000" w:themeColor="text1"/>
              </w:rPr>
              <w:t xml:space="preserve">variable levels of </w:t>
            </w:r>
            <w:r w:rsidRPr="00065200">
              <w:rPr>
                <w:color w:val="000000" w:themeColor="text1"/>
              </w:rPr>
              <w:t xml:space="preserve">support for the indirect costs of research. </w:t>
            </w:r>
            <w:r w:rsidR="00771EA1" w:rsidRPr="00065200">
              <w:rPr>
                <w:color w:val="000000" w:themeColor="text1"/>
              </w:rPr>
              <w:t xml:space="preserve">While PFRA funding makes </w:t>
            </w:r>
            <w:r w:rsidR="00EA2308" w:rsidRPr="00065200">
              <w:rPr>
                <w:color w:val="000000" w:themeColor="text1"/>
              </w:rPr>
              <w:t xml:space="preserve">few </w:t>
            </w:r>
            <w:r w:rsidR="00771EA1" w:rsidRPr="00065200">
              <w:rPr>
                <w:color w:val="000000" w:themeColor="text1"/>
              </w:rPr>
              <w:t xml:space="preserve">distinctions between research, development and agency operations, </w:t>
            </w:r>
            <w:r w:rsidR="00327DE9">
              <w:rPr>
                <w:color w:val="000000" w:themeColor="text1"/>
              </w:rPr>
              <w:t>G</w:t>
            </w:r>
            <w:r w:rsidR="00771EA1" w:rsidRPr="00065200">
              <w:rPr>
                <w:color w:val="000000" w:themeColor="text1"/>
              </w:rPr>
              <w:t>overnment funding for universities clearly separates research, infrastructure and operational support</w:t>
            </w:r>
            <w:r w:rsidR="0017225C">
              <w:rPr>
                <w:color w:val="000000" w:themeColor="text1"/>
              </w:rPr>
              <w:t>,</w:t>
            </w:r>
            <w:r w:rsidR="00771EA1" w:rsidRPr="00065200">
              <w:rPr>
                <w:color w:val="000000" w:themeColor="text1"/>
              </w:rPr>
              <w:t xml:space="preserve"> including for indirect research costs. This disparity has created differences in funding objectives, and challenges in transitioning research </w:t>
            </w:r>
            <w:r w:rsidR="00A67C7D" w:rsidRPr="00065200">
              <w:rPr>
                <w:color w:val="000000" w:themeColor="text1"/>
              </w:rPr>
              <w:t>between</w:t>
            </w:r>
            <w:r w:rsidR="00771EA1" w:rsidRPr="00065200">
              <w:rPr>
                <w:color w:val="000000" w:themeColor="text1"/>
              </w:rPr>
              <w:t xml:space="preserve"> national research infrastructure funding models</w:t>
            </w:r>
            <w:r w:rsidR="00C03750" w:rsidRPr="00065200">
              <w:rPr>
                <w:color w:val="000000" w:themeColor="text1"/>
              </w:rPr>
              <w:t xml:space="preserve">, for example when operationalising </w:t>
            </w:r>
            <w:r w:rsidR="004202D6" w:rsidRPr="00065200">
              <w:rPr>
                <w:color w:val="000000" w:themeColor="text1"/>
              </w:rPr>
              <w:t>earth observation</w:t>
            </w:r>
            <w:r w:rsidR="00C03750" w:rsidRPr="00065200">
              <w:rPr>
                <w:color w:val="000000" w:themeColor="text1"/>
              </w:rPr>
              <w:t xml:space="preserve"> data via government</w:t>
            </w:r>
            <w:r w:rsidR="00C03750" w:rsidRPr="00065200">
              <w:rPr>
                <w:color w:val="000000" w:themeColor="text1"/>
              </w:rPr>
              <w:noBreakHyphen/>
              <w:t>funded research facilities.</w:t>
            </w:r>
          </w:p>
          <w:p w14:paraId="465A9362" w14:textId="77777777" w:rsidR="00771EA1" w:rsidRPr="00065200" w:rsidRDefault="00771EA1" w:rsidP="00807393">
            <w:pPr>
              <w:spacing w:after="0" w:line="240" w:lineRule="auto"/>
            </w:pPr>
            <w:r w:rsidRPr="00065200">
              <w:rPr>
                <w:color w:val="000000" w:themeColor="text1"/>
              </w:rPr>
              <w:t xml:space="preserve">Challenges in accessing government-funded space assets and infrastructure at an acceptable cost was </w:t>
            </w:r>
            <w:r w:rsidR="00811E61" w:rsidRPr="00065200">
              <w:rPr>
                <w:color w:val="000000" w:themeColor="text1"/>
              </w:rPr>
              <w:t xml:space="preserve">also </w:t>
            </w:r>
            <w:r w:rsidRPr="00065200">
              <w:rPr>
                <w:color w:val="000000" w:themeColor="text1"/>
              </w:rPr>
              <w:t xml:space="preserve">observed. </w:t>
            </w:r>
            <w:r w:rsidR="00811E61" w:rsidRPr="00065200">
              <w:rPr>
                <w:color w:val="000000" w:themeColor="text1"/>
              </w:rPr>
              <w:t>While the Government’s new space infrastructure funding is welcomed by the sector, t</w:t>
            </w:r>
            <w:r w:rsidRPr="00065200">
              <w:rPr>
                <w:color w:val="000000" w:themeColor="text1"/>
              </w:rPr>
              <w:t xml:space="preserve">he previously identified need for </w:t>
            </w:r>
            <w:r w:rsidR="00FB2165" w:rsidRPr="00065200">
              <w:rPr>
                <w:color w:val="000000" w:themeColor="text1"/>
              </w:rPr>
              <w:t>ongoing public funding</w:t>
            </w:r>
            <w:r w:rsidR="00811E61" w:rsidRPr="00065200">
              <w:rPr>
                <w:color w:val="000000" w:themeColor="text1"/>
              </w:rPr>
              <w:t xml:space="preserve"> </w:t>
            </w:r>
            <w:r w:rsidR="00FB2165" w:rsidRPr="00065200">
              <w:rPr>
                <w:color w:val="000000" w:themeColor="text1"/>
              </w:rPr>
              <w:t xml:space="preserve">for such facilities, including to </w:t>
            </w:r>
            <w:r w:rsidR="00811E61" w:rsidRPr="00065200">
              <w:rPr>
                <w:color w:val="000000" w:themeColor="text1"/>
              </w:rPr>
              <w:t xml:space="preserve">cover </w:t>
            </w:r>
            <w:r w:rsidR="00372CCA" w:rsidRPr="00065200">
              <w:rPr>
                <w:color w:val="000000" w:themeColor="text1"/>
              </w:rPr>
              <w:t xml:space="preserve">ongoing </w:t>
            </w:r>
            <w:r w:rsidRPr="00065200">
              <w:rPr>
                <w:color w:val="000000" w:themeColor="text1"/>
              </w:rPr>
              <w:t xml:space="preserve">running costs </w:t>
            </w:r>
            <w:r w:rsidR="00811E61" w:rsidRPr="00065200">
              <w:rPr>
                <w:color w:val="000000" w:themeColor="text1"/>
              </w:rPr>
              <w:t>(</w:t>
            </w:r>
            <w:r w:rsidRPr="00065200">
              <w:rPr>
                <w:color w:val="000000" w:themeColor="text1"/>
              </w:rPr>
              <w:t>s</w:t>
            </w:r>
            <w:r w:rsidR="00811E61" w:rsidRPr="00065200">
              <w:rPr>
                <w:color w:val="000000" w:themeColor="text1"/>
              </w:rPr>
              <w:t>uch as staffing, maintenance and</w:t>
            </w:r>
            <w:r w:rsidRPr="00065200">
              <w:rPr>
                <w:color w:val="000000" w:themeColor="text1"/>
              </w:rPr>
              <w:t xml:space="preserve"> depreciation</w:t>
            </w:r>
            <w:r w:rsidR="00811E61" w:rsidRPr="00065200">
              <w:rPr>
                <w:color w:val="000000" w:themeColor="text1"/>
              </w:rPr>
              <w:t>)</w:t>
            </w:r>
            <w:r w:rsidR="00372CCA" w:rsidRPr="00065200">
              <w:rPr>
                <w:color w:val="000000" w:themeColor="text1"/>
              </w:rPr>
              <w:t xml:space="preserve"> for a diverse commercial and non-commercial user base,</w:t>
            </w:r>
            <w:r w:rsidR="00FB2165" w:rsidRPr="00065200">
              <w:rPr>
                <w:color w:val="000000" w:themeColor="text1"/>
              </w:rPr>
              <w:t xml:space="preserve"> was confirmed through consultation. </w:t>
            </w:r>
          </w:p>
        </w:tc>
      </w:tr>
    </w:tbl>
    <w:p w14:paraId="69D5C93C" w14:textId="42EF9E4C" w:rsidR="005F4741" w:rsidRPr="00065200" w:rsidRDefault="005F4741" w:rsidP="00663FD9">
      <w:pPr>
        <w:spacing w:before="240"/>
      </w:pPr>
      <w:r w:rsidRPr="00065200">
        <w:t xml:space="preserve">Australia’s two-stream ISR funding approach for higher education and health and medical research provides </w:t>
      </w:r>
      <w:r w:rsidR="00DD5DA1" w:rsidRPr="00065200">
        <w:t>separate streams of</w:t>
      </w:r>
      <w:r w:rsidRPr="00065200">
        <w:t xml:space="preserve"> funding for direct project costs and indirect costs. This </w:t>
      </w:r>
      <w:r w:rsidR="00DD5DA1" w:rsidRPr="00065200">
        <w:t>funding structure</w:t>
      </w:r>
      <w:r w:rsidRPr="00065200">
        <w:t xml:space="preserve"> has created inequitable, inconsistent and inadequate approaches across the system.</w:t>
      </w:r>
      <w:r w:rsidRPr="00065200">
        <w:rPr>
          <w:vertAlign w:val="superscript"/>
        </w:rPr>
        <w:footnoteReference w:id="210"/>
      </w:r>
      <w:r w:rsidRPr="00065200">
        <w:t xml:space="preserve"> For example, for every </w:t>
      </w:r>
      <w:r w:rsidR="0017225C">
        <w:t xml:space="preserve">one dollar </w:t>
      </w:r>
      <w:r w:rsidRPr="00065200">
        <w:t xml:space="preserve">of university research funding </w:t>
      </w:r>
      <w:r w:rsidR="008D1604" w:rsidRPr="00065200">
        <w:t xml:space="preserve">provided through the Government’s </w:t>
      </w:r>
      <w:r w:rsidRPr="00065200">
        <w:t>block grant</w:t>
      </w:r>
      <w:r w:rsidR="00325A40">
        <w:t>s</w:t>
      </w:r>
      <w:r w:rsidRPr="00065200">
        <w:t>, universities have been required to provide between 85 cents and $2.35 to cover broader research costs, often from general revenue.</w:t>
      </w:r>
      <w:r w:rsidR="002A6364" w:rsidRPr="00065200">
        <w:t xml:space="preserve"> </w:t>
      </w:r>
      <w:r w:rsidRPr="00065200">
        <w:t>Stakeholders continue to call for timely and adequate support for the broader costs of research.</w:t>
      </w:r>
      <w:r w:rsidRPr="00065200">
        <w:rPr>
          <w:vertAlign w:val="superscript"/>
        </w:rPr>
        <w:footnoteReference w:id="211"/>
      </w:r>
      <w:r w:rsidRPr="00065200">
        <w:t xml:space="preserve"> </w:t>
      </w:r>
    </w:p>
    <w:p w14:paraId="4995E913" w14:textId="72CD3E2F" w:rsidR="005F4741" w:rsidRPr="00065200" w:rsidRDefault="00DD5DA1" w:rsidP="005F4741">
      <w:r w:rsidRPr="00065200">
        <w:t>Securing appropriate f</w:t>
      </w:r>
      <w:r w:rsidR="005F4741" w:rsidRPr="00065200">
        <w:t xml:space="preserve">unding for the indirect costs of government-performed research has also proved challenging. The APS Review recommended APS capital, including research facilities, be fully funded, sustainable and fit for purpose, and capable of delivering policy and services as intended by the </w:t>
      </w:r>
      <w:r w:rsidR="006D07D6" w:rsidRPr="00065200">
        <w:t>G</w:t>
      </w:r>
      <w:r w:rsidR="005F4741" w:rsidRPr="00065200">
        <w:t>overnment.</w:t>
      </w:r>
      <w:r w:rsidR="005F4741" w:rsidRPr="00065200">
        <w:rPr>
          <w:rStyle w:val="FootnoteReference"/>
        </w:rPr>
        <w:footnoteReference w:id="212"/>
      </w:r>
      <w:r w:rsidR="005F4741" w:rsidRPr="00065200">
        <w:t xml:space="preserve"> </w:t>
      </w:r>
      <w:r w:rsidRPr="00065200">
        <w:t>The Department of Finance</w:t>
      </w:r>
      <w:r w:rsidR="005F4741" w:rsidRPr="00065200" w:rsidDel="002F1EBB">
        <w:t xml:space="preserve"> </w:t>
      </w:r>
      <w:r w:rsidR="00481AE8">
        <w:t>has commenced development of reforms consistent with this recommendation</w:t>
      </w:r>
      <w:r w:rsidR="005F4741" w:rsidRPr="00065200">
        <w:t>.</w:t>
      </w:r>
    </w:p>
    <w:p w14:paraId="171B556C" w14:textId="3B22CCD4" w:rsidR="005F4741" w:rsidRPr="00065200" w:rsidRDefault="005F4741" w:rsidP="005F4741">
      <w:r w:rsidRPr="00065200">
        <w:t>The issues associated with dual-stream funding are also commonly observed internationally. In Canada, despite broader research costs being estimated at 40–60</w:t>
      </w:r>
      <w:r w:rsidR="00205144">
        <w:t> per cent</w:t>
      </w:r>
      <w:r w:rsidRPr="00065200">
        <w:t xml:space="preserve"> of the cost of research, the government reimbursed only 21.6</w:t>
      </w:r>
      <w:r w:rsidR="00205144">
        <w:t> per cent</w:t>
      </w:r>
      <w:r w:rsidRPr="00065200">
        <w:t xml:space="preserve"> of these costs. A recent review recommended that the government gradually increase the reimbursement rate to 40</w:t>
      </w:r>
      <w:r w:rsidR="00205144">
        <w:t> per cent</w:t>
      </w:r>
      <w:r w:rsidRPr="00065200">
        <w:t xml:space="preserve"> for all eligible institutions. In contrast, the UK does not measure the administrative costs of research as a percentage of direct costs but has instead successfully implemented a centralised model that funds 80</w:t>
      </w:r>
      <w:r w:rsidR="00205144">
        <w:t> per cent</w:t>
      </w:r>
      <w:r w:rsidRPr="00065200">
        <w:t xml:space="preserve"> of the full economic costs of research.</w:t>
      </w:r>
      <w:r w:rsidRPr="00065200">
        <w:rPr>
          <w:vertAlign w:val="superscript"/>
        </w:rPr>
        <w:footnoteReference w:id="213"/>
      </w:r>
    </w:p>
    <w:p w14:paraId="0EA8C9B5" w14:textId="34E7530B" w:rsidR="00742E3C" w:rsidRPr="00065200" w:rsidRDefault="00325A40" w:rsidP="005F4741">
      <w:r>
        <w:t xml:space="preserve">Insufficient </w:t>
      </w:r>
      <w:r w:rsidR="000D7FD1" w:rsidRPr="00065200">
        <w:t xml:space="preserve">investment </w:t>
      </w:r>
      <w:r w:rsidR="00742E3C" w:rsidRPr="00065200">
        <w:t xml:space="preserve">scale could undermine </w:t>
      </w:r>
      <w:r w:rsidR="000D7FD1" w:rsidRPr="00065200">
        <w:t xml:space="preserve">government-funded ISR </w:t>
      </w:r>
      <w:r w:rsidR="00742E3C" w:rsidRPr="00065200">
        <w:t xml:space="preserve">efforts at all levels. </w:t>
      </w:r>
      <w:r w:rsidR="00EF7AD4" w:rsidRPr="00065200">
        <w:t xml:space="preserve">The Government </w:t>
      </w:r>
      <w:r w:rsidR="00742E3C" w:rsidRPr="00065200">
        <w:t xml:space="preserve">should </w:t>
      </w:r>
      <w:r w:rsidR="00EF7AD4" w:rsidRPr="00065200">
        <w:t xml:space="preserve">ensure that the overall scale of </w:t>
      </w:r>
      <w:r w:rsidR="00742E3C" w:rsidRPr="00065200">
        <w:t xml:space="preserve">its </w:t>
      </w:r>
      <w:r w:rsidR="00EF7AD4" w:rsidRPr="00065200">
        <w:t>ISR investment is sufficient to achieve impact.</w:t>
      </w:r>
      <w:r w:rsidR="00FB0F13" w:rsidRPr="00065200">
        <w:t xml:space="preserve"> </w:t>
      </w:r>
      <w:r w:rsidR="004E6867" w:rsidRPr="00065200">
        <w:t xml:space="preserve">While some small investments </w:t>
      </w:r>
      <w:r>
        <w:t xml:space="preserve">can </w:t>
      </w:r>
      <w:r w:rsidR="004E6867" w:rsidRPr="00065200">
        <w:t xml:space="preserve">deliver </w:t>
      </w:r>
      <w:r>
        <w:t xml:space="preserve">highly </w:t>
      </w:r>
      <w:r w:rsidR="004E6867" w:rsidRPr="00065200">
        <w:t>targeted impacts, t</w:t>
      </w:r>
      <w:r w:rsidR="00FB0F13" w:rsidRPr="00065200">
        <w:t>here is also a risk that small programs could fail simply due to insufficient scale.</w:t>
      </w:r>
      <w:r w:rsidR="00EB31DE" w:rsidRPr="00065200">
        <w:t xml:space="preserve"> </w:t>
      </w:r>
      <w:r>
        <w:t>C</w:t>
      </w:r>
      <w:r w:rsidR="00EB31DE" w:rsidRPr="00065200">
        <w:t xml:space="preserve">onsolidating </w:t>
      </w:r>
      <w:r>
        <w:t>the</w:t>
      </w:r>
      <w:r w:rsidR="00EB31DE" w:rsidRPr="00065200">
        <w:t xml:space="preserve"> Commonwealth</w:t>
      </w:r>
      <w:r>
        <w:t>’s</w:t>
      </w:r>
      <w:r w:rsidR="00EB31DE" w:rsidRPr="00065200">
        <w:t xml:space="preserve"> ISR programs to build scale and better focus its innovation policy</w:t>
      </w:r>
      <w:r w:rsidR="00C739D1">
        <w:t xml:space="preserve"> could yield significant benefits</w:t>
      </w:r>
      <w:r w:rsidR="00EB31DE" w:rsidRPr="00065200">
        <w:t xml:space="preserve">. </w:t>
      </w:r>
    </w:p>
    <w:p w14:paraId="7C4EE471" w14:textId="16F0426D" w:rsidR="00ED4480" w:rsidRPr="00065200" w:rsidRDefault="003A490E" w:rsidP="00072FCD">
      <w:pPr>
        <w:pStyle w:val="Heading3"/>
      </w:pPr>
      <w:r w:rsidRPr="00065200">
        <w:t>Balancing targeted and broad-based investment across sectors</w:t>
      </w:r>
      <w:r w:rsidR="008D1604" w:rsidRPr="00065200">
        <w:t xml:space="preserve"> and priorities</w:t>
      </w:r>
    </w:p>
    <w:p w14:paraId="799EAC06" w14:textId="2969A27E" w:rsidR="008B3320" w:rsidRPr="00065200" w:rsidRDefault="008B3320" w:rsidP="008B3320">
      <w:r w:rsidRPr="00065200">
        <w:t xml:space="preserve">Achieving an effective mix of targeted and broad-based investment mechanisms is another key aspect of balancing the </w:t>
      </w:r>
      <w:r w:rsidR="00180B44" w:rsidRPr="00065200">
        <w:t>G</w:t>
      </w:r>
      <w:r w:rsidRPr="00065200">
        <w:t>overnment</w:t>
      </w:r>
      <w:r w:rsidR="00180B44" w:rsidRPr="00065200">
        <w:t>’</w:t>
      </w:r>
      <w:r w:rsidRPr="00065200">
        <w:t>s ISR investment portfolio. Targeted funding</w:t>
      </w:r>
      <w:r w:rsidR="00180B44" w:rsidRPr="00065200">
        <w:t>, such as direct industry grants,</w:t>
      </w:r>
      <w:r w:rsidRPr="00065200">
        <w:t xml:space="preserve"> delivers priority outcomes but can have opportunity costs and significant administrative overheads. Conversely, broad</w:t>
      </w:r>
      <w:r w:rsidRPr="00065200">
        <w:noBreakHyphen/>
        <w:t>based funding mechanisms</w:t>
      </w:r>
      <w:r w:rsidR="00180B44" w:rsidRPr="00065200">
        <w:t>, such as R&amp;D tax incentives,</w:t>
      </w:r>
      <w:r w:rsidRPr="00065200">
        <w:t xml:space="preserve"> can foster innovation and promote experimentation</w:t>
      </w:r>
      <w:r w:rsidR="00C739D1">
        <w:t xml:space="preserve"> and</w:t>
      </w:r>
      <w:r w:rsidRPr="00065200">
        <w:t xml:space="preserve"> are efficient to administer, but are less effective </w:t>
      </w:r>
      <w:r w:rsidR="008D3B96" w:rsidRPr="00065200">
        <w:t>at</w:t>
      </w:r>
      <w:r w:rsidRPr="00065200">
        <w:t xml:space="preserve"> delivering priority outcomes and can be high cost.</w:t>
      </w:r>
      <w:r w:rsidRPr="00065200">
        <w:rPr>
          <w:vertAlign w:val="superscript"/>
        </w:rPr>
        <w:footnoteReference w:id="214"/>
      </w:r>
      <w:r w:rsidRPr="00065200">
        <w:t xml:space="preserve"> Balancing the use of targeted and broad</w:t>
      </w:r>
      <w:r w:rsidRPr="00065200">
        <w:noBreakHyphen/>
        <w:t>based ISR investment mechanisms should maximise the benefits of each method, while minimising the limitations.</w:t>
      </w:r>
    </w:p>
    <w:p w14:paraId="573A4E73" w14:textId="0E82E7AC" w:rsidR="008B3320" w:rsidRDefault="008B3320" w:rsidP="008B3320">
      <w:r w:rsidRPr="00065200">
        <w:t>I</w:t>
      </w:r>
      <w:r w:rsidR="00AA024E">
        <w:t>I</w:t>
      </w:r>
      <w:r w:rsidRPr="00065200">
        <w:t>SA’s analysis of the Government’s ISR investments</w:t>
      </w:r>
      <w:r w:rsidRPr="00065200">
        <w:rPr>
          <w:vertAlign w:val="superscript"/>
        </w:rPr>
        <w:footnoteReference w:id="215"/>
      </w:r>
      <w:r w:rsidR="0044093F" w:rsidRPr="00065200">
        <w:rPr>
          <w:vertAlign w:val="superscript"/>
        </w:rPr>
        <w:t>,</w:t>
      </w:r>
      <w:r w:rsidRPr="00065200">
        <w:rPr>
          <w:vertAlign w:val="superscript"/>
        </w:rPr>
        <w:footnoteReference w:id="216"/>
      </w:r>
      <w:r w:rsidR="00EB31DE" w:rsidRPr="00065200">
        <w:t xml:space="preserve"> show</w:t>
      </w:r>
      <w:r w:rsidR="00180B44" w:rsidRPr="00065200">
        <w:t xml:space="preserve"> </w:t>
      </w:r>
      <w:r w:rsidR="00EB31DE" w:rsidRPr="00065200">
        <w:t>that</w:t>
      </w:r>
      <w:r w:rsidRPr="00065200">
        <w:t xml:space="preserve"> the weighting </w:t>
      </w:r>
      <w:r w:rsidR="0005559C" w:rsidRPr="00065200">
        <w:t>of</w:t>
      </w:r>
      <w:r w:rsidRPr="00065200">
        <w:t xml:space="preserve"> broad</w:t>
      </w:r>
      <w:r w:rsidR="0005559C" w:rsidRPr="00065200">
        <w:noBreakHyphen/>
      </w:r>
      <w:r w:rsidRPr="00065200">
        <w:t>based and targeted investment</w:t>
      </w:r>
      <w:r w:rsidR="0005559C" w:rsidRPr="00065200">
        <w:t>s</w:t>
      </w:r>
      <w:r w:rsidRPr="00065200">
        <w:t xml:space="preserve"> varies significantly </w:t>
      </w:r>
      <w:r w:rsidR="0005559C" w:rsidRPr="00065200">
        <w:t>between</w:t>
      </w:r>
      <w:r w:rsidRPr="00065200">
        <w:t xml:space="preserve"> ISR sectors. </w:t>
      </w:r>
      <w:r w:rsidRPr="00065200">
        <w:fldChar w:fldCharType="begin"/>
      </w:r>
      <w:r w:rsidRPr="00065200">
        <w:instrText xml:space="preserve"> REF _Ref34927538 \h  \* MERGEFORMAT </w:instrText>
      </w:r>
      <w:r w:rsidRPr="00065200">
        <w:fldChar w:fldCharType="separate"/>
      </w:r>
      <w:r w:rsidR="00807393" w:rsidRPr="00065200">
        <w:t xml:space="preserve">Figure </w:t>
      </w:r>
      <w:r w:rsidR="00807393">
        <w:t>5</w:t>
      </w:r>
      <w:r w:rsidRPr="00065200">
        <w:fldChar w:fldCharType="end"/>
      </w:r>
      <w:r w:rsidRPr="00065200">
        <w:t xml:space="preserve"> shows </w:t>
      </w:r>
      <w:r w:rsidR="00EB31DE" w:rsidRPr="00065200">
        <w:t xml:space="preserve">that </w:t>
      </w:r>
      <w:r w:rsidRPr="00065200">
        <w:t>over 90</w:t>
      </w:r>
      <w:r w:rsidR="00205144">
        <w:t> per cent</w:t>
      </w:r>
      <w:r w:rsidRPr="00065200">
        <w:t xml:space="preserve"> of </w:t>
      </w:r>
      <w:r w:rsidR="006E234A" w:rsidRPr="00065200">
        <w:t>Commonwealth</w:t>
      </w:r>
      <w:r w:rsidRPr="00065200">
        <w:t xml:space="preserve"> Government support to the business and higher education ISR sectors is through broad-based mechanisms, while support to government and multisector </w:t>
      </w:r>
      <w:r w:rsidR="00EB31DE" w:rsidRPr="00065200">
        <w:t xml:space="preserve">ISR </w:t>
      </w:r>
      <w:r w:rsidRPr="00065200">
        <w:t>is primarily through targeted mechanisms (99</w:t>
      </w:r>
      <w:r w:rsidR="00205144">
        <w:t> per cent</w:t>
      </w:r>
      <w:r w:rsidRPr="00065200">
        <w:t xml:space="preserve"> and 80</w:t>
      </w:r>
      <w:r w:rsidR="00205144">
        <w:t> per cent</w:t>
      </w:r>
      <w:r w:rsidRPr="00065200">
        <w:t xml:space="preserve"> respectively). While some sectors are dominated by a few large funding allocation methods (for example the </w:t>
      </w:r>
      <w:r w:rsidR="00FA19B6">
        <w:t>R</w:t>
      </w:r>
      <w:r w:rsidR="0092538C">
        <w:t>&amp;</w:t>
      </w:r>
      <w:r w:rsidR="00FA19B6">
        <w:t>DTI</w:t>
      </w:r>
      <w:r w:rsidRPr="00065200">
        <w:t xml:space="preserve"> represents 96</w:t>
      </w:r>
      <w:r w:rsidR="00205144">
        <w:t> per cent</w:t>
      </w:r>
      <w:r w:rsidRPr="00065200">
        <w:t xml:space="preserve"> of broad-based funding to business), other sectors are funded in more complex ways (see </w:t>
      </w:r>
      <w:r w:rsidRPr="002B53D4">
        <w:t xml:space="preserve">Appendix </w:t>
      </w:r>
      <w:r w:rsidR="00D52CAF" w:rsidRPr="002B53D4">
        <w:t>F</w:t>
      </w:r>
      <w:r w:rsidRPr="00065200">
        <w:t xml:space="preserve"> for more details).</w:t>
      </w:r>
    </w:p>
    <w:p w14:paraId="142A9D9D" w14:textId="06E3310C" w:rsidR="00F822A4" w:rsidRPr="00065200" w:rsidRDefault="00F822A4" w:rsidP="00F822A4">
      <w:pPr>
        <w:jc w:val="center"/>
      </w:pPr>
      <w:r>
        <w:rPr>
          <w:noProof/>
          <w:lang w:eastAsia="en-AU"/>
        </w:rPr>
        <w:drawing>
          <wp:inline distT="0" distB="0" distL="0" distR="0" wp14:anchorId="30855A0A" wp14:editId="4AB6DDB2">
            <wp:extent cx="4632876" cy="2052000"/>
            <wp:effectExtent l="0" t="0" r="0" b="0"/>
            <wp:docPr id="9" name="Picture 9" descr="Over 90 per cent of Commonwealth Government support to the business and higher education ISR sectors is through broad-based mechanisms, while support to government and multisector ISR is primarily through targeted mechanisms (99% and 80%respectively)." title="Allocation methods used for Government ISR investment into main R&amp;D sectors,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t="13456"/>
                    <a:stretch/>
                  </pic:blipFill>
                  <pic:spPr bwMode="auto">
                    <a:xfrm>
                      <a:off x="0" y="0"/>
                      <a:ext cx="4632876" cy="2052000"/>
                    </a:xfrm>
                    <a:prstGeom prst="rect">
                      <a:avLst/>
                    </a:prstGeom>
                    <a:noFill/>
                    <a:ln>
                      <a:noFill/>
                    </a:ln>
                    <a:extLst>
                      <a:ext uri="{53640926-AAD7-44D8-BBD7-CCE9431645EC}">
                        <a14:shadowObscured xmlns:a14="http://schemas.microsoft.com/office/drawing/2010/main"/>
                      </a:ext>
                    </a:extLst>
                  </pic:spPr>
                </pic:pic>
              </a:graphicData>
            </a:graphic>
          </wp:inline>
        </w:drawing>
      </w:r>
    </w:p>
    <w:p w14:paraId="2944FEC6" w14:textId="278845B2" w:rsidR="008B3320" w:rsidRPr="00065200" w:rsidRDefault="008B3320" w:rsidP="009A78A2">
      <w:pPr>
        <w:pStyle w:val="Caption"/>
      </w:pPr>
      <w:bookmarkStart w:id="459" w:name="_Ref34927538"/>
      <w:r w:rsidRPr="00065200">
        <w:t xml:space="preserve">Figure </w:t>
      </w:r>
      <w:r w:rsidRPr="00065200">
        <w:rPr>
          <w:bCs w:val="0"/>
        </w:rPr>
        <w:fldChar w:fldCharType="begin"/>
      </w:r>
      <w:r w:rsidRPr="00065200">
        <w:instrText xml:space="preserve"> SEQ Figure \* ARABIC </w:instrText>
      </w:r>
      <w:r w:rsidRPr="00065200">
        <w:rPr>
          <w:bCs w:val="0"/>
        </w:rPr>
        <w:fldChar w:fldCharType="separate"/>
      </w:r>
      <w:r w:rsidR="00807393">
        <w:rPr>
          <w:noProof/>
        </w:rPr>
        <w:t>5</w:t>
      </w:r>
      <w:r w:rsidRPr="00065200">
        <w:rPr>
          <w:bCs w:val="0"/>
        </w:rPr>
        <w:fldChar w:fldCharType="end"/>
      </w:r>
      <w:bookmarkEnd w:id="459"/>
      <w:r w:rsidRPr="00065200">
        <w:t xml:space="preserve"> </w:t>
      </w:r>
      <w:r w:rsidR="00E41E70">
        <w:t xml:space="preserve">Allocation methods used for </w:t>
      </w:r>
      <w:r w:rsidR="00DD2262">
        <w:t xml:space="preserve">Government </w:t>
      </w:r>
      <w:r w:rsidRPr="00065200">
        <w:t xml:space="preserve">ISR investment </w:t>
      </w:r>
      <w:r w:rsidR="00E41E70">
        <w:t>into main R&amp;D</w:t>
      </w:r>
      <w:r w:rsidRPr="00065200">
        <w:t xml:space="preserve"> sector</w:t>
      </w:r>
      <w:r w:rsidR="00E41E70">
        <w:t>s,</w:t>
      </w:r>
      <w:r w:rsidRPr="00065200">
        <w:t xml:space="preserve"> 2019–20</w:t>
      </w:r>
    </w:p>
    <w:p w14:paraId="56EECB78" w14:textId="05AA8B3E" w:rsidR="008B3320" w:rsidRPr="00065200" w:rsidRDefault="00085AEF" w:rsidP="008B3320">
      <w:r w:rsidRPr="00065200">
        <w:t xml:space="preserve">While the </w:t>
      </w:r>
      <w:r w:rsidR="00B139E6" w:rsidRPr="00065200">
        <w:t>Commonwealth</w:t>
      </w:r>
      <w:r w:rsidRPr="00065200">
        <w:t xml:space="preserve"> Government’s</w:t>
      </w:r>
      <w:r w:rsidR="008B3320" w:rsidRPr="00065200">
        <w:t xml:space="preserve"> targeted funding mechanisms, such as the NHMRC </w:t>
      </w:r>
      <w:r w:rsidRPr="00065200">
        <w:t xml:space="preserve">granting process, </w:t>
      </w:r>
      <w:r w:rsidR="0005559C" w:rsidRPr="00065200">
        <w:t>support</w:t>
      </w:r>
      <w:r w:rsidRPr="00065200">
        <w:t xml:space="preserve"> priority </w:t>
      </w:r>
      <w:r w:rsidR="0005559C" w:rsidRPr="00065200">
        <w:t>ISR outcomes</w:t>
      </w:r>
      <w:r w:rsidR="008B3320" w:rsidRPr="00065200">
        <w:t>, some stakeholders have suggested that the disciplin</w:t>
      </w:r>
      <w:r w:rsidRPr="00065200">
        <w:t>e</w:t>
      </w:r>
      <w:r w:rsidR="0005559C" w:rsidRPr="00065200">
        <w:noBreakHyphen/>
      </w:r>
      <w:r w:rsidRPr="00065200">
        <w:t>focu</w:t>
      </w:r>
      <w:r w:rsidR="0000508F" w:rsidRPr="00065200">
        <w:t>s</w:t>
      </w:r>
      <w:r w:rsidRPr="00065200">
        <w:t>sed</w:t>
      </w:r>
      <w:r w:rsidR="008B3320" w:rsidRPr="00065200">
        <w:t xml:space="preserve"> structure </w:t>
      </w:r>
      <w:r w:rsidR="0005559C" w:rsidRPr="00065200">
        <w:t xml:space="preserve">of these mechanisms </w:t>
      </w:r>
      <w:r w:rsidR="008B3320" w:rsidRPr="00065200">
        <w:t xml:space="preserve">may </w:t>
      </w:r>
      <w:r w:rsidR="0005559C" w:rsidRPr="00065200">
        <w:t>also</w:t>
      </w:r>
      <w:r w:rsidR="008B3320" w:rsidRPr="00065200">
        <w:t xml:space="preserve"> be inhibiting the progression of interdisciplinary ISR.</w:t>
      </w:r>
      <w:r w:rsidR="0005559C" w:rsidRPr="00065200">
        <w:t xml:space="preserve"> For government-performed ISR, </w:t>
      </w:r>
      <w:r w:rsidR="000328F6" w:rsidRPr="00065200">
        <w:t>where</w:t>
      </w:r>
      <w:r w:rsidR="0005559C" w:rsidRPr="00065200">
        <w:t xml:space="preserve"> targeted funding </w:t>
      </w:r>
      <w:r w:rsidR="000328F6" w:rsidRPr="00065200">
        <w:t xml:space="preserve">mechanisms are dominant </w:t>
      </w:r>
      <w:r w:rsidR="0005559C" w:rsidRPr="00065200">
        <w:t xml:space="preserve">(with the targeting mechanism </w:t>
      </w:r>
      <w:r w:rsidR="000328F6" w:rsidRPr="00065200">
        <w:t>often</w:t>
      </w:r>
      <w:r w:rsidR="0005559C" w:rsidRPr="00065200">
        <w:t xml:space="preserve"> being the </w:t>
      </w:r>
      <w:r w:rsidR="00693909" w:rsidRPr="00065200">
        <w:t xml:space="preserve">mandate </w:t>
      </w:r>
      <w:r w:rsidR="0005559C" w:rsidRPr="00065200">
        <w:t xml:space="preserve">of each </w:t>
      </w:r>
      <w:r w:rsidR="00C739D1">
        <w:t>PFRA</w:t>
      </w:r>
      <w:r w:rsidR="0005559C" w:rsidRPr="00065200">
        <w:t>)</w:t>
      </w:r>
      <w:r w:rsidR="00693909" w:rsidRPr="00065200">
        <w:t>, there could be merit in allocating a proportion of PFRA</w:t>
      </w:r>
      <w:r w:rsidR="00C739D1">
        <w:t xml:space="preserve"> </w:t>
      </w:r>
      <w:r w:rsidR="00693909" w:rsidRPr="00065200">
        <w:t xml:space="preserve">funding to stimulate innovation through </w:t>
      </w:r>
      <w:r w:rsidR="00C909B9" w:rsidRPr="00065200">
        <w:t>the use of flexible broad-based measures so that these researchers can address emerging priorities</w:t>
      </w:r>
      <w:r w:rsidR="00693909" w:rsidRPr="00065200">
        <w:t xml:space="preserve">. </w:t>
      </w:r>
    </w:p>
    <w:p w14:paraId="3477EF6E" w14:textId="4704D202" w:rsidR="00BA7006" w:rsidRDefault="008B3320" w:rsidP="008D3B96">
      <w:r w:rsidRPr="00065200">
        <w:t xml:space="preserve">The extent to which any country balances targeted versus broad-based support depends on </w:t>
      </w:r>
      <w:r w:rsidR="007F6B48" w:rsidRPr="00065200">
        <w:t>the system</w:t>
      </w:r>
      <w:r w:rsidR="00401F85" w:rsidRPr="00065200">
        <w:t xml:space="preserve"> scale, research base, </w:t>
      </w:r>
      <w:r w:rsidRPr="00065200">
        <w:t>extent of available</w:t>
      </w:r>
      <w:r w:rsidR="007F6B48" w:rsidRPr="00065200">
        <w:t xml:space="preserve"> </w:t>
      </w:r>
      <w:r w:rsidR="00401F85" w:rsidRPr="00065200">
        <w:t xml:space="preserve">resources and </w:t>
      </w:r>
      <w:r w:rsidRPr="00065200">
        <w:t>nature of regional economic development strategies.</w:t>
      </w:r>
      <w:r w:rsidRPr="00065200">
        <w:rPr>
          <w:vertAlign w:val="superscript"/>
        </w:rPr>
        <w:footnoteReference w:id="217"/>
      </w:r>
      <w:r w:rsidRPr="00065200">
        <w:t xml:space="preserve"> Growing pressure on budgets has led many governments to increase the proportion of targeted funding mechanisms. Internationally, </w:t>
      </w:r>
      <w:r w:rsidR="00664494" w:rsidRPr="00065200">
        <w:t xml:space="preserve">targeted </w:t>
      </w:r>
      <w:r w:rsidRPr="00065200">
        <w:t>project</w:t>
      </w:r>
      <w:r w:rsidRPr="00065200">
        <w:noBreakHyphen/>
        <w:t>based funding is an important tool for incentivising higher education and public research institutions to contribute to national ISR objectives. Together with institutional block funding, project-based funding accounted for the bulk of funding for higher education and public research institutions internationally, complemented by funding from industry and other segments.</w:t>
      </w:r>
      <w:r w:rsidRPr="00065200">
        <w:rPr>
          <w:vertAlign w:val="superscript"/>
        </w:rPr>
        <w:footnoteReference w:id="218"/>
      </w:r>
    </w:p>
    <w:p w14:paraId="220096C2" w14:textId="6B53E043" w:rsidR="00076204" w:rsidRPr="00065200" w:rsidRDefault="00BA7006" w:rsidP="008D3B96">
      <w:r>
        <w:t xml:space="preserve">Additional analysis relating to </w:t>
      </w:r>
      <w:r w:rsidR="00DA7643">
        <w:t>Recommended Action 3</w:t>
      </w:r>
      <w:r>
        <w:t xml:space="preserve"> is provided in Appendix F.</w:t>
      </w:r>
      <w:r w:rsidR="00076204" w:rsidRPr="00065200">
        <w:br w:type="page"/>
      </w:r>
    </w:p>
    <w:p w14:paraId="0BA453FE" w14:textId="77777777" w:rsidR="00076204" w:rsidRPr="00065200" w:rsidRDefault="00895757" w:rsidP="00076204">
      <w:pPr>
        <w:pStyle w:val="Heading2"/>
        <w:rPr>
          <w:lang w:val="en-AU"/>
        </w:rPr>
      </w:pPr>
      <w:bookmarkStart w:id="460" w:name="_Toc41481014"/>
      <w:bookmarkStart w:id="461" w:name="_Toc41483275"/>
      <w:bookmarkStart w:id="462" w:name="_Toc41483673"/>
      <w:bookmarkStart w:id="463" w:name="_Toc41485187"/>
      <w:bookmarkStart w:id="464" w:name="_Toc41487191"/>
      <w:bookmarkStart w:id="465" w:name="_Toc41488819"/>
      <w:bookmarkStart w:id="466" w:name="_Toc41489019"/>
      <w:bookmarkStart w:id="467" w:name="_Toc41489817"/>
      <w:bookmarkStart w:id="468" w:name="_Toc41492088"/>
      <w:bookmarkStart w:id="469" w:name="_Toc42777663"/>
      <w:bookmarkStart w:id="470" w:name="_Toc42784250"/>
      <w:bookmarkStart w:id="471" w:name="_Toc42785565"/>
      <w:bookmarkStart w:id="472" w:name="_Toc42788816"/>
      <w:bookmarkStart w:id="473" w:name="_Toc42852833"/>
      <w:bookmarkStart w:id="474" w:name="_Toc43204810"/>
      <w:bookmarkStart w:id="475" w:name="_Toc43205537"/>
      <w:bookmarkStart w:id="476" w:name="_Toc43205889"/>
      <w:bookmarkStart w:id="477" w:name="_Toc43215100"/>
      <w:bookmarkStart w:id="478" w:name="_Toc43219295"/>
      <w:bookmarkStart w:id="479" w:name="_Toc43220087"/>
      <w:bookmarkStart w:id="480" w:name="_Toc43385207"/>
      <w:bookmarkStart w:id="481" w:name="_Toc43386339"/>
      <w:bookmarkStart w:id="482" w:name="_Toc43386437"/>
      <w:bookmarkStart w:id="483" w:name="_Toc43391353"/>
      <w:bookmarkStart w:id="484" w:name="_Toc43393330"/>
      <w:bookmarkStart w:id="485" w:name="_Toc43394341"/>
      <w:bookmarkStart w:id="486" w:name="_Toc43458523"/>
      <w:bookmarkStart w:id="487" w:name="_Toc43460187"/>
      <w:bookmarkStart w:id="488" w:name="_Toc43466951"/>
      <w:bookmarkStart w:id="489" w:name="_Toc43478645"/>
      <w:bookmarkStart w:id="490" w:name="_Toc43479270"/>
      <w:bookmarkStart w:id="491" w:name="_Toc43481509"/>
      <w:bookmarkStart w:id="492" w:name="_Toc43719160"/>
      <w:bookmarkStart w:id="493" w:name="_Toc43729719"/>
      <w:bookmarkStart w:id="494" w:name="_Toc43730265"/>
      <w:bookmarkStart w:id="495" w:name="_Toc43731181"/>
      <w:bookmarkStart w:id="496" w:name="_Toc43733229"/>
      <w:bookmarkStart w:id="497" w:name="_Toc43733675"/>
      <w:bookmarkStart w:id="498" w:name="_Toc43735617"/>
      <w:bookmarkStart w:id="499" w:name="_Toc43735809"/>
      <w:bookmarkStart w:id="500" w:name="_Toc43737177"/>
      <w:bookmarkStart w:id="501" w:name="_Toc43737678"/>
      <w:bookmarkStart w:id="502" w:name="_Toc44069068"/>
      <w:bookmarkStart w:id="503" w:name="_Toc44317942"/>
      <w:bookmarkStart w:id="504" w:name="_Toc44318016"/>
      <w:bookmarkStart w:id="505" w:name="_Toc44328513"/>
      <w:bookmarkStart w:id="506" w:name="_Toc44329579"/>
      <w:bookmarkStart w:id="507" w:name="_Toc44331611"/>
      <w:bookmarkStart w:id="508" w:name="_Toc44331762"/>
      <w:bookmarkStart w:id="509" w:name="_Toc44331894"/>
      <w:bookmarkStart w:id="510" w:name="_Toc44334876"/>
      <w:bookmarkStart w:id="511" w:name="_Toc44335308"/>
      <w:bookmarkStart w:id="512" w:name="_Toc44422232"/>
      <w:bookmarkStart w:id="513" w:name="_Toc44424102"/>
      <w:bookmarkStart w:id="514" w:name="_Toc44424327"/>
      <w:bookmarkStart w:id="515" w:name="_Ref55381682"/>
      <w:bookmarkStart w:id="516" w:name="_Toc55910412"/>
      <w:bookmarkStart w:id="517" w:name="_Ref55982195"/>
      <w:bookmarkStart w:id="518" w:name="_Ref55982371"/>
      <w:bookmarkStart w:id="519" w:name="_Ref55988609"/>
      <w:bookmarkStart w:id="520" w:name="_Toc55991215"/>
      <w:bookmarkStart w:id="521" w:name="_Toc55995736"/>
      <w:bookmarkStart w:id="522" w:name="_Toc55997213"/>
      <w:bookmarkStart w:id="523" w:name="_Toc56069455"/>
      <w:bookmarkStart w:id="524" w:name="_Toc57105521"/>
      <w:bookmarkStart w:id="525" w:name="_Toc57134707"/>
      <w:bookmarkStart w:id="526" w:name="_Toc57141295"/>
      <w:bookmarkStart w:id="527" w:name="_Toc57640808"/>
      <w:r w:rsidRPr="00065200">
        <w:rPr>
          <w:lang w:val="en-AU"/>
        </w:rPr>
        <w:t>I</w:t>
      </w:r>
      <w:r w:rsidR="00076204" w:rsidRPr="00065200">
        <w:rPr>
          <w:lang w:val="en-AU"/>
        </w:rPr>
        <w:t>mplementation</w:t>
      </w:r>
      <w:r w:rsidR="007A1D6B" w:rsidRPr="00065200">
        <w:rPr>
          <w:lang w:val="en-AU"/>
        </w:rPr>
        <w:t xml:space="preserve"> </w:t>
      </w:r>
      <w:bookmarkEnd w:id="460"/>
      <w:r w:rsidR="00F814B7" w:rsidRPr="00065200">
        <w:rPr>
          <w:lang w:val="en-AU"/>
        </w:rPr>
        <w:t>strategies</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3A36DDA3" w14:textId="6DF826CD" w:rsidR="00076204" w:rsidRPr="00065200" w:rsidRDefault="00076204" w:rsidP="00076204">
      <w:r w:rsidRPr="00065200">
        <w:t xml:space="preserve">While the </w:t>
      </w:r>
      <w:r w:rsidR="000A2B59" w:rsidRPr="00065200">
        <w:t xml:space="preserve">three </w:t>
      </w:r>
      <w:r w:rsidRPr="00065200">
        <w:t>recommend</w:t>
      </w:r>
      <w:r w:rsidR="00D947A2" w:rsidRPr="00065200">
        <w:t>ed action</w:t>
      </w:r>
      <w:r w:rsidRPr="00065200">
        <w:t xml:space="preserve">s </w:t>
      </w:r>
      <w:r w:rsidR="000A2B59" w:rsidRPr="00065200">
        <w:t>described</w:t>
      </w:r>
      <w:r w:rsidRPr="00065200">
        <w:t xml:space="preserve"> </w:t>
      </w:r>
      <w:r w:rsidR="000A2B59" w:rsidRPr="00065200">
        <w:t xml:space="preserve">in the chapters </w:t>
      </w:r>
      <w:r w:rsidRPr="00065200">
        <w:t xml:space="preserve">above outline </w:t>
      </w:r>
      <w:r w:rsidR="00953572" w:rsidRPr="00065200">
        <w:t>a</w:t>
      </w:r>
      <w:r w:rsidR="000C7D82" w:rsidRPr="00065200">
        <w:t xml:space="preserve"> best</w:t>
      </w:r>
      <w:r w:rsidR="00234E67" w:rsidRPr="00065200">
        <w:t>-</w:t>
      </w:r>
      <w:r w:rsidR="000C7D82" w:rsidRPr="00065200">
        <w:t xml:space="preserve">practice approach to </w:t>
      </w:r>
      <w:r w:rsidR="000A2B59" w:rsidRPr="00065200">
        <w:t xml:space="preserve">increasing the effectiveness </w:t>
      </w:r>
      <w:r w:rsidRPr="00065200">
        <w:t>of Government’s</w:t>
      </w:r>
      <w:r w:rsidR="00D947A2" w:rsidRPr="00065200">
        <w:t xml:space="preserve"> ISR</w:t>
      </w:r>
      <w:r w:rsidRPr="00065200">
        <w:t xml:space="preserve"> investment, consideration should also be given to </w:t>
      </w:r>
      <w:r w:rsidR="000A2B59" w:rsidRPr="00065200">
        <w:t>the way in which these recommended actions</w:t>
      </w:r>
      <w:r w:rsidR="00401F85" w:rsidRPr="00065200">
        <w:t xml:space="preserve"> </w:t>
      </w:r>
      <w:r w:rsidR="00235D6C" w:rsidRPr="00065200">
        <w:t>could</w:t>
      </w:r>
      <w:r w:rsidR="00401F85" w:rsidRPr="00065200">
        <w:t xml:space="preserve"> be </w:t>
      </w:r>
      <w:r w:rsidRPr="00065200">
        <w:t>implemente</w:t>
      </w:r>
      <w:r w:rsidR="00EA4B61" w:rsidRPr="00065200">
        <w:t xml:space="preserve">d. </w:t>
      </w:r>
      <w:r w:rsidR="00940D4F">
        <w:t>Specifying the</w:t>
      </w:r>
      <w:r w:rsidR="00C96E13">
        <w:t xml:space="preserve"> </w:t>
      </w:r>
      <w:r w:rsidR="005929FC" w:rsidRPr="00065200">
        <w:t xml:space="preserve">governance arrangements </w:t>
      </w:r>
      <w:r w:rsidR="00940D4F">
        <w:t xml:space="preserve">required </w:t>
      </w:r>
      <w:r w:rsidR="00511C19" w:rsidRPr="00065200">
        <w:t>to implement the</w:t>
      </w:r>
      <w:r w:rsidR="00C96E13">
        <w:t>se</w:t>
      </w:r>
      <w:r w:rsidR="00511C19" w:rsidRPr="00065200">
        <w:t xml:space="preserve"> recommended actions </w:t>
      </w:r>
      <w:r w:rsidR="00020B7E">
        <w:t>is</w:t>
      </w:r>
      <w:r w:rsidR="00511C19" w:rsidRPr="00065200">
        <w:t xml:space="preserve"> beyond the scope of this report. </w:t>
      </w:r>
      <w:r w:rsidR="00EA4B61" w:rsidRPr="00065200">
        <w:t xml:space="preserve">The approaches </w:t>
      </w:r>
      <w:r w:rsidR="008B41DB" w:rsidRPr="00065200">
        <w:t>described below</w:t>
      </w:r>
      <w:r w:rsidR="00EA4B61" w:rsidRPr="00065200">
        <w:t xml:space="preserve"> </w:t>
      </w:r>
      <w:r w:rsidR="009E0907">
        <w:t>are intended as</w:t>
      </w:r>
      <w:r w:rsidR="00953572" w:rsidRPr="00065200">
        <w:t xml:space="preserve"> broad </w:t>
      </w:r>
      <w:r w:rsidR="00940D4F">
        <w:t xml:space="preserve">implementation guidelines, and </w:t>
      </w:r>
      <w:r w:rsidR="00EA4B61" w:rsidRPr="00065200">
        <w:t xml:space="preserve">should be further refined through </w:t>
      </w:r>
      <w:r w:rsidR="008B41DB" w:rsidRPr="00065200">
        <w:t>consultation</w:t>
      </w:r>
      <w:r w:rsidR="00EA4B61" w:rsidRPr="00065200">
        <w:t xml:space="preserve"> with</w:t>
      </w:r>
      <w:r w:rsidR="00953572" w:rsidRPr="00065200">
        <w:t xml:space="preserve"> key</w:t>
      </w:r>
      <w:r w:rsidR="00EA4B61" w:rsidRPr="00065200">
        <w:t xml:space="preserve"> stakeholders across the ISR system.</w:t>
      </w:r>
    </w:p>
    <w:p w14:paraId="65E1900D" w14:textId="77777777" w:rsidR="00076204" w:rsidRPr="00065200" w:rsidRDefault="00076204" w:rsidP="00072FCD">
      <w:pPr>
        <w:pStyle w:val="Heading3"/>
      </w:pPr>
      <w:r w:rsidRPr="00065200">
        <w:t>How could whole-of-government ISR priorities drive investment decisions?</w:t>
      </w:r>
    </w:p>
    <w:p w14:paraId="4241AC2C" w14:textId="6EBA58AD" w:rsidR="007B46FE" w:rsidRPr="00065200" w:rsidRDefault="00E107E5" w:rsidP="002A34D9">
      <w:pPr>
        <w:spacing w:before="240"/>
      </w:pPr>
      <w:r w:rsidRPr="00065200">
        <w:t>As described in Recommended Action 1, e</w:t>
      </w:r>
      <w:r w:rsidR="00914844" w:rsidRPr="00065200">
        <w:t>ffective ISR investment</w:t>
      </w:r>
      <w:r w:rsidR="00607C89" w:rsidRPr="00065200">
        <w:t>s create impact through their</w:t>
      </w:r>
      <w:r w:rsidR="00914844" w:rsidRPr="00065200">
        <w:t xml:space="preserve"> ability to respond to </w:t>
      </w:r>
      <w:r w:rsidR="007A1D6B" w:rsidRPr="00065200">
        <w:t>national</w:t>
      </w:r>
      <w:r w:rsidR="00914844" w:rsidRPr="00065200">
        <w:t xml:space="preserve"> priorities</w:t>
      </w:r>
      <w:r w:rsidR="00182E62" w:rsidRPr="00065200">
        <w:t>.</w:t>
      </w:r>
      <w:r w:rsidR="00F73CA6" w:rsidRPr="00065200">
        <w:t xml:space="preserve"> </w:t>
      </w:r>
      <w:r w:rsidR="008B41DB" w:rsidRPr="00065200">
        <w:t xml:space="preserve">The </w:t>
      </w:r>
      <w:r w:rsidR="00FA3964" w:rsidRPr="00065200">
        <w:t xml:space="preserve">Government’s national </w:t>
      </w:r>
      <w:r w:rsidR="00CF014E" w:rsidRPr="00065200">
        <w:t>priorities</w:t>
      </w:r>
      <w:r w:rsidR="0098009F" w:rsidRPr="00065200">
        <w:t xml:space="preserve"> </w:t>
      </w:r>
      <w:r w:rsidR="002A34D9" w:rsidRPr="00065200">
        <w:t>should</w:t>
      </w:r>
      <w:r w:rsidR="00CF014E" w:rsidRPr="00065200">
        <w:t xml:space="preserve"> be </w:t>
      </w:r>
      <w:r w:rsidR="00940D4F">
        <w:t>underpinned by</w:t>
      </w:r>
      <w:r w:rsidR="002A34D9" w:rsidRPr="00065200">
        <w:t xml:space="preserve"> a</w:t>
      </w:r>
      <w:r w:rsidR="003039B5">
        <w:t xml:space="preserve"> broader contextual </w:t>
      </w:r>
      <w:r w:rsidR="002A34D9" w:rsidRPr="00065200">
        <w:t>assessment</w:t>
      </w:r>
      <w:r w:rsidR="00940D4F">
        <w:t>,</w:t>
      </w:r>
      <w:r w:rsidR="002A34D9" w:rsidRPr="00065200">
        <w:t xml:space="preserve"> </w:t>
      </w:r>
      <w:r w:rsidR="003039B5">
        <w:t>includ</w:t>
      </w:r>
      <w:r w:rsidR="00940D4F">
        <w:t>ing</w:t>
      </w:r>
      <w:r w:rsidR="00CF014E" w:rsidRPr="00065200">
        <w:t xml:space="preserve"> </w:t>
      </w:r>
      <w:r w:rsidR="003039B5">
        <w:t xml:space="preserve">an evaluation of </w:t>
      </w:r>
      <w:r w:rsidR="00CF014E" w:rsidRPr="00065200">
        <w:t xml:space="preserve">Australia’s </w:t>
      </w:r>
      <w:r w:rsidR="00B40741" w:rsidRPr="00065200">
        <w:t xml:space="preserve">sovereign needs and </w:t>
      </w:r>
      <w:r w:rsidR="00CF014E" w:rsidRPr="00065200">
        <w:t>comparative a</w:t>
      </w:r>
      <w:r w:rsidR="009F0340" w:rsidRPr="00065200">
        <w:t>nd competitive advantages</w:t>
      </w:r>
      <w:r w:rsidR="00F72A41" w:rsidRPr="00065200">
        <w:t>. Whole-of-</w:t>
      </w:r>
      <w:r w:rsidR="00F01C59" w:rsidRPr="00065200">
        <w:t>g</w:t>
      </w:r>
      <w:r w:rsidR="00F72A41" w:rsidRPr="00065200">
        <w:t>overnment</w:t>
      </w:r>
      <w:r w:rsidR="002A34D9" w:rsidRPr="00065200">
        <w:t xml:space="preserve"> </w:t>
      </w:r>
      <w:r w:rsidR="00A61AC1">
        <w:t xml:space="preserve">and subsidiary </w:t>
      </w:r>
      <w:r w:rsidR="002A34D9" w:rsidRPr="00065200">
        <w:t>ISR priorities should</w:t>
      </w:r>
      <w:r w:rsidR="00F72A41" w:rsidRPr="00065200">
        <w:t xml:space="preserve"> then</w:t>
      </w:r>
      <w:r w:rsidR="002A34D9" w:rsidRPr="00065200">
        <w:t xml:space="preserve"> be developed as key enablers of the Government’s national priorities</w:t>
      </w:r>
      <w:r w:rsidR="00A61AC1">
        <w:t xml:space="preserve"> (</w:t>
      </w:r>
      <w:r w:rsidR="00A61AC1">
        <w:fldChar w:fldCharType="begin"/>
      </w:r>
      <w:r w:rsidR="00A61AC1">
        <w:instrText xml:space="preserve"> REF _Ref41465277 \h </w:instrText>
      </w:r>
      <w:r w:rsidR="00A61AC1">
        <w:fldChar w:fldCharType="separate"/>
      </w:r>
      <w:r w:rsidR="00807393" w:rsidRPr="00065200">
        <w:t xml:space="preserve">Figure </w:t>
      </w:r>
      <w:r w:rsidR="00807393">
        <w:rPr>
          <w:noProof/>
        </w:rPr>
        <w:t>3</w:t>
      </w:r>
      <w:r w:rsidR="00A61AC1">
        <w:fldChar w:fldCharType="end"/>
      </w:r>
      <w:r w:rsidR="00A61AC1">
        <w:t>)</w:t>
      </w:r>
      <w:r w:rsidR="003C4E7F">
        <w:t>. T</w:t>
      </w:r>
      <w:r w:rsidR="00EF03C4">
        <w:t>hese ISR priorities will</w:t>
      </w:r>
      <w:r w:rsidR="00542A7F">
        <w:t>, when coupled</w:t>
      </w:r>
      <w:r w:rsidR="00EF03C4">
        <w:t xml:space="preserve"> with ISR investment </w:t>
      </w:r>
      <w:r w:rsidR="00542A7F">
        <w:t>decision making processes,</w:t>
      </w:r>
      <w:r w:rsidR="00EF03C4">
        <w:t xml:space="preserve"> </w:t>
      </w:r>
      <w:r w:rsidR="002A34D9" w:rsidRPr="00065200">
        <w:t>ensure th</w:t>
      </w:r>
      <w:r w:rsidR="001E6472">
        <w:t>at</w:t>
      </w:r>
      <w:r w:rsidR="002A34D9" w:rsidRPr="00065200">
        <w:t xml:space="preserve"> Government’s ISR investment</w:t>
      </w:r>
      <w:r w:rsidR="00EF03C4">
        <w:t>s</w:t>
      </w:r>
      <w:r w:rsidR="002A34D9" w:rsidRPr="00065200">
        <w:t xml:space="preserve"> </w:t>
      </w:r>
      <w:r w:rsidR="00940D4F">
        <w:t>con</w:t>
      </w:r>
      <w:r w:rsidR="00EF03C4">
        <w:t>tinue</w:t>
      </w:r>
      <w:r w:rsidR="00940D4F">
        <w:t xml:space="preserve"> to </w:t>
      </w:r>
      <w:r w:rsidR="002A34D9" w:rsidRPr="00065200">
        <w:t xml:space="preserve">strengthen Australia’s resilience, productivity and prosperity. </w:t>
      </w:r>
    </w:p>
    <w:p w14:paraId="7192FCC9" w14:textId="64D73808" w:rsidR="00A61AC1" w:rsidRDefault="009B29CE" w:rsidP="00EB29A4">
      <w:pPr>
        <w:spacing w:before="240"/>
      </w:pPr>
      <w:r w:rsidRPr="00065200">
        <w:t>Australia’s</w:t>
      </w:r>
      <w:r w:rsidR="007567AA" w:rsidRPr="00065200">
        <w:t xml:space="preserve"> whole-of-government</w:t>
      </w:r>
      <w:r w:rsidRPr="00065200">
        <w:t xml:space="preserve"> ISR priorities should </w:t>
      </w:r>
      <w:r w:rsidR="00C62787" w:rsidRPr="00065200">
        <w:t xml:space="preserve">reflect </w:t>
      </w:r>
      <w:r w:rsidR="00F72A41" w:rsidRPr="00065200">
        <w:t>theme-based objectives</w:t>
      </w:r>
      <w:r w:rsidR="00C62787" w:rsidRPr="00065200">
        <w:t xml:space="preserve"> </w:t>
      </w:r>
      <w:r w:rsidR="00EB29A4" w:rsidRPr="00065200">
        <w:t>and</w:t>
      </w:r>
      <w:r w:rsidRPr="00065200">
        <w:t xml:space="preserve"> focus on areas of immediate and critical importance to Australia’s global standing</w:t>
      </w:r>
      <w:r w:rsidR="00C379C6">
        <w:t>. These could include</w:t>
      </w:r>
      <w:r w:rsidRPr="00065200">
        <w:t xml:space="preserve"> </w:t>
      </w:r>
      <w:r w:rsidR="00E36F52">
        <w:t>area</w:t>
      </w:r>
      <w:r w:rsidR="00C379C6">
        <w:t xml:space="preserve">s such as </w:t>
      </w:r>
      <w:r w:rsidRPr="00065200">
        <w:t>health, energy, defence, national security, space, food and agriculture, social prosperity</w:t>
      </w:r>
      <w:r w:rsidRPr="00065200" w:rsidDel="00FC607B">
        <w:t xml:space="preserve"> </w:t>
      </w:r>
      <w:r w:rsidRPr="00065200">
        <w:t>and the environment.</w:t>
      </w:r>
      <w:r w:rsidRPr="00065200">
        <w:rPr>
          <w:rStyle w:val="FootnoteReference"/>
        </w:rPr>
        <w:footnoteReference w:id="219"/>
      </w:r>
    </w:p>
    <w:p w14:paraId="071A06FD" w14:textId="338D18F3" w:rsidR="00A61AC1" w:rsidRDefault="00542A7F" w:rsidP="00EB29A4">
      <w:pPr>
        <w:spacing w:before="240"/>
      </w:pPr>
      <w:r>
        <w:t>Whole-of-government</w:t>
      </w:r>
      <w:r w:rsidR="00A61AC1">
        <w:t xml:space="preserve"> ISR</w:t>
      </w:r>
      <w:r w:rsidR="00A61AC1" w:rsidRPr="00065200">
        <w:t xml:space="preserve"> priorities should also promote broader cross-cutting ambitions such as ISR excellence, and a balance of R&amp;D and non-R&amp;D innovation. </w:t>
      </w:r>
      <w:r w:rsidR="00A61AC1">
        <w:t>D</w:t>
      </w:r>
      <w:r w:rsidR="00A61AC1" w:rsidRPr="00065200">
        <w:t xml:space="preserve">edicating a proportion of ISR funding to </w:t>
      </w:r>
      <w:r w:rsidR="00A61AC1">
        <w:t xml:space="preserve">an </w:t>
      </w:r>
      <w:r w:rsidR="00A61AC1" w:rsidRPr="00065200">
        <w:t xml:space="preserve">‘emerging ISR’ </w:t>
      </w:r>
      <w:r w:rsidR="00A61AC1">
        <w:t xml:space="preserve">thematic priority would enable </w:t>
      </w:r>
      <w:r w:rsidR="00A61AC1" w:rsidRPr="00065200">
        <w:t>frontier science and technology, basic and blue</w:t>
      </w:r>
      <w:r w:rsidR="00A61AC1" w:rsidRPr="00065200">
        <w:noBreakHyphen/>
        <w:t>sky research</w:t>
      </w:r>
      <w:r w:rsidR="00E36F52">
        <w:t>,</w:t>
      </w:r>
      <w:r w:rsidR="00A61AC1" w:rsidRPr="00065200">
        <w:t xml:space="preserve"> and cutting edge innovation</w:t>
      </w:r>
      <w:r w:rsidR="00A61AC1">
        <w:t>. A dedicated, funded ‘emerging ISR’ priority</w:t>
      </w:r>
      <w:r w:rsidR="00A61AC1" w:rsidRPr="00065200">
        <w:t xml:space="preserve"> </w:t>
      </w:r>
      <w:r w:rsidR="00A61AC1">
        <w:t xml:space="preserve">would grow </w:t>
      </w:r>
      <w:r w:rsidR="00A61AC1" w:rsidRPr="00065200">
        <w:t>a broad</w:t>
      </w:r>
      <w:r w:rsidR="00A61AC1">
        <w:t>er</w:t>
      </w:r>
      <w:r w:rsidR="00A61AC1" w:rsidRPr="00065200">
        <w:t xml:space="preserve"> </w:t>
      </w:r>
      <w:r w:rsidR="00A61AC1">
        <w:t>pool of ISR talent and</w:t>
      </w:r>
      <w:r w:rsidR="00A61AC1" w:rsidRPr="00065200">
        <w:t xml:space="preserve"> an internationally competitive research system </w:t>
      </w:r>
      <w:r w:rsidR="00A61AC1">
        <w:t>which</w:t>
      </w:r>
      <w:r w:rsidR="00A61AC1" w:rsidRPr="00065200">
        <w:t xml:space="preserve"> </w:t>
      </w:r>
      <w:r w:rsidR="00A61AC1">
        <w:t>can innovate across and beyond</w:t>
      </w:r>
      <w:r w:rsidR="00A61AC1" w:rsidRPr="00065200">
        <w:t xml:space="preserve"> </w:t>
      </w:r>
      <w:r w:rsidR="00A61AC1">
        <w:t xml:space="preserve">purely </w:t>
      </w:r>
      <w:r w:rsidR="00A61AC1" w:rsidRPr="00065200">
        <w:t>priority</w:t>
      </w:r>
      <w:r w:rsidR="00A61AC1" w:rsidRPr="00065200">
        <w:noBreakHyphen/>
        <w:t>driven investment</w:t>
      </w:r>
      <w:r w:rsidR="00A61AC1">
        <w:t>s</w:t>
      </w:r>
      <w:r w:rsidR="00A61AC1" w:rsidRPr="00065200">
        <w:t>.</w:t>
      </w:r>
    </w:p>
    <w:p w14:paraId="4FCF9172" w14:textId="06DB6D12" w:rsidR="00880452" w:rsidRDefault="00880452" w:rsidP="008F2354">
      <w:r w:rsidRPr="00065200">
        <w:t xml:space="preserve">Once </w:t>
      </w:r>
      <w:r w:rsidR="0076094A">
        <w:t xml:space="preserve">longer-term </w:t>
      </w:r>
      <w:r w:rsidRPr="00065200">
        <w:t xml:space="preserve">whole-of-government ISR priorities are established, </w:t>
      </w:r>
      <w:r w:rsidR="0076094A">
        <w:t xml:space="preserve">shorter-term </w:t>
      </w:r>
      <w:r w:rsidRPr="00065200">
        <w:t xml:space="preserve">subsidiary </w:t>
      </w:r>
      <w:r w:rsidR="00575F58">
        <w:t xml:space="preserve">ISR </w:t>
      </w:r>
      <w:r w:rsidRPr="00065200">
        <w:t xml:space="preserve">priorities </w:t>
      </w:r>
      <w:r w:rsidR="00E36F52">
        <w:t>can</w:t>
      </w:r>
      <w:r w:rsidR="00B66CCE">
        <w:t xml:space="preserve"> </w:t>
      </w:r>
      <w:r w:rsidRPr="00065200">
        <w:t>be developed</w:t>
      </w:r>
      <w:r>
        <w:t xml:space="preserve">. </w:t>
      </w:r>
      <w:r w:rsidRPr="00880452">
        <w:t>These priorities could</w:t>
      </w:r>
      <w:r>
        <w:t>,</w:t>
      </w:r>
      <w:r w:rsidRPr="00880452">
        <w:t xml:space="preserve"> </w:t>
      </w:r>
      <w:r>
        <w:t xml:space="preserve">at least initially, </w:t>
      </w:r>
      <w:r w:rsidRPr="00880452">
        <w:t>be based on existing agency, ISR comm</w:t>
      </w:r>
      <w:r>
        <w:t xml:space="preserve">unity and </w:t>
      </w:r>
      <w:r w:rsidR="0064130E">
        <w:t>I</w:t>
      </w:r>
      <w:r w:rsidR="00020B7E">
        <w:t xml:space="preserve">ndustry </w:t>
      </w:r>
      <w:r w:rsidR="0064130E">
        <w:t>G</w:t>
      </w:r>
      <w:r w:rsidR="00020B7E">
        <w:t xml:space="preserve">rowth </w:t>
      </w:r>
      <w:r w:rsidR="0064130E">
        <w:t>C</w:t>
      </w:r>
      <w:r w:rsidR="00020B7E">
        <w:t>entre</w:t>
      </w:r>
      <w:r>
        <w:t xml:space="preserve"> sector priorities, </w:t>
      </w:r>
      <w:r w:rsidR="003F49C1">
        <w:t>and would provide more detailed, implementation</w:t>
      </w:r>
      <w:r w:rsidR="0092538C">
        <w:noBreakHyphen/>
      </w:r>
      <w:r w:rsidR="003F49C1">
        <w:t>level guidance to ISR investment decision makers and ISR performers. Careful c</w:t>
      </w:r>
      <w:r w:rsidRPr="00065200">
        <w:t xml:space="preserve">onsideration </w:t>
      </w:r>
      <w:r w:rsidR="003F49C1">
        <w:t xml:space="preserve">should be </w:t>
      </w:r>
      <w:r w:rsidRPr="00065200">
        <w:t>given to state and territory</w:t>
      </w:r>
      <w:r w:rsidR="003F49C1">
        <w:t xml:space="preserve"> ISR priorities and</w:t>
      </w:r>
      <w:r w:rsidRPr="00065200">
        <w:t xml:space="preserve"> investments </w:t>
      </w:r>
      <w:r w:rsidR="003F49C1">
        <w:t xml:space="preserve">when developing these subsidiary priorities </w:t>
      </w:r>
      <w:r w:rsidRPr="00065200">
        <w:t>to minimise investment gaps and overlaps.</w:t>
      </w:r>
    </w:p>
    <w:p w14:paraId="7EFAA40F" w14:textId="2AF40BC1" w:rsidR="00A61AC1" w:rsidRDefault="00A61AC1" w:rsidP="00406699">
      <w:r w:rsidRPr="00065200">
        <w:t>Internationally, ISR priorities are often expressed as themes or goal-oriented objectives</w:t>
      </w:r>
      <w:r w:rsidRPr="00065200">
        <w:rPr>
          <w:color w:val="000000" w:themeColor="text1"/>
        </w:rPr>
        <w:t>. For example, the UK’s Industrial Strategy includes cross-cutting Grand Challenges aimed at improving people’s lives and national productivity, with dedicated collaborative funding for s</w:t>
      </w:r>
      <w:r w:rsidRPr="00065200">
        <w:t xml:space="preserve">ubsidiary </w:t>
      </w:r>
      <w:r>
        <w:t>challenge</w:t>
      </w:r>
      <w:r w:rsidRPr="00065200">
        <w:t>s</w:t>
      </w:r>
      <w:r w:rsidRPr="00065200">
        <w:rPr>
          <w:color w:val="000000" w:themeColor="text1"/>
        </w:rPr>
        <w:t xml:space="preserve"> </w:t>
      </w:r>
      <w:r w:rsidRPr="00065200">
        <w:t>focused on specific problems</w:t>
      </w:r>
      <w:r>
        <w:t>.</w:t>
      </w:r>
      <w:r w:rsidRPr="00065200">
        <w:t xml:space="preserve"> </w:t>
      </w:r>
      <w:r>
        <w:t xml:space="preserve">In </w:t>
      </w:r>
      <w:r w:rsidRPr="00065200">
        <w:t>Ireland</w:t>
      </w:r>
      <w:r w:rsidR="006D049F">
        <w:t>, the majority of</w:t>
      </w:r>
      <w:r w:rsidRPr="00065200">
        <w:t xml:space="preserve"> competitively awarded public research investment</w:t>
      </w:r>
      <w:r>
        <w:t>s are aligned</w:t>
      </w:r>
      <w:r w:rsidRPr="00065200">
        <w:t xml:space="preserve"> </w:t>
      </w:r>
      <w:r>
        <w:t>to</w:t>
      </w:r>
      <w:r w:rsidRPr="00065200">
        <w:t xml:space="preserve"> 14 priority areas under six broad themes (see </w:t>
      </w:r>
      <w:r w:rsidR="00406699">
        <w:fldChar w:fldCharType="begin"/>
      </w:r>
      <w:r w:rsidR="00406699">
        <w:instrText xml:space="preserve"> REF _Ref56068695 \h </w:instrText>
      </w:r>
      <w:r w:rsidR="00406699">
        <w:fldChar w:fldCharType="separate"/>
      </w:r>
      <w:r w:rsidR="00807393" w:rsidRPr="00065200">
        <w:t xml:space="preserve">Table </w:t>
      </w:r>
      <w:r w:rsidR="00807393">
        <w:rPr>
          <w:noProof/>
        </w:rPr>
        <w:t>4</w:t>
      </w:r>
      <w:r w:rsidR="00406699">
        <w:fldChar w:fldCharType="end"/>
      </w:r>
      <w:r w:rsidR="00406699">
        <w:t xml:space="preserve">) </w:t>
      </w:r>
      <w:r w:rsidRPr="00065200">
        <w:rPr>
          <w:rStyle w:val="FootnoteReference"/>
        </w:rPr>
        <w:footnoteReference w:id="220"/>
      </w:r>
      <w:r w:rsidRPr="00065200">
        <w:rPr>
          <w:rStyle w:val="FootnoteReference"/>
        </w:rPr>
        <w:t>,</w:t>
      </w:r>
      <w:r w:rsidRPr="00065200">
        <w:rPr>
          <w:rStyle w:val="FootnoteReference"/>
        </w:rPr>
        <w:footnoteReference w:id="221"/>
      </w:r>
      <w:r>
        <w:t xml:space="preserve"> Australia’s </w:t>
      </w:r>
      <w:r w:rsidR="006D049F">
        <w:t>ISR priorities could</w:t>
      </w:r>
      <w:r w:rsidRPr="006C6774">
        <w:t xml:space="preserve"> be expressed as a clear aspirational goal or </w:t>
      </w:r>
      <w:r>
        <w:t>resolution to</w:t>
      </w:r>
      <w:r w:rsidRPr="006C6774">
        <w:t xml:space="preserve"> a</w:t>
      </w:r>
      <w:r w:rsidRPr="00065200">
        <w:t xml:space="preserve"> complex societal, technological </w:t>
      </w:r>
      <w:r w:rsidR="00020B7E">
        <w:t>or</w:t>
      </w:r>
      <w:r w:rsidRPr="00065200">
        <w:t xml:space="preserve"> environmental </w:t>
      </w:r>
      <w:r>
        <w:t>issue</w:t>
      </w:r>
      <w:r w:rsidRPr="00065200">
        <w:t xml:space="preserve"> through mechanisms such as Grand Challenges</w:t>
      </w:r>
      <w:r w:rsidRPr="002A711F">
        <w:t>.</w:t>
      </w:r>
    </w:p>
    <w:p w14:paraId="306A4AC2" w14:textId="061D2752" w:rsidR="002B6FAA" w:rsidRPr="00065200" w:rsidRDefault="00575F58" w:rsidP="002B6FAA">
      <w:pPr>
        <w:spacing w:before="240"/>
      </w:pPr>
      <w:r>
        <w:t>The</w:t>
      </w:r>
      <w:r w:rsidR="006D049F">
        <w:t>se</w:t>
      </w:r>
      <w:r>
        <w:t xml:space="preserve"> new</w:t>
      </w:r>
      <w:r w:rsidR="002B6FAA" w:rsidRPr="00065200">
        <w:t xml:space="preserve"> ISR priorities </w:t>
      </w:r>
      <w:r w:rsidR="006D049F">
        <w:t>could</w:t>
      </w:r>
      <w:r w:rsidR="002B6FAA" w:rsidRPr="00065200">
        <w:t xml:space="preserve"> ultimately supersede all extant ISR priorities, including the </w:t>
      </w:r>
      <w:r w:rsidR="00060B29">
        <w:t>NSRPs</w:t>
      </w:r>
      <w:r w:rsidR="002B6FAA" w:rsidRPr="00065200">
        <w:t>. Investments that do not align with the resultant whole-of-government ISR priorities should be progressively divested from the investment portfolio, providing a pool of funding available for reallocation, while remaining within the existing funding envelope. This divestment should take place during scheduled reviews of existing investments or</w:t>
      </w:r>
      <w:r w:rsidR="002B6FAA" w:rsidRPr="00065200" w:rsidDel="006A09DE">
        <w:t xml:space="preserve"> </w:t>
      </w:r>
      <w:r w:rsidR="002B6FAA" w:rsidRPr="00065200">
        <w:t xml:space="preserve">as appropriate to the investment funding cycle. Investments that include </w:t>
      </w:r>
      <w:r>
        <w:t>current</w:t>
      </w:r>
      <w:r w:rsidR="002B6FAA" w:rsidRPr="00065200">
        <w:t xml:space="preserve"> Government priorities as a part of their underlying policy (such as </w:t>
      </w:r>
      <w:r w:rsidR="009A0957">
        <w:t>EP</w:t>
      </w:r>
      <w:r w:rsidR="002B6FAA" w:rsidRPr="00065200">
        <w:t xml:space="preserve"> and CRCs) should transition to the whole</w:t>
      </w:r>
      <w:r w:rsidR="0092538C">
        <w:noBreakHyphen/>
      </w:r>
      <w:r w:rsidR="002B6FAA" w:rsidRPr="00065200">
        <w:t>of</w:t>
      </w:r>
      <w:r w:rsidR="0092538C">
        <w:noBreakHyphen/>
      </w:r>
      <w:r w:rsidR="002B6FAA" w:rsidRPr="00065200">
        <w:t>government ISR priorities as part of planned reviews or as appropriate to their funding cycle.</w:t>
      </w:r>
    </w:p>
    <w:p w14:paraId="0A2ED013" w14:textId="1560ECD6" w:rsidR="00596918" w:rsidRPr="00065200" w:rsidRDefault="009B29CE" w:rsidP="00092162">
      <w:r w:rsidRPr="00065200">
        <w:t>The overarching</w:t>
      </w:r>
      <w:r w:rsidR="00EC7CD0">
        <w:t>,</w:t>
      </w:r>
      <w:r w:rsidRPr="00065200">
        <w:t xml:space="preserve"> </w:t>
      </w:r>
      <w:r w:rsidR="003C2A66" w:rsidRPr="00065200">
        <w:t>whole</w:t>
      </w:r>
      <w:r w:rsidR="003C2A66" w:rsidRPr="00065200">
        <w:noBreakHyphen/>
        <w:t>of</w:t>
      </w:r>
      <w:r w:rsidR="003C2A66" w:rsidRPr="00065200">
        <w:noBreakHyphen/>
        <w:t>government</w:t>
      </w:r>
      <w:r w:rsidRPr="00065200">
        <w:t xml:space="preserve"> ISR priorities should be reviewed every 10 years, or when significant changes occur. Subsidiary ISR priorities should be reviewed</w:t>
      </w:r>
      <w:r w:rsidR="00EC7CD0">
        <w:t xml:space="preserve"> </w:t>
      </w:r>
      <w:r w:rsidR="00EC7CD0" w:rsidRPr="00065200">
        <w:t>more regularly</w:t>
      </w:r>
      <w:r w:rsidRPr="00065200">
        <w:t>, such as every three years (or as required), to ensure they are effective and remain re</w:t>
      </w:r>
      <w:r w:rsidR="00EC7CD0">
        <w:t>sponsive</w:t>
      </w:r>
      <w:r w:rsidRPr="00065200">
        <w:t xml:space="preserve"> to technological and societal changes.</w:t>
      </w:r>
      <w:r w:rsidR="00842A7D" w:rsidRPr="00065200">
        <w:t xml:space="preserve"> International models, such as Ireland and the UK</w:t>
      </w:r>
      <w:r w:rsidR="0014596B">
        <w:t>,</w:t>
      </w:r>
      <w:r w:rsidR="00842A7D" w:rsidRPr="00065200">
        <w:t xml:space="preserve"> are good examples to inform</w:t>
      </w:r>
      <w:r w:rsidR="00422E5A">
        <w:t xml:space="preserve"> approaches to</w:t>
      </w:r>
      <w:r w:rsidR="00842A7D" w:rsidRPr="00065200">
        <w:t xml:space="preserve"> </w:t>
      </w:r>
      <w:r w:rsidR="00EC7CD0">
        <w:t>ISR prioritisation</w:t>
      </w:r>
      <w:r w:rsidR="00842A7D" w:rsidRPr="00065200">
        <w:t xml:space="preserve">. </w:t>
      </w:r>
    </w:p>
    <w:p w14:paraId="22C7F64F" w14:textId="6A2544D9" w:rsidR="00092162" w:rsidRPr="00065200" w:rsidRDefault="00092162" w:rsidP="00092162">
      <w:r w:rsidRPr="00065200">
        <w:t xml:space="preserve">Coordination </w:t>
      </w:r>
      <w:r w:rsidR="002B268E">
        <w:t>across Government</w:t>
      </w:r>
      <w:r w:rsidRPr="00065200">
        <w:t xml:space="preserve"> is critical to achieving cross-portfolio commitment to whole</w:t>
      </w:r>
      <w:r w:rsidR="002B268E">
        <w:noBreakHyphen/>
      </w:r>
      <w:r w:rsidRPr="00065200">
        <w:t>of</w:t>
      </w:r>
      <w:r w:rsidR="002B268E">
        <w:noBreakHyphen/>
      </w:r>
      <w:r w:rsidRPr="00065200">
        <w:t xml:space="preserve">government ISR priorities. Such an approach should </w:t>
      </w:r>
      <w:r w:rsidR="00EC7CD0">
        <w:t>consider</w:t>
      </w:r>
      <w:r w:rsidRPr="00065200">
        <w:t xml:space="preserve"> </w:t>
      </w:r>
      <w:r w:rsidR="00EC7CD0">
        <w:t xml:space="preserve">the </w:t>
      </w:r>
      <w:r w:rsidRPr="00065200">
        <w:t>different accountability and decision making frameworks</w:t>
      </w:r>
      <w:r w:rsidR="0014596B">
        <w:t xml:space="preserve"> </w:t>
      </w:r>
      <w:r w:rsidR="006A74B6">
        <w:t>of G</w:t>
      </w:r>
      <w:r w:rsidR="0014596B">
        <w:t>overnment departments</w:t>
      </w:r>
      <w:r w:rsidRPr="00065200">
        <w:t>, many of which are legislated, that would have to be altered to make a central</w:t>
      </w:r>
      <w:r w:rsidR="00EC7CD0">
        <w:t>ised</w:t>
      </w:r>
      <w:r w:rsidRPr="00065200">
        <w:t xml:space="preserve"> </w:t>
      </w:r>
      <w:r w:rsidR="002B268E">
        <w:t xml:space="preserve">prioritisation </w:t>
      </w:r>
      <w:r w:rsidRPr="00065200">
        <w:t>approach work</w:t>
      </w:r>
      <w:r w:rsidR="002B268E">
        <w:t xml:space="preserve"> in practice</w:t>
      </w:r>
      <w:r w:rsidRPr="00065200">
        <w:t>.</w:t>
      </w:r>
    </w:p>
    <w:p w14:paraId="7E11FD2D" w14:textId="4C026F53" w:rsidR="00307E43" w:rsidRPr="00065200" w:rsidRDefault="00307E43" w:rsidP="00092162">
      <w:r w:rsidRPr="00065200">
        <w:t xml:space="preserve">There are a number of ways in which the </w:t>
      </w:r>
      <w:r>
        <w:t>new ISR</w:t>
      </w:r>
      <w:r w:rsidRPr="00065200">
        <w:t xml:space="preserve"> priorities could be </w:t>
      </w:r>
      <w:r>
        <w:t>incrementally applied to investments in</w:t>
      </w:r>
      <w:r w:rsidRPr="00065200">
        <w:t xml:space="preserve"> the existing ISR system. One possibility is to </w:t>
      </w:r>
      <w:r>
        <w:t xml:space="preserve">initially </w:t>
      </w:r>
      <w:r w:rsidRPr="00065200">
        <w:t>apply this process to a current Government priority</w:t>
      </w:r>
      <w:r w:rsidR="00D726DB">
        <w:t>,</w:t>
      </w:r>
      <w:r>
        <w:t xml:space="preserve"> followed successively by other priorities</w:t>
      </w:r>
      <w:r w:rsidRPr="00065200">
        <w:t xml:space="preserve">. Other options could be to apply priorities across </w:t>
      </w:r>
      <w:r>
        <w:t xml:space="preserve">investments in a particular portfolio, </w:t>
      </w:r>
      <w:r w:rsidRPr="00065200">
        <w:t>apply them to investments in a sub-set of ISR</w:t>
      </w:r>
      <w:r w:rsidRPr="00065200">
        <w:noBreakHyphen/>
        <w:t>performers (such as PFRAs)</w:t>
      </w:r>
      <w:r>
        <w:t xml:space="preserve">, or across </w:t>
      </w:r>
      <w:r w:rsidRPr="00065200">
        <w:t>all whole</w:t>
      </w:r>
      <w:r>
        <w:noBreakHyphen/>
      </w:r>
      <w:r w:rsidRPr="00065200">
        <w:t>of</w:t>
      </w:r>
      <w:r>
        <w:noBreakHyphen/>
      </w:r>
      <w:r w:rsidRPr="00065200">
        <w:t xml:space="preserve">government investments (as demonstrated in the UK). </w:t>
      </w:r>
      <w:r>
        <w:br w:type="page"/>
      </w:r>
    </w:p>
    <w:p w14:paraId="3652E323" w14:textId="77777777" w:rsidR="002472A2" w:rsidRPr="00065200" w:rsidRDefault="002472A2" w:rsidP="00621990">
      <w:pPr>
        <w:pStyle w:val="Heading3"/>
        <w:spacing w:before="0"/>
      </w:pPr>
      <w:r w:rsidRPr="00065200">
        <w:t>How could a 10-year ISR investment plan be implemented?</w:t>
      </w:r>
    </w:p>
    <w:p w14:paraId="28A791F4" w14:textId="79D2A73D" w:rsidR="00C06113" w:rsidRPr="003C4E7F" w:rsidRDefault="002472A2" w:rsidP="00621990">
      <w:r w:rsidRPr="00065200">
        <w:t>A single</w:t>
      </w:r>
      <w:r w:rsidR="000B5B3C">
        <w:t>,</w:t>
      </w:r>
      <w:r w:rsidR="007D7861">
        <w:t xml:space="preserve"> unified</w:t>
      </w:r>
      <w:r w:rsidR="00D726DB">
        <w:t>,</w:t>
      </w:r>
      <w:r w:rsidRPr="00065200">
        <w:t xml:space="preserve"> 10-year </w:t>
      </w:r>
      <w:r w:rsidR="004C3F30" w:rsidRPr="00065200">
        <w:t>whole-of</w:t>
      </w:r>
      <w:r w:rsidR="004C3F30" w:rsidRPr="00065200">
        <w:noBreakHyphen/>
        <w:t xml:space="preserve">government </w:t>
      </w:r>
      <w:r w:rsidRPr="00065200">
        <w:t xml:space="preserve">ISR investment plan </w:t>
      </w:r>
      <w:r w:rsidR="001B0AE5" w:rsidRPr="00065200">
        <w:t>could</w:t>
      </w:r>
      <w:r w:rsidRPr="00065200">
        <w:t xml:space="preserve"> give the Government</w:t>
      </w:r>
      <w:r w:rsidR="00507F4F" w:rsidRPr="00065200">
        <w:t xml:space="preserve"> greater visibility of its ISR investments</w:t>
      </w:r>
      <w:r w:rsidR="001B0AE5" w:rsidRPr="00065200">
        <w:t>,</w:t>
      </w:r>
      <w:r w:rsidR="005A5F51" w:rsidRPr="00065200">
        <w:t xml:space="preserve"> including the alignment </w:t>
      </w:r>
      <w:r w:rsidR="001B0AE5" w:rsidRPr="00065200">
        <w:t xml:space="preserve">of </w:t>
      </w:r>
      <w:r w:rsidR="00C06113" w:rsidRPr="00065200">
        <w:t>investment</w:t>
      </w:r>
      <w:r w:rsidR="00C06113">
        <w:t>s</w:t>
      </w:r>
      <w:r w:rsidR="00C06113" w:rsidRPr="00065200">
        <w:t xml:space="preserve"> </w:t>
      </w:r>
      <w:r w:rsidR="00350CA3" w:rsidRPr="00065200">
        <w:t xml:space="preserve">with </w:t>
      </w:r>
      <w:r w:rsidR="005A5F51" w:rsidRPr="00065200">
        <w:t xml:space="preserve">the </w:t>
      </w:r>
      <w:r w:rsidR="00350CA3" w:rsidRPr="00065200">
        <w:t xml:space="preserve">Government’s </w:t>
      </w:r>
      <w:r w:rsidR="004C3F30" w:rsidRPr="00065200">
        <w:t xml:space="preserve">ISR </w:t>
      </w:r>
      <w:r w:rsidR="00350CA3" w:rsidRPr="00065200">
        <w:t>priorities</w:t>
      </w:r>
      <w:r w:rsidR="005A5F51" w:rsidRPr="00065200">
        <w:t xml:space="preserve"> and </w:t>
      </w:r>
      <w:r w:rsidR="00C06113">
        <w:t xml:space="preserve">investment </w:t>
      </w:r>
      <w:r w:rsidR="005A5F51" w:rsidRPr="00065200">
        <w:t>performance.</w:t>
      </w:r>
    </w:p>
    <w:p w14:paraId="075C54E9" w14:textId="2F8D7ED2" w:rsidR="00C06113" w:rsidRDefault="006F2468" w:rsidP="00621990">
      <w:r w:rsidRPr="00065200">
        <w:t xml:space="preserve">The </w:t>
      </w:r>
      <w:r w:rsidR="002C10CD">
        <w:t>first</w:t>
      </w:r>
      <w:r w:rsidRPr="00065200">
        <w:t xml:space="preserve"> step </w:t>
      </w:r>
      <w:r w:rsidR="002F460A" w:rsidRPr="004D78A0">
        <w:t>in</w:t>
      </w:r>
      <w:r w:rsidRPr="00065200">
        <w:t xml:space="preserve"> developing a</w:t>
      </w:r>
      <w:r w:rsidR="002472A2" w:rsidRPr="00065200">
        <w:t xml:space="preserve"> </w:t>
      </w:r>
      <w:r w:rsidR="002F460A" w:rsidRPr="004D78A0">
        <w:t>system wide long-term</w:t>
      </w:r>
      <w:r w:rsidR="002472A2" w:rsidRPr="00065200">
        <w:t xml:space="preserve"> </w:t>
      </w:r>
      <w:r w:rsidR="007F7E18">
        <w:t xml:space="preserve">ISR </w:t>
      </w:r>
      <w:r w:rsidR="002472A2" w:rsidRPr="00065200">
        <w:t xml:space="preserve">investment plan </w:t>
      </w:r>
      <w:r w:rsidRPr="00065200">
        <w:t>is</w:t>
      </w:r>
      <w:r w:rsidR="002424D4" w:rsidRPr="00065200">
        <w:t xml:space="preserve"> </w:t>
      </w:r>
      <w:r w:rsidRPr="004D78A0">
        <w:t xml:space="preserve">to </w:t>
      </w:r>
      <w:r w:rsidR="002F460A" w:rsidRPr="004D78A0">
        <w:t xml:space="preserve">gather </w:t>
      </w:r>
      <w:r w:rsidR="002424D4" w:rsidRPr="00065200">
        <w:t xml:space="preserve">consistent </w:t>
      </w:r>
      <w:r w:rsidR="008672F5">
        <w:t xml:space="preserve">baseline </w:t>
      </w:r>
      <w:r w:rsidR="002F460A" w:rsidRPr="004D78A0">
        <w:t xml:space="preserve">information </w:t>
      </w:r>
      <w:r w:rsidR="004D78A0" w:rsidRPr="004D78A0">
        <w:t>about</w:t>
      </w:r>
      <w:r w:rsidR="002424D4" w:rsidRPr="00065200">
        <w:t xml:space="preserve"> all</w:t>
      </w:r>
      <w:r w:rsidR="00703DA5" w:rsidRPr="00065200">
        <w:t xml:space="preserve"> </w:t>
      </w:r>
      <w:r w:rsidR="007F7E18">
        <w:t xml:space="preserve">ISR </w:t>
      </w:r>
      <w:r w:rsidRPr="00065200">
        <w:t>investments</w:t>
      </w:r>
      <w:r w:rsidR="002F460A" w:rsidRPr="004D78A0">
        <w:t>.</w:t>
      </w:r>
      <w:r w:rsidR="002472A2" w:rsidRPr="00065200">
        <w:t xml:space="preserve"> This </w:t>
      </w:r>
      <w:r w:rsidR="007F7E18">
        <w:t>information</w:t>
      </w:r>
      <w:r w:rsidR="002472A2" w:rsidRPr="00065200">
        <w:t xml:space="preserve"> </w:t>
      </w:r>
      <w:r w:rsidR="00A266CC" w:rsidRPr="00065200">
        <w:t xml:space="preserve">should </w:t>
      </w:r>
      <w:r w:rsidRPr="00065200">
        <w:t>include</w:t>
      </w:r>
      <w:r w:rsidR="00C05D56" w:rsidRPr="00065200">
        <w:t xml:space="preserve"> the </w:t>
      </w:r>
      <w:r w:rsidR="002472A2" w:rsidRPr="00065200">
        <w:t xml:space="preserve">purpose, expected outcomes, </w:t>
      </w:r>
      <w:r w:rsidR="00C05D56" w:rsidRPr="00065200">
        <w:t>alignment to ISR priorities</w:t>
      </w:r>
      <w:r w:rsidRPr="00065200">
        <w:t>,</w:t>
      </w:r>
      <w:r w:rsidR="00C05D56" w:rsidRPr="00065200">
        <w:rPr>
          <w:vertAlign w:val="superscript"/>
        </w:rPr>
        <w:footnoteReference w:id="222"/>
      </w:r>
      <w:r w:rsidR="00C05D56" w:rsidRPr="00065200">
        <w:t xml:space="preserve"> </w:t>
      </w:r>
      <w:r w:rsidR="002472A2" w:rsidRPr="00065200">
        <w:t>key performance indicators</w:t>
      </w:r>
      <w:r w:rsidR="008672F5">
        <w:t xml:space="preserve"> (including balance parameters, see </w:t>
      </w:r>
      <w:r w:rsidR="008672F5">
        <w:fldChar w:fldCharType="begin"/>
      </w:r>
      <w:r w:rsidR="008672F5">
        <w:instrText xml:space="preserve"> REF _Ref39672275 \h </w:instrText>
      </w:r>
      <w:r w:rsidR="008672F5">
        <w:fldChar w:fldCharType="separate"/>
      </w:r>
      <w:r w:rsidR="00807393" w:rsidRPr="00065200">
        <w:t xml:space="preserve">Table </w:t>
      </w:r>
      <w:r w:rsidR="00807393">
        <w:rPr>
          <w:noProof/>
        </w:rPr>
        <w:t>2</w:t>
      </w:r>
      <w:r w:rsidR="008672F5">
        <w:fldChar w:fldCharType="end"/>
      </w:r>
      <w:r w:rsidR="008672F5">
        <w:t>)</w:t>
      </w:r>
      <w:r w:rsidR="002472A2" w:rsidRPr="00065200">
        <w:t>, return on investment (societal, economic or environmental) and user/target</w:t>
      </w:r>
      <w:r w:rsidR="00D726DB">
        <w:t>. This information</w:t>
      </w:r>
      <w:r w:rsidR="00C06113">
        <w:t xml:space="preserve"> </w:t>
      </w:r>
      <w:r w:rsidR="00C06113" w:rsidRPr="00065200">
        <w:t>should be provided by government funders, in consultation with ISR performers</w:t>
      </w:r>
      <w:r w:rsidR="002472A2" w:rsidRPr="00065200">
        <w:t xml:space="preserve">. </w:t>
      </w:r>
      <w:r w:rsidR="00D726DB">
        <w:t>It</w:t>
      </w:r>
      <w:r w:rsidR="00C06113" w:rsidRPr="00065200">
        <w:t xml:space="preserve"> </w:t>
      </w:r>
      <w:r w:rsidRPr="00065200">
        <w:t xml:space="preserve">should </w:t>
      </w:r>
      <w:r w:rsidR="007F7E18">
        <w:t xml:space="preserve">initially be captured as </w:t>
      </w:r>
      <w:r w:rsidR="00C06113">
        <w:t xml:space="preserve">a </w:t>
      </w:r>
      <w:r w:rsidR="007F7E18">
        <w:t xml:space="preserve">one-off data collection to support the development of the initial investment plan </w:t>
      </w:r>
      <w:r w:rsidR="00D726DB">
        <w:t xml:space="preserve">and </w:t>
      </w:r>
      <w:r w:rsidR="007F7E18">
        <w:t>then</w:t>
      </w:r>
      <w:r w:rsidRPr="00065200">
        <w:t xml:space="preserve"> provided to Government </w:t>
      </w:r>
      <w:r w:rsidR="007F7E18">
        <w:t xml:space="preserve">regularly </w:t>
      </w:r>
      <w:r w:rsidRPr="00065200">
        <w:t>during normal reporting cycles</w:t>
      </w:r>
      <w:r w:rsidR="00DF704E" w:rsidRPr="00065200">
        <w:t>.</w:t>
      </w:r>
      <w:r w:rsidRPr="00065200">
        <w:rPr>
          <w:rStyle w:val="FootnoteReference"/>
        </w:rPr>
        <w:footnoteReference w:id="223"/>
      </w:r>
      <w:r w:rsidR="00DF704E" w:rsidRPr="00065200">
        <w:t xml:space="preserve"> </w:t>
      </w:r>
      <w:r w:rsidR="00C06113">
        <w:t xml:space="preserve">Consideration should be given to the need for a framework or platform to support the reporting of this information to ensure investments, data and outcomes are captured and analysed in a consistent and systematic way across different portfolios. </w:t>
      </w:r>
    </w:p>
    <w:p w14:paraId="29517EE4" w14:textId="5C729BCA" w:rsidR="00F61059" w:rsidRDefault="00A11DBF" w:rsidP="00621990">
      <w:r>
        <w:t xml:space="preserve">The ISR priorities, compiled whole-of-government ISR investment information, </w:t>
      </w:r>
      <w:r w:rsidR="00E32A81">
        <w:t xml:space="preserve">stakeholder consultation </w:t>
      </w:r>
      <w:r>
        <w:t>and other contextual data</w:t>
      </w:r>
      <w:r w:rsidR="00E32A81">
        <w:t xml:space="preserve"> </w:t>
      </w:r>
      <w:r>
        <w:t>can then be used as inputs when drafting</w:t>
      </w:r>
      <w:r w:rsidR="004B6899">
        <w:t xml:space="preserve"> a balanced</w:t>
      </w:r>
      <w:r>
        <w:t xml:space="preserve"> ISR investment plan. </w:t>
      </w:r>
      <w:r w:rsidR="00C06113" w:rsidRPr="00501E51">
        <w:t>Existing best-practice approaches, such as the Government’s 10</w:t>
      </w:r>
      <w:r w:rsidR="00C06113">
        <w:t>-</w:t>
      </w:r>
      <w:r w:rsidR="00C06113">
        <w:softHyphen/>
      </w:r>
      <w:r w:rsidR="00C06113" w:rsidRPr="00501E51">
        <w:t xml:space="preserve">year investment planning processes for research infrastructure, defence and the legislated </w:t>
      </w:r>
      <w:r w:rsidR="00941066">
        <w:t xml:space="preserve">MRFF, </w:t>
      </w:r>
      <w:r w:rsidR="00C06113">
        <w:t>amongst others, c</w:t>
      </w:r>
      <w:r w:rsidR="00C06113" w:rsidRPr="00501E51">
        <w:t>ould provide a useful foundation</w:t>
      </w:r>
      <w:r w:rsidR="00C06113">
        <w:t>al framework</w:t>
      </w:r>
      <w:r w:rsidR="00C06113" w:rsidRPr="00501E51">
        <w:t xml:space="preserve"> </w:t>
      </w:r>
      <w:r w:rsidR="00C06113">
        <w:t>when developing the investment plan</w:t>
      </w:r>
      <w:r w:rsidR="00C06113" w:rsidRPr="00501E51">
        <w:t>.</w:t>
      </w:r>
      <w:r w:rsidR="008672F5">
        <w:t xml:space="preserve"> </w:t>
      </w:r>
    </w:p>
    <w:p w14:paraId="08F1CDC2" w14:textId="09021A1A" w:rsidR="006F2468" w:rsidRPr="00065200" w:rsidRDefault="001B1166" w:rsidP="00621990">
      <w:r w:rsidRPr="00065200">
        <w:t>This investment plan</w:t>
      </w:r>
      <w:r w:rsidR="002472A2" w:rsidRPr="00065200">
        <w:t xml:space="preserve"> could </w:t>
      </w:r>
      <w:r w:rsidR="00737F4A" w:rsidRPr="00065200">
        <w:t xml:space="preserve">then </w:t>
      </w:r>
      <w:r w:rsidR="002472A2" w:rsidRPr="00065200">
        <w:t xml:space="preserve">be used by Government to determine the strategic coordination of ISR investments, </w:t>
      </w:r>
      <w:r w:rsidR="003461B9" w:rsidRPr="00065200">
        <w:t xml:space="preserve">drive </w:t>
      </w:r>
      <w:r w:rsidR="002472A2" w:rsidRPr="00065200">
        <w:t xml:space="preserve">effective integration of new </w:t>
      </w:r>
      <w:r w:rsidR="003461B9" w:rsidRPr="00065200">
        <w:t xml:space="preserve">and emerging </w:t>
      </w:r>
      <w:r w:rsidR="002472A2" w:rsidRPr="00065200">
        <w:t>ISR proposals, ensure there is alignment between the Government’s strategy and the allocation of its resources, and allow the Government to make trade-offs between ISR proposals.</w:t>
      </w:r>
      <w:r w:rsidR="006F2468" w:rsidRPr="00065200">
        <w:t xml:space="preserve"> </w:t>
      </w:r>
      <w:r w:rsidR="00E32A81">
        <w:t>Regularly reported investment</w:t>
      </w:r>
      <w:r w:rsidR="006F2468" w:rsidRPr="00065200">
        <w:t xml:space="preserve"> information</w:t>
      </w:r>
      <w:r w:rsidR="00691379">
        <w:t xml:space="preserve">, as well as </w:t>
      </w:r>
      <w:r w:rsidR="00725259">
        <w:t>investment evaluation outcome data</w:t>
      </w:r>
      <w:r w:rsidR="00691379">
        <w:t xml:space="preserve"> (see next)</w:t>
      </w:r>
      <w:r w:rsidR="006F2468" w:rsidRPr="00065200">
        <w:t xml:space="preserve"> could be used by Government </w:t>
      </w:r>
      <w:r w:rsidR="00A36B2D" w:rsidRPr="00065200">
        <w:t xml:space="preserve">through a centralised process </w:t>
      </w:r>
      <w:r w:rsidR="006F2468" w:rsidRPr="00065200">
        <w:t>to determine whether forecasts are in accordance with expectations</w:t>
      </w:r>
      <w:r w:rsidR="00662A21">
        <w:t>.</w:t>
      </w:r>
      <w:r w:rsidR="006F2468" w:rsidRPr="00065200">
        <w:t xml:space="preserve"> </w:t>
      </w:r>
      <w:r w:rsidR="00662A21">
        <w:t>A</w:t>
      </w:r>
      <w:r w:rsidR="006F2468" w:rsidRPr="00065200">
        <w:t xml:space="preserve">djustments could </w:t>
      </w:r>
      <w:r w:rsidR="00662A21">
        <w:t xml:space="preserve">then </w:t>
      </w:r>
      <w:r w:rsidR="006F2468" w:rsidRPr="00065200">
        <w:t>be made accordingly. This process should be supported by appropriate governance mechanisms.</w:t>
      </w:r>
    </w:p>
    <w:p w14:paraId="01F36ED2" w14:textId="6378575B" w:rsidR="00691379" w:rsidRDefault="001B1166" w:rsidP="00621990">
      <w:r w:rsidRPr="00065200">
        <w:t xml:space="preserve">The </w:t>
      </w:r>
      <w:r w:rsidR="00691379">
        <w:t>ISR</w:t>
      </w:r>
      <w:r w:rsidRPr="00065200">
        <w:t xml:space="preserve"> investments within this </w:t>
      </w:r>
      <w:r w:rsidR="00737F4A" w:rsidRPr="00065200">
        <w:t xml:space="preserve">10-year </w:t>
      </w:r>
      <w:r w:rsidRPr="00065200">
        <w:t xml:space="preserve">plan should be subject to regular evaluations to ensure </w:t>
      </w:r>
      <w:r w:rsidR="00737F4A" w:rsidRPr="00065200">
        <w:t>the effectiveness of the</w:t>
      </w:r>
      <w:r w:rsidR="001B0AE5" w:rsidRPr="00065200">
        <w:t xml:space="preserve"> Government’s ISR</w:t>
      </w:r>
      <w:r w:rsidRPr="00065200">
        <w:t xml:space="preserve"> investments</w:t>
      </w:r>
      <w:r w:rsidR="00737F4A" w:rsidRPr="00065200">
        <w:t>. E</w:t>
      </w:r>
      <w:r w:rsidRPr="00065200">
        <w:t>valuations should be conducted independently</w:t>
      </w:r>
      <w:r w:rsidR="002E462D" w:rsidRPr="00065200">
        <w:t xml:space="preserve">, coordinated across </w:t>
      </w:r>
      <w:r w:rsidR="00C05D56" w:rsidRPr="00065200">
        <w:t>agency and domain</w:t>
      </w:r>
      <w:r w:rsidR="004E5861">
        <w:t>-</w:t>
      </w:r>
      <w:r w:rsidR="00C05D56" w:rsidRPr="00065200">
        <w:t xml:space="preserve">specific </w:t>
      </w:r>
      <w:r w:rsidR="002E462D" w:rsidRPr="00065200">
        <w:t xml:space="preserve">evaluation </w:t>
      </w:r>
      <w:r w:rsidRPr="00065200">
        <w:t xml:space="preserve">bodies, ensure accountability and </w:t>
      </w:r>
      <w:r w:rsidR="00EF7AD4" w:rsidRPr="00065200">
        <w:t xml:space="preserve">be </w:t>
      </w:r>
      <w:r w:rsidRPr="00065200">
        <w:t xml:space="preserve">reported publicly. </w:t>
      </w:r>
      <w:r w:rsidR="00FD2203" w:rsidRPr="00065200">
        <w:t>Evaluations would also need to be sensitive to any planned reviews of existing investments to ensure they are coordinated, necessary and mindful of potentially excessive reporting and data collection burden.</w:t>
      </w:r>
      <w:r w:rsidR="00A7289B">
        <w:t xml:space="preserve"> </w:t>
      </w:r>
      <w:r w:rsidR="00C05D56" w:rsidRPr="00065200">
        <w:t>The</w:t>
      </w:r>
      <w:r w:rsidR="00DF6072" w:rsidRPr="00065200">
        <w:t xml:space="preserve"> coordination and appropriate scaling of existing evaluation bodies</w:t>
      </w:r>
      <w:r w:rsidR="00737F4A" w:rsidRPr="00065200">
        <w:t xml:space="preserve"> c</w:t>
      </w:r>
      <w:r w:rsidR="00C05D56" w:rsidRPr="00065200">
        <w:t>ould support effective</w:t>
      </w:r>
      <w:r w:rsidR="00DF6072" w:rsidRPr="00065200">
        <w:t xml:space="preserve"> evaluations </w:t>
      </w:r>
      <w:r w:rsidR="00737F4A" w:rsidRPr="00065200">
        <w:t>and these evaluations</w:t>
      </w:r>
      <w:r w:rsidR="00C05D56" w:rsidRPr="00065200">
        <w:t xml:space="preserve"> could</w:t>
      </w:r>
      <w:r w:rsidR="002E462D" w:rsidRPr="00065200">
        <w:t xml:space="preserve"> </w:t>
      </w:r>
      <w:r w:rsidR="00737F4A" w:rsidRPr="00065200">
        <w:t xml:space="preserve">be used to </w:t>
      </w:r>
      <w:r w:rsidR="002E462D" w:rsidRPr="00065200">
        <w:t>inform</w:t>
      </w:r>
      <w:r w:rsidR="00DF6072" w:rsidRPr="00065200">
        <w:t xml:space="preserve"> the Government entity responsible for investment decisions. </w:t>
      </w:r>
    </w:p>
    <w:p w14:paraId="3F6F361C" w14:textId="681B4D18" w:rsidR="002E462D" w:rsidRPr="00065200" w:rsidRDefault="002E462D" w:rsidP="00621990">
      <w:r w:rsidRPr="00065200">
        <w:t>ISR investments should be</w:t>
      </w:r>
      <w:r w:rsidR="00D726DB">
        <w:t xml:space="preserve"> planned over 10-year time horizons,</w:t>
      </w:r>
      <w:r w:rsidRPr="00065200">
        <w:t xml:space="preserve"> reviewed </w:t>
      </w:r>
      <w:r w:rsidR="00662A21">
        <w:t>on a</w:t>
      </w:r>
      <w:r w:rsidR="0064130E">
        <w:t xml:space="preserve"> three</w:t>
      </w:r>
      <w:r w:rsidR="0064130E">
        <w:noBreakHyphen/>
      </w:r>
      <w:r w:rsidRPr="00065200">
        <w:t>year</w:t>
      </w:r>
      <w:r w:rsidR="00F035B3">
        <w:t xml:space="preserve"> rolling basis,</w:t>
      </w:r>
      <w:r w:rsidR="00D726DB">
        <w:t xml:space="preserve"> and</w:t>
      </w:r>
      <w:r w:rsidR="002D4673">
        <w:t xml:space="preserve"> provide investment certainty</w:t>
      </w:r>
      <w:r w:rsidRPr="00065200">
        <w:t xml:space="preserve"> unless rigorous </w:t>
      </w:r>
      <w:r w:rsidR="006F2468" w:rsidRPr="00065200">
        <w:t>evaluation</w:t>
      </w:r>
      <w:r w:rsidRPr="00065200">
        <w:t xml:space="preserve"> proves they are ineffective</w:t>
      </w:r>
      <w:r w:rsidR="00691379">
        <w:t>,</w:t>
      </w:r>
      <w:r w:rsidRPr="00065200">
        <w:t xml:space="preserve"> or they are pilot investments. This three yearly review can also be used to assess the effectiveness of the</w:t>
      </w:r>
      <w:r w:rsidR="00737F4A" w:rsidRPr="00065200">
        <w:t xml:space="preserve"> </w:t>
      </w:r>
      <w:r w:rsidR="002D4673">
        <w:t>ISR investment balance</w:t>
      </w:r>
      <w:r w:rsidR="00737F4A" w:rsidRPr="00065200">
        <w:t xml:space="preserve"> within the portfolio</w:t>
      </w:r>
      <w:r w:rsidRPr="00065200">
        <w:t>.</w:t>
      </w:r>
      <w:r w:rsidR="00705EC4">
        <w:t xml:space="preserve"> </w:t>
      </w:r>
      <w:r w:rsidR="00A31A11">
        <w:t>A l</w:t>
      </w:r>
      <w:r w:rsidR="00691379">
        <w:t xml:space="preserve">arger scale </w:t>
      </w:r>
      <w:r w:rsidR="00043822">
        <w:t>Government</w:t>
      </w:r>
      <w:r w:rsidR="00691379">
        <w:t xml:space="preserve"> </w:t>
      </w:r>
      <w:r w:rsidR="00A31A11">
        <w:t>investment review</w:t>
      </w:r>
      <w:r w:rsidR="00691379">
        <w:t xml:space="preserve"> </w:t>
      </w:r>
      <w:r w:rsidR="00662A21">
        <w:t>could</w:t>
      </w:r>
      <w:r w:rsidR="00691379">
        <w:t xml:space="preserve"> be</w:t>
      </w:r>
      <w:r w:rsidR="00056A2C">
        <w:t xml:space="preserve"> undertaken as part of the 10</w:t>
      </w:r>
      <w:r w:rsidR="00691379">
        <w:t>-year investment plan cycle</w:t>
      </w:r>
      <w:r w:rsidR="00043822">
        <w:t>, with a view to re-positioning</w:t>
      </w:r>
      <w:r w:rsidR="0017225C">
        <w:t xml:space="preserve"> </w:t>
      </w:r>
      <w:r w:rsidR="004B6899">
        <w:t>and re-balancing</w:t>
      </w:r>
      <w:r w:rsidR="00043822">
        <w:t xml:space="preserve"> ISR investments at the system</w:t>
      </w:r>
      <w:r w:rsidR="00043822">
        <w:noBreakHyphen/>
        <w:t xml:space="preserve">level in response to </w:t>
      </w:r>
      <w:r w:rsidR="00A31A11">
        <w:t xml:space="preserve">priority and </w:t>
      </w:r>
      <w:r w:rsidR="00043822">
        <w:t>environmental changes</w:t>
      </w:r>
      <w:r w:rsidR="00691379">
        <w:t>.</w:t>
      </w:r>
    </w:p>
    <w:p w14:paraId="287BB793" w14:textId="7315A0AA" w:rsidR="002472A2" w:rsidRPr="00065200" w:rsidRDefault="002A282D" w:rsidP="00072FCD">
      <w:pPr>
        <w:pStyle w:val="Heading3"/>
      </w:pPr>
      <w:r>
        <w:t>S</w:t>
      </w:r>
      <w:r w:rsidR="002472A2" w:rsidRPr="00065200">
        <w:t>trategically balanc</w:t>
      </w:r>
      <w:r>
        <w:t>ing the ISR</w:t>
      </w:r>
      <w:r w:rsidR="002472A2" w:rsidRPr="00065200">
        <w:t xml:space="preserve"> investment plan</w:t>
      </w:r>
    </w:p>
    <w:p w14:paraId="4A771E70" w14:textId="01F5E0BE" w:rsidR="002472A2" w:rsidRPr="00065200" w:rsidRDefault="00BE05F8" w:rsidP="00203B9F">
      <w:r w:rsidRPr="00065200">
        <w:t>Balancing the</w:t>
      </w:r>
      <w:r w:rsidR="00073A6F" w:rsidRPr="00065200">
        <w:t xml:space="preserve"> </w:t>
      </w:r>
      <w:r w:rsidR="002472A2" w:rsidRPr="00065200">
        <w:t xml:space="preserve">ISR </w:t>
      </w:r>
      <w:r w:rsidR="00837074" w:rsidRPr="00065200">
        <w:t xml:space="preserve">investment </w:t>
      </w:r>
      <w:r w:rsidR="00073A6F" w:rsidRPr="00065200">
        <w:t xml:space="preserve">portfolio needs to </w:t>
      </w:r>
      <w:r w:rsidRPr="00065200">
        <w:t xml:space="preserve">ensure </w:t>
      </w:r>
      <w:r w:rsidR="002472A2" w:rsidRPr="00065200">
        <w:t>Government’s short</w:t>
      </w:r>
      <w:r w:rsidRPr="00065200">
        <w:t>, medium and long</w:t>
      </w:r>
      <w:r w:rsidR="00837074" w:rsidRPr="00065200">
        <w:noBreakHyphen/>
      </w:r>
      <w:r w:rsidR="002472A2" w:rsidRPr="00065200">
        <w:t>term needs</w:t>
      </w:r>
      <w:r w:rsidR="00073A6F" w:rsidRPr="00065200">
        <w:t xml:space="preserve"> </w:t>
      </w:r>
      <w:r w:rsidRPr="00065200">
        <w:t>are met</w:t>
      </w:r>
      <w:r w:rsidR="002472A2" w:rsidRPr="00065200">
        <w:t>. It is important to acknowledge that there is no ‘correct’ balance of investment</w:t>
      </w:r>
      <w:r w:rsidR="00A1412E">
        <w:t xml:space="preserve">s that will persist in the long </w:t>
      </w:r>
      <w:bookmarkStart w:id="528" w:name="_GoBack"/>
      <w:bookmarkEnd w:id="528"/>
      <w:r w:rsidR="002472A2" w:rsidRPr="00065200">
        <w:t xml:space="preserve">term. Instead, the most effective balance of investments at any given time will be </w:t>
      </w:r>
      <w:r w:rsidRPr="00065200">
        <w:t xml:space="preserve">the </w:t>
      </w:r>
      <w:r w:rsidR="002472A2" w:rsidRPr="00065200">
        <w:t>one that responds to changing priorities, environmental conditions, and investment portfolio performance outcomes. The balance of investments should be determined by:</w:t>
      </w:r>
    </w:p>
    <w:p w14:paraId="2416865B" w14:textId="5E5F4504" w:rsidR="00203B9F" w:rsidRPr="00065200" w:rsidRDefault="00203B9F" w:rsidP="00203B9F">
      <w:pPr>
        <w:pStyle w:val="ListParagraph"/>
        <w:numPr>
          <w:ilvl w:val="0"/>
          <w:numId w:val="12"/>
        </w:numPr>
        <w:ind w:left="567" w:hanging="425"/>
      </w:pPr>
      <w:r w:rsidRPr="00065200">
        <w:rPr>
          <w:b/>
        </w:rPr>
        <w:t>Baselining all current investments</w:t>
      </w:r>
      <w:r w:rsidRPr="00065200">
        <w:t xml:space="preserve"> to determine the current balance </w:t>
      </w:r>
      <w:r w:rsidR="00A31A11">
        <w:t>of</w:t>
      </w:r>
      <w:r w:rsidRPr="00065200">
        <w:t xml:space="preserve"> </w:t>
      </w:r>
      <w:r w:rsidR="00A31A11">
        <w:t xml:space="preserve">investment </w:t>
      </w:r>
      <w:r w:rsidRPr="00065200">
        <w:t>phases and pipeline, scale, risk, investment mechanisms and resourcing</w:t>
      </w:r>
      <w:r w:rsidR="00A31A11">
        <w:t xml:space="preserve"> across the portfolio</w:t>
      </w:r>
      <w:r w:rsidRPr="00065200">
        <w:t>.</w:t>
      </w:r>
    </w:p>
    <w:p w14:paraId="56D79A5C" w14:textId="21DE7371" w:rsidR="002472A2" w:rsidRPr="00065200" w:rsidRDefault="002472A2" w:rsidP="008215DA">
      <w:pPr>
        <w:pStyle w:val="ListParagraph"/>
        <w:numPr>
          <w:ilvl w:val="0"/>
          <w:numId w:val="12"/>
        </w:numPr>
        <w:ind w:left="567" w:hanging="425"/>
      </w:pPr>
      <w:r w:rsidRPr="00065200">
        <w:rPr>
          <w:b/>
        </w:rPr>
        <w:t xml:space="preserve">Developing a suite of investment </w:t>
      </w:r>
      <w:r w:rsidR="00BE05F8" w:rsidRPr="00065200">
        <w:rPr>
          <w:b/>
        </w:rPr>
        <w:t>outcomes</w:t>
      </w:r>
      <w:r w:rsidRPr="00065200">
        <w:rPr>
          <w:b/>
        </w:rPr>
        <w:t xml:space="preserve"> </w:t>
      </w:r>
      <w:r w:rsidR="00203B9F" w:rsidRPr="00065200">
        <w:rPr>
          <w:b/>
        </w:rPr>
        <w:t xml:space="preserve">that can be used </w:t>
      </w:r>
      <w:r w:rsidRPr="00065200">
        <w:rPr>
          <w:b/>
        </w:rPr>
        <w:t xml:space="preserve">to </w:t>
      </w:r>
      <w:r w:rsidR="00BE05F8" w:rsidRPr="00065200">
        <w:rPr>
          <w:b/>
        </w:rPr>
        <w:t xml:space="preserve">assess the most appropriate </w:t>
      </w:r>
      <w:r w:rsidR="001777D4">
        <w:rPr>
          <w:b/>
        </w:rPr>
        <w:t xml:space="preserve">ISR </w:t>
      </w:r>
      <w:r w:rsidR="004B6899" w:rsidRPr="00065200">
        <w:rPr>
          <w:b/>
        </w:rPr>
        <w:t xml:space="preserve">investment portfolio </w:t>
      </w:r>
      <w:r w:rsidRPr="00065200">
        <w:rPr>
          <w:b/>
        </w:rPr>
        <w:t>balance with</w:t>
      </w:r>
      <w:r w:rsidR="00BE05F8" w:rsidRPr="00065200">
        <w:rPr>
          <w:b/>
        </w:rPr>
        <w:t>in</w:t>
      </w:r>
      <w:r w:rsidRPr="00065200">
        <w:rPr>
          <w:b/>
        </w:rPr>
        <w:t xml:space="preserve"> </w:t>
      </w:r>
      <w:r w:rsidR="00203B9F" w:rsidRPr="00065200">
        <w:rPr>
          <w:b/>
        </w:rPr>
        <w:t>the current environment</w:t>
      </w:r>
      <w:r w:rsidR="00BE05F8" w:rsidRPr="00065200">
        <w:t>. These outcomes</w:t>
      </w:r>
      <w:r w:rsidRPr="00065200">
        <w:t xml:space="preserve"> could take a number of forms including:</w:t>
      </w:r>
    </w:p>
    <w:p w14:paraId="284995F0" w14:textId="7DF589E1" w:rsidR="002472A2" w:rsidRPr="00065200" w:rsidRDefault="002472A2" w:rsidP="00767EFE">
      <w:pPr>
        <w:pStyle w:val="ListParagraph"/>
        <w:numPr>
          <w:ilvl w:val="1"/>
          <w:numId w:val="12"/>
        </w:numPr>
        <w:ind w:left="993" w:hanging="426"/>
      </w:pPr>
      <w:r w:rsidRPr="00065200">
        <w:t xml:space="preserve">The </w:t>
      </w:r>
      <w:r w:rsidR="00EF7AD4" w:rsidRPr="00065200">
        <w:t xml:space="preserve">overall </w:t>
      </w:r>
      <w:r w:rsidRPr="00065200">
        <w:t xml:space="preserve">scale of </w:t>
      </w:r>
      <w:r w:rsidR="00EF7AD4" w:rsidRPr="00065200">
        <w:t>the</w:t>
      </w:r>
      <w:r w:rsidRPr="00065200">
        <w:t xml:space="preserve"> Government</w:t>
      </w:r>
      <w:r w:rsidR="00EF7AD4" w:rsidRPr="00065200">
        <w:t>’s</w:t>
      </w:r>
      <w:r w:rsidRPr="00065200">
        <w:t xml:space="preserve"> ISR investment create</w:t>
      </w:r>
      <w:r w:rsidR="000A338E">
        <w:t>s</w:t>
      </w:r>
      <w:r w:rsidRPr="00065200">
        <w:t xml:space="preserve"> impact.</w:t>
      </w:r>
    </w:p>
    <w:p w14:paraId="2A09DBD9" w14:textId="29D7E84E" w:rsidR="002472A2" w:rsidRPr="00065200" w:rsidRDefault="002472A2" w:rsidP="00767EFE">
      <w:pPr>
        <w:pStyle w:val="ListParagraph"/>
        <w:numPr>
          <w:ilvl w:val="1"/>
          <w:numId w:val="12"/>
        </w:numPr>
        <w:ind w:left="993" w:hanging="426"/>
      </w:pPr>
      <w:r w:rsidRPr="00065200">
        <w:t>Investment in basic research should not fall below current levels (22</w:t>
      </w:r>
      <w:r w:rsidR="00205144">
        <w:t> per cent</w:t>
      </w:r>
      <w:r w:rsidRPr="00065200">
        <w:t xml:space="preserve"> of overall R&amp;D investment) </w:t>
      </w:r>
      <w:r w:rsidR="00FC2795">
        <w:t>so that it can</w:t>
      </w:r>
      <w:r w:rsidRPr="00065200">
        <w:t xml:space="preserve"> underpin future commercial opportunities. </w:t>
      </w:r>
    </w:p>
    <w:p w14:paraId="5743EE7F" w14:textId="77777777" w:rsidR="00C17FD0" w:rsidRPr="00065200" w:rsidRDefault="00C17FD0" w:rsidP="00767EFE">
      <w:pPr>
        <w:pStyle w:val="ListParagraph"/>
        <w:numPr>
          <w:ilvl w:val="1"/>
          <w:numId w:val="12"/>
        </w:numPr>
        <w:ind w:left="993" w:hanging="426"/>
      </w:pPr>
      <w:r w:rsidRPr="00065200">
        <w:t>Improve research-industry collaborations and commercialisation</w:t>
      </w:r>
      <w:r w:rsidR="006A69F5" w:rsidRPr="00065200">
        <w:t xml:space="preserve"> </w:t>
      </w:r>
      <w:r w:rsidR="00602D28" w:rsidRPr="00065200">
        <w:t xml:space="preserve">by </w:t>
      </w:r>
      <w:r w:rsidR="005A1CD5" w:rsidRPr="00065200">
        <w:t xml:space="preserve">providing a </w:t>
      </w:r>
      <w:r w:rsidR="006A69F5" w:rsidRPr="00065200">
        <w:t>suite of effective and coordinated programs</w:t>
      </w:r>
      <w:r w:rsidR="005A1CD5" w:rsidRPr="00065200">
        <w:t xml:space="preserve"> </w:t>
      </w:r>
      <w:r w:rsidR="006A69F5" w:rsidRPr="00065200">
        <w:t xml:space="preserve">of appropriate scale and scope to achieve outcomes, such as </w:t>
      </w:r>
      <w:r w:rsidR="005A1CD5" w:rsidRPr="00065200">
        <w:t>increasing the use of</w:t>
      </w:r>
      <w:r w:rsidR="006A69F5" w:rsidRPr="00065200">
        <w:t xml:space="preserve"> research </w:t>
      </w:r>
      <w:r w:rsidR="00C40694" w:rsidRPr="00065200">
        <w:t xml:space="preserve">commercialisation </w:t>
      </w:r>
      <w:r w:rsidR="006A69F5" w:rsidRPr="00065200">
        <w:t xml:space="preserve">brokers </w:t>
      </w:r>
      <w:r w:rsidR="005A1CD5" w:rsidRPr="00065200">
        <w:t>and embedding of researchers within industry.</w:t>
      </w:r>
    </w:p>
    <w:p w14:paraId="64214FBB" w14:textId="6E13735D" w:rsidR="002472A2" w:rsidRPr="00065200" w:rsidRDefault="002472A2" w:rsidP="00767EFE">
      <w:pPr>
        <w:pStyle w:val="ListParagraph"/>
        <w:numPr>
          <w:ilvl w:val="1"/>
          <w:numId w:val="12"/>
        </w:numPr>
        <w:ind w:left="993" w:hanging="426"/>
      </w:pPr>
      <w:r w:rsidRPr="00065200">
        <w:t xml:space="preserve">High-risk ISR investments should represent </w:t>
      </w:r>
      <w:r w:rsidR="00607EAA" w:rsidRPr="00065200">
        <w:t xml:space="preserve">five to </w:t>
      </w:r>
      <w:r w:rsidRPr="00065200">
        <w:t>10</w:t>
      </w:r>
      <w:r w:rsidR="00205144">
        <w:t> per cent</w:t>
      </w:r>
      <w:r w:rsidRPr="00065200">
        <w:t xml:space="preserve"> of government ISR investments, to ensure that high-risk high reward ISR is performed.</w:t>
      </w:r>
      <w:r w:rsidRPr="00065200">
        <w:rPr>
          <w:rStyle w:val="FootnoteReference"/>
        </w:rPr>
        <w:footnoteReference w:id="224"/>
      </w:r>
    </w:p>
    <w:p w14:paraId="6CFCB1B7" w14:textId="77777777" w:rsidR="002472A2" w:rsidRPr="00065200" w:rsidRDefault="002472A2" w:rsidP="00767EFE">
      <w:pPr>
        <w:pStyle w:val="ListParagraph"/>
        <w:numPr>
          <w:ilvl w:val="1"/>
          <w:numId w:val="12"/>
        </w:numPr>
        <w:ind w:left="993" w:hanging="426"/>
      </w:pPr>
      <w:r w:rsidRPr="00065200">
        <w:t xml:space="preserve">A progressive shift toward direct investment mechanisms to achieve targeted outcomes </w:t>
      </w:r>
      <w:r w:rsidR="00BE05F8" w:rsidRPr="00065200">
        <w:t>for business- and higher education-performed ISR</w:t>
      </w:r>
      <w:r w:rsidRPr="00065200">
        <w:t>.</w:t>
      </w:r>
    </w:p>
    <w:p w14:paraId="353AB231" w14:textId="28929062" w:rsidR="002472A2" w:rsidRPr="00065200" w:rsidRDefault="000A338E" w:rsidP="00767EFE">
      <w:pPr>
        <w:pStyle w:val="ListParagraph"/>
        <w:numPr>
          <w:ilvl w:val="1"/>
          <w:numId w:val="12"/>
        </w:numPr>
        <w:ind w:left="993" w:hanging="426"/>
      </w:pPr>
      <w:r>
        <w:t>R</w:t>
      </w:r>
      <w:r w:rsidR="002472A2" w:rsidRPr="00065200">
        <w:t>educ</w:t>
      </w:r>
      <w:r>
        <w:t>e</w:t>
      </w:r>
      <w:r w:rsidR="002472A2" w:rsidRPr="00065200">
        <w:t xml:space="preserve"> sub-scale investments and investment fragmentation by requiring justification to be provided in small investment</w:t>
      </w:r>
      <w:r w:rsidR="004C3465" w:rsidRPr="00065200">
        <w:t xml:space="preserve"> </w:t>
      </w:r>
      <w:r w:rsidR="00767EFE" w:rsidRPr="00065200">
        <w:t xml:space="preserve">proposals </w:t>
      </w:r>
      <w:r w:rsidR="004C3465" w:rsidRPr="00065200">
        <w:t xml:space="preserve">and ensuring pilot initiatives can be </w:t>
      </w:r>
      <w:r w:rsidR="00B47087" w:rsidRPr="00065200">
        <w:t xml:space="preserve">extended or </w:t>
      </w:r>
      <w:r w:rsidR="004C3465" w:rsidRPr="00065200">
        <w:t xml:space="preserve">incorporated into larger </w:t>
      </w:r>
      <w:r w:rsidR="009702F5" w:rsidRPr="00065200">
        <w:t>initiatives</w:t>
      </w:r>
      <w:r w:rsidR="004C3465" w:rsidRPr="00065200">
        <w:t>, should they be successful</w:t>
      </w:r>
      <w:r w:rsidR="002472A2" w:rsidRPr="00065200">
        <w:t>.</w:t>
      </w:r>
      <w:r w:rsidR="000304D4">
        <w:t xml:space="preserve"> </w:t>
      </w:r>
    </w:p>
    <w:p w14:paraId="27D2CD41" w14:textId="04C4502F" w:rsidR="002472A2" w:rsidRPr="00065200" w:rsidRDefault="000A338E" w:rsidP="00767EFE">
      <w:pPr>
        <w:pStyle w:val="ListParagraph"/>
        <w:numPr>
          <w:ilvl w:val="1"/>
          <w:numId w:val="12"/>
        </w:numPr>
        <w:ind w:left="993" w:hanging="426"/>
      </w:pPr>
      <w:r>
        <w:t>Encourage</w:t>
      </w:r>
      <w:r w:rsidR="00D67A2B">
        <w:t xml:space="preserve"> </w:t>
      </w:r>
      <w:r>
        <w:t xml:space="preserve">a greater proportion of </w:t>
      </w:r>
      <w:r w:rsidR="00D67A2B">
        <w:t>c</w:t>
      </w:r>
      <w:r w:rsidR="002472A2" w:rsidRPr="00065200">
        <w:t>ross</w:t>
      </w:r>
      <w:r w:rsidR="002472A2" w:rsidRPr="00065200">
        <w:noBreakHyphen/>
        <w:t>sectoral or joint multi-agency performed programs</w:t>
      </w:r>
      <w:r w:rsidR="00D67A2B">
        <w:t xml:space="preserve"> with strong governance processes</w:t>
      </w:r>
      <w:r w:rsidR="002472A2" w:rsidRPr="00065200">
        <w:t xml:space="preserve"> to improve </w:t>
      </w:r>
      <w:r w:rsidR="004C3465" w:rsidRPr="00065200">
        <w:t>coordination</w:t>
      </w:r>
      <w:r w:rsidR="002472A2" w:rsidRPr="00065200">
        <w:t>.</w:t>
      </w:r>
    </w:p>
    <w:p w14:paraId="5D190D14" w14:textId="32989D0A" w:rsidR="002472A2" w:rsidRPr="00065200" w:rsidRDefault="004C3465" w:rsidP="008215DA">
      <w:pPr>
        <w:pStyle w:val="ListParagraph"/>
        <w:numPr>
          <w:ilvl w:val="0"/>
          <w:numId w:val="12"/>
        </w:numPr>
        <w:ind w:left="567" w:hanging="425"/>
      </w:pPr>
      <w:r w:rsidRPr="00065200">
        <w:rPr>
          <w:b/>
        </w:rPr>
        <w:t>Rebalancing investments to meet investment outcomes</w:t>
      </w:r>
      <w:r w:rsidR="00CE26AE">
        <w:rPr>
          <w:b/>
        </w:rPr>
        <w:t>.</w:t>
      </w:r>
      <w:r w:rsidRPr="00CE26AE">
        <w:t xml:space="preserve"> </w:t>
      </w:r>
      <w:r w:rsidR="00CE26AE">
        <w:t>F</w:t>
      </w:r>
      <w:r w:rsidR="002472A2" w:rsidRPr="00065200">
        <w:t xml:space="preserve">or </w:t>
      </w:r>
      <w:r w:rsidR="000A338E">
        <w:t>new</w:t>
      </w:r>
      <w:r w:rsidR="000A338E" w:rsidRPr="00065200">
        <w:t xml:space="preserve"> </w:t>
      </w:r>
      <w:r w:rsidRPr="00065200">
        <w:t>investment</w:t>
      </w:r>
      <w:r w:rsidR="002472A2" w:rsidRPr="00065200">
        <w:t xml:space="preserve"> decisions, and where practical, </w:t>
      </w:r>
      <w:r w:rsidR="00CE26AE">
        <w:t>by</w:t>
      </w:r>
      <w:r w:rsidR="00AB18A9" w:rsidRPr="00065200">
        <w:t xml:space="preserve"> adjust</w:t>
      </w:r>
      <w:r w:rsidR="00CE26AE">
        <w:t>ing</w:t>
      </w:r>
      <w:r w:rsidR="00AB18A9" w:rsidRPr="00065200">
        <w:t xml:space="preserve"> existing </w:t>
      </w:r>
      <w:r w:rsidR="00370CD1" w:rsidRPr="00065200">
        <w:t>and planned</w:t>
      </w:r>
      <w:r w:rsidR="00AB18A9" w:rsidRPr="00065200">
        <w:t xml:space="preserve"> investments</w:t>
      </w:r>
      <w:r w:rsidR="00CE26AE">
        <w:t>,</w:t>
      </w:r>
      <w:r w:rsidR="00AB18A9" w:rsidRPr="00065200">
        <w:t xml:space="preserve"> </w:t>
      </w:r>
      <w:r w:rsidR="002472A2" w:rsidRPr="00065200">
        <w:t xml:space="preserve">gradually shift the balance </w:t>
      </w:r>
      <w:r w:rsidR="00CE26AE">
        <w:t xml:space="preserve">of ISR investments </w:t>
      </w:r>
      <w:r w:rsidR="002472A2" w:rsidRPr="00065200">
        <w:t>over time</w:t>
      </w:r>
      <w:r w:rsidR="00CE26AE">
        <w:t xml:space="preserve"> to better meet investment outcomes</w:t>
      </w:r>
      <w:r w:rsidR="002472A2" w:rsidRPr="00065200">
        <w:t>.</w:t>
      </w:r>
      <w:r w:rsidR="00212AA5">
        <w:t xml:space="preserve"> </w:t>
      </w:r>
      <w:r w:rsidR="001777D4">
        <w:t>T</w:t>
      </w:r>
      <w:r w:rsidR="00212AA5" w:rsidRPr="00212AA5">
        <w:t xml:space="preserve">here may legislative constraints about </w:t>
      </w:r>
      <w:r w:rsidR="00212AA5">
        <w:t>the t</w:t>
      </w:r>
      <w:r w:rsidR="00212AA5" w:rsidRPr="00212AA5">
        <w:t>ype of research</w:t>
      </w:r>
      <w:r w:rsidR="00212AA5">
        <w:t xml:space="preserve"> that can be funded,</w:t>
      </w:r>
      <w:r w:rsidR="00212AA5" w:rsidRPr="00212AA5">
        <w:t xml:space="preserve"> and how researchers can be funded</w:t>
      </w:r>
      <w:r w:rsidR="001777D4">
        <w:t xml:space="preserve"> which may impact upon this re-balancing process</w:t>
      </w:r>
      <w:r w:rsidR="00212AA5" w:rsidRPr="00212AA5">
        <w:t xml:space="preserve">. </w:t>
      </w:r>
      <w:r w:rsidR="001777D4">
        <w:t xml:space="preserve">These </w:t>
      </w:r>
      <w:r w:rsidR="00212AA5" w:rsidRPr="00212AA5">
        <w:t xml:space="preserve">constraints would need to be considered in the context of the rebalancing </w:t>
      </w:r>
      <w:r w:rsidR="00212AA5">
        <w:t>exercise.</w:t>
      </w:r>
      <w:r w:rsidR="00212AA5" w:rsidRPr="00065200">
        <w:t xml:space="preserve"> </w:t>
      </w:r>
    </w:p>
    <w:p w14:paraId="11E285D5" w14:textId="37DCBEB3" w:rsidR="00596918" w:rsidRPr="00065200" w:rsidRDefault="002472A2" w:rsidP="00B32BFD">
      <w:pPr>
        <w:pStyle w:val="ListParagraph"/>
        <w:numPr>
          <w:ilvl w:val="0"/>
          <w:numId w:val="12"/>
        </w:numPr>
        <w:ind w:left="567" w:hanging="425"/>
      </w:pPr>
      <w:r w:rsidRPr="00D85D01">
        <w:rPr>
          <w:b/>
        </w:rPr>
        <w:t xml:space="preserve">Iterating the balance of investments over time </w:t>
      </w:r>
      <w:r w:rsidRPr="00065200">
        <w:t xml:space="preserve">using </w:t>
      </w:r>
      <w:r w:rsidR="001777D4">
        <w:t xml:space="preserve">ISR investment information and </w:t>
      </w:r>
      <w:r w:rsidR="00203B9F" w:rsidRPr="00065200">
        <w:t>evaluations</w:t>
      </w:r>
      <w:r w:rsidRPr="00065200">
        <w:t xml:space="preserve"> to improve the responsiveness of the government-funded ISR investment portfolio to ineffective investment strategies, changing priorities and environmental conditions. Minor revisions of investment </w:t>
      </w:r>
      <w:r w:rsidR="001777D4">
        <w:t>outcomes or</w:t>
      </w:r>
      <w:r w:rsidRPr="00065200">
        <w:t xml:space="preserve"> goals (and derived shifts in investment decision making) could occur as often as performance indicators are released, and major reviews should occur in step with the investment plan review process (see </w:t>
      </w:r>
      <w:r w:rsidR="00605B35">
        <w:t>R</w:t>
      </w:r>
      <w:r w:rsidR="00271822" w:rsidRPr="00065200">
        <w:t xml:space="preserve">ecommended </w:t>
      </w:r>
      <w:r w:rsidR="00605B35">
        <w:t>A</w:t>
      </w:r>
      <w:r w:rsidR="00271822" w:rsidRPr="00065200">
        <w:t>ction</w:t>
      </w:r>
      <w:r w:rsidRPr="00065200">
        <w:t xml:space="preserve"> 2). However, care will need to be taken to ensure that any longer</w:t>
      </w:r>
      <w:r w:rsidR="0092538C">
        <w:noBreakHyphen/>
      </w:r>
      <w:r w:rsidRPr="00065200">
        <w:t xml:space="preserve">term, or lagging outcomes of re-balancing the investment portfolio are realised. For example if business-performed ISR falls as a proportion of the total government-funded ISR system in a single year, no action may </w:t>
      </w:r>
      <w:r w:rsidR="00203B9F" w:rsidRPr="00065200">
        <w:t>need to</w:t>
      </w:r>
      <w:r w:rsidRPr="00065200">
        <w:t xml:space="preserve"> be taken; however if falls are observed over a number of year</w:t>
      </w:r>
      <w:r w:rsidR="0094436B" w:rsidRPr="00065200">
        <w:t>s, measures supporting business</w:t>
      </w:r>
      <w:r w:rsidR="0094436B" w:rsidRPr="00065200">
        <w:noBreakHyphen/>
      </w:r>
      <w:r w:rsidRPr="00065200">
        <w:t>performed ISR could be increased in future investment allocation cycles.</w:t>
      </w:r>
      <w:bookmarkStart w:id="529" w:name="_Toc39674925"/>
      <w:bookmarkStart w:id="530" w:name="_Toc39675364"/>
      <w:bookmarkStart w:id="531" w:name="_Toc39675393"/>
      <w:bookmarkStart w:id="532" w:name="_Toc40282991"/>
      <w:bookmarkStart w:id="533" w:name="_Toc40372689"/>
      <w:bookmarkStart w:id="534" w:name="_Toc40451945"/>
      <w:bookmarkStart w:id="535" w:name="_Toc40453239"/>
      <w:bookmarkStart w:id="536" w:name="_Toc40799905"/>
      <w:bookmarkStart w:id="537" w:name="_Toc40801719"/>
      <w:bookmarkStart w:id="538" w:name="_Toc40877283"/>
      <w:bookmarkStart w:id="539" w:name="_Toc40885906"/>
      <w:bookmarkStart w:id="540" w:name="_Toc40886725"/>
      <w:bookmarkStart w:id="541" w:name="_Toc40897272"/>
      <w:bookmarkStart w:id="542" w:name="_Toc40899220"/>
      <w:bookmarkStart w:id="543" w:name="_Toc40905528"/>
      <w:bookmarkStart w:id="544" w:name="_Toc40906388"/>
      <w:bookmarkStart w:id="545" w:name="_Toc40950888"/>
      <w:bookmarkStart w:id="546" w:name="_Toc40956814"/>
      <w:bookmarkStart w:id="547" w:name="_Toc40957793"/>
      <w:bookmarkStart w:id="548" w:name="_Toc40960222"/>
      <w:bookmarkStart w:id="549" w:name="_Toc40960314"/>
      <w:bookmarkStart w:id="550" w:name="_Toc40964350"/>
      <w:bookmarkStart w:id="551" w:name="_Toc40964768"/>
      <w:bookmarkStart w:id="552" w:name="_Toc40964780"/>
      <w:bookmarkStart w:id="553" w:name="_Toc40964295"/>
      <w:bookmarkStart w:id="554" w:name="_Toc40966966"/>
      <w:bookmarkStart w:id="555" w:name="_Toc40968251"/>
      <w:bookmarkStart w:id="556" w:name="_Toc40969809"/>
      <w:bookmarkStart w:id="557" w:name="_Toc40970220"/>
      <w:bookmarkStart w:id="558" w:name="_Toc40970815"/>
      <w:bookmarkStart w:id="559" w:name="_Toc41383028"/>
      <w:bookmarkStart w:id="560" w:name="_Toc41403359"/>
      <w:bookmarkStart w:id="561" w:name="_Toc41405414"/>
      <w:bookmarkStart w:id="562" w:name="_Toc41405441"/>
      <w:bookmarkStart w:id="563" w:name="_Toc41483276"/>
      <w:bookmarkStart w:id="564" w:name="_Toc41483674"/>
      <w:bookmarkStart w:id="565" w:name="_Toc41485188"/>
      <w:bookmarkStart w:id="566" w:name="_Toc41487192"/>
      <w:bookmarkStart w:id="567" w:name="_Toc41488820"/>
      <w:bookmarkStart w:id="568" w:name="_Toc41489020"/>
      <w:bookmarkStart w:id="569" w:name="_Toc41489818"/>
      <w:bookmarkStart w:id="570" w:name="_Toc41492089"/>
      <w:bookmarkStart w:id="571" w:name="_Toc42777664"/>
      <w:bookmarkStart w:id="572" w:name="_Toc42784251"/>
      <w:bookmarkStart w:id="573" w:name="_Toc42785566"/>
      <w:bookmarkStart w:id="574" w:name="_Toc42788817"/>
      <w:bookmarkStart w:id="575" w:name="_Toc42852834"/>
      <w:bookmarkStart w:id="576" w:name="_Toc43204811"/>
      <w:bookmarkStart w:id="577" w:name="_Toc43205538"/>
      <w:bookmarkStart w:id="578" w:name="_Toc43205890"/>
      <w:bookmarkStart w:id="579" w:name="_Toc43215101"/>
      <w:bookmarkStart w:id="580" w:name="_Toc43219296"/>
      <w:bookmarkStart w:id="581" w:name="_Toc43220088"/>
      <w:bookmarkStart w:id="582" w:name="_Toc43385208"/>
      <w:bookmarkStart w:id="583" w:name="_Toc43386340"/>
      <w:bookmarkStart w:id="584" w:name="_Toc43386438"/>
      <w:bookmarkStart w:id="585" w:name="_Toc43391354"/>
      <w:bookmarkStart w:id="586" w:name="_Toc43393331"/>
      <w:bookmarkStart w:id="587" w:name="_Toc43394342"/>
      <w:bookmarkStart w:id="588" w:name="_Toc43458524"/>
      <w:bookmarkStart w:id="589" w:name="_Toc43460188"/>
      <w:bookmarkStart w:id="590" w:name="_Toc43466952"/>
      <w:bookmarkStart w:id="591" w:name="_Toc43478646"/>
      <w:bookmarkStart w:id="592" w:name="_Toc43479271"/>
      <w:bookmarkStart w:id="593" w:name="_Toc43481510"/>
      <w:bookmarkStart w:id="594" w:name="_Toc43729720"/>
      <w:bookmarkStart w:id="595" w:name="_Toc43730266"/>
      <w:bookmarkStart w:id="596" w:name="_Toc43731182"/>
      <w:bookmarkStart w:id="597" w:name="_Toc43733230"/>
      <w:bookmarkStart w:id="598" w:name="_Toc43733676"/>
      <w:bookmarkStart w:id="599" w:name="_Toc43719161"/>
      <w:bookmarkEnd w:id="454"/>
      <w:r w:rsidR="00596918" w:rsidRPr="00065200">
        <w:br w:type="page"/>
      </w:r>
    </w:p>
    <w:p w14:paraId="17D37EE0" w14:textId="7C422DC3" w:rsidR="00A76B87" w:rsidRPr="00065200" w:rsidRDefault="00A76B87" w:rsidP="00A60DD2">
      <w:pPr>
        <w:pStyle w:val="Heading2"/>
        <w:rPr>
          <w:lang w:val="en-AU"/>
        </w:rPr>
      </w:pPr>
      <w:bookmarkStart w:id="600" w:name="_Toc43735618"/>
      <w:bookmarkStart w:id="601" w:name="_Toc43735810"/>
      <w:bookmarkStart w:id="602" w:name="_Toc43737178"/>
      <w:bookmarkStart w:id="603" w:name="_Toc43737679"/>
      <w:bookmarkStart w:id="604" w:name="_Toc44069069"/>
      <w:bookmarkStart w:id="605" w:name="_Toc44317943"/>
      <w:bookmarkStart w:id="606" w:name="_Toc44318017"/>
      <w:bookmarkStart w:id="607" w:name="_Toc44328514"/>
      <w:bookmarkStart w:id="608" w:name="_Toc44329580"/>
      <w:bookmarkStart w:id="609" w:name="_Toc44331612"/>
      <w:bookmarkStart w:id="610" w:name="_Toc44331763"/>
      <w:bookmarkStart w:id="611" w:name="_Toc44331895"/>
      <w:bookmarkStart w:id="612" w:name="_Toc44334877"/>
      <w:bookmarkStart w:id="613" w:name="_Toc44335309"/>
      <w:bookmarkStart w:id="614" w:name="_Toc44422233"/>
      <w:bookmarkStart w:id="615" w:name="_Toc44424103"/>
      <w:bookmarkStart w:id="616" w:name="_Toc44424328"/>
      <w:bookmarkStart w:id="617" w:name="_Toc55910413"/>
      <w:bookmarkStart w:id="618" w:name="_Toc55991216"/>
      <w:bookmarkStart w:id="619" w:name="_Toc55995737"/>
      <w:bookmarkStart w:id="620" w:name="_Toc55997214"/>
      <w:bookmarkStart w:id="621" w:name="_Toc56069456"/>
      <w:bookmarkStart w:id="622" w:name="_Toc57105522"/>
      <w:bookmarkStart w:id="623" w:name="_Toc57134708"/>
      <w:bookmarkStart w:id="624" w:name="_Toc57141296"/>
      <w:bookmarkStart w:id="625" w:name="_Toc57640809"/>
      <w:r w:rsidRPr="00065200">
        <w:rPr>
          <w:lang w:val="en-AU"/>
        </w:rPr>
        <w:t>Conclusion</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bookmarkEnd w:id="599"/>
    <w:p w14:paraId="27B714BE" w14:textId="08CA634D" w:rsidR="00DC599E" w:rsidRPr="00065200" w:rsidRDefault="00DC599E" w:rsidP="00DC599E">
      <w:r w:rsidRPr="00065200">
        <w:t xml:space="preserve">The central importance of innovation, science and research to </w:t>
      </w:r>
      <w:r w:rsidR="00F70955" w:rsidRPr="00065200">
        <w:t xml:space="preserve">Australia’s </w:t>
      </w:r>
      <w:r w:rsidR="00AE07D3" w:rsidRPr="00065200">
        <w:t>ability</w:t>
      </w:r>
      <w:r w:rsidRPr="00065200">
        <w:t xml:space="preserve"> </w:t>
      </w:r>
      <w:r w:rsidR="00F70955" w:rsidRPr="00065200">
        <w:t>to respond</w:t>
      </w:r>
      <w:r w:rsidRPr="00065200">
        <w:t xml:space="preserve"> to crises has been demonstrated </w:t>
      </w:r>
      <w:r w:rsidR="009433C1">
        <w:t>throughout 2020</w:t>
      </w:r>
      <w:r w:rsidRPr="00065200">
        <w:t>.</w:t>
      </w:r>
      <w:r w:rsidR="00F70955" w:rsidRPr="00065200">
        <w:t xml:space="preserve"> </w:t>
      </w:r>
      <w:r w:rsidRPr="00065200">
        <w:t>Ensuring effective use of Government investment in ISR</w:t>
      </w:r>
      <w:r w:rsidR="00AE07D3" w:rsidRPr="00065200">
        <w:t>, particularly in times of economic uncertainty,</w:t>
      </w:r>
      <w:r w:rsidRPr="00065200">
        <w:t xml:space="preserve"> is key to ensuring Australia’s competitiveness, preparedness, resilience and recovery.</w:t>
      </w:r>
    </w:p>
    <w:p w14:paraId="35A38DCC" w14:textId="170461B1" w:rsidR="00F70955" w:rsidRPr="00065200" w:rsidRDefault="00DC599E" w:rsidP="00F70955">
      <w:r w:rsidRPr="00065200">
        <w:t>I</w:t>
      </w:r>
      <w:r w:rsidR="007A54B5">
        <w:t>I</w:t>
      </w:r>
      <w:r w:rsidRPr="00065200">
        <w:t xml:space="preserve">SA’s </w:t>
      </w:r>
      <w:r w:rsidR="00F03259" w:rsidRPr="00065200">
        <w:t>analysis has</w:t>
      </w:r>
      <w:r w:rsidRPr="00065200">
        <w:t xml:space="preserve"> found that the </w:t>
      </w:r>
      <w:r w:rsidR="00F70955" w:rsidRPr="00065200">
        <w:t xml:space="preserve">Government’s existing suite of ISR investments includes many highly impactful and well-designed components. However, there is </w:t>
      </w:r>
      <w:r w:rsidR="00665C41">
        <w:t xml:space="preserve">also </w:t>
      </w:r>
      <w:r w:rsidR="00F70955" w:rsidRPr="00065200">
        <w:t xml:space="preserve">evidence of a lack of policy alignment </w:t>
      </w:r>
      <w:r w:rsidR="00694D39" w:rsidRPr="00065200">
        <w:t xml:space="preserve">and coordination </w:t>
      </w:r>
      <w:r w:rsidR="00F70955" w:rsidRPr="00065200">
        <w:t xml:space="preserve">at the system level. This lack of alignment reduces the </w:t>
      </w:r>
      <w:r w:rsidR="00694D39" w:rsidRPr="00065200">
        <w:t xml:space="preserve">overall </w:t>
      </w:r>
      <w:r w:rsidR="00F70955" w:rsidRPr="00065200">
        <w:t>effectiveness of the Government’s investment.</w:t>
      </w:r>
    </w:p>
    <w:p w14:paraId="5E839D9B" w14:textId="63BDDCA0" w:rsidR="00F70955" w:rsidRPr="00065200" w:rsidRDefault="00F70955" w:rsidP="00F70955">
      <w:r w:rsidRPr="00065200">
        <w:t xml:space="preserve">Australia’s ISR governance processes are complex, with </w:t>
      </w:r>
      <w:r w:rsidR="004B2C1C" w:rsidRPr="00065200">
        <w:t>policies developed</w:t>
      </w:r>
      <w:r w:rsidRPr="00065200">
        <w:t xml:space="preserve"> in </w:t>
      </w:r>
      <w:r w:rsidR="004B2C1C" w:rsidRPr="00065200">
        <w:t>accordance with organisational</w:t>
      </w:r>
      <w:r w:rsidR="002815B3" w:rsidRPr="00065200">
        <w:t>, research community</w:t>
      </w:r>
      <w:r w:rsidR="004B2C1C" w:rsidRPr="00065200">
        <w:t xml:space="preserve"> </w:t>
      </w:r>
      <w:r w:rsidR="00694D39" w:rsidRPr="00065200">
        <w:t>and portfolio</w:t>
      </w:r>
      <w:r w:rsidR="004B2C1C" w:rsidRPr="00065200">
        <w:t xml:space="preserve"> needs, rather than system-level priorities. This has resulted in</w:t>
      </w:r>
      <w:r w:rsidRPr="00065200">
        <w:t xml:space="preserve"> fragmented</w:t>
      </w:r>
      <w:r w:rsidR="00665C41">
        <w:t>, sub-scale investments</w:t>
      </w:r>
      <w:r w:rsidRPr="00065200">
        <w:t xml:space="preserve"> focussed primarily on shorter</w:t>
      </w:r>
      <w:r w:rsidR="009B459B">
        <w:noBreakHyphen/>
      </w:r>
      <w:r w:rsidRPr="00065200">
        <w:t xml:space="preserve">term </w:t>
      </w:r>
      <w:r w:rsidR="009B459B">
        <w:t>and lower</w:t>
      </w:r>
      <w:r w:rsidR="009B459B">
        <w:noBreakHyphen/>
      </w:r>
      <w:r w:rsidR="004402DB" w:rsidRPr="00065200">
        <w:t xml:space="preserve">risk </w:t>
      </w:r>
      <w:r w:rsidRPr="00065200">
        <w:t xml:space="preserve">initiatives, </w:t>
      </w:r>
      <w:r w:rsidR="00665C41">
        <w:t>and</w:t>
      </w:r>
      <w:r w:rsidRPr="00065200">
        <w:t xml:space="preserve"> few long-term, or truly transformative programs.</w:t>
      </w:r>
    </w:p>
    <w:p w14:paraId="7A421C9F" w14:textId="12EFE720" w:rsidR="00F70955" w:rsidRPr="00065200" w:rsidRDefault="00F70955" w:rsidP="00F70955">
      <w:r w:rsidRPr="00065200">
        <w:t xml:space="preserve">An opportunity exists for the </w:t>
      </w:r>
      <w:r w:rsidR="00783EB6" w:rsidRPr="00065200">
        <w:t>Commonwealth</w:t>
      </w:r>
      <w:r w:rsidRPr="00065200">
        <w:t xml:space="preserve"> Government to commit to a long-term, balanced</w:t>
      </w:r>
      <w:r w:rsidR="0081032F" w:rsidRPr="00065200">
        <w:t>,</w:t>
      </w:r>
      <w:r w:rsidRPr="00065200">
        <w:t xml:space="preserve"> whole</w:t>
      </w:r>
      <w:r w:rsidRPr="00065200">
        <w:noBreakHyphen/>
        <w:t>of</w:t>
      </w:r>
      <w:r w:rsidRPr="00065200">
        <w:noBreakHyphen/>
        <w:t xml:space="preserve">government ISR </w:t>
      </w:r>
      <w:r w:rsidR="00665C41">
        <w:t xml:space="preserve">investment </w:t>
      </w:r>
      <w:r w:rsidRPr="00065200">
        <w:t>strategy to provide stability and certainty to the ISR sector, and stimulate high-impact growth outcomes in areas of strategic national priority.</w:t>
      </w:r>
    </w:p>
    <w:p w14:paraId="5550ED61" w14:textId="13408A55" w:rsidR="002A6686" w:rsidRPr="00065200" w:rsidRDefault="00F70955" w:rsidP="00247C26">
      <w:r w:rsidRPr="00065200">
        <w:t>I</w:t>
      </w:r>
      <w:r w:rsidR="00DD01C2">
        <w:t>I</w:t>
      </w:r>
      <w:r w:rsidRPr="00065200">
        <w:t xml:space="preserve">SA has </w:t>
      </w:r>
      <w:r w:rsidR="009433C1">
        <w:t>developed</w:t>
      </w:r>
      <w:r w:rsidRPr="00065200">
        <w:t xml:space="preserve"> three over-arching recommend</w:t>
      </w:r>
      <w:r w:rsidR="00B47087" w:rsidRPr="00065200">
        <w:t xml:space="preserve">ed actions </w:t>
      </w:r>
      <w:r w:rsidR="00694D39" w:rsidRPr="00065200">
        <w:t xml:space="preserve">for </w:t>
      </w:r>
      <w:r w:rsidR="00B47087" w:rsidRPr="00065200">
        <w:t>best</w:t>
      </w:r>
      <w:r w:rsidR="00745C42" w:rsidRPr="00065200">
        <w:t>-</w:t>
      </w:r>
      <w:r w:rsidR="00B47087" w:rsidRPr="00065200">
        <w:t xml:space="preserve">practice </w:t>
      </w:r>
      <w:r w:rsidRPr="00065200">
        <w:t xml:space="preserve">ISR investment. </w:t>
      </w:r>
      <w:r w:rsidR="004402DB" w:rsidRPr="00065200">
        <w:t xml:space="preserve">These are </w:t>
      </w:r>
      <w:r w:rsidR="0000508F" w:rsidRPr="00065200">
        <w:t>focussed</w:t>
      </w:r>
      <w:r w:rsidR="004402DB" w:rsidRPr="00065200">
        <w:t xml:space="preserve"> on setting ISR priorit</w:t>
      </w:r>
      <w:r w:rsidR="00DC599E" w:rsidRPr="00065200">
        <w:t>i</w:t>
      </w:r>
      <w:r w:rsidR="004402DB" w:rsidRPr="00065200">
        <w:t>es aligned with national objective</w:t>
      </w:r>
      <w:r w:rsidR="00DC599E" w:rsidRPr="00065200">
        <w:t>s</w:t>
      </w:r>
      <w:r w:rsidR="00665C41">
        <w:t>,</w:t>
      </w:r>
      <w:r w:rsidR="00B47087" w:rsidRPr="00065200">
        <w:t xml:space="preserve"> and </w:t>
      </w:r>
      <w:r w:rsidR="00DC599E" w:rsidRPr="00065200">
        <w:t xml:space="preserve">committing to a </w:t>
      </w:r>
      <w:r w:rsidR="004402DB" w:rsidRPr="00065200">
        <w:t>long</w:t>
      </w:r>
      <w:r w:rsidR="00665C41">
        <w:noBreakHyphen/>
      </w:r>
      <w:r w:rsidR="004402DB" w:rsidRPr="00065200">
        <w:t>term</w:t>
      </w:r>
      <w:r w:rsidR="005C47D6" w:rsidRPr="00065200">
        <w:t>,</w:t>
      </w:r>
      <w:r w:rsidR="002B2717" w:rsidRPr="00065200">
        <w:t xml:space="preserve"> strategically balanced</w:t>
      </w:r>
      <w:r w:rsidR="004402DB" w:rsidRPr="00065200">
        <w:t xml:space="preserve"> investment</w:t>
      </w:r>
      <w:r w:rsidR="00DC599E" w:rsidRPr="00065200">
        <w:t xml:space="preserve"> </w:t>
      </w:r>
      <w:r w:rsidR="005C47D6" w:rsidRPr="00065200">
        <w:t>plan</w:t>
      </w:r>
      <w:r w:rsidR="00DC599E" w:rsidRPr="00065200">
        <w:t xml:space="preserve"> with regular monitoring and evaluation</w:t>
      </w:r>
      <w:r w:rsidR="004402DB" w:rsidRPr="00065200">
        <w:t xml:space="preserve">. </w:t>
      </w:r>
      <w:r w:rsidR="00DC599E" w:rsidRPr="00065200">
        <w:t>There are many international examples of effective ISR prioritisation, planning, evaluation and balancing processes which could be implemented with appropriate modifications to suit the Australian system.</w:t>
      </w:r>
    </w:p>
    <w:sectPr w:rsidR="002A6686" w:rsidRPr="00065200" w:rsidSect="006211B8">
      <w:headerReference w:type="even" r:id="rId42"/>
      <w:headerReference w:type="default" r:id="rId43"/>
      <w:footerReference w:type="even" r:id="rId44"/>
      <w:footerReference w:type="default" r:id="rId45"/>
      <w:headerReference w:type="first" r:id="rId46"/>
      <w:pgSz w:w="11907" w:h="16839" w:code="9"/>
      <w:pgMar w:top="1418" w:right="1418" w:bottom="1418" w:left="1418" w:header="851"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AC7781" w14:textId="77777777" w:rsidR="00EF78E7" w:rsidRDefault="00EF78E7" w:rsidP="00564151">
      <w:r>
        <w:separator/>
      </w:r>
    </w:p>
    <w:p w14:paraId="667138FF" w14:textId="77777777" w:rsidR="00EF78E7" w:rsidRDefault="00EF78E7" w:rsidP="00564151"/>
    <w:p w14:paraId="20A48420" w14:textId="77777777" w:rsidR="00EF78E7" w:rsidRDefault="00EF78E7" w:rsidP="00564151"/>
    <w:p w14:paraId="626D9245" w14:textId="77777777" w:rsidR="00EF78E7" w:rsidRDefault="00EF78E7" w:rsidP="00564151"/>
  </w:endnote>
  <w:endnote w:type="continuationSeparator" w:id="0">
    <w:p w14:paraId="009030CF" w14:textId="77777777" w:rsidR="00EF78E7" w:rsidRDefault="00EF78E7" w:rsidP="00564151">
      <w:r>
        <w:continuationSeparator/>
      </w:r>
    </w:p>
    <w:p w14:paraId="36AD1F76" w14:textId="77777777" w:rsidR="00EF78E7" w:rsidRDefault="00EF78E7" w:rsidP="00564151"/>
    <w:p w14:paraId="2A9CB66E" w14:textId="77777777" w:rsidR="00EF78E7" w:rsidRDefault="00EF78E7" w:rsidP="00564151"/>
    <w:p w14:paraId="590F609E" w14:textId="77777777" w:rsidR="00EF78E7" w:rsidRDefault="00EF78E7" w:rsidP="00564151"/>
  </w:endnote>
  <w:endnote w:type="continuationNotice" w:id="1">
    <w:p w14:paraId="4BFDEDD2" w14:textId="77777777" w:rsidR="00EF78E7" w:rsidRDefault="00EF78E7">
      <w:pPr>
        <w:spacing w:after="0" w:line="240" w:lineRule="auto"/>
      </w:pPr>
    </w:p>
    <w:p w14:paraId="679972B2" w14:textId="77777777" w:rsidR="00EF78E7" w:rsidRDefault="00EF78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New Tai Lue">
    <w:panose1 w:val="020B0502040204020203"/>
    <w:charset w:val="00"/>
    <w:family w:val="swiss"/>
    <w:pitch w:val="variable"/>
    <w:sig w:usb0="00000003" w:usb1="00000000" w:usb2="8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icrosoft YaHei U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Gotham Narrow Book">
    <w:altName w:val="Gotham Narrow Book"/>
    <w:panose1 w:val="00000000000000000000"/>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Gotham Narrow Light">
    <w:altName w:val="Gotham Narrow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06F8B" w14:textId="2017F4EF" w:rsidR="00EF78E7" w:rsidRDefault="00EF78E7" w:rsidP="00316E50">
    <w:pPr>
      <w:pStyle w:val="Footer"/>
      <w:jc w:val="right"/>
    </w:pPr>
    <w:r w:rsidRPr="00BC2741">
      <w:rPr>
        <w:sz w:val="18"/>
        <w:szCs w:val="18"/>
      </w:rPr>
      <w:t>Driving effective Government investment in ISR</w:t>
    </w:r>
    <w:r>
      <w:rPr>
        <w:sz w:val="18"/>
        <w:szCs w:val="18"/>
      </w:rPr>
      <w:t xml:space="preserve"> </w:t>
    </w:r>
    <w:r w:rsidRPr="005C205C">
      <w:t>|</w:t>
    </w:r>
    <w:r>
      <w:rPr>
        <w:sz w:val="18"/>
        <w:szCs w:val="18"/>
      </w:rPr>
      <w:t xml:space="preserve"> </w:t>
    </w:r>
    <w:r w:rsidRPr="005C205C">
      <w:fldChar w:fldCharType="begin"/>
    </w:r>
    <w:r w:rsidRPr="005C205C">
      <w:instrText xml:space="preserve"> page </w:instrText>
    </w:r>
    <w:r w:rsidRPr="005C205C">
      <w:fldChar w:fldCharType="separate"/>
    </w:r>
    <w:r w:rsidR="00A1412E">
      <w:rPr>
        <w:noProof/>
      </w:rPr>
      <w:t>14</w:t>
    </w:r>
    <w:r w:rsidRPr="005C205C">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F7AFA" w14:textId="7B8F8740" w:rsidR="00EF78E7" w:rsidRPr="005C205C" w:rsidRDefault="00EF78E7" w:rsidP="00316E50">
    <w:pPr>
      <w:pStyle w:val="Footer"/>
    </w:pPr>
    <w:r w:rsidRPr="005C205C">
      <w:fldChar w:fldCharType="begin"/>
    </w:r>
    <w:r w:rsidRPr="005C205C">
      <w:instrText xml:space="preserve"> page </w:instrText>
    </w:r>
    <w:r w:rsidRPr="005C205C">
      <w:fldChar w:fldCharType="separate"/>
    </w:r>
    <w:r w:rsidR="00A1412E">
      <w:rPr>
        <w:noProof/>
      </w:rPr>
      <w:t>15</w:t>
    </w:r>
    <w:r w:rsidRPr="005C205C">
      <w:fldChar w:fldCharType="end"/>
    </w:r>
    <w:r>
      <w:t xml:space="preserve"> </w:t>
    </w:r>
    <w:r w:rsidRPr="005C205C">
      <w:t>|</w:t>
    </w:r>
    <w:r>
      <w:t xml:space="preserve"> </w:t>
    </w:r>
    <w:r w:rsidRPr="00BC2741">
      <w:rPr>
        <w:sz w:val="18"/>
        <w:szCs w:val="18"/>
      </w:rPr>
      <w:t>Driving effective Government investment in ISR</w:t>
    </w:r>
    <w:r w:rsidRPr="005C205C">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4C1F3" w14:textId="339FACEE" w:rsidR="00EF78E7" w:rsidRDefault="00EF78E7" w:rsidP="00EB02F0">
    <w:pPr>
      <w:pStyle w:val="Footer"/>
      <w:jc w:val="both"/>
    </w:pPr>
    <w:r w:rsidRPr="005C205C">
      <w:fldChar w:fldCharType="begin"/>
    </w:r>
    <w:r w:rsidRPr="005C205C">
      <w:instrText xml:space="preserve"> page </w:instrText>
    </w:r>
    <w:r w:rsidRPr="005C205C">
      <w:fldChar w:fldCharType="separate"/>
    </w:r>
    <w:r w:rsidR="00A1412E">
      <w:rPr>
        <w:noProof/>
      </w:rPr>
      <w:t>24</w:t>
    </w:r>
    <w:r w:rsidRPr="005C205C">
      <w:fldChar w:fldCharType="end"/>
    </w:r>
    <w:r>
      <w:t xml:space="preserve"> </w:t>
    </w:r>
    <w:r w:rsidRPr="005C205C">
      <w:t xml:space="preserve">| </w:t>
    </w:r>
    <w:r w:rsidRPr="00BC2741">
      <w:rPr>
        <w:sz w:val="18"/>
        <w:szCs w:val="18"/>
      </w:rPr>
      <w:t>Driving effective Government investment in ISR</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6B51C" w14:textId="28F49F0E" w:rsidR="00EF78E7" w:rsidRPr="000C3813" w:rsidRDefault="00EF78E7" w:rsidP="006211B8">
    <w:pPr>
      <w:pStyle w:val="Footer"/>
      <w:jc w:val="right"/>
    </w:pPr>
    <w:r w:rsidRPr="00BC2741">
      <w:rPr>
        <w:sz w:val="18"/>
        <w:szCs w:val="18"/>
      </w:rPr>
      <w:t>Driving effecti</w:t>
    </w:r>
    <w:r>
      <w:rPr>
        <w:sz w:val="18"/>
        <w:szCs w:val="18"/>
      </w:rPr>
      <w:t xml:space="preserve">ve Government investment in ISR </w:t>
    </w:r>
    <w:r w:rsidRPr="005C205C">
      <w:t>|</w:t>
    </w:r>
    <w:r>
      <w:t xml:space="preserve"> </w:t>
    </w:r>
    <w:r w:rsidRPr="005C205C">
      <w:fldChar w:fldCharType="begin"/>
    </w:r>
    <w:r w:rsidRPr="005C205C">
      <w:instrText xml:space="preserve"> page </w:instrText>
    </w:r>
    <w:r w:rsidRPr="005C205C">
      <w:fldChar w:fldCharType="separate"/>
    </w:r>
    <w:r w:rsidR="00A1412E">
      <w:rPr>
        <w:noProof/>
      </w:rPr>
      <w:t>23</w:t>
    </w:r>
    <w:r w:rsidRPr="005C205C">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CA5F8" w14:textId="2AFBD1E8" w:rsidR="00EF78E7" w:rsidRPr="000C3813" w:rsidRDefault="00EF78E7" w:rsidP="000C3813">
    <w:pPr>
      <w:pStyle w:val="Footer"/>
      <w:jc w:val="right"/>
    </w:pPr>
    <w:r>
      <w:ptab w:relativeTo="margin" w:alignment="center" w:leader="none"/>
    </w:r>
    <w:r>
      <w:t>Driving effective Government investment in ISR</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18309" w14:textId="11EDDB36" w:rsidR="00EF78E7" w:rsidRDefault="00EF78E7" w:rsidP="00774ED4">
    <w:pPr>
      <w:pStyle w:val="Footer"/>
      <w:jc w:val="both"/>
    </w:pPr>
    <w:r w:rsidRPr="005C205C">
      <w:fldChar w:fldCharType="begin"/>
    </w:r>
    <w:r w:rsidRPr="005C205C">
      <w:instrText xml:space="preserve"> page </w:instrText>
    </w:r>
    <w:r w:rsidRPr="005C205C">
      <w:fldChar w:fldCharType="separate"/>
    </w:r>
    <w:r w:rsidR="00A1412E">
      <w:rPr>
        <w:noProof/>
      </w:rPr>
      <w:t>56</w:t>
    </w:r>
    <w:r w:rsidRPr="005C205C">
      <w:fldChar w:fldCharType="end"/>
    </w:r>
    <w:r>
      <w:t xml:space="preserve"> </w:t>
    </w:r>
    <w:r w:rsidRPr="005C205C">
      <w:t xml:space="preserve">| </w:t>
    </w:r>
    <w:r w:rsidRPr="00BC2741">
      <w:rPr>
        <w:sz w:val="18"/>
        <w:szCs w:val="18"/>
      </w:rPr>
      <w:t>Driving effective Government investment in ISR</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8F7B0" w14:textId="21A4E5EF" w:rsidR="00EF78E7" w:rsidRPr="000C3813" w:rsidRDefault="00EF78E7" w:rsidP="00774ED4">
    <w:pPr>
      <w:pStyle w:val="Footer"/>
      <w:jc w:val="right"/>
    </w:pPr>
    <w:r w:rsidRPr="00BC2741">
      <w:rPr>
        <w:sz w:val="18"/>
        <w:szCs w:val="18"/>
      </w:rPr>
      <w:t>Driving effective Government investment in ISR</w:t>
    </w:r>
    <w:r>
      <w:t xml:space="preserve"> </w:t>
    </w:r>
    <w:r w:rsidRPr="005C205C">
      <w:t>|</w:t>
    </w:r>
    <w:r>
      <w:t xml:space="preserve"> </w:t>
    </w:r>
    <w:r w:rsidRPr="005C205C">
      <w:fldChar w:fldCharType="begin"/>
    </w:r>
    <w:r w:rsidRPr="005C205C">
      <w:instrText xml:space="preserve"> page </w:instrText>
    </w:r>
    <w:r w:rsidRPr="005C205C">
      <w:fldChar w:fldCharType="separate"/>
    </w:r>
    <w:r w:rsidR="00A1412E">
      <w:rPr>
        <w:noProof/>
      </w:rPr>
      <w:t>57</w:t>
    </w:r>
    <w:r w:rsidRPr="005C205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54BFE6" w14:textId="77777777" w:rsidR="00EF78E7" w:rsidRPr="00261CCA" w:rsidRDefault="00EF78E7" w:rsidP="006211B8">
      <w:pPr>
        <w:spacing w:after="0" w:line="240" w:lineRule="auto"/>
        <w:ind w:left="720" w:hanging="720"/>
        <w:rPr>
          <w:sz w:val="16"/>
          <w:szCs w:val="16"/>
        </w:rPr>
      </w:pPr>
      <w:r w:rsidRPr="002E17AA">
        <w:rPr>
          <w:sz w:val="16"/>
          <w:szCs w:val="16"/>
        </w:rPr>
        <w:separator/>
      </w:r>
    </w:p>
  </w:footnote>
  <w:footnote w:type="continuationSeparator" w:id="0">
    <w:p w14:paraId="04F93734" w14:textId="77777777" w:rsidR="00EF78E7" w:rsidRPr="006211B8" w:rsidRDefault="00EF78E7" w:rsidP="006211B8">
      <w:pPr>
        <w:spacing w:after="0" w:line="240" w:lineRule="auto"/>
        <w:rPr>
          <w:sz w:val="16"/>
          <w:szCs w:val="16"/>
        </w:rPr>
      </w:pPr>
      <w:r w:rsidRPr="002E17AA">
        <w:rPr>
          <w:sz w:val="16"/>
          <w:szCs w:val="16"/>
        </w:rPr>
        <w:continuationSeparator/>
      </w:r>
    </w:p>
  </w:footnote>
  <w:footnote w:type="continuationNotice" w:id="1">
    <w:p w14:paraId="6AA77B65" w14:textId="77777777" w:rsidR="00EF78E7" w:rsidRPr="006211B8" w:rsidRDefault="00EF78E7" w:rsidP="006211B8">
      <w:pPr>
        <w:spacing w:after="0" w:line="240" w:lineRule="auto"/>
        <w:rPr>
          <w:sz w:val="16"/>
          <w:szCs w:val="16"/>
        </w:rPr>
      </w:pPr>
    </w:p>
    <w:p w14:paraId="3635CA7A" w14:textId="77777777" w:rsidR="00EF78E7" w:rsidRDefault="00EF78E7"/>
  </w:footnote>
  <w:footnote w:id="2">
    <w:p w14:paraId="2F2ACD41" w14:textId="3DA0015D" w:rsidR="00EF78E7" w:rsidRPr="00A15D27" w:rsidRDefault="00EF78E7" w:rsidP="00D2347D">
      <w:pPr>
        <w:pStyle w:val="FootnoteText"/>
        <w:rPr>
          <w:sz w:val="16"/>
          <w:szCs w:val="16"/>
        </w:rPr>
      </w:pPr>
      <w:r w:rsidRPr="00A15D27">
        <w:rPr>
          <w:rStyle w:val="FootnoteReference"/>
          <w:sz w:val="16"/>
          <w:szCs w:val="16"/>
        </w:rPr>
        <w:footnoteRef/>
      </w:r>
      <w:r w:rsidRPr="00A15D27">
        <w:rPr>
          <w:sz w:val="16"/>
          <w:szCs w:val="16"/>
        </w:rPr>
        <w:t xml:space="preserve"> OECD. (2015). The innovation imperative – contributing to productivity, growth and well-being. </w:t>
      </w:r>
      <w:hyperlink r:id="rId1" w:tooltip="link to the OECD The innovation imperative report" w:history="1">
        <w:r w:rsidRPr="00A15D27">
          <w:rPr>
            <w:rStyle w:val="Hyperlink"/>
            <w:sz w:val="16"/>
            <w:szCs w:val="16"/>
          </w:rPr>
          <w:t>www.oecd.org/publications/the-innovation-imperative-9789264239814-en.htm</w:t>
        </w:r>
      </w:hyperlink>
    </w:p>
  </w:footnote>
  <w:footnote w:id="3">
    <w:p w14:paraId="1810F2EF" w14:textId="52371088" w:rsidR="00EF78E7" w:rsidRPr="00FC5E28" w:rsidRDefault="00EF78E7" w:rsidP="00D2347D">
      <w:pPr>
        <w:pStyle w:val="FootnoteText"/>
        <w:rPr>
          <w:sz w:val="16"/>
          <w:szCs w:val="16"/>
        </w:rPr>
      </w:pPr>
      <w:r w:rsidRPr="00A15D27">
        <w:rPr>
          <w:rStyle w:val="FootnoteReference"/>
          <w:sz w:val="16"/>
          <w:szCs w:val="16"/>
        </w:rPr>
        <w:footnoteRef/>
      </w:r>
      <w:r w:rsidRPr="00A15D27">
        <w:rPr>
          <w:sz w:val="16"/>
          <w:szCs w:val="16"/>
        </w:rPr>
        <w:t xml:space="preserve"> An innovation is the implementation of a new or significantly improved product (good or service), or process, a new marketing method, or a new organisational method in business practices, workplace organisation or external relations. OECD. Glossary of statistical terms. </w:t>
      </w:r>
      <w:hyperlink r:id="rId2" w:tooltip="link to OECD glossary of terms" w:history="1">
        <w:r w:rsidRPr="00A15D27">
          <w:rPr>
            <w:rStyle w:val="Hyperlink"/>
            <w:sz w:val="16"/>
            <w:szCs w:val="16"/>
          </w:rPr>
          <w:t>https://stats.oecd.org/glossary/detail.asp?ID=6865</w:t>
        </w:r>
      </w:hyperlink>
    </w:p>
  </w:footnote>
  <w:footnote w:id="4">
    <w:p w14:paraId="098594B1" w14:textId="5FAB3981" w:rsidR="00EF78E7" w:rsidRPr="00FC5E28" w:rsidRDefault="00EF78E7" w:rsidP="00776776">
      <w:pPr>
        <w:pStyle w:val="FootnoteText"/>
        <w:rPr>
          <w:sz w:val="16"/>
          <w:szCs w:val="16"/>
        </w:rPr>
      </w:pPr>
      <w:r w:rsidRPr="00FC5E28">
        <w:rPr>
          <w:rStyle w:val="FootnoteReference"/>
          <w:sz w:val="16"/>
          <w:szCs w:val="16"/>
        </w:rPr>
        <w:footnoteRef/>
      </w:r>
      <w:r w:rsidRPr="00FC5E28">
        <w:rPr>
          <w:sz w:val="16"/>
          <w:szCs w:val="16"/>
        </w:rPr>
        <w:t xml:space="preserve"> For this report, Commonwealth Government refers to the Australian Government.</w:t>
      </w:r>
      <w:r w:rsidRPr="00FC5E28" w:rsidDel="0024014C">
        <w:rPr>
          <w:sz w:val="16"/>
          <w:szCs w:val="16"/>
        </w:rPr>
        <w:t xml:space="preserve"> </w:t>
      </w:r>
      <w:r w:rsidRPr="00FC5E28">
        <w:rPr>
          <w:sz w:val="16"/>
          <w:szCs w:val="16"/>
        </w:rPr>
        <w:t>References to state and territory government investment are referenced separately throughout the report.</w:t>
      </w:r>
    </w:p>
  </w:footnote>
  <w:footnote w:id="5">
    <w:p w14:paraId="5D4476C4" w14:textId="0937A0F5" w:rsidR="00EF78E7" w:rsidRPr="00FC5E28" w:rsidRDefault="00EF78E7" w:rsidP="00D2347D">
      <w:pPr>
        <w:pStyle w:val="FootnoteText"/>
        <w:rPr>
          <w:sz w:val="16"/>
          <w:szCs w:val="16"/>
        </w:rPr>
      </w:pPr>
      <w:r w:rsidRPr="00FC5E28">
        <w:rPr>
          <w:rStyle w:val="FootnoteReference"/>
          <w:sz w:val="16"/>
          <w:szCs w:val="16"/>
        </w:rPr>
        <w:footnoteRef/>
      </w:r>
      <w:r w:rsidRPr="00FC5E28">
        <w:rPr>
          <w:sz w:val="16"/>
          <w:szCs w:val="16"/>
        </w:rPr>
        <w:t xml:space="preserve"> See implementation section of this report for further discussion.</w:t>
      </w:r>
    </w:p>
  </w:footnote>
  <w:footnote w:id="6">
    <w:p w14:paraId="03696237" w14:textId="2582112B" w:rsidR="00EF78E7" w:rsidRPr="001A18BE" w:rsidRDefault="00EF78E7" w:rsidP="003F712E">
      <w:pPr>
        <w:pStyle w:val="FootnoteText"/>
        <w:rPr>
          <w:sz w:val="16"/>
          <w:szCs w:val="16"/>
        </w:rPr>
      </w:pPr>
      <w:r w:rsidRPr="00A15D27">
        <w:rPr>
          <w:rStyle w:val="FootnoteReference"/>
          <w:sz w:val="16"/>
          <w:szCs w:val="16"/>
        </w:rPr>
        <w:footnoteRef/>
      </w:r>
      <w:r w:rsidRPr="00A15D27">
        <w:rPr>
          <w:sz w:val="16"/>
          <w:szCs w:val="16"/>
        </w:rPr>
        <w:t xml:space="preserve"> Non-R&amp;D innovation includes investment in new or significantly improved product, process, marketing and organisational practices that are broader than </w:t>
      </w:r>
      <w:r w:rsidRPr="00A15D27">
        <w:rPr>
          <w:rFonts w:cs="Gotham Narrow Light"/>
          <w:color w:val="000000"/>
          <w:sz w:val="16"/>
          <w:szCs w:val="16"/>
        </w:rPr>
        <w:t xml:space="preserve">R&amp;D alone. More </w:t>
      </w:r>
      <w:r w:rsidRPr="00D97846">
        <w:rPr>
          <w:rFonts w:cs="Gotham Narrow Light"/>
          <w:color w:val="000000"/>
          <w:sz w:val="16"/>
          <w:szCs w:val="16"/>
        </w:rPr>
        <w:t xml:space="preserve">information about the economic </w:t>
      </w:r>
      <w:r w:rsidRPr="001A18BE">
        <w:rPr>
          <w:rFonts w:cs="Gotham Narrow Light"/>
          <w:color w:val="000000"/>
          <w:sz w:val="16"/>
          <w:szCs w:val="16"/>
        </w:rPr>
        <w:t xml:space="preserve">benefits of non-R&amp;D innovation can be found in </w:t>
      </w:r>
      <w:r w:rsidRPr="001A18BE">
        <w:rPr>
          <w:sz w:val="16"/>
          <w:szCs w:val="16"/>
        </w:rPr>
        <w:t xml:space="preserve">Innovation and Science Australia. (2020). </w:t>
      </w:r>
      <w:r w:rsidRPr="000930D9">
        <w:rPr>
          <w:sz w:val="16"/>
          <w:szCs w:val="16"/>
        </w:rPr>
        <w:t>Stimulating business investment in innovation</w:t>
      </w:r>
      <w:r w:rsidRPr="001A18BE">
        <w:rPr>
          <w:sz w:val="16"/>
          <w:szCs w:val="16"/>
        </w:rPr>
        <w:t xml:space="preserve">. </w:t>
      </w:r>
      <w:hyperlink r:id="rId3" w:tooltip="link to ISA Stimulating business investment in innovation report" w:history="1">
        <w:r w:rsidRPr="001A18BE">
          <w:rPr>
            <w:rStyle w:val="Hyperlink"/>
            <w:sz w:val="16"/>
            <w:szCs w:val="16"/>
          </w:rPr>
          <w:t>www.industry.gov.au/sites/default/files/2020-02/stimulating-business-investment-in-innovation.pdf</w:t>
        </w:r>
      </w:hyperlink>
    </w:p>
  </w:footnote>
  <w:footnote w:id="7">
    <w:p w14:paraId="6E1C55ED" w14:textId="7FF64D4E" w:rsidR="00EF78E7" w:rsidRPr="00D97846" w:rsidRDefault="00EF78E7" w:rsidP="005516FF">
      <w:pPr>
        <w:pStyle w:val="FootnoteText"/>
        <w:rPr>
          <w:sz w:val="16"/>
          <w:szCs w:val="16"/>
        </w:rPr>
      </w:pPr>
      <w:r w:rsidRPr="001A18BE">
        <w:rPr>
          <w:rStyle w:val="FootnoteReference"/>
          <w:sz w:val="16"/>
          <w:szCs w:val="16"/>
        </w:rPr>
        <w:footnoteRef/>
      </w:r>
      <w:r w:rsidRPr="001A18BE">
        <w:rPr>
          <w:sz w:val="16"/>
          <w:szCs w:val="16"/>
        </w:rPr>
        <w:t xml:space="preserve"> For example, total expenditure on innovation by business as a percentage of GDP, gross expenditure</w:t>
      </w:r>
      <w:r w:rsidRPr="00D97846">
        <w:rPr>
          <w:sz w:val="16"/>
          <w:szCs w:val="16"/>
        </w:rPr>
        <w:t xml:space="preserve"> on research and development as a percentage of GDP (GERD), and total expenditure of educational institutions as a percentage of GDP etc. See Appendix H for more detail.</w:t>
      </w:r>
    </w:p>
  </w:footnote>
  <w:footnote w:id="8">
    <w:p w14:paraId="18D5F205" w14:textId="09D95758" w:rsidR="00EF78E7" w:rsidRPr="00A15D27" w:rsidRDefault="00EF78E7" w:rsidP="00D2347D">
      <w:pPr>
        <w:pStyle w:val="FootnoteText"/>
        <w:rPr>
          <w:sz w:val="16"/>
          <w:szCs w:val="16"/>
        </w:rPr>
      </w:pPr>
      <w:r w:rsidRPr="00A15D27">
        <w:rPr>
          <w:rStyle w:val="FootnoteReference"/>
          <w:sz w:val="16"/>
          <w:szCs w:val="16"/>
        </w:rPr>
        <w:footnoteRef/>
      </w:r>
      <w:r w:rsidRPr="00A15D27">
        <w:rPr>
          <w:sz w:val="16"/>
          <w:szCs w:val="16"/>
        </w:rPr>
        <w:t xml:space="preserve"> The Statement of Expectations, dated 19 February 2019, can be found at </w:t>
      </w:r>
      <w:hyperlink r:id="rId4" w:tooltip="Link to ISA's Statement of Expectations" w:history="1">
        <w:r w:rsidRPr="00A15D27">
          <w:rPr>
            <w:rStyle w:val="Hyperlink"/>
            <w:sz w:val="16"/>
            <w:szCs w:val="16"/>
          </w:rPr>
          <w:t>www.industry.gov.au/sites/default/files/2019-10/isa-statement-of-expectations-2019.pdf</w:t>
        </w:r>
      </w:hyperlink>
    </w:p>
  </w:footnote>
  <w:footnote w:id="9">
    <w:p w14:paraId="62B26741" w14:textId="77777777" w:rsidR="00EF78E7" w:rsidRPr="00A15D27" w:rsidRDefault="00EF78E7" w:rsidP="002D29F9">
      <w:pPr>
        <w:pStyle w:val="FootnoteText"/>
        <w:rPr>
          <w:sz w:val="16"/>
          <w:szCs w:val="16"/>
        </w:rPr>
      </w:pPr>
      <w:r w:rsidRPr="00A15D27">
        <w:rPr>
          <w:rStyle w:val="FootnoteReference"/>
          <w:sz w:val="16"/>
          <w:szCs w:val="16"/>
        </w:rPr>
        <w:footnoteRef/>
      </w:r>
      <w:r w:rsidRPr="00A15D27">
        <w:rPr>
          <w:sz w:val="16"/>
          <w:szCs w:val="16"/>
        </w:rPr>
        <w:t xml:space="preserve"> </w:t>
      </w:r>
      <w:r w:rsidRPr="00A15D27">
        <w:rPr>
          <w:noProof/>
          <w:sz w:val="16"/>
          <w:szCs w:val="16"/>
        </w:rPr>
        <w:t>For this assessment, effectiveness is defined as the ability of public resources to achieve a given set of objectives.</w:t>
      </w:r>
    </w:p>
  </w:footnote>
  <w:footnote w:id="10">
    <w:p w14:paraId="713026B7" w14:textId="71F891B3" w:rsidR="00EF78E7" w:rsidRPr="00A15D27" w:rsidRDefault="00EF78E7" w:rsidP="002D29F9">
      <w:pPr>
        <w:pStyle w:val="FootnoteText"/>
        <w:rPr>
          <w:sz w:val="16"/>
          <w:szCs w:val="16"/>
        </w:rPr>
      </w:pPr>
      <w:r w:rsidRPr="00A15D27">
        <w:rPr>
          <w:rStyle w:val="FootnoteReference"/>
          <w:sz w:val="16"/>
          <w:szCs w:val="16"/>
        </w:rPr>
        <w:footnoteRef/>
      </w:r>
      <w:r w:rsidRPr="00A15D27">
        <w:rPr>
          <w:sz w:val="16"/>
          <w:szCs w:val="16"/>
        </w:rPr>
        <w:t xml:space="preserve"> Australian Space Agency. (2019). </w:t>
      </w:r>
      <w:r w:rsidRPr="000930D9">
        <w:rPr>
          <w:sz w:val="16"/>
          <w:szCs w:val="16"/>
        </w:rPr>
        <w:t>Advancing Space: Australian Civil Space Strategy 2019–2028</w:t>
      </w:r>
      <w:r w:rsidRPr="00A15D27">
        <w:rPr>
          <w:sz w:val="16"/>
          <w:szCs w:val="16"/>
        </w:rPr>
        <w:t xml:space="preserve">. </w:t>
      </w:r>
      <w:hyperlink r:id="rId5" w:tooltip="link to the Australian Space Agency's Australian Civil Space Strategy" w:history="1">
        <w:r w:rsidRPr="00A15D27">
          <w:rPr>
            <w:rStyle w:val="Hyperlink"/>
            <w:sz w:val="16"/>
            <w:szCs w:val="16"/>
          </w:rPr>
          <w:t>https://publications.industry.gov.au/publications/advancing-space-australian-civil-space-strategy-2019-2028.pdf</w:t>
        </w:r>
      </w:hyperlink>
      <w:r w:rsidRPr="00A15D27">
        <w:rPr>
          <w:sz w:val="16"/>
          <w:szCs w:val="16"/>
        </w:rPr>
        <w:t xml:space="preserve"> </w:t>
      </w:r>
    </w:p>
  </w:footnote>
  <w:footnote w:id="11">
    <w:p w14:paraId="5F4A2F38" w14:textId="77777777" w:rsidR="00EF78E7" w:rsidRPr="00A15D27" w:rsidRDefault="00EF78E7" w:rsidP="002D29F9">
      <w:pPr>
        <w:pStyle w:val="FootnoteText"/>
        <w:rPr>
          <w:sz w:val="16"/>
          <w:szCs w:val="16"/>
        </w:rPr>
      </w:pPr>
      <w:r w:rsidRPr="00A15D27">
        <w:rPr>
          <w:rStyle w:val="FootnoteReference"/>
          <w:sz w:val="16"/>
          <w:szCs w:val="16"/>
        </w:rPr>
        <w:footnoteRef/>
      </w:r>
      <w:r w:rsidRPr="00A15D27">
        <w:rPr>
          <w:sz w:val="16"/>
          <w:szCs w:val="16"/>
        </w:rPr>
        <w:t xml:space="preserve"> It should be noted that duplication, in and of itself, is not a sign of an ineffective ISR system. Duplication of ISR investment may be intentional by design. For example, multiple teams have been funded to develop a COVID-19 vaccine to ensure an effective outcome for a time critical problem. However, unintended duplication may indicate that the Government’s ISR investment is not as effective as it could be. </w:t>
      </w:r>
    </w:p>
  </w:footnote>
  <w:footnote w:id="12">
    <w:p w14:paraId="3C02512F" w14:textId="77777777" w:rsidR="00EF78E7" w:rsidRPr="00A15D27" w:rsidRDefault="00EF78E7" w:rsidP="002D29F9">
      <w:pPr>
        <w:pStyle w:val="FootnoteText"/>
        <w:rPr>
          <w:sz w:val="16"/>
          <w:szCs w:val="16"/>
        </w:rPr>
      </w:pPr>
      <w:r w:rsidRPr="00A15D27">
        <w:rPr>
          <w:rStyle w:val="FootnoteReference"/>
          <w:sz w:val="16"/>
          <w:szCs w:val="16"/>
        </w:rPr>
        <w:footnoteRef/>
      </w:r>
      <w:r w:rsidRPr="00A15D27">
        <w:rPr>
          <w:sz w:val="16"/>
          <w:szCs w:val="16"/>
        </w:rPr>
        <w:t xml:space="preserve"> That is, across basic, applied and translational ISR.</w:t>
      </w:r>
    </w:p>
  </w:footnote>
  <w:footnote w:id="13">
    <w:p w14:paraId="3FF149BF" w14:textId="77777777" w:rsidR="00EF78E7" w:rsidRPr="00A15D27" w:rsidRDefault="00EF78E7" w:rsidP="002D29F9">
      <w:pPr>
        <w:pStyle w:val="FootnoteText"/>
        <w:rPr>
          <w:sz w:val="16"/>
          <w:szCs w:val="16"/>
        </w:rPr>
      </w:pPr>
      <w:r w:rsidRPr="00A15D27">
        <w:rPr>
          <w:rStyle w:val="FootnoteReference"/>
          <w:sz w:val="16"/>
          <w:szCs w:val="16"/>
        </w:rPr>
        <w:footnoteRef/>
      </w:r>
      <w:r w:rsidRPr="00A15D27">
        <w:rPr>
          <w:sz w:val="16"/>
          <w:szCs w:val="16"/>
        </w:rPr>
        <w:t xml:space="preserve"> Where ISR can move seamlessly along the innovation pipeline.</w:t>
      </w:r>
    </w:p>
  </w:footnote>
  <w:footnote w:id="14">
    <w:p w14:paraId="26A6FDC7" w14:textId="77777777" w:rsidR="00EF78E7" w:rsidRPr="00A15D27" w:rsidRDefault="00EF78E7" w:rsidP="002D29F9">
      <w:pPr>
        <w:pStyle w:val="FootnoteText"/>
        <w:rPr>
          <w:sz w:val="16"/>
          <w:szCs w:val="16"/>
        </w:rPr>
      </w:pPr>
      <w:r w:rsidRPr="00A15D27">
        <w:rPr>
          <w:rStyle w:val="FootnoteReference"/>
          <w:sz w:val="16"/>
          <w:szCs w:val="16"/>
        </w:rPr>
        <w:footnoteRef/>
      </w:r>
      <w:r w:rsidRPr="00A15D27">
        <w:rPr>
          <w:sz w:val="16"/>
          <w:szCs w:val="16"/>
        </w:rPr>
        <w:t xml:space="preserve"> A description of each of these principles is provided in </w:t>
      </w:r>
      <w:r w:rsidRPr="00A15D27">
        <w:rPr>
          <w:sz w:val="16"/>
          <w:szCs w:val="16"/>
        </w:rPr>
        <w:fldChar w:fldCharType="begin"/>
      </w:r>
      <w:r w:rsidRPr="00A15D27">
        <w:rPr>
          <w:sz w:val="16"/>
          <w:szCs w:val="16"/>
        </w:rPr>
        <w:instrText xml:space="preserve"> REF _Ref41461530 \h  \* MERGEFORMAT </w:instrText>
      </w:r>
      <w:r w:rsidRPr="00A15D27">
        <w:rPr>
          <w:sz w:val="16"/>
          <w:szCs w:val="16"/>
        </w:rPr>
      </w:r>
      <w:r w:rsidRPr="00A15D27">
        <w:rPr>
          <w:sz w:val="16"/>
          <w:szCs w:val="16"/>
        </w:rPr>
        <w:fldChar w:fldCharType="separate"/>
      </w:r>
      <w:r w:rsidRPr="00271757">
        <w:rPr>
          <w:sz w:val="16"/>
          <w:szCs w:val="16"/>
        </w:rPr>
        <w:t xml:space="preserve">Table </w:t>
      </w:r>
      <w:r w:rsidRPr="00271757">
        <w:rPr>
          <w:noProof/>
          <w:sz w:val="16"/>
          <w:szCs w:val="16"/>
        </w:rPr>
        <w:t>2</w:t>
      </w:r>
      <w:r w:rsidRPr="00A15D27">
        <w:rPr>
          <w:sz w:val="16"/>
          <w:szCs w:val="16"/>
        </w:rPr>
        <w:fldChar w:fldCharType="end"/>
      </w:r>
      <w:r w:rsidRPr="00A15D27">
        <w:rPr>
          <w:sz w:val="16"/>
          <w:szCs w:val="16"/>
        </w:rPr>
        <w:t>.</w:t>
      </w:r>
    </w:p>
  </w:footnote>
  <w:footnote w:id="15">
    <w:p w14:paraId="1CA63956" w14:textId="67FA6BD9"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Note, ‘transformative’ research as used here has been defined as “involves ideas, discoveries, or tools that radically change our understanding of an important existing scientific or engineering concept or educational practice or leads to the creation of a new paradigm or field of science, engineering, or education. Such research challenges current understanding or provides pathways to new frontiers.” National Science Foundation. (2007). Enhancing Support of Transformative Research at the National Science Foundation. </w:t>
      </w:r>
      <w:hyperlink r:id="rId6" w:tooltip="Link to national Science Foundation's Enhancing Support of Transformative Research report" w:history="1">
        <w:r w:rsidRPr="00A15D27">
          <w:rPr>
            <w:rStyle w:val="Hyperlink"/>
            <w:sz w:val="16"/>
            <w:szCs w:val="16"/>
          </w:rPr>
          <w:t>https://www.nsf.gov/nsb/documents/2007/tr_report.pdf</w:t>
        </w:r>
      </w:hyperlink>
      <w:r w:rsidRPr="00A15D27">
        <w:rPr>
          <w:sz w:val="16"/>
          <w:szCs w:val="16"/>
        </w:rPr>
        <w:t xml:space="preserve"> </w:t>
      </w:r>
    </w:p>
  </w:footnote>
  <w:footnote w:id="16">
    <w:p w14:paraId="083F6D05" w14:textId="007A96FB" w:rsidR="00EF78E7" w:rsidRPr="00A15D27" w:rsidDel="001A4250" w:rsidRDefault="00EF78E7">
      <w:pPr>
        <w:pStyle w:val="FootnoteText"/>
        <w:rPr>
          <w:sz w:val="16"/>
          <w:szCs w:val="16"/>
        </w:rPr>
      </w:pPr>
      <w:r w:rsidRPr="00A15D27" w:rsidDel="001A4250">
        <w:rPr>
          <w:rStyle w:val="FootnoteReference"/>
          <w:sz w:val="16"/>
          <w:szCs w:val="16"/>
        </w:rPr>
        <w:footnoteRef/>
      </w:r>
      <w:r w:rsidRPr="00A15D27" w:rsidDel="001A4250">
        <w:rPr>
          <w:sz w:val="16"/>
          <w:szCs w:val="16"/>
        </w:rPr>
        <w:t xml:space="preserve"> The Australian Academy of Science. (2020). </w:t>
      </w:r>
      <w:r w:rsidRPr="000930D9" w:rsidDel="001A4250">
        <w:rPr>
          <w:sz w:val="16"/>
          <w:szCs w:val="16"/>
        </w:rPr>
        <w:t>The Australian bushfires – why they are unprecedented</w:t>
      </w:r>
      <w:r w:rsidRPr="00A15D27" w:rsidDel="001A4250">
        <w:rPr>
          <w:sz w:val="16"/>
          <w:szCs w:val="16"/>
        </w:rPr>
        <w:t xml:space="preserve">. </w:t>
      </w:r>
      <w:hyperlink r:id="rId7" w:tooltip="The Australian Academy of Science bushfires article" w:history="1">
        <w:r w:rsidRPr="00A15D27" w:rsidDel="001A4250">
          <w:rPr>
            <w:rStyle w:val="Hyperlink"/>
            <w:sz w:val="16"/>
            <w:szCs w:val="16"/>
          </w:rPr>
          <w:t>www.science.org.au/news-and-events/news-and-media-releases/australian-bushfires-why-they-are-unprecedented</w:t>
        </w:r>
      </w:hyperlink>
      <w:r w:rsidRPr="00A15D27" w:rsidDel="001A4250">
        <w:rPr>
          <w:sz w:val="16"/>
          <w:szCs w:val="16"/>
        </w:rPr>
        <w:t xml:space="preserve"> </w:t>
      </w:r>
    </w:p>
  </w:footnote>
  <w:footnote w:id="17">
    <w:p w14:paraId="0445FE82" w14:textId="4CAF567A" w:rsidR="00EF78E7" w:rsidRPr="00A15D27" w:rsidDel="0019467E" w:rsidRDefault="00EF78E7">
      <w:pPr>
        <w:pStyle w:val="FootnoteText"/>
        <w:rPr>
          <w:sz w:val="16"/>
          <w:szCs w:val="16"/>
        </w:rPr>
      </w:pPr>
      <w:r w:rsidRPr="00A15D27" w:rsidDel="0019467E">
        <w:rPr>
          <w:rStyle w:val="FootnoteReference"/>
          <w:sz w:val="16"/>
          <w:szCs w:val="16"/>
        </w:rPr>
        <w:footnoteRef/>
      </w:r>
      <w:r w:rsidRPr="00A15D27" w:rsidDel="0019467E">
        <w:rPr>
          <w:sz w:val="16"/>
          <w:szCs w:val="16"/>
        </w:rPr>
        <w:t xml:space="preserve"> Prime Minister of Australia. (2020). National Royal Commission into Black Summer Bushfires Established. </w:t>
      </w:r>
      <w:hyperlink r:id="rId8" w:tooltip="prime Minister's press release announcing national Bushfire Commission" w:history="1">
        <w:r w:rsidRPr="00A15D27" w:rsidDel="0019467E">
          <w:rPr>
            <w:rStyle w:val="Hyperlink"/>
            <w:sz w:val="16"/>
            <w:szCs w:val="16"/>
          </w:rPr>
          <w:t>www.pm.gov.au/media/national-royal-commission-black-summer-bushfires-established</w:t>
        </w:r>
      </w:hyperlink>
      <w:r w:rsidRPr="00A15D27">
        <w:rPr>
          <w:sz w:val="16"/>
          <w:szCs w:val="16"/>
        </w:rPr>
        <w:t xml:space="preserve">; Air Chief Marshal Mark Binskin AC (Retd) (October 2020). Royal Commission into Natural Disaster Arrangements. </w:t>
      </w:r>
      <w:hyperlink r:id="rId9" w:tooltip="Royal Commission into Natural Disaster Arrangements website link" w:history="1">
        <w:r w:rsidRPr="00A15D27">
          <w:rPr>
            <w:rStyle w:val="Hyperlink"/>
            <w:sz w:val="16"/>
            <w:szCs w:val="16"/>
          </w:rPr>
          <w:t>https://naturaldisaster.royalcommission.gov.au/publications/royal-commission-national-natural-disaster-arrangements-report</w:t>
        </w:r>
      </w:hyperlink>
    </w:p>
  </w:footnote>
  <w:footnote w:id="18">
    <w:p w14:paraId="0C4182B8" w14:textId="04D01A07" w:rsidR="00EF78E7" w:rsidRPr="00A15D27" w:rsidRDefault="00EF78E7" w:rsidP="00676784">
      <w:pPr>
        <w:pStyle w:val="FootnoteText"/>
        <w:rPr>
          <w:sz w:val="16"/>
          <w:szCs w:val="16"/>
        </w:rPr>
      </w:pPr>
      <w:r w:rsidRPr="00A15D27">
        <w:rPr>
          <w:rStyle w:val="FootnoteReference"/>
          <w:sz w:val="16"/>
          <w:szCs w:val="16"/>
        </w:rPr>
        <w:footnoteRef/>
      </w:r>
      <w:r w:rsidRPr="00A15D27">
        <w:rPr>
          <w:sz w:val="16"/>
          <w:szCs w:val="16"/>
        </w:rPr>
        <w:t xml:space="preserve"> Department of Health. (2020). Government response to the COVID-19 outbreak. </w:t>
      </w:r>
      <w:hyperlink r:id="rId10" w:anchor="who-manages-the-response" w:tooltip="Department of Health website outlining Government's response to the COVID-19 outbreak" w:history="1">
        <w:r w:rsidRPr="00A15D27">
          <w:rPr>
            <w:rStyle w:val="Hyperlink"/>
            <w:sz w:val="16"/>
            <w:szCs w:val="16"/>
          </w:rPr>
          <w:t>www.health.gov.au/news/health-alerts/novel-coronavirus-2019-ncov-health-alert/government-response-to-the-covid-19-outbreak#who-manages-the-response</w:t>
        </w:r>
      </w:hyperlink>
      <w:r w:rsidRPr="00A15D27">
        <w:rPr>
          <w:sz w:val="16"/>
          <w:szCs w:val="16"/>
        </w:rPr>
        <w:t xml:space="preserve">; Alliance for Health Policy and Systems Research (2020). Bringing together evidence to tackle COVID-19. </w:t>
      </w:r>
      <w:hyperlink r:id="rId11" w:tooltip="Link to Alliance for Health Policy and Systems Research article 'Bringing together evidence to tackle COVID-19&quot;" w:history="1">
        <w:r w:rsidRPr="00A15D27">
          <w:rPr>
            <w:rStyle w:val="Hyperlink"/>
            <w:sz w:val="16"/>
            <w:szCs w:val="16"/>
          </w:rPr>
          <w:t>www.who.int/alliance-hpsr/news/2020/bringing-evidence-together-for-covid-19/en</w:t>
        </w:r>
      </w:hyperlink>
      <w:r w:rsidRPr="00A15D27">
        <w:rPr>
          <w:sz w:val="16"/>
          <w:szCs w:val="16"/>
        </w:rPr>
        <w:t xml:space="preserve">; Australia’s Chief Scientist. (2020). Research sector answers the Government’s call for the best available evidence on COVID-19. </w:t>
      </w:r>
      <w:hyperlink r:id="rId12" w:tooltip="link to Australian Chief Scientists media release 'Research sector answers the government's call for the best available evidence on COVID-19'" w:history="1">
        <w:r w:rsidRPr="00A15D27">
          <w:rPr>
            <w:rStyle w:val="Hyperlink"/>
            <w:sz w:val="16"/>
            <w:szCs w:val="16"/>
          </w:rPr>
          <w:t>www.chiefscientist.gov.au/news-and-media/research-sector-answers-governments-call-best-available-evidence-covid-19</w:t>
        </w:r>
      </w:hyperlink>
    </w:p>
  </w:footnote>
  <w:footnote w:id="19">
    <w:p w14:paraId="66C4061B" w14:textId="3E832FFF" w:rsidR="00EF78E7" w:rsidRPr="00A15D27" w:rsidRDefault="00EF78E7" w:rsidP="003F712E">
      <w:pPr>
        <w:pStyle w:val="FootnoteText"/>
        <w:rPr>
          <w:sz w:val="16"/>
          <w:szCs w:val="16"/>
        </w:rPr>
      </w:pPr>
      <w:r w:rsidRPr="00A15D27">
        <w:rPr>
          <w:rStyle w:val="FootnoteReference"/>
          <w:sz w:val="16"/>
          <w:szCs w:val="16"/>
        </w:rPr>
        <w:footnoteRef/>
      </w:r>
      <w:r w:rsidRPr="00A15D27">
        <w:rPr>
          <w:sz w:val="16"/>
          <w:szCs w:val="16"/>
        </w:rPr>
        <w:t xml:space="preserve"> That is investment in new or significantly improved product, process, marketing and organisational practices that are broader than </w:t>
      </w:r>
      <w:r w:rsidRPr="00A15D27">
        <w:rPr>
          <w:rFonts w:cs="Gotham Narrow Light"/>
          <w:color w:val="000000"/>
          <w:sz w:val="16"/>
          <w:szCs w:val="16"/>
        </w:rPr>
        <w:t xml:space="preserve">R&amp;D alone. More information about the economic benefits of non-R&amp;D innovation can be found in </w:t>
      </w:r>
      <w:r w:rsidRPr="00A15D27">
        <w:rPr>
          <w:sz w:val="16"/>
          <w:szCs w:val="16"/>
        </w:rPr>
        <w:t xml:space="preserve">Innovation and Science Australia. (2020). Stimulating business investment in innovation. </w:t>
      </w:r>
      <w:hyperlink r:id="rId13" w:tooltip="Link to ISA's Stimulating business investment in innovation report" w:history="1">
        <w:r w:rsidRPr="00A15D27">
          <w:rPr>
            <w:rStyle w:val="Hyperlink"/>
            <w:sz w:val="16"/>
            <w:szCs w:val="16"/>
          </w:rPr>
          <w:t>www.industry.gov.au/sites/default/files/2020-02/stimulating-business-investment-in-innovation.pdf</w:t>
        </w:r>
      </w:hyperlink>
    </w:p>
  </w:footnote>
  <w:footnote w:id="20">
    <w:p w14:paraId="484076E1" w14:textId="5BFE75C3" w:rsidR="00EF78E7" w:rsidRPr="00A15D27" w:rsidRDefault="00EF78E7" w:rsidP="003D588C">
      <w:pPr>
        <w:pStyle w:val="FootnoteText"/>
        <w:rPr>
          <w:sz w:val="16"/>
          <w:szCs w:val="16"/>
        </w:rPr>
      </w:pPr>
      <w:r w:rsidRPr="00A15D27">
        <w:rPr>
          <w:rStyle w:val="FootnoteReference"/>
          <w:sz w:val="16"/>
          <w:szCs w:val="16"/>
        </w:rPr>
        <w:footnoteRef/>
      </w:r>
      <w:r w:rsidRPr="00A15D27">
        <w:rPr>
          <w:sz w:val="16"/>
          <w:szCs w:val="16"/>
        </w:rPr>
        <w:t xml:space="preserve"> University of Queensland. (2020). ‘Significant step’ in COVID-19 vaccine quest. </w:t>
      </w:r>
      <w:hyperlink r:id="rId14" w:tooltip="link to University of Queensland news article &quot;Significant step’ in COVID-19 vaccine quest'" w:history="1">
        <w:r w:rsidRPr="00A15D27">
          <w:rPr>
            <w:rStyle w:val="Hyperlink"/>
            <w:sz w:val="16"/>
            <w:szCs w:val="16"/>
          </w:rPr>
          <w:t>www.uq.edu.au/news/article/2020/02/significant-step%E2%80%99-covid-19-vaccine-quest</w:t>
        </w:r>
      </w:hyperlink>
    </w:p>
  </w:footnote>
  <w:footnote w:id="21">
    <w:p w14:paraId="6C1D6BC1" w14:textId="391FA90F" w:rsidR="00EF78E7" w:rsidRPr="00A15D27" w:rsidRDefault="00EF78E7" w:rsidP="003D588C">
      <w:pPr>
        <w:pStyle w:val="FootnoteText"/>
        <w:rPr>
          <w:sz w:val="16"/>
          <w:szCs w:val="16"/>
        </w:rPr>
      </w:pPr>
      <w:r w:rsidRPr="00A15D27">
        <w:rPr>
          <w:rStyle w:val="FootnoteReference"/>
          <w:sz w:val="16"/>
          <w:szCs w:val="16"/>
        </w:rPr>
        <w:footnoteRef/>
      </w:r>
      <w:r w:rsidRPr="00A15D27">
        <w:rPr>
          <w:sz w:val="16"/>
          <w:szCs w:val="16"/>
        </w:rPr>
        <w:t xml:space="preserve"> CSIRO. (2020). Pre-clinical COVID-19 vaccine trials begin at CSIRO. </w:t>
      </w:r>
      <w:hyperlink r:id="rId15" w:tooltip="link to SCRIOscope article 'Pre-clinical COVID-19 vaccine trials begin at CSIRO'" w:history="1">
        <w:r w:rsidRPr="00A15D27">
          <w:rPr>
            <w:rStyle w:val="Hyperlink"/>
            <w:sz w:val="16"/>
            <w:szCs w:val="16"/>
          </w:rPr>
          <w:t>https://blog.csiro.au/covid19-vaccine-trials/?utm_source=Snapshot-April-2020&amp;utm_medium=newsletter&amp;utm_campaign=Snapshot</w:t>
        </w:r>
      </w:hyperlink>
    </w:p>
  </w:footnote>
  <w:footnote w:id="22">
    <w:p w14:paraId="3FBBB909" w14:textId="41AF153A"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McKinsey (2020). The COVID-19 recovery will be digital: A plan for the first 90 days. </w:t>
      </w:r>
      <w:hyperlink r:id="rId16" w:tooltip="Link to McKinsey COVID-19 digital recovery article" w:history="1">
        <w:r w:rsidRPr="00A15D27">
          <w:rPr>
            <w:rStyle w:val="Hyperlink"/>
            <w:sz w:val="16"/>
            <w:szCs w:val="16"/>
          </w:rPr>
          <w:t>www.mckinsey.com/business-functions/mckinsey-digital/our-insights/the-COVID-19-recovery-will-be-digital-a-plan-for-the-first-90-days?cid=other-eml-alt-mbl-mck&amp;hlkid=ffa7f7dace64429f82c354ddf40accb6&amp;hctky=11986719&amp;hdpid=dfb4c609-2604-4df3-aa42-ae7ed2aff045</w:t>
        </w:r>
      </w:hyperlink>
    </w:p>
  </w:footnote>
  <w:footnote w:id="23">
    <w:p w14:paraId="1FB653BB" w14:textId="6AD5E49F" w:rsidR="00EF78E7" w:rsidRPr="00A15D27" w:rsidRDefault="00EF78E7" w:rsidP="00FB4CD5">
      <w:pPr>
        <w:pStyle w:val="FootnoteText"/>
        <w:rPr>
          <w:sz w:val="16"/>
          <w:szCs w:val="16"/>
        </w:rPr>
      </w:pPr>
      <w:r w:rsidRPr="00A15D27">
        <w:rPr>
          <w:rStyle w:val="FootnoteReference"/>
          <w:sz w:val="16"/>
          <w:szCs w:val="16"/>
        </w:rPr>
        <w:footnoteRef/>
      </w:r>
      <w:r w:rsidRPr="00A15D27">
        <w:rPr>
          <w:sz w:val="16"/>
          <w:szCs w:val="16"/>
        </w:rPr>
        <w:t xml:space="preserve"> Australian Bureau of Statistics (ABS). (2020). 5676.0.55.003 Business Indicators, Business Impacts of COVID-19, Week Commencing 30 March 2020. </w:t>
      </w:r>
      <w:r w:rsidRPr="00D85AE9">
        <w:t xml:space="preserve"> </w:t>
      </w:r>
      <w:r w:rsidRPr="00D85AE9">
        <w:rPr>
          <w:rStyle w:val="Hyperlink"/>
          <w:sz w:val="16"/>
          <w:szCs w:val="16"/>
        </w:rPr>
        <w:t>https://www.abs.gov.au/statistics/economy/business-indicators/business-indicators-business-impacts-covid-19/mar-2020</w:t>
      </w:r>
    </w:p>
  </w:footnote>
  <w:footnote w:id="24">
    <w:p w14:paraId="30B6EF06" w14:textId="43E0AE06" w:rsidR="00EF78E7" w:rsidRPr="00A15D27" w:rsidRDefault="00EF78E7" w:rsidP="00DE6454">
      <w:pPr>
        <w:pStyle w:val="FootnoteText"/>
        <w:rPr>
          <w:sz w:val="16"/>
          <w:szCs w:val="16"/>
        </w:rPr>
      </w:pPr>
      <w:r w:rsidRPr="00A15D27">
        <w:rPr>
          <w:rStyle w:val="FootnoteReference"/>
          <w:sz w:val="16"/>
          <w:szCs w:val="16"/>
        </w:rPr>
        <w:footnoteRef/>
      </w:r>
      <w:r w:rsidRPr="00A15D27">
        <w:rPr>
          <w:sz w:val="16"/>
          <w:szCs w:val="16"/>
        </w:rPr>
        <w:t xml:space="preserve"> European Commission, Research, Innovation, and Science Policy Experts. (2015). Value of Research. </w:t>
      </w:r>
      <w:hyperlink r:id="rId17" w:tooltip="Link to European Commission's Value of Research policy paper" w:history="1">
        <w:r w:rsidRPr="00481E94">
          <w:rPr>
            <w:rStyle w:val="Hyperlink"/>
            <w:sz w:val="16"/>
            <w:szCs w:val="16"/>
          </w:rPr>
          <w:t>https://ec.europa.eu/futurium/en/system/files/ged/60_-_rise-value_of_research-june15_1.pdf</w:t>
        </w:r>
      </w:hyperlink>
      <w:r>
        <w:rPr>
          <w:rStyle w:val="Hyperlink"/>
          <w:sz w:val="16"/>
          <w:szCs w:val="16"/>
        </w:rPr>
        <w:t xml:space="preserve"> </w:t>
      </w:r>
    </w:p>
  </w:footnote>
  <w:footnote w:id="25">
    <w:p w14:paraId="56B3A56B" w14:textId="755A0748" w:rsidR="00EF78E7" w:rsidRPr="00A15D27" w:rsidRDefault="00EF78E7">
      <w:pPr>
        <w:pStyle w:val="FootnoteText"/>
        <w:rPr>
          <w:sz w:val="16"/>
          <w:szCs w:val="16"/>
        </w:rPr>
      </w:pPr>
      <w:r w:rsidRPr="00A15D27">
        <w:rPr>
          <w:rStyle w:val="FootnoteReference"/>
          <w:sz w:val="16"/>
          <w:szCs w:val="16"/>
        </w:rPr>
        <w:footnoteRef/>
      </w:r>
      <w:r w:rsidRPr="00A15D27">
        <w:rPr>
          <w:rStyle w:val="FootnoteReference"/>
          <w:sz w:val="16"/>
          <w:szCs w:val="16"/>
        </w:rPr>
        <w:t xml:space="preserve"> </w:t>
      </w:r>
      <w:r w:rsidRPr="00A15D27">
        <w:rPr>
          <w:sz w:val="16"/>
          <w:szCs w:val="16"/>
        </w:rPr>
        <w:t xml:space="preserve">Productivity Commission. (2017). 5 Year Productivity Review, Supporting Paper No.12: An overview of innovation policy. </w:t>
      </w:r>
      <w:hyperlink r:id="rId18" w:tooltip="Link to Productivity Commission's Five year productivity review report" w:history="1">
        <w:r w:rsidRPr="00A15D27">
          <w:rPr>
            <w:rStyle w:val="Hyperlink"/>
            <w:sz w:val="16"/>
            <w:szCs w:val="16"/>
          </w:rPr>
          <w:t>www.pc.gov.au/inquiries/completed/productivity-review/report/productivity-review-supporting12.pdf</w:t>
        </w:r>
      </w:hyperlink>
    </w:p>
  </w:footnote>
  <w:footnote w:id="26">
    <w:p w14:paraId="74FC7498" w14:textId="04B65480" w:rsidR="00EF78E7" w:rsidRPr="00A15D27" w:rsidRDefault="00EF78E7" w:rsidP="00DE6454">
      <w:pPr>
        <w:pStyle w:val="FootnoteText"/>
        <w:rPr>
          <w:sz w:val="16"/>
          <w:szCs w:val="16"/>
        </w:rPr>
      </w:pPr>
      <w:r w:rsidRPr="00A15D27">
        <w:rPr>
          <w:rStyle w:val="FootnoteReference"/>
          <w:sz w:val="16"/>
          <w:szCs w:val="16"/>
        </w:rPr>
        <w:footnoteRef/>
      </w:r>
      <w:r w:rsidRPr="00A15D27">
        <w:rPr>
          <w:sz w:val="16"/>
          <w:szCs w:val="16"/>
        </w:rPr>
        <w:t xml:space="preserve"> The Allen Consulting Group. (2012). The economic, social and environmental impacts of the Cooperative Research Centres</w:t>
      </w:r>
    </w:p>
    <w:p w14:paraId="1411ECFF" w14:textId="19D64BEC" w:rsidR="00EF78E7" w:rsidRPr="00A15D27" w:rsidRDefault="00EF78E7" w:rsidP="00F26DDD">
      <w:pPr>
        <w:pStyle w:val="FootnoteText"/>
        <w:rPr>
          <w:sz w:val="16"/>
          <w:szCs w:val="16"/>
        </w:rPr>
      </w:pPr>
      <w:r w:rsidRPr="00A15D27">
        <w:rPr>
          <w:sz w:val="16"/>
          <w:szCs w:val="16"/>
        </w:rPr>
        <w:t xml:space="preserve">Program, report to the Department of Industry, Innovation, Science, Research and Tertiary Education. </w:t>
      </w:r>
      <w:hyperlink r:id="rId19" w:tooltip="Link to Acil Allen Cooperative Research Centres impact report site" w:history="1">
        <w:r w:rsidRPr="00A15D27">
          <w:rPr>
            <w:rStyle w:val="Hyperlink"/>
            <w:sz w:val="16"/>
            <w:szCs w:val="16"/>
          </w:rPr>
          <w:t>www.acilallen.com‌.au/projects/public-policy/the-economic-social-and-environmental-impacts-of-the-cooperative-research-centres-program</w:t>
        </w:r>
      </w:hyperlink>
    </w:p>
  </w:footnote>
  <w:footnote w:id="27">
    <w:p w14:paraId="07A29F12" w14:textId="28FC9E21" w:rsidR="00EF78E7" w:rsidRPr="00893793" w:rsidRDefault="00EF78E7" w:rsidP="00327C1D">
      <w:pPr>
        <w:pStyle w:val="FootnoteText"/>
        <w:rPr>
          <w:sz w:val="16"/>
          <w:szCs w:val="16"/>
        </w:rPr>
      </w:pPr>
      <w:r w:rsidRPr="00893793">
        <w:rPr>
          <w:rStyle w:val="FootnoteReference"/>
          <w:sz w:val="16"/>
          <w:szCs w:val="16"/>
        </w:rPr>
        <w:footnoteRef/>
      </w:r>
      <w:r w:rsidRPr="00893793">
        <w:rPr>
          <w:sz w:val="16"/>
          <w:szCs w:val="16"/>
        </w:rPr>
        <w:t xml:space="preserve"> </w:t>
      </w:r>
      <w:r>
        <w:rPr>
          <w:sz w:val="16"/>
          <w:szCs w:val="16"/>
        </w:rPr>
        <w:t xml:space="preserve">CSIRO. (2020). Our top 10 inventions. </w:t>
      </w:r>
      <w:hyperlink r:id="rId20" w:tooltip="Link to CSIRO top ten investions website" w:history="1">
        <w:r w:rsidRPr="00B734D1">
          <w:rPr>
            <w:rStyle w:val="Hyperlink"/>
            <w:sz w:val="16"/>
            <w:szCs w:val="16"/>
          </w:rPr>
          <w:t>www.csiro.au/en/About/History-achievements/Top-10-inventions</w:t>
        </w:r>
      </w:hyperlink>
      <w:r w:rsidRPr="00893793">
        <w:rPr>
          <w:sz w:val="16"/>
          <w:szCs w:val="16"/>
        </w:rPr>
        <w:t xml:space="preserve"> </w:t>
      </w:r>
    </w:p>
  </w:footnote>
  <w:footnote w:id="28">
    <w:p w14:paraId="200FD060" w14:textId="3417CDAD" w:rsidR="00EF78E7" w:rsidRPr="00A15D27" w:rsidRDefault="00EF78E7" w:rsidP="000A3617">
      <w:pPr>
        <w:pStyle w:val="FootnoteText"/>
        <w:rPr>
          <w:sz w:val="16"/>
          <w:szCs w:val="16"/>
        </w:rPr>
      </w:pPr>
      <w:r w:rsidRPr="00A15D27">
        <w:rPr>
          <w:rStyle w:val="FootnoteReference"/>
          <w:sz w:val="16"/>
          <w:szCs w:val="16"/>
        </w:rPr>
        <w:footnoteRef/>
      </w:r>
      <w:r w:rsidRPr="00A15D27">
        <w:rPr>
          <w:sz w:val="16"/>
          <w:szCs w:val="16"/>
        </w:rPr>
        <w:t xml:space="preserve"> Department of Defence, Science and Technology. (2016). Countering the threat of Improvised Explosive Devices. </w:t>
      </w:r>
      <w:hyperlink r:id="rId21" w:tooltip="Link to Department of Defence report: Countering the threat of Improvised Explosive Devices" w:history="1">
        <w:r w:rsidRPr="00A15D27">
          <w:rPr>
            <w:rStyle w:val="Hyperlink"/>
            <w:sz w:val="16"/>
            <w:szCs w:val="16"/>
          </w:rPr>
          <w:t>www.dst.defence.gov.au/podcast/countering-threat-improvised-explosive-devices</w:t>
        </w:r>
      </w:hyperlink>
    </w:p>
  </w:footnote>
  <w:footnote w:id="29">
    <w:p w14:paraId="19B9C8F8" w14:textId="4EF3AB4B" w:rsidR="00EF78E7" w:rsidRPr="00A15D27" w:rsidRDefault="00EF78E7" w:rsidP="000A3617">
      <w:pPr>
        <w:pStyle w:val="FootnoteText"/>
        <w:rPr>
          <w:sz w:val="16"/>
          <w:szCs w:val="16"/>
        </w:rPr>
      </w:pPr>
      <w:r w:rsidRPr="00A15D27">
        <w:rPr>
          <w:rStyle w:val="FootnoteReference"/>
          <w:sz w:val="16"/>
          <w:szCs w:val="16"/>
        </w:rPr>
        <w:footnoteRef/>
      </w:r>
      <w:r w:rsidRPr="00A15D27">
        <w:rPr>
          <w:sz w:val="16"/>
          <w:szCs w:val="16"/>
        </w:rPr>
        <w:t xml:space="preserve"> University of New South Wales (2012). Breakthrough in bid to create first quantum computer</w:t>
      </w:r>
      <w:r w:rsidRPr="00A15D27">
        <w:rPr>
          <w:rStyle w:val="Hyperlink"/>
          <w:color w:val="auto"/>
          <w:sz w:val="16"/>
          <w:szCs w:val="16"/>
          <w:u w:val="none"/>
        </w:rPr>
        <w:t xml:space="preserve">. </w:t>
      </w:r>
      <w:hyperlink r:id="rId22" w:tooltip="Link to University Of New South Wales quantum computing breakthrough news article" w:history="1">
        <w:r w:rsidRPr="00A15D27">
          <w:rPr>
            <w:rStyle w:val="Hyperlink"/>
            <w:sz w:val="16"/>
            <w:szCs w:val="16"/>
          </w:rPr>
          <w:t>https://newsroom.unsw.edu.au/news/technology/breakthrough-bid-create-first-quantum-computer</w:t>
        </w:r>
      </w:hyperlink>
    </w:p>
  </w:footnote>
  <w:footnote w:id="30">
    <w:p w14:paraId="075FA09F" w14:textId="7B0C93CC" w:rsidR="00EF78E7" w:rsidRPr="00A15D27" w:rsidRDefault="00EF78E7" w:rsidP="000A3617">
      <w:pPr>
        <w:pStyle w:val="FootnoteText"/>
        <w:rPr>
          <w:sz w:val="16"/>
          <w:szCs w:val="16"/>
        </w:rPr>
      </w:pPr>
      <w:r w:rsidRPr="00A15D27">
        <w:rPr>
          <w:rStyle w:val="FootnoteReference"/>
          <w:sz w:val="16"/>
          <w:szCs w:val="16"/>
        </w:rPr>
        <w:footnoteRef/>
      </w:r>
      <w:r w:rsidRPr="00A15D27">
        <w:rPr>
          <w:sz w:val="16"/>
          <w:szCs w:val="16"/>
        </w:rPr>
        <w:t xml:space="preserve"> University of New South Wales. (2019). 200 times faster than ever before: the speediest quantum operation yet. </w:t>
      </w:r>
      <w:hyperlink r:id="rId23" w:tooltip="University of New South Wales news article: the fastest quantum operation yet" w:history="1">
        <w:r w:rsidRPr="00A15D27">
          <w:rPr>
            <w:rStyle w:val="Hyperlink"/>
            <w:sz w:val="16"/>
            <w:szCs w:val="16"/>
          </w:rPr>
          <w:t>https://‌newsroom.unsw.edu.au/news/science-tech/200-times-faster-ever-speediest-quantum-operation-yet</w:t>
        </w:r>
      </w:hyperlink>
    </w:p>
  </w:footnote>
  <w:footnote w:id="31">
    <w:p w14:paraId="7AA1B505" w14:textId="112895FC"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This ‘Post in a Box’ can fit into two carry-on suitcases; be deployed in under 24 hours; connect to any network, satellite, cable or wireless internet system; support up to 100 users; and be up and running in hours. It has been successfully used in Morocco, at the Pacific Islands Forum and in Tehran. Department of Industry, Science, Energy and Resources. (2020). Diplomacy in your carry-on. </w:t>
      </w:r>
      <w:hyperlink r:id="rId24" w:tooltip="Department of Industry, Science, Energy and Resources news article: Diplomacy in your lunchbox" w:history="1">
        <w:r w:rsidRPr="00A15D27">
          <w:rPr>
            <w:rStyle w:val="Hyperlink"/>
            <w:sz w:val="16"/>
            <w:szCs w:val="16"/>
          </w:rPr>
          <w:t>www.industry.gov.au/news-media/public-sector-innovation-network-news/diplomacy-in-your-carry-on</w:t>
        </w:r>
      </w:hyperlink>
      <w:r w:rsidRPr="00A15D27">
        <w:rPr>
          <w:rStyle w:val="Hyperlink"/>
          <w:sz w:val="16"/>
          <w:szCs w:val="16"/>
        </w:rPr>
        <w:t>;</w:t>
      </w:r>
      <w:r w:rsidRPr="00A15D27">
        <w:rPr>
          <w:sz w:val="16"/>
          <w:szCs w:val="16"/>
        </w:rPr>
        <w:t xml:space="preserve"> and Department of Foreign Affairs and Trade. (2019). Priority 7: Provide a secure and effective overseas presence. </w:t>
      </w:r>
      <w:hyperlink r:id="rId25" w:tooltip="Department of Foreign Affairs and Trade Annual Report Section" w:history="1">
        <w:r w:rsidRPr="00A15D27">
          <w:rPr>
            <w:rStyle w:val="Hyperlink"/>
            <w:sz w:val="16"/>
            <w:szCs w:val="16"/>
          </w:rPr>
          <w:t>www.dfat.gov.au/about-us/publications/corporate/annual-reports/Pages/department-of-foreign-affairs-and-trade-annual-report-2018-19.aspx/annual-report-2018-19/home/section-2/provide-a-secure-and-effective-overseas-presence/index.html</w:t>
        </w:r>
      </w:hyperlink>
    </w:p>
  </w:footnote>
  <w:footnote w:id="32">
    <w:p w14:paraId="449966EA" w14:textId="77777777" w:rsidR="00EF78E7" w:rsidRPr="00A15D27" w:rsidRDefault="00EF78E7" w:rsidP="005A318D">
      <w:pPr>
        <w:spacing w:after="0" w:line="240" w:lineRule="auto"/>
        <w:rPr>
          <w:sz w:val="16"/>
          <w:szCs w:val="16"/>
        </w:rPr>
      </w:pPr>
      <w:r w:rsidRPr="00A15D27">
        <w:rPr>
          <w:rStyle w:val="FootnoteReference"/>
          <w:sz w:val="16"/>
          <w:szCs w:val="16"/>
        </w:rPr>
        <w:footnoteRef/>
      </w:r>
      <w:r w:rsidRPr="00A15D27">
        <w:rPr>
          <w:rStyle w:val="FootnoteReference"/>
          <w:sz w:val="16"/>
          <w:szCs w:val="16"/>
        </w:rPr>
        <w:t xml:space="preserve"> </w:t>
      </w:r>
      <w:r w:rsidRPr="00A15D27">
        <w:rPr>
          <w:sz w:val="16"/>
          <w:szCs w:val="16"/>
        </w:rPr>
        <w:t>CSIRO. (2018)</w:t>
      </w:r>
      <w:r w:rsidRPr="00A15D27">
        <w:rPr>
          <w:rStyle w:val="Hyperlink"/>
          <w:color w:val="auto"/>
          <w:sz w:val="16"/>
          <w:szCs w:val="16"/>
          <w:u w:val="none"/>
        </w:rPr>
        <w:t xml:space="preserve">. </w:t>
      </w:r>
      <w:r w:rsidRPr="00A15D27">
        <w:rPr>
          <w:sz w:val="16"/>
          <w:szCs w:val="16"/>
        </w:rPr>
        <w:t xml:space="preserve">CSIRO tech accelerates hydrogen vehicle future. </w:t>
      </w:r>
      <w:hyperlink r:id="rId26" w:tooltip="Link to CSIRO new release 'CSIRO tech accelerates hydrogen vehicle future'" w:history="1">
        <w:r w:rsidRPr="00A15D27">
          <w:rPr>
            <w:rStyle w:val="Hyperlink"/>
            <w:sz w:val="16"/>
            <w:szCs w:val="16"/>
          </w:rPr>
          <w:t>https://www.csiro.au/en/News/News-releases/2018/CSIRO-tech-accelerates-hydrogen-vehicle-future</w:t>
        </w:r>
      </w:hyperlink>
    </w:p>
  </w:footnote>
  <w:footnote w:id="33">
    <w:p w14:paraId="18238CD8" w14:textId="5D0EA835"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Non-R&amp;D innovation includes investment in new or significantly improved product, process, marketing and organisational practices that are broader than </w:t>
      </w:r>
      <w:r w:rsidRPr="00A15D27">
        <w:rPr>
          <w:rFonts w:cs="Gotham Narrow Light"/>
          <w:color w:val="000000"/>
          <w:sz w:val="16"/>
          <w:szCs w:val="16"/>
        </w:rPr>
        <w:t xml:space="preserve">R&amp;D alone. More information about the economic benefits of non-R&amp;D innovation can be found in </w:t>
      </w:r>
      <w:r w:rsidRPr="00A15D27">
        <w:rPr>
          <w:sz w:val="16"/>
          <w:szCs w:val="16"/>
        </w:rPr>
        <w:t xml:space="preserve">Innovation and Science Australia. (2020). Stimulating business investment in innovation. </w:t>
      </w:r>
      <w:hyperlink r:id="rId27" w:tooltip="Link to ISA's Stimulating business investment in innovation report" w:history="1">
        <w:r w:rsidRPr="00A15D27">
          <w:rPr>
            <w:rStyle w:val="Hyperlink"/>
            <w:sz w:val="16"/>
            <w:szCs w:val="16"/>
          </w:rPr>
          <w:t>www.industry.gov.au/sites/default/files/2020-02/stimulating-business-investment-in-innovation.pdf</w:t>
        </w:r>
      </w:hyperlink>
    </w:p>
  </w:footnote>
  <w:footnote w:id="34">
    <w:p w14:paraId="005AB85D" w14:textId="1657D3EC" w:rsidR="00EF78E7" w:rsidRPr="00A15D27" w:rsidRDefault="00EF78E7" w:rsidP="00334A33">
      <w:pPr>
        <w:pStyle w:val="FootnoteText"/>
        <w:rPr>
          <w:sz w:val="16"/>
          <w:szCs w:val="16"/>
        </w:rPr>
      </w:pPr>
      <w:r w:rsidRPr="00A15D27">
        <w:rPr>
          <w:rStyle w:val="FootnoteReference"/>
          <w:sz w:val="16"/>
          <w:szCs w:val="16"/>
        </w:rPr>
        <w:footnoteRef/>
      </w:r>
      <w:r w:rsidRPr="00A15D27">
        <w:rPr>
          <w:sz w:val="16"/>
          <w:szCs w:val="16"/>
        </w:rPr>
        <w:t xml:space="preserve"> The Statement of Expectations, dated 19 February 2019, can be found at </w:t>
      </w:r>
      <w:hyperlink r:id="rId28" w:tooltip="Link to ISA's Statement of Expectations" w:history="1">
        <w:r w:rsidRPr="00A15D27">
          <w:rPr>
            <w:rStyle w:val="Hyperlink"/>
            <w:sz w:val="16"/>
            <w:szCs w:val="16"/>
          </w:rPr>
          <w:t>www.industry.gov.au/sites/default/files/2019-10/isa-statement-of-expectations-2019.pdf</w:t>
        </w:r>
      </w:hyperlink>
    </w:p>
  </w:footnote>
  <w:footnote w:id="35">
    <w:p w14:paraId="57A1E2CA" w14:textId="77777777" w:rsidR="00EF78E7" w:rsidRPr="00A15D27" w:rsidRDefault="00EF78E7" w:rsidP="009501DF">
      <w:pPr>
        <w:pStyle w:val="FootnoteText"/>
        <w:rPr>
          <w:sz w:val="16"/>
          <w:szCs w:val="16"/>
        </w:rPr>
      </w:pPr>
      <w:r w:rsidRPr="00A15D27">
        <w:rPr>
          <w:rStyle w:val="FootnoteReference"/>
          <w:sz w:val="16"/>
          <w:szCs w:val="16"/>
        </w:rPr>
        <w:footnoteRef/>
      </w:r>
      <w:r w:rsidRPr="00A15D27">
        <w:rPr>
          <w:sz w:val="16"/>
          <w:szCs w:val="16"/>
        </w:rPr>
        <w:t xml:space="preserve"> For this report, Australian Government refers to the Australian Commonwealth Government.</w:t>
      </w:r>
      <w:r w:rsidRPr="00A15D27" w:rsidDel="0024014C">
        <w:rPr>
          <w:sz w:val="16"/>
          <w:szCs w:val="16"/>
        </w:rPr>
        <w:t xml:space="preserve"> </w:t>
      </w:r>
      <w:r w:rsidRPr="00A15D27">
        <w:rPr>
          <w:sz w:val="16"/>
          <w:szCs w:val="16"/>
        </w:rPr>
        <w:t>References to state and territory government investments are referenced separately throughout the report.</w:t>
      </w:r>
    </w:p>
  </w:footnote>
  <w:footnote w:id="36">
    <w:p w14:paraId="2D1111DD" w14:textId="4269AFF8" w:rsidR="00EF78E7" w:rsidRPr="00A15D27" w:rsidRDefault="00EF78E7" w:rsidP="009556A9">
      <w:pPr>
        <w:pStyle w:val="FootnoteText"/>
        <w:rPr>
          <w:sz w:val="16"/>
          <w:szCs w:val="16"/>
        </w:rPr>
      </w:pPr>
      <w:r w:rsidRPr="00A15D27">
        <w:rPr>
          <w:rStyle w:val="FootnoteReference"/>
          <w:sz w:val="16"/>
          <w:szCs w:val="16"/>
        </w:rPr>
        <w:footnoteRef/>
      </w:r>
      <w:r w:rsidRPr="00A15D27">
        <w:rPr>
          <w:sz w:val="16"/>
          <w:szCs w:val="16"/>
        </w:rPr>
        <w:t xml:space="preserve"> </w:t>
      </w:r>
      <w:r w:rsidRPr="00A15D27">
        <w:rPr>
          <w:noProof/>
          <w:sz w:val="16"/>
          <w:szCs w:val="16"/>
        </w:rPr>
        <w:t xml:space="preserve">For this assessment, effectiveness is defined as the ability of public resources to achieve a given set of objectives, as defined in </w:t>
      </w:r>
      <w:r w:rsidRPr="00A15D27">
        <w:rPr>
          <w:sz w:val="16"/>
          <w:szCs w:val="16"/>
        </w:rPr>
        <w:t xml:space="preserve">European Commission. (2009). An analysis of the efficiency of public spending and national policies in the area of R&amp;D, Directorate-General for Economic and Financial Affairs. </w:t>
      </w:r>
      <w:hyperlink r:id="rId29" w:tooltip="Link to European Commission report: An analysis of the efficiency of public spending and national policies " w:history="1">
        <w:r w:rsidRPr="00A15D27">
          <w:rPr>
            <w:rStyle w:val="Hyperlink"/>
            <w:sz w:val="16"/>
            <w:szCs w:val="16"/>
          </w:rPr>
          <w:t>https://ec.europa.eu/economy_finance/publications/pages/publication15847_en.pdf</w:t>
        </w:r>
      </w:hyperlink>
    </w:p>
  </w:footnote>
  <w:footnote w:id="37">
    <w:p w14:paraId="72F414E5" w14:textId="6B908F83" w:rsidR="00EF78E7" w:rsidRPr="00A15D27" w:rsidRDefault="00EF78E7" w:rsidP="00334A33">
      <w:pPr>
        <w:pStyle w:val="FootnoteText"/>
        <w:rPr>
          <w:sz w:val="16"/>
          <w:szCs w:val="16"/>
        </w:rPr>
      </w:pPr>
      <w:r w:rsidRPr="00A15D27">
        <w:rPr>
          <w:rStyle w:val="FootnoteReference"/>
          <w:sz w:val="16"/>
          <w:szCs w:val="16"/>
        </w:rPr>
        <w:footnoteRef/>
      </w:r>
      <w:r w:rsidRPr="00A15D27">
        <w:rPr>
          <w:sz w:val="16"/>
          <w:szCs w:val="16"/>
        </w:rPr>
        <w:t xml:space="preserve"> Australia’s ISR system has been well studied, with over 20 reviews in the past 18 years. Recurring themes and findings across these reviews include the importance of the Government’s role in supporting ISR and the widespread and important economic, social and environmental benefits generated; Australia’s strengths in knowledge creation and the significant room for improvement in knowledge application, including collaboration with the private sector and commercialisation of Government</w:t>
      </w:r>
      <w:r>
        <w:rPr>
          <w:sz w:val="16"/>
          <w:szCs w:val="16"/>
        </w:rPr>
        <w:t>-</w:t>
      </w:r>
      <w:r w:rsidRPr="00A15D27">
        <w:rPr>
          <w:sz w:val="16"/>
          <w:szCs w:val="16"/>
        </w:rPr>
        <w:t>funded research; the need to optimise and reform measures to stimulate additional business R&amp;D and innovation; the degree of fragmentation and lack of scale in the Australian Government’s ISR investments including the absence of whole-of-government decision making frameworks and priorities directing the investment; and the lack of an overarching, whole-of-government approach to performance management and evaluation.</w:t>
      </w:r>
    </w:p>
  </w:footnote>
  <w:footnote w:id="38">
    <w:p w14:paraId="508FB425" w14:textId="4B36B388" w:rsidR="00EF78E7" w:rsidRPr="00A15D27" w:rsidRDefault="00EF78E7">
      <w:pPr>
        <w:pStyle w:val="FootnoteText"/>
        <w:rPr>
          <w:color w:val="006397" w:themeColor="hyperlink"/>
          <w:sz w:val="16"/>
          <w:szCs w:val="16"/>
        </w:rPr>
      </w:pPr>
      <w:r w:rsidRPr="00A15D27">
        <w:rPr>
          <w:rStyle w:val="FootnoteReference"/>
          <w:sz w:val="16"/>
          <w:szCs w:val="16"/>
        </w:rPr>
        <w:footnoteRef/>
      </w:r>
      <w:r w:rsidRPr="00A15D27">
        <w:rPr>
          <w:sz w:val="16"/>
          <w:szCs w:val="16"/>
        </w:rPr>
        <w:t xml:space="preserve"> United Kingdom Department for Business, Energy and Industrial Strategy. (13 September 2019). Policy paper: The Grand Challenge missions. </w:t>
      </w:r>
      <w:hyperlink r:id="rId30" w:tooltip="link to UK's Grand Challenge Missions policy paper" w:history="1">
        <w:r w:rsidRPr="00A15D27">
          <w:rPr>
            <w:rStyle w:val="Hyperlink"/>
            <w:sz w:val="16"/>
            <w:szCs w:val="16"/>
          </w:rPr>
          <w:t>https://www.gov.uk/government/publications/industrial-strategy-the-grand-challenges/missions</w:t>
        </w:r>
      </w:hyperlink>
    </w:p>
  </w:footnote>
  <w:footnote w:id="39">
    <w:p w14:paraId="18D2952C" w14:textId="0F72F9B6" w:rsidR="00EF78E7" w:rsidRPr="00A15D27" w:rsidRDefault="00EF78E7" w:rsidP="0032159B">
      <w:pPr>
        <w:pStyle w:val="FootnoteText"/>
        <w:rPr>
          <w:sz w:val="16"/>
          <w:szCs w:val="16"/>
        </w:rPr>
      </w:pPr>
      <w:r w:rsidRPr="00A15D27">
        <w:rPr>
          <w:rStyle w:val="FootnoteReference"/>
          <w:sz w:val="16"/>
          <w:szCs w:val="16"/>
        </w:rPr>
        <w:footnoteRef/>
      </w:r>
      <w:r w:rsidRPr="00A15D27">
        <w:rPr>
          <w:sz w:val="16"/>
          <w:szCs w:val="16"/>
        </w:rPr>
        <w:t xml:space="preserve"> Statistics Canada. (2019). Federal government spending on science and technology, by performing sector. Table 2. </w:t>
      </w:r>
      <w:hyperlink r:id="rId31" w:tooltip="Link to Statistics Canada Federal government spending on science and technology report html; see table 2" w:history="1">
        <w:r w:rsidRPr="00481E94">
          <w:rPr>
            <w:rStyle w:val="Hyperlink"/>
            <w:sz w:val="16"/>
            <w:szCs w:val="16"/>
          </w:rPr>
          <w:t>https://www150.statcan.gc.ca/n1/daily-quotidien/190401/dq190401a-eng.htm</w:t>
        </w:r>
      </w:hyperlink>
      <w:r>
        <w:rPr>
          <w:rStyle w:val="Hyperlink"/>
          <w:sz w:val="16"/>
          <w:szCs w:val="16"/>
        </w:rPr>
        <w:t xml:space="preserve"> </w:t>
      </w:r>
    </w:p>
  </w:footnote>
  <w:footnote w:id="40">
    <w:p w14:paraId="61B175C0" w14:textId="32E1A192" w:rsidR="00EF78E7" w:rsidRPr="00A15D27" w:rsidRDefault="00EF78E7" w:rsidP="0032159B">
      <w:pPr>
        <w:pStyle w:val="FootnoteText"/>
        <w:rPr>
          <w:sz w:val="16"/>
          <w:szCs w:val="16"/>
        </w:rPr>
      </w:pPr>
      <w:r w:rsidRPr="00A15D27">
        <w:rPr>
          <w:rStyle w:val="FootnoteReference"/>
          <w:sz w:val="16"/>
          <w:szCs w:val="16"/>
        </w:rPr>
        <w:footnoteRef/>
      </w:r>
      <w:r w:rsidRPr="00A15D27">
        <w:rPr>
          <w:sz w:val="16"/>
          <w:szCs w:val="16"/>
        </w:rPr>
        <w:t xml:space="preserve"> The Royal Society. (2019). Investing in UK R&amp;D. </w:t>
      </w:r>
      <w:hyperlink r:id="rId32" w:tooltip="Link to Royal Society's report 'Investing in UK RD" w:history="1">
        <w:r w:rsidRPr="00A15D27">
          <w:rPr>
            <w:rStyle w:val="Hyperlink"/>
            <w:sz w:val="16"/>
            <w:szCs w:val="16"/>
          </w:rPr>
          <w:t>https://royalsociety.org/-/media/policy/projects/investing-in-uk-r-and-d/2019/investing-in-UK-r-and-d-may-2019.pdf</w:t>
        </w:r>
      </w:hyperlink>
      <w:r w:rsidRPr="00A15D27">
        <w:rPr>
          <w:sz w:val="16"/>
          <w:szCs w:val="16"/>
        </w:rPr>
        <w:t xml:space="preserve"> </w:t>
      </w:r>
    </w:p>
  </w:footnote>
  <w:footnote w:id="41">
    <w:p w14:paraId="3AE34502" w14:textId="5562297A" w:rsidR="00EF78E7" w:rsidRPr="00A15D27" w:rsidRDefault="00EF78E7" w:rsidP="00170575">
      <w:pPr>
        <w:pStyle w:val="FootnoteText"/>
        <w:rPr>
          <w:sz w:val="16"/>
          <w:szCs w:val="16"/>
        </w:rPr>
      </w:pPr>
      <w:r w:rsidRPr="00A15D27">
        <w:rPr>
          <w:rStyle w:val="FootnoteReference"/>
          <w:sz w:val="16"/>
          <w:szCs w:val="16"/>
        </w:rPr>
        <w:footnoteRef/>
      </w:r>
      <w:r w:rsidRPr="00A15D27">
        <w:rPr>
          <w:sz w:val="16"/>
          <w:szCs w:val="16"/>
        </w:rPr>
        <w:t xml:space="preserve"> This analysis only includes investment in R&amp;D as limited data is available on non-R&amp;D innovation expenditure across all of the actors in the Australian system. Previous analysis found that business investment in non-R&amp;D innovation is at least as widespread as its investment in R&amp;D. Data has been taken from</w:t>
      </w:r>
      <w:r w:rsidRPr="00A15D27">
        <w:t xml:space="preserve"> </w:t>
      </w:r>
      <w:r w:rsidRPr="00A15D27">
        <w:rPr>
          <w:sz w:val="16"/>
          <w:szCs w:val="16"/>
        </w:rPr>
        <w:t>ABS, 8104.0 – Research and Experimental Development, Businesses, Australia, 2017–18; 8109.0 – Research and Experimental Development, Government and Private Non-Profit Organisations, Australia, 2016–17; 8111.0 – Research and Experimental Development, Higher Education Organisations, Australia, 2016. Note the ABS surveys those entities that perform R&amp;D (businesses, institutes, universities, etc.) in order to identify the amount they spend on R&amp;D activities that they perform in a given year. BERD data was estimated from an average of 2015–16 and 2017–18 BERD data.</w:t>
      </w:r>
    </w:p>
  </w:footnote>
  <w:footnote w:id="42">
    <w:p w14:paraId="4DF769E7" w14:textId="43FC6974" w:rsidR="00EF78E7" w:rsidRPr="00A15D27" w:rsidRDefault="00EF78E7" w:rsidP="003D55E1">
      <w:pPr>
        <w:pStyle w:val="FootnoteText"/>
        <w:rPr>
          <w:sz w:val="16"/>
          <w:szCs w:val="16"/>
        </w:rPr>
      </w:pPr>
      <w:r w:rsidRPr="00A15D27">
        <w:rPr>
          <w:rStyle w:val="FootnoteReference"/>
          <w:sz w:val="16"/>
          <w:szCs w:val="16"/>
        </w:rPr>
        <w:footnoteRef/>
      </w:r>
      <w:r w:rsidRPr="00A15D27">
        <w:rPr>
          <w:sz w:val="16"/>
          <w:szCs w:val="16"/>
        </w:rPr>
        <w:t xml:space="preserve"> This estimate is from ABS BERD data and only includes business R&amp;D. It does not include business non-R&amp;D innovation, which was estimated at $15–19 billion in 2016–17. Innovation and Science Australia (2020). Stimulating business investment in innovation.</w:t>
      </w:r>
      <w:r w:rsidRPr="00A15D27">
        <w:t xml:space="preserve"> </w:t>
      </w:r>
      <w:hyperlink r:id="rId33" w:tooltip="Link to ISA's Stimulating business investment in innovation report" w:history="1">
        <w:r w:rsidRPr="00A15D27">
          <w:rPr>
            <w:rStyle w:val="Hyperlink"/>
            <w:sz w:val="16"/>
            <w:szCs w:val="16"/>
          </w:rPr>
          <w:t>www.industry.gov.au/sites/default/files/2020-02/stimulating-business-investment-in-innovation.pdf</w:t>
        </w:r>
      </w:hyperlink>
    </w:p>
  </w:footnote>
  <w:footnote w:id="43">
    <w:p w14:paraId="2B5B1DF7" w14:textId="021C2677" w:rsidR="00EF78E7" w:rsidRPr="00A15D27" w:rsidRDefault="00EF78E7" w:rsidP="00C546EC">
      <w:pPr>
        <w:pStyle w:val="FootnoteText"/>
        <w:rPr>
          <w:sz w:val="16"/>
          <w:szCs w:val="16"/>
        </w:rPr>
      </w:pPr>
      <w:r w:rsidRPr="00A15D27">
        <w:rPr>
          <w:rStyle w:val="FootnoteReference"/>
          <w:sz w:val="16"/>
          <w:szCs w:val="16"/>
        </w:rPr>
        <w:footnoteRef/>
      </w:r>
      <w:r w:rsidRPr="00A15D27">
        <w:rPr>
          <w:sz w:val="16"/>
          <w:szCs w:val="16"/>
        </w:rPr>
        <w:t xml:space="preserve"> In this analysis ‘Commonwealth’ funding includes ‘Commonwealth competitive funds’ and ‘Other Commonwealth Government’ (defined as targeted research funding from Commonwealth agencies (e.g. CRC grants) and funding for the Research Training and Support Programs. ‘General university funds’ represents university funds that are used for R&amp;D, sourced from both Commonwealth Government funding (other than competitive grants, targeted research funding, or funding identified as 'Other Commonwealth Government') and non-Commonwealth funding (such as fees and charges, income relating to Higher Education Contribution Scheme liabilities, income from non</w:t>
      </w:r>
      <w:r w:rsidRPr="00A15D27">
        <w:rPr>
          <w:sz w:val="16"/>
          <w:szCs w:val="16"/>
        </w:rPr>
        <w:noBreakHyphen/>
        <w:t>research specific donations, bequests and foundations, investment income, reversions from provisions accounts, loans drawn down, income from the institutions commercial operations and from sale of products or assets). ‘Other Australian’ funding includes any Australian sources not captured by other descriptors as well as funds from joint business/government, donations and bequests. ABS, 8104.0 – Research and Experimental Development, Businesses, Australia, 2017–18; 8109.0 – Research and Experimental Development, Government and Private Non-Profit Organisations, Australia, 2016–17; 8111.0 – Research and Experimental Development, Higher Education Organisations, Australia, 2016. Note the ABS surveys those entities that perform R&amp;D (businesses, institutes, universities, etc.) in order to identify the amount they spend on R&amp;D activities that they perform in a given year. BERD data was estimated from an average of 2015–16 and 2017–18 BERD data.</w:t>
      </w:r>
    </w:p>
  </w:footnote>
  <w:footnote w:id="44">
    <w:p w14:paraId="19C8D1B3" w14:textId="0B79FEC4"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Based on expert advice.</w:t>
      </w:r>
    </w:p>
  </w:footnote>
  <w:footnote w:id="45">
    <w:p w14:paraId="28EA568B" w14:textId="6BE1B37F" w:rsidR="00EF78E7" w:rsidRPr="00A15D27" w:rsidRDefault="00EF78E7" w:rsidP="009F3FC8">
      <w:pPr>
        <w:spacing w:after="0" w:line="240" w:lineRule="auto"/>
        <w:rPr>
          <w:sz w:val="16"/>
          <w:szCs w:val="16"/>
        </w:rPr>
      </w:pPr>
      <w:r w:rsidRPr="00A15D27">
        <w:rPr>
          <w:rStyle w:val="FootnoteReference"/>
          <w:sz w:val="16"/>
          <w:szCs w:val="16"/>
        </w:rPr>
        <w:footnoteRef/>
      </w:r>
      <w:r w:rsidRPr="00A15D27">
        <w:rPr>
          <w:sz w:val="16"/>
          <w:szCs w:val="16"/>
        </w:rPr>
        <w:t xml:space="preserve"> ‘General university funds’ represents university funds that are used for R&amp;D, sourced from both Commonwealth Government funding (other than competitive grants, targeted research funding, or funding identified as 'Other Commonwealth Government') and non-Commonwealth funding (such as fees and charges, income relating to Higher Education Contribution Scheme liabilities, income from non</w:t>
      </w:r>
      <w:r w:rsidRPr="00A15D27">
        <w:rPr>
          <w:sz w:val="16"/>
          <w:szCs w:val="16"/>
        </w:rPr>
        <w:noBreakHyphen/>
        <w:t>research specific donations, bequests and foundations, investment income, reversions from provisions accounts, loans drawn down, income from the institutions commercial operations and from sale of products or assets).</w:t>
      </w:r>
    </w:p>
  </w:footnote>
  <w:footnote w:id="46">
    <w:p w14:paraId="547C86A9" w14:textId="2E4FD9DD" w:rsidR="00EF78E7" w:rsidRPr="00A15D27" w:rsidRDefault="00EF78E7" w:rsidP="00AA654B">
      <w:pPr>
        <w:pStyle w:val="FootnoteText"/>
        <w:rPr>
          <w:sz w:val="16"/>
          <w:szCs w:val="16"/>
        </w:rPr>
      </w:pPr>
      <w:r w:rsidRPr="00A15D27">
        <w:rPr>
          <w:rStyle w:val="FootnoteReference"/>
          <w:sz w:val="16"/>
          <w:szCs w:val="16"/>
        </w:rPr>
        <w:footnoteRef/>
      </w:r>
      <w:r w:rsidRPr="00A15D27">
        <w:rPr>
          <w:sz w:val="16"/>
          <w:szCs w:val="16"/>
        </w:rPr>
        <w:t xml:space="preserve"> Note: this figure is based on budget estimates only. Department of Industry, Science, Energy and Resources. (2019). Science, Research and Innovation Budget Tables. </w:t>
      </w:r>
      <w:hyperlink r:id="rId34" w:tooltip="Link to Science, Research and Innovation Budget Tables data website" w:history="1">
        <w:r w:rsidRPr="00A15D27">
          <w:rPr>
            <w:rStyle w:val="Hyperlink"/>
            <w:sz w:val="16"/>
            <w:szCs w:val="16"/>
          </w:rPr>
          <w:t>www.industry.gov.au/data-and-publications/science-research-and-innovation-sri-budget-tables</w:t>
        </w:r>
      </w:hyperlink>
    </w:p>
  </w:footnote>
  <w:footnote w:id="47">
    <w:p w14:paraId="16B5C266" w14:textId="31DDFE18" w:rsidR="00EF78E7" w:rsidRPr="00A15D27" w:rsidRDefault="00EF78E7" w:rsidP="00C8522D">
      <w:pPr>
        <w:pStyle w:val="FootnoteText"/>
        <w:rPr>
          <w:sz w:val="16"/>
          <w:szCs w:val="16"/>
        </w:rPr>
      </w:pPr>
      <w:r w:rsidRPr="00A15D27">
        <w:rPr>
          <w:rStyle w:val="FootnoteReference"/>
          <w:sz w:val="16"/>
          <w:szCs w:val="16"/>
        </w:rPr>
        <w:footnoteRef/>
      </w:r>
      <w:r w:rsidRPr="00A15D27">
        <w:rPr>
          <w:sz w:val="16"/>
          <w:szCs w:val="16"/>
        </w:rPr>
        <w:t xml:space="preserve"> Socio</w:t>
      </w:r>
      <w:r>
        <w:rPr>
          <w:sz w:val="16"/>
          <w:szCs w:val="16"/>
        </w:rPr>
        <w:t>e</w:t>
      </w:r>
      <w:r w:rsidRPr="00A15D27">
        <w:rPr>
          <w:sz w:val="16"/>
          <w:szCs w:val="16"/>
        </w:rPr>
        <w:t>conomic Objective (SEO) is a useful way of categorising R&amp;D activity according to the intended purpose or outcome of the research, rather than the processes or techniques used in order to achieve this objective. These categories include processes, products, health, education and other social and environmental aspects that R&amp;D activity aims to improve within Australia. However, SEO data is not currently available for the Government’s investments in non-R&amp;D innovation activities. It should be noted that some programs deliver against multiple socioeconomic objectives while other programs deliver against just one.</w:t>
      </w:r>
    </w:p>
  </w:footnote>
  <w:footnote w:id="48">
    <w:p w14:paraId="0EE5AC9D" w14:textId="4865BEE3" w:rsidR="00EF78E7" w:rsidRPr="00A15D27" w:rsidRDefault="00EF78E7" w:rsidP="007C2A68">
      <w:pPr>
        <w:pStyle w:val="FootnoteText"/>
        <w:rPr>
          <w:sz w:val="16"/>
          <w:szCs w:val="16"/>
        </w:rPr>
      </w:pPr>
      <w:r w:rsidRPr="00A15D27">
        <w:rPr>
          <w:rStyle w:val="FootnoteReference"/>
          <w:sz w:val="16"/>
          <w:szCs w:val="16"/>
        </w:rPr>
        <w:footnoteRef/>
      </w:r>
      <w:r w:rsidRPr="00A15D27">
        <w:rPr>
          <w:sz w:val="16"/>
          <w:szCs w:val="16"/>
        </w:rPr>
        <w:t xml:space="preserve"> The 2019–20 SRI Budget Tables use the 14 socioeconomic objectives described in: </w:t>
      </w:r>
      <w:r w:rsidRPr="00A15D27">
        <w:rPr>
          <w:i/>
          <w:sz w:val="16"/>
          <w:szCs w:val="16"/>
        </w:rPr>
        <w:t>Frascati Manual 2015: Guidelines for Collecting and Reporting Data on Research and Experimental Development</w:t>
      </w:r>
      <w:r w:rsidRPr="00A15D27">
        <w:rPr>
          <w:sz w:val="16"/>
          <w:szCs w:val="16"/>
        </w:rPr>
        <w:t xml:space="preserve">, The Measurement of Scientific, Technological and Innovation Activities, OECD Publishing, Paris. </w:t>
      </w:r>
      <w:hyperlink r:id="rId35" w:tooltip="Frascati Manual document link" w:history="1">
        <w:r w:rsidRPr="00A15D27">
          <w:rPr>
            <w:rStyle w:val="Hyperlink"/>
            <w:sz w:val="16"/>
            <w:szCs w:val="16"/>
          </w:rPr>
          <w:t>https://doi.org/10.1787/9789264239012-en</w:t>
        </w:r>
      </w:hyperlink>
      <w:r w:rsidRPr="00860077">
        <w:rPr>
          <w:rStyle w:val="Hyperlink"/>
          <w:color w:val="auto"/>
          <w:sz w:val="16"/>
          <w:szCs w:val="16"/>
          <w:u w:val="none"/>
        </w:rPr>
        <w:t>.</w:t>
      </w:r>
      <w:r w:rsidRPr="00A15D27">
        <w:rPr>
          <w:sz w:val="16"/>
          <w:szCs w:val="16"/>
        </w:rPr>
        <w:t xml:space="preserve"> In our analysis we grouped the two General advancement of knowledge socioeconomic objectives. ‘Other’ groups any program of less than $50 million in 2019–20 within each socioeconomic objective. AAD, Australian Antarctic Division; ACIAR, Australian Centre for International Agricultural Research; ANSTO, Australian Nuclear Science and Technology Organisation; ANU, Australian National University; ARC, Australian Research Council; ARENA, Australian Renewable Energy Agency; CRC, Cooperative Research Centres; CSIRO, Commonwealth Scientific and Industrial Research Organisation; DIH, Defence Innovation Hub; DST, Defence, Science and Technology; GA, Geoscience Australia; MRFF, Medical Research Future Fund; NCRIS, National Collaborative Research Infrastructure Strategy; NHMRC, National Health and Medical Research Council; R</w:t>
      </w:r>
      <w:r>
        <w:rPr>
          <w:sz w:val="16"/>
          <w:szCs w:val="16"/>
        </w:rPr>
        <w:t>&amp;</w:t>
      </w:r>
      <w:r w:rsidRPr="00A15D27">
        <w:rPr>
          <w:sz w:val="16"/>
          <w:szCs w:val="16"/>
        </w:rPr>
        <w:t>DTI, Industry R&amp;D Tax Measures (Refundable and Non-Refundable).</w:t>
      </w:r>
    </w:p>
  </w:footnote>
  <w:footnote w:id="49">
    <w:p w14:paraId="212F16EC" w14:textId="0258EEDF"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The Statement of Expectations, dated 19 February 2019, can be found at </w:t>
      </w:r>
      <w:hyperlink r:id="rId36" w:tooltip="Link to ISA's Statement of Expectations" w:history="1">
        <w:r w:rsidRPr="00A15D27">
          <w:rPr>
            <w:rStyle w:val="Hyperlink"/>
            <w:sz w:val="16"/>
            <w:szCs w:val="16"/>
          </w:rPr>
          <w:t>www.industry.gov.au/sites/default/files/2019-10/isa-statement-of-expectations-2019.pdf</w:t>
        </w:r>
      </w:hyperlink>
    </w:p>
  </w:footnote>
  <w:footnote w:id="50">
    <w:p w14:paraId="0E4758F5" w14:textId="04C2C799" w:rsidR="00EF78E7" w:rsidRPr="00307A38" w:rsidRDefault="00EF78E7">
      <w:pPr>
        <w:pStyle w:val="FootnoteText"/>
        <w:rPr>
          <w:sz w:val="16"/>
          <w:szCs w:val="16"/>
        </w:rPr>
      </w:pPr>
      <w:r w:rsidRPr="00307A38">
        <w:rPr>
          <w:rStyle w:val="FootnoteReference"/>
          <w:sz w:val="16"/>
          <w:szCs w:val="16"/>
        </w:rPr>
        <w:footnoteRef/>
      </w:r>
      <w:r w:rsidRPr="00307A38">
        <w:rPr>
          <w:sz w:val="16"/>
          <w:szCs w:val="16"/>
        </w:rPr>
        <w:t xml:space="preserve"> </w:t>
      </w:r>
      <w:r w:rsidRPr="00A15D27">
        <w:rPr>
          <w:sz w:val="16"/>
          <w:szCs w:val="16"/>
        </w:rPr>
        <w:t>It should be noted that duplication, in and of itself, is not a sign of an ineffective ISR system. Duplication of ISR investment may be intentional by design. For example, multiple teams have been funded to develop a COVID-19 vaccine to ensure an effective outcome for a time critical problem. However, unplanned duplication may indicate that the Government’s ISR investment is not as effective as it could be.</w:t>
      </w:r>
    </w:p>
  </w:footnote>
  <w:footnote w:id="51">
    <w:p w14:paraId="6970D7AC" w14:textId="58B72074" w:rsidR="00EF78E7" w:rsidRPr="00774ED4" w:rsidRDefault="00EF78E7">
      <w:pPr>
        <w:pStyle w:val="FootnoteText"/>
        <w:rPr>
          <w:sz w:val="16"/>
          <w:szCs w:val="16"/>
        </w:rPr>
      </w:pPr>
      <w:r w:rsidRPr="00774ED4">
        <w:rPr>
          <w:rStyle w:val="FootnoteReference"/>
          <w:sz w:val="16"/>
          <w:szCs w:val="16"/>
        </w:rPr>
        <w:footnoteRef/>
      </w:r>
      <w:r w:rsidRPr="00774ED4">
        <w:rPr>
          <w:sz w:val="16"/>
          <w:szCs w:val="16"/>
        </w:rPr>
        <w:t xml:space="preserve"> Innovation and Science Australia. (2020). </w:t>
      </w:r>
      <w:r w:rsidRPr="001E620A">
        <w:rPr>
          <w:sz w:val="16"/>
          <w:szCs w:val="16"/>
        </w:rPr>
        <w:t xml:space="preserve">Driving effective Government investment in innovation, science and research—Appendices. </w:t>
      </w:r>
    </w:p>
  </w:footnote>
  <w:footnote w:id="52">
    <w:p w14:paraId="0A18E209" w14:textId="77777777" w:rsidR="00EF78E7" w:rsidRPr="00307A38" w:rsidRDefault="00EF78E7" w:rsidP="00CC21C2">
      <w:pPr>
        <w:pStyle w:val="FootnoteText"/>
        <w:rPr>
          <w:sz w:val="16"/>
          <w:szCs w:val="16"/>
        </w:rPr>
      </w:pPr>
      <w:r w:rsidRPr="00307A38">
        <w:rPr>
          <w:rStyle w:val="FootnoteReference"/>
          <w:sz w:val="16"/>
          <w:szCs w:val="16"/>
        </w:rPr>
        <w:footnoteRef/>
      </w:r>
      <w:r w:rsidRPr="00307A38">
        <w:rPr>
          <w:sz w:val="16"/>
          <w:szCs w:val="16"/>
        </w:rPr>
        <w:t xml:space="preserve"> For this analysis we have defined ‘space’ as including earth observation, precision navigation and timing, satellite communications, space situational awareness and debris monitoring, access to space, robotics and automation, leapfrog R&amp;D, and relevant fundamental research.</w:t>
      </w:r>
    </w:p>
  </w:footnote>
  <w:footnote w:id="53">
    <w:p w14:paraId="605B92EB" w14:textId="6450A4A5" w:rsidR="00EF78E7" w:rsidRPr="00A15D27" w:rsidRDefault="00EF78E7" w:rsidP="001D2104">
      <w:pPr>
        <w:pStyle w:val="FootnoteText"/>
        <w:rPr>
          <w:sz w:val="16"/>
          <w:szCs w:val="16"/>
        </w:rPr>
      </w:pPr>
      <w:r w:rsidRPr="00A15D27">
        <w:rPr>
          <w:rStyle w:val="FootnoteReference"/>
          <w:sz w:val="16"/>
          <w:szCs w:val="16"/>
        </w:rPr>
        <w:footnoteRef/>
      </w:r>
      <w:r w:rsidRPr="00A15D27">
        <w:rPr>
          <w:sz w:val="16"/>
          <w:szCs w:val="16"/>
        </w:rPr>
        <w:t xml:space="preserve"> Also includes value of marine observations. Australian Government and APEC. (2019). Current and Future Value of Earth and Marine Observing in the Asia-Pacific Region. </w:t>
      </w:r>
      <w:hyperlink r:id="rId37" w:history="1">
        <w:r w:rsidRPr="00A15D27">
          <w:rPr>
            <w:rStyle w:val="Hyperlink"/>
            <w:sz w:val="16"/>
            <w:szCs w:val="16"/>
          </w:rPr>
          <w:t>www.industry.gov.au/data-and-publications/current-and-future-value-of-earth-and-marine-observing-to-the-asia-pacific-region</w:t>
        </w:r>
      </w:hyperlink>
    </w:p>
  </w:footnote>
  <w:footnote w:id="54">
    <w:p w14:paraId="34202B8C" w14:textId="28D0A3C6" w:rsidR="00EF78E7" w:rsidRPr="00A15D27" w:rsidRDefault="00EF78E7" w:rsidP="00B75A6A">
      <w:pPr>
        <w:pStyle w:val="FootnoteText"/>
        <w:rPr>
          <w:sz w:val="16"/>
          <w:szCs w:val="16"/>
        </w:rPr>
      </w:pPr>
      <w:r w:rsidRPr="00A15D27">
        <w:rPr>
          <w:rStyle w:val="FootnoteReference"/>
          <w:sz w:val="16"/>
          <w:szCs w:val="16"/>
        </w:rPr>
        <w:footnoteRef/>
      </w:r>
      <w:r w:rsidRPr="00A15D27">
        <w:rPr>
          <w:sz w:val="16"/>
          <w:szCs w:val="16"/>
        </w:rPr>
        <w:t xml:space="preserve"> IBISWorld. (2020). Satellite Communications and Astronautics in Australia. </w:t>
      </w:r>
      <w:r w:rsidRPr="00A15D27">
        <w:rPr>
          <w:rStyle w:val="Hyperlink"/>
          <w:sz w:val="16"/>
          <w:szCs w:val="16"/>
        </w:rPr>
        <w:t>https://my.ibisworld.com/au/en/industry-specialized/od5545/about</w:t>
      </w:r>
    </w:p>
  </w:footnote>
  <w:footnote w:id="55">
    <w:p w14:paraId="3A60F470" w14:textId="7998E4B7" w:rsidR="00EF78E7" w:rsidRPr="00A15D27" w:rsidRDefault="00EF78E7" w:rsidP="002A4FF6">
      <w:pPr>
        <w:pStyle w:val="FootnoteText"/>
        <w:rPr>
          <w:sz w:val="16"/>
          <w:szCs w:val="16"/>
        </w:rPr>
      </w:pPr>
      <w:r w:rsidRPr="00A15D27">
        <w:rPr>
          <w:rStyle w:val="FootnoteReference"/>
          <w:sz w:val="16"/>
          <w:szCs w:val="16"/>
        </w:rPr>
        <w:footnoteRef/>
      </w:r>
      <w:r w:rsidRPr="00A15D27">
        <w:rPr>
          <w:sz w:val="16"/>
          <w:szCs w:val="16"/>
        </w:rPr>
        <w:t xml:space="preserve"> Australian Space Agency. (2019). Advancing Space: Australian Civil Space Strategy 2019–2028. </w:t>
      </w:r>
      <w:hyperlink r:id="rId38" w:tooltip="link to the Australian Space Agency's Australian Civil Space Strategy" w:history="1">
        <w:r w:rsidRPr="00A15D27">
          <w:rPr>
            <w:rStyle w:val="Hyperlink"/>
            <w:sz w:val="16"/>
            <w:szCs w:val="16"/>
          </w:rPr>
          <w:t>https://publications.industry.gov.au/publications/advancing-space-australian-civil-space-strategy-2019-2028.pdf</w:t>
        </w:r>
      </w:hyperlink>
    </w:p>
  </w:footnote>
  <w:footnote w:id="56">
    <w:p w14:paraId="348E3FDC" w14:textId="16D1DE58" w:rsidR="00EF78E7" w:rsidRPr="00A15D27" w:rsidRDefault="00EF78E7" w:rsidP="002A4FF6">
      <w:pPr>
        <w:pStyle w:val="FootnoteText"/>
        <w:rPr>
          <w:sz w:val="16"/>
          <w:szCs w:val="16"/>
        </w:rPr>
      </w:pPr>
      <w:r w:rsidRPr="00A15D27">
        <w:rPr>
          <w:rStyle w:val="FootnoteReference"/>
          <w:sz w:val="16"/>
          <w:szCs w:val="16"/>
        </w:rPr>
        <w:footnoteRef/>
      </w:r>
      <w:r w:rsidRPr="00A15D27">
        <w:rPr>
          <w:sz w:val="16"/>
          <w:szCs w:val="16"/>
        </w:rPr>
        <w:t xml:space="preserve"> Australian Government and APEC. (2019). Current and Future Value of Earth and Marine Observing in the Asia</w:t>
      </w:r>
      <w:r w:rsidRPr="00A15D27">
        <w:rPr>
          <w:sz w:val="16"/>
          <w:szCs w:val="16"/>
        </w:rPr>
        <w:noBreakHyphen/>
        <w:t xml:space="preserve">Pacific Region. </w:t>
      </w:r>
      <w:hyperlink r:id="rId39" w:history="1">
        <w:r w:rsidRPr="00A15D27">
          <w:rPr>
            <w:rStyle w:val="Hyperlink"/>
            <w:sz w:val="16"/>
            <w:szCs w:val="16"/>
          </w:rPr>
          <w:t>www.industry.gov.au/data-and-publications/current-and-future-value-of-earth-and-marine-observing-to-the-asia-pacific-region</w:t>
        </w:r>
      </w:hyperlink>
    </w:p>
  </w:footnote>
  <w:footnote w:id="57">
    <w:p w14:paraId="5034A639" w14:textId="798B2BB3" w:rsidR="00EF78E7" w:rsidRPr="00A15D27" w:rsidRDefault="00EF78E7" w:rsidP="002A4FF6">
      <w:pPr>
        <w:pStyle w:val="FootnoteText"/>
        <w:rPr>
          <w:sz w:val="16"/>
          <w:szCs w:val="16"/>
        </w:rPr>
      </w:pPr>
      <w:r w:rsidRPr="00A15D27">
        <w:rPr>
          <w:rStyle w:val="FootnoteReference"/>
          <w:sz w:val="16"/>
          <w:szCs w:val="16"/>
        </w:rPr>
        <w:footnoteRef/>
      </w:r>
      <w:r w:rsidRPr="00A15D27">
        <w:rPr>
          <w:sz w:val="16"/>
          <w:szCs w:val="16"/>
        </w:rPr>
        <w:t xml:space="preserve"> OCED. (2019). The Space Economy in Figures: How Space Contributes to the Global Economy. </w:t>
      </w:r>
      <w:hyperlink r:id="rId40" w:tooltip="Link to OECD report: The Space Economy in Figures" w:history="1">
        <w:r w:rsidRPr="00A15D27">
          <w:rPr>
            <w:rStyle w:val="Hyperlink"/>
            <w:sz w:val="16"/>
            <w:szCs w:val="16"/>
          </w:rPr>
          <w:t>www.oecd-ilibrary.org/science-and-technology/the-space-economy-in-figures_c5996201-en</w:t>
        </w:r>
      </w:hyperlink>
    </w:p>
  </w:footnote>
  <w:footnote w:id="58">
    <w:p w14:paraId="0ED9C79B" w14:textId="6B186F88" w:rsidR="00EF78E7" w:rsidRPr="00A15D27" w:rsidRDefault="00EF78E7" w:rsidP="002A4FF6">
      <w:pPr>
        <w:pStyle w:val="FootnoteText"/>
        <w:rPr>
          <w:sz w:val="16"/>
          <w:szCs w:val="16"/>
        </w:rPr>
      </w:pPr>
      <w:r w:rsidRPr="00A15D27">
        <w:rPr>
          <w:rStyle w:val="FootnoteReference"/>
          <w:sz w:val="16"/>
          <w:szCs w:val="16"/>
        </w:rPr>
        <w:footnoteRef/>
      </w:r>
      <w:r w:rsidRPr="00A15D27">
        <w:rPr>
          <w:sz w:val="16"/>
          <w:szCs w:val="16"/>
        </w:rPr>
        <w:t xml:space="preserve"> Australian Space Agency. (2019). Advancing Space: Australian Civil Space Strategy 2019–2028. </w:t>
      </w:r>
      <w:hyperlink r:id="rId41" w:tooltip="link to the Australian Space Agency's Australian Civil Space Strategy" w:history="1">
        <w:r w:rsidRPr="00A15D27">
          <w:rPr>
            <w:rStyle w:val="Hyperlink"/>
            <w:sz w:val="16"/>
            <w:szCs w:val="16"/>
          </w:rPr>
          <w:t>https://publications.industry.gov.au/publications/advancing-space-australian-civil-space-strategy-2019-2028.pdf</w:t>
        </w:r>
      </w:hyperlink>
    </w:p>
  </w:footnote>
  <w:footnote w:id="59">
    <w:p w14:paraId="53CB3231" w14:textId="237B97D7" w:rsidR="00EF78E7" w:rsidRPr="00A15D27" w:rsidRDefault="00EF78E7" w:rsidP="002A4FF6">
      <w:pPr>
        <w:pStyle w:val="FootnoteText"/>
        <w:rPr>
          <w:sz w:val="16"/>
          <w:szCs w:val="16"/>
        </w:rPr>
      </w:pPr>
      <w:r w:rsidRPr="00A15D27">
        <w:rPr>
          <w:rStyle w:val="FootnoteReference"/>
          <w:sz w:val="16"/>
          <w:szCs w:val="16"/>
        </w:rPr>
        <w:footnoteRef/>
      </w:r>
      <w:r w:rsidRPr="00A15D27">
        <w:rPr>
          <w:sz w:val="16"/>
          <w:szCs w:val="16"/>
        </w:rPr>
        <w:t xml:space="preserve"> Australian Space Agency. (2019). Advancing Space: Australian Civil Space Strategy 2019–2028. </w:t>
      </w:r>
      <w:hyperlink r:id="rId42" w:tooltip="link to the Australian Space Agency's Australian Civil Space Strategy" w:history="1">
        <w:r w:rsidRPr="00A15D27">
          <w:rPr>
            <w:rStyle w:val="Hyperlink"/>
            <w:sz w:val="16"/>
            <w:szCs w:val="16"/>
          </w:rPr>
          <w:t>https://publications.industry.gov.au/publications/advancing-space-australian-civil-space-strategy-2019-2028.pdf</w:t>
        </w:r>
      </w:hyperlink>
      <w:r w:rsidRPr="00A15D27">
        <w:rPr>
          <w:sz w:val="16"/>
          <w:szCs w:val="16"/>
        </w:rPr>
        <w:t xml:space="preserve"> </w:t>
      </w:r>
    </w:p>
  </w:footnote>
  <w:footnote w:id="60">
    <w:p w14:paraId="35515413" w14:textId="577CC814" w:rsidR="00EF78E7" w:rsidRPr="00A15D27" w:rsidRDefault="00EF78E7" w:rsidP="000C2197">
      <w:pPr>
        <w:pStyle w:val="FootnoteText"/>
        <w:rPr>
          <w:sz w:val="16"/>
          <w:szCs w:val="16"/>
        </w:rPr>
      </w:pPr>
      <w:r w:rsidRPr="00A15D27">
        <w:rPr>
          <w:rStyle w:val="FootnoteReference"/>
          <w:sz w:val="16"/>
          <w:szCs w:val="16"/>
        </w:rPr>
        <w:footnoteRef/>
      </w:r>
      <w:r w:rsidRPr="00A15D27">
        <w:rPr>
          <w:sz w:val="16"/>
          <w:szCs w:val="16"/>
        </w:rPr>
        <w:t xml:space="preserve"> European Commission. (2009). An analysis of the efficiency of public spending and national policies in the area of R&amp;D, Directorate-General for Economic and Financial Affairs. </w:t>
      </w:r>
      <w:hyperlink r:id="rId43" w:tooltip="Link to European Commission report: An analysis of the efficiency of public spending and national policies " w:history="1">
        <w:r w:rsidRPr="00A15D27">
          <w:rPr>
            <w:rStyle w:val="Hyperlink"/>
            <w:sz w:val="16"/>
            <w:szCs w:val="16"/>
          </w:rPr>
          <w:t>https://ec.europa.eu/economy_finance/publications/pages/publication15847_en.pdf</w:t>
        </w:r>
      </w:hyperlink>
    </w:p>
  </w:footnote>
  <w:footnote w:id="61">
    <w:p w14:paraId="050DD117" w14:textId="63A6A60E"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The British Academy. (2019). Lessons from the History of UK Science Policy. </w:t>
      </w:r>
      <w:hyperlink r:id="rId44" w:history="1">
        <w:r w:rsidRPr="00A15D27">
          <w:rPr>
            <w:rStyle w:val="Hyperlink"/>
            <w:sz w:val="16"/>
            <w:szCs w:val="16"/>
          </w:rPr>
          <w:t>www.thebritishacademy.ac.uk/sites/default/files/Lessons-History-UK-science-policy.pdf</w:t>
        </w:r>
      </w:hyperlink>
    </w:p>
  </w:footnote>
  <w:footnote w:id="62">
    <w:p w14:paraId="0C132151" w14:textId="3FCC70B1" w:rsidR="00EF78E7" w:rsidRPr="00A15D27" w:rsidRDefault="00EF78E7" w:rsidP="00057CF7">
      <w:pPr>
        <w:pStyle w:val="FootnoteText"/>
        <w:rPr>
          <w:sz w:val="16"/>
          <w:szCs w:val="16"/>
        </w:rPr>
      </w:pPr>
      <w:r w:rsidRPr="00A15D27">
        <w:rPr>
          <w:rStyle w:val="FootnoteReference"/>
          <w:sz w:val="16"/>
          <w:szCs w:val="16"/>
        </w:rPr>
        <w:footnoteRef/>
      </w:r>
      <w:r w:rsidRPr="00A15D27">
        <w:rPr>
          <w:sz w:val="16"/>
          <w:szCs w:val="16"/>
        </w:rPr>
        <w:t xml:space="preserve"> The NSRPs and associated practical challenges can be found at Department of Industry, Science, Energy and Resources. (2015). Science and Research Priorities. </w:t>
      </w:r>
      <w:hyperlink r:id="rId45" w:history="1">
        <w:r w:rsidRPr="00A15D27">
          <w:rPr>
            <w:rStyle w:val="Hyperlink"/>
            <w:sz w:val="16"/>
            <w:szCs w:val="16"/>
          </w:rPr>
          <w:t>www.industry.gov.au/data-and-publications/science-and-research-priorities</w:t>
        </w:r>
      </w:hyperlink>
    </w:p>
  </w:footnote>
  <w:footnote w:id="63">
    <w:p w14:paraId="54F1CDAE" w14:textId="7B745F21" w:rsidR="00EF78E7" w:rsidRPr="00A15D27" w:rsidRDefault="00EF78E7" w:rsidP="002D45DD">
      <w:pPr>
        <w:pStyle w:val="FootnoteText"/>
        <w:rPr>
          <w:sz w:val="16"/>
          <w:szCs w:val="16"/>
        </w:rPr>
      </w:pPr>
      <w:r w:rsidRPr="00A15D27">
        <w:rPr>
          <w:rStyle w:val="FootnoteReference"/>
          <w:sz w:val="16"/>
          <w:szCs w:val="16"/>
        </w:rPr>
        <w:footnoteRef/>
      </w:r>
      <w:r w:rsidRPr="00A15D27">
        <w:rPr>
          <w:sz w:val="16"/>
          <w:szCs w:val="16"/>
        </w:rPr>
        <w:t xml:space="preserve"> Australian Government. (2017). Australia’s National Science Statement. </w:t>
      </w:r>
      <w:hyperlink r:id="rId46" w:tooltip="Link to Australia's National Science Statement" w:history="1">
        <w:r w:rsidRPr="00A15D27">
          <w:rPr>
            <w:rStyle w:val="Hyperlink"/>
            <w:sz w:val="16"/>
            <w:szCs w:val="16"/>
          </w:rPr>
          <w:t>https://publications.industry.gov.au/publications/nationalsciencestatement/index.html</w:t>
        </w:r>
      </w:hyperlink>
    </w:p>
  </w:footnote>
  <w:footnote w:id="64">
    <w:p w14:paraId="5B6C8153" w14:textId="50D8D1D6"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As stated in Department of Industry, Science, Energy and Resources. (2015). Science and Research Priorities. </w:t>
      </w:r>
      <w:hyperlink r:id="rId47" w:history="1">
        <w:r w:rsidRPr="00A15D27">
          <w:rPr>
            <w:rStyle w:val="Hyperlink"/>
            <w:sz w:val="16"/>
            <w:szCs w:val="16"/>
          </w:rPr>
          <w:t>www.industry.gov.au/data-and-publications/science-and-research-priorities</w:t>
        </w:r>
      </w:hyperlink>
    </w:p>
  </w:footnote>
  <w:footnote w:id="65">
    <w:p w14:paraId="6CAA2351" w14:textId="79CFC41F"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As stated in Australian Government. (2017). Australia’s National Science Statement. </w:t>
      </w:r>
      <w:hyperlink r:id="rId48" w:tooltip="Link to Australia's National Science Statement" w:history="1">
        <w:r w:rsidRPr="00A15D27">
          <w:rPr>
            <w:rStyle w:val="Hyperlink"/>
            <w:sz w:val="16"/>
            <w:szCs w:val="16"/>
          </w:rPr>
          <w:t>https://publications.industry.gov.au/publications/nationalsciencestatement/index.html</w:t>
        </w:r>
      </w:hyperlink>
    </w:p>
  </w:footnote>
  <w:footnote w:id="66">
    <w:p w14:paraId="5619D648" w14:textId="419771C1" w:rsidR="00EF78E7" w:rsidRPr="00A15D27" w:rsidRDefault="00EF78E7" w:rsidP="005519B8">
      <w:pPr>
        <w:pStyle w:val="FootnoteText"/>
        <w:rPr>
          <w:sz w:val="16"/>
          <w:szCs w:val="16"/>
        </w:rPr>
      </w:pPr>
      <w:r w:rsidRPr="00A15D27">
        <w:rPr>
          <w:rStyle w:val="FootnoteReference"/>
          <w:sz w:val="16"/>
          <w:szCs w:val="16"/>
        </w:rPr>
        <w:footnoteRef/>
      </w:r>
      <w:r w:rsidRPr="00A15D27">
        <w:rPr>
          <w:sz w:val="16"/>
          <w:szCs w:val="16"/>
        </w:rPr>
        <w:t xml:space="preserve"> As identified through the Industry Growth Centres, see </w:t>
      </w:r>
      <w:hyperlink r:id="rId49" w:tooltip="Link to Industry Growth Centres website" w:history="1">
        <w:r w:rsidRPr="00A15D27">
          <w:rPr>
            <w:rStyle w:val="Hyperlink"/>
            <w:sz w:val="16"/>
            <w:szCs w:val="16"/>
          </w:rPr>
          <w:t>www.industry.gov.au/strategies-for-the-future/industry-growth-centres</w:t>
        </w:r>
      </w:hyperlink>
      <w:r w:rsidRPr="00A15D27">
        <w:rPr>
          <w:sz w:val="16"/>
          <w:szCs w:val="16"/>
        </w:rPr>
        <w:t xml:space="preserve"> </w:t>
      </w:r>
    </w:p>
  </w:footnote>
  <w:footnote w:id="67">
    <w:p w14:paraId="383E6BBD" w14:textId="37B48588"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AustCyber, About us. </w:t>
      </w:r>
      <w:hyperlink r:id="rId50" w:tooltip="Link to AustCyber website" w:history="1">
        <w:r w:rsidRPr="00A15D27">
          <w:rPr>
            <w:rStyle w:val="Hyperlink"/>
            <w:sz w:val="16"/>
            <w:szCs w:val="16"/>
          </w:rPr>
          <w:t>www.austcyber.com</w:t>
        </w:r>
      </w:hyperlink>
    </w:p>
  </w:footnote>
  <w:footnote w:id="68">
    <w:p w14:paraId="4DB7F47F" w14:textId="066584CD" w:rsidR="00EF78E7" w:rsidRPr="00A15D27" w:rsidRDefault="00EF78E7" w:rsidP="005519B8">
      <w:pPr>
        <w:pStyle w:val="FootnoteText"/>
        <w:rPr>
          <w:color w:val="006397" w:themeColor="hyperlink"/>
          <w:sz w:val="16"/>
          <w:szCs w:val="16"/>
          <w:u w:val="single"/>
        </w:rPr>
      </w:pPr>
      <w:r w:rsidRPr="00A15D27">
        <w:rPr>
          <w:rStyle w:val="FootnoteReference"/>
          <w:sz w:val="16"/>
          <w:szCs w:val="16"/>
        </w:rPr>
        <w:footnoteRef/>
      </w:r>
      <w:r w:rsidRPr="00A15D27">
        <w:rPr>
          <w:sz w:val="16"/>
          <w:szCs w:val="16"/>
        </w:rPr>
        <w:t xml:space="preserve"> Australian Government. (2016). Entrepreneurs’ Programme, Accelerating Commercialisation, Customer Information Guide. </w:t>
      </w:r>
    </w:p>
  </w:footnote>
  <w:footnote w:id="69">
    <w:p w14:paraId="252B86E0" w14:textId="1031369A" w:rsidR="00EF78E7" w:rsidRPr="00A15D27" w:rsidRDefault="00EF78E7" w:rsidP="00E0516B">
      <w:pPr>
        <w:pStyle w:val="FootnoteText"/>
        <w:rPr>
          <w:sz w:val="16"/>
          <w:szCs w:val="16"/>
        </w:rPr>
      </w:pPr>
      <w:r w:rsidRPr="00A15D27">
        <w:rPr>
          <w:rStyle w:val="FootnoteReference"/>
          <w:sz w:val="16"/>
          <w:szCs w:val="16"/>
        </w:rPr>
        <w:footnoteRef/>
      </w:r>
      <w:r w:rsidRPr="00A15D27">
        <w:rPr>
          <w:sz w:val="16"/>
          <w:szCs w:val="16"/>
        </w:rPr>
        <w:t xml:space="preserve"> Australian Government. (2020). Cooperative Research Centres Grants, CRC Program Fact Sheet. </w:t>
      </w:r>
      <w:hyperlink r:id="rId51" w:anchor="program-documents" w:tooltip="Link to CRC program fact sheet" w:history="1">
        <w:r w:rsidRPr="00A15D27">
          <w:rPr>
            <w:rStyle w:val="Hyperlink"/>
            <w:sz w:val="16"/>
            <w:szCs w:val="16"/>
          </w:rPr>
          <w:t>www.business.gov.au/Grants-and-Programs/Cooperative-Research-Centres-CRC-Grants#program-documents</w:t>
        </w:r>
      </w:hyperlink>
    </w:p>
  </w:footnote>
  <w:footnote w:id="70">
    <w:p w14:paraId="790FC75F" w14:textId="750DA93F" w:rsidR="00EF78E7" w:rsidRPr="00A15D27" w:rsidRDefault="00EF78E7" w:rsidP="00DC6195">
      <w:pPr>
        <w:pStyle w:val="FootnoteText"/>
        <w:rPr>
          <w:sz w:val="16"/>
          <w:szCs w:val="16"/>
        </w:rPr>
      </w:pPr>
      <w:r w:rsidRPr="00A15D27">
        <w:rPr>
          <w:rStyle w:val="FootnoteReference"/>
          <w:sz w:val="16"/>
          <w:szCs w:val="16"/>
        </w:rPr>
        <w:footnoteRef/>
      </w:r>
      <w:r w:rsidRPr="00A15D27">
        <w:rPr>
          <w:sz w:val="16"/>
          <w:szCs w:val="16"/>
        </w:rPr>
        <w:t xml:space="preserve"> Australian Research Council (2018). Snapshot: Research Priorities in Australia. </w:t>
      </w:r>
      <w:hyperlink r:id="rId52" w:tooltip="Link to the Australian Reserarch Council's snapshot of Australian research priorities" w:history="1">
        <w:r w:rsidRPr="00A15D27">
          <w:rPr>
            <w:rStyle w:val="Hyperlink"/>
            <w:sz w:val="16"/>
            <w:szCs w:val="16"/>
          </w:rPr>
          <w:t>www.arc.gov.au/about-arc/consultations/national-science-and-research-priorities-review</w:t>
        </w:r>
      </w:hyperlink>
    </w:p>
  </w:footnote>
  <w:footnote w:id="71">
    <w:p w14:paraId="025CF6EC" w14:textId="2822BF3D" w:rsidR="00EF78E7" w:rsidRPr="00A15D27" w:rsidRDefault="00EF78E7" w:rsidP="0091095C">
      <w:pPr>
        <w:pStyle w:val="FootnoteText"/>
        <w:rPr>
          <w:sz w:val="16"/>
          <w:szCs w:val="16"/>
        </w:rPr>
      </w:pPr>
      <w:r w:rsidRPr="00A15D27">
        <w:rPr>
          <w:rStyle w:val="FootnoteReference"/>
          <w:sz w:val="16"/>
          <w:szCs w:val="16"/>
        </w:rPr>
        <w:footnoteRef/>
      </w:r>
      <w:r w:rsidRPr="00A15D27">
        <w:rPr>
          <w:sz w:val="16"/>
          <w:szCs w:val="16"/>
        </w:rPr>
        <w:t xml:space="preserve"> Department of the Prime Minister and Cabinet. (2019). Our Public Service, Our Future. Independent Review of the Australian Public Service. </w:t>
      </w:r>
      <w:hyperlink r:id="rId53" w:tooltip="Link to Australian Public Service Review" w:history="1">
        <w:r w:rsidRPr="00A15D27">
          <w:rPr>
            <w:rStyle w:val="Hyperlink"/>
            <w:sz w:val="16"/>
            <w:szCs w:val="16"/>
          </w:rPr>
          <w:t>https://pmc.gov.au/sites/default/files/publications/independent-review-aps.pdf</w:t>
        </w:r>
      </w:hyperlink>
    </w:p>
  </w:footnote>
  <w:footnote w:id="72">
    <w:p w14:paraId="43797A60" w14:textId="77777777" w:rsidR="00EF78E7" w:rsidRPr="00A15D27" w:rsidRDefault="00EF78E7" w:rsidP="0091095C">
      <w:pPr>
        <w:pStyle w:val="FootnoteText"/>
        <w:rPr>
          <w:sz w:val="16"/>
          <w:szCs w:val="16"/>
        </w:rPr>
      </w:pPr>
      <w:r w:rsidRPr="00A15D27">
        <w:rPr>
          <w:rStyle w:val="FootnoteReference"/>
          <w:sz w:val="16"/>
          <w:szCs w:val="16"/>
        </w:rPr>
        <w:footnoteRef/>
      </w:r>
      <w:r w:rsidRPr="00A15D27">
        <w:rPr>
          <w:sz w:val="16"/>
          <w:szCs w:val="16"/>
        </w:rPr>
        <w:t xml:space="preserve"> Such as </w:t>
      </w:r>
      <w:r w:rsidRPr="00A15D27">
        <w:rPr>
          <w:noProof/>
          <w:sz w:val="16"/>
          <w:szCs w:val="16"/>
        </w:rPr>
        <w:t>Corporate Plans and Portfolio Budget Statements.</w:t>
      </w:r>
    </w:p>
  </w:footnote>
  <w:footnote w:id="73">
    <w:p w14:paraId="72EE34D6" w14:textId="5D883705" w:rsidR="00EF78E7" w:rsidRPr="00A15D27" w:rsidRDefault="00EF78E7" w:rsidP="0091095C">
      <w:pPr>
        <w:pStyle w:val="FootnoteText"/>
        <w:rPr>
          <w:sz w:val="16"/>
          <w:szCs w:val="16"/>
        </w:rPr>
      </w:pPr>
      <w:r w:rsidRPr="00A15D27">
        <w:rPr>
          <w:rStyle w:val="FootnoteReference"/>
          <w:sz w:val="16"/>
          <w:szCs w:val="16"/>
        </w:rPr>
        <w:footnoteRef/>
      </w:r>
      <w:r w:rsidRPr="00A15D27">
        <w:rPr>
          <w:sz w:val="16"/>
          <w:szCs w:val="16"/>
        </w:rPr>
        <w:t xml:space="preserve"> For example, the NSRPs are used to assess CRC applications for rounds that are not targeted to address a specific problem, Australian Government. (2020). Cooperative Research Centres Grants, CRC Program Fact Sheet. </w:t>
      </w:r>
      <w:hyperlink r:id="rId54" w:anchor="program-documents" w:tooltip="Link to CRC program fact sheet" w:history="1">
        <w:r w:rsidRPr="00A15D27">
          <w:rPr>
            <w:rStyle w:val="Hyperlink"/>
            <w:sz w:val="16"/>
            <w:szCs w:val="16"/>
          </w:rPr>
          <w:t>www.business.gov.au/Grants-and-Programs/Cooperative-Research-Centres-CRC-Grants#program-documents</w:t>
        </w:r>
      </w:hyperlink>
      <w:r>
        <w:rPr>
          <w:rStyle w:val="Hyperlink"/>
          <w:sz w:val="16"/>
          <w:szCs w:val="16"/>
        </w:rPr>
        <w:t xml:space="preserve"> </w:t>
      </w:r>
    </w:p>
  </w:footnote>
  <w:footnote w:id="74">
    <w:p w14:paraId="376DFC3D" w14:textId="77777777" w:rsidR="00EF78E7" w:rsidRPr="00A15D27" w:rsidRDefault="00EF78E7" w:rsidP="0091095C">
      <w:pPr>
        <w:pStyle w:val="FootnoteText"/>
        <w:rPr>
          <w:sz w:val="16"/>
          <w:szCs w:val="16"/>
        </w:rPr>
      </w:pPr>
      <w:r w:rsidRPr="00A15D27">
        <w:rPr>
          <w:rStyle w:val="FootnoteReference"/>
          <w:sz w:val="16"/>
          <w:szCs w:val="16"/>
        </w:rPr>
        <w:footnoteRef/>
      </w:r>
      <w:r w:rsidRPr="00A15D27">
        <w:rPr>
          <w:sz w:val="16"/>
          <w:szCs w:val="16"/>
        </w:rPr>
        <w:t xml:space="preserve"> Australian Government. Science and Research Priorities. (2015). </w:t>
      </w:r>
      <w:hyperlink r:id="rId55" w:history="1">
        <w:r w:rsidRPr="00A15D27">
          <w:rPr>
            <w:rStyle w:val="Hyperlink"/>
            <w:sz w:val="16"/>
            <w:szCs w:val="16"/>
          </w:rPr>
          <w:t>www.industry.gov.au/sites/default/files/2018-10/science_and_research_priorities_2015.pdf?acsf_files_redirect</w:t>
        </w:r>
      </w:hyperlink>
      <w:r w:rsidRPr="00A15D27">
        <w:rPr>
          <w:sz w:val="16"/>
          <w:szCs w:val="16"/>
        </w:rPr>
        <w:t xml:space="preserve"> </w:t>
      </w:r>
    </w:p>
  </w:footnote>
  <w:footnote w:id="75">
    <w:p w14:paraId="077FE162" w14:textId="4DB3A7FD" w:rsidR="00EF78E7" w:rsidRPr="00A15D27" w:rsidRDefault="00EF78E7" w:rsidP="00A16878">
      <w:pPr>
        <w:pStyle w:val="FootnoteText"/>
        <w:rPr>
          <w:sz w:val="16"/>
          <w:szCs w:val="16"/>
        </w:rPr>
      </w:pPr>
      <w:r w:rsidRPr="00A15D27">
        <w:rPr>
          <w:rStyle w:val="FootnoteReference"/>
          <w:sz w:val="16"/>
          <w:szCs w:val="16"/>
        </w:rPr>
        <w:footnoteRef/>
      </w:r>
      <w:r w:rsidRPr="00A15D27">
        <w:rPr>
          <w:sz w:val="16"/>
          <w:szCs w:val="16"/>
        </w:rPr>
        <w:t xml:space="preserve"> Given the increasing importance of collaborations between Higher Education and defence to meet the ISR needs of defence and national security, there will be spillovers of this research for civil applications, such as quantum computing and space. More detail about this engagement can be found at Department of Defence, Science and Technology. (2020). Partner with us: University. </w:t>
      </w:r>
      <w:hyperlink r:id="rId56" w:history="1">
        <w:r w:rsidRPr="00A15D27">
          <w:rPr>
            <w:rStyle w:val="Hyperlink"/>
            <w:sz w:val="16"/>
            <w:szCs w:val="16"/>
          </w:rPr>
          <w:t>www.dst.defence.gov.au/partner-with-us/university</w:t>
        </w:r>
      </w:hyperlink>
    </w:p>
  </w:footnote>
  <w:footnote w:id="76">
    <w:p w14:paraId="7269F091" w14:textId="00406157" w:rsidR="00EF78E7" w:rsidRPr="00A15D27" w:rsidRDefault="00EF78E7" w:rsidP="0091095C">
      <w:pPr>
        <w:pStyle w:val="FootnoteText"/>
        <w:rPr>
          <w:sz w:val="16"/>
          <w:szCs w:val="16"/>
        </w:rPr>
      </w:pPr>
      <w:r w:rsidRPr="00A15D27">
        <w:rPr>
          <w:rStyle w:val="FootnoteReference"/>
          <w:sz w:val="16"/>
          <w:szCs w:val="16"/>
        </w:rPr>
        <w:footnoteRef/>
      </w:r>
      <w:r w:rsidRPr="00A15D27">
        <w:rPr>
          <w:sz w:val="16"/>
          <w:szCs w:val="16"/>
        </w:rPr>
        <w:t xml:space="preserve"> This investment is aimed at improving the understanding of and supporting the political structure of society; public administration issues and economic policy; regional studies and multi-level governance; social change, social processes and social conflicts; the development of social security and social assistance systems; and social aspects of the organisation of work. </w:t>
      </w:r>
    </w:p>
  </w:footnote>
  <w:footnote w:id="77">
    <w:p w14:paraId="653ED43F" w14:textId="27D95F71" w:rsidR="00EF78E7" w:rsidRPr="00A15D27" w:rsidRDefault="00EF78E7" w:rsidP="0091095C">
      <w:pPr>
        <w:pStyle w:val="FootnoteText"/>
        <w:rPr>
          <w:sz w:val="16"/>
          <w:szCs w:val="16"/>
        </w:rPr>
      </w:pPr>
      <w:r w:rsidRPr="00A15D27">
        <w:rPr>
          <w:rStyle w:val="FootnoteReference"/>
          <w:sz w:val="16"/>
          <w:szCs w:val="16"/>
        </w:rPr>
        <w:footnoteRef/>
      </w:r>
      <w:r w:rsidRPr="00A15D27">
        <w:rPr>
          <w:sz w:val="16"/>
          <w:szCs w:val="16"/>
        </w:rPr>
        <w:t xml:space="preserve"> These figures have been taken from the 2019–20 Science, Research and Innovation budget tables at </w:t>
      </w:r>
      <w:hyperlink r:id="rId57" w:tooltip="Link to Science, Research and Innovation Budget Tables data website" w:history="1">
        <w:r w:rsidRPr="00A15D27">
          <w:rPr>
            <w:rStyle w:val="Hyperlink"/>
            <w:sz w:val="16"/>
            <w:szCs w:val="16"/>
          </w:rPr>
          <w:t>www.industry.gov.au/data-and-publications/science-research-and-innovation-sri-budget-tables</w:t>
        </w:r>
      </w:hyperlink>
    </w:p>
  </w:footnote>
  <w:footnote w:id="78">
    <w:p w14:paraId="19AA17C9" w14:textId="592F4991" w:rsidR="00EF78E7" w:rsidRPr="00A15D27" w:rsidRDefault="00EF78E7" w:rsidP="00F70142">
      <w:pPr>
        <w:pStyle w:val="FootnoteText"/>
        <w:rPr>
          <w:sz w:val="16"/>
          <w:szCs w:val="16"/>
        </w:rPr>
      </w:pPr>
      <w:r w:rsidRPr="00A15D27">
        <w:rPr>
          <w:rStyle w:val="FootnoteReference"/>
          <w:sz w:val="16"/>
          <w:szCs w:val="16"/>
        </w:rPr>
        <w:footnoteRef/>
      </w:r>
      <w:r w:rsidRPr="00A15D27">
        <w:rPr>
          <w:sz w:val="16"/>
          <w:szCs w:val="16"/>
        </w:rPr>
        <w:t xml:space="preserve"> Australian Government. (2019). Our public service, our future. Independent review of the Australian public service. </w:t>
      </w:r>
      <w:hyperlink r:id="rId58" w:tooltip="Link to Australian Public Service Review" w:history="1">
        <w:r w:rsidRPr="00A15D27">
          <w:rPr>
            <w:rStyle w:val="Hyperlink"/>
            <w:sz w:val="16"/>
            <w:szCs w:val="16"/>
          </w:rPr>
          <w:t>https://pmc.gov.au/sites/default/files/publications/independent-review-aps.pdf</w:t>
        </w:r>
      </w:hyperlink>
      <w:r w:rsidRPr="00A15D27">
        <w:rPr>
          <w:sz w:val="16"/>
          <w:szCs w:val="16"/>
        </w:rPr>
        <w:t xml:space="preserve"> </w:t>
      </w:r>
    </w:p>
  </w:footnote>
  <w:footnote w:id="79">
    <w:p w14:paraId="480F65DB" w14:textId="06261F83" w:rsidR="00EF78E7" w:rsidRPr="00A15D27" w:rsidRDefault="00EF78E7" w:rsidP="006A2AD9">
      <w:pPr>
        <w:pStyle w:val="FootnoteText"/>
        <w:rPr>
          <w:sz w:val="16"/>
          <w:szCs w:val="16"/>
        </w:rPr>
      </w:pPr>
      <w:r w:rsidRPr="00A15D27">
        <w:rPr>
          <w:rStyle w:val="FootnoteReference"/>
          <w:sz w:val="16"/>
          <w:szCs w:val="16"/>
        </w:rPr>
        <w:footnoteRef/>
      </w:r>
      <w:r w:rsidRPr="00A15D27">
        <w:rPr>
          <w:sz w:val="16"/>
          <w:szCs w:val="16"/>
        </w:rPr>
        <w:t xml:space="preserve"> Estimates exclude Defence (KPMG January 2020 estimated</w:t>
      </w:r>
      <w:r w:rsidRPr="00A15D27">
        <w:t xml:space="preserve"> </w:t>
      </w:r>
      <w:r w:rsidRPr="00A15D27">
        <w:rPr>
          <w:sz w:val="16"/>
          <w:szCs w:val="16"/>
        </w:rPr>
        <w:t xml:space="preserve">$11.75b over 20 years or approximately $400–575m annually); </w:t>
      </w:r>
      <w:hyperlink r:id="rId59" w:tooltip="Link to KPMG's Investment in the Australian Space Sector report" w:history="1">
        <w:r w:rsidRPr="00A15D27">
          <w:rPr>
            <w:rStyle w:val="Hyperlink"/>
            <w:sz w:val="16"/>
            <w:szCs w:val="16"/>
          </w:rPr>
          <w:t>Investment in the Australian Space Sector</w:t>
        </w:r>
      </w:hyperlink>
      <w:r w:rsidRPr="00A15D27">
        <w:rPr>
          <w:sz w:val="16"/>
          <w:szCs w:val="16"/>
        </w:rPr>
        <w:t>), and smaller investments including those at AIMS, BoM, ANSTO and AAD. Research and Development Tax Incentive (R&amp;DTI) estimates include registrations for the 2018–19 income year lodged to 21 May 2020; submissions close 30 September 2020. Note, ARC grant values per financial year are estimates only, due to variable grant start and end dates.</w:t>
      </w:r>
    </w:p>
  </w:footnote>
  <w:footnote w:id="80">
    <w:p w14:paraId="11C36731" w14:textId="7F93A446" w:rsidR="00EF78E7" w:rsidRPr="00A15D27" w:rsidRDefault="00EF78E7" w:rsidP="00742301">
      <w:pPr>
        <w:pStyle w:val="FootnoteText"/>
        <w:rPr>
          <w:sz w:val="16"/>
          <w:szCs w:val="16"/>
        </w:rPr>
      </w:pPr>
      <w:r w:rsidRPr="00A15D27">
        <w:rPr>
          <w:rStyle w:val="FootnoteReference"/>
          <w:sz w:val="16"/>
          <w:szCs w:val="16"/>
        </w:rPr>
        <w:footnoteRef/>
      </w:r>
      <w:r w:rsidRPr="00A15D27">
        <w:rPr>
          <w:sz w:val="16"/>
          <w:szCs w:val="16"/>
        </w:rPr>
        <w:t xml:space="preserve"> Australian Space Agency (2019). Advancing Space: Australian Civil Space Strategy 2019–2028, Canberra: Commonwealth of Australia, April; available at: </w:t>
      </w:r>
      <w:hyperlink r:id="rId60" w:tooltip="Link to Australian Space Agency website" w:history="1">
        <w:r w:rsidRPr="00A15D27">
          <w:rPr>
            <w:rStyle w:val="Hyperlink"/>
            <w:sz w:val="16"/>
            <w:szCs w:val="16"/>
          </w:rPr>
          <w:t>www.space.gov.au</w:t>
        </w:r>
      </w:hyperlink>
      <w:r w:rsidRPr="00A15D27">
        <w:rPr>
          <w:sz w:val="16"/>
          <w:szCs w:val="16"/>
        </w:rPr>
        <w:t xml:space="preserve"> </w:t>
      </w:r>
    </w:p>
  </w:footnote>
  <w:footnote w:id="81">
    <w:p w14:paraId="105A741B" w14:textId="394D9562" w:rsidR="00EF78E7" w:rsidRPr="00A15D27" w:rsidRDefault="00EF78E7" w:rsidP="002D45DD">
      <w:pPr>
        <w:pStyle w:val="FootnoteText"/>
        <w:rPr>
          <w:color w:val="006397" w:themeColor="hyperlink"/>
          <w:sz w:val="16"/>
          <w:szCs w:val="16"/>
          <w:u w:val="single"/>
        </w:rPr>
      </w:pPr>
      <w:r w:rsidRPr="00A15D27">
        <w:rPr>
          <w:rStyle w:val="FootnoteReference"/>
          <w:sz w:val="16"/>
          <w:szCs w:val="16"/>
        </w:rPr>
        <w:footnoteRef/>
      </w:r>
      <w:r w:rsidRPr="00A15D27">
        <w:rPr>
          <w:sz w:val="16"/>
          <w:szCs w:val="16"/>
        </w:rPr>
        <w:t xml:space="preserve"> Australian Government. (2016). Entrepreneurs’ Programme, Accelerating Commercialisation, Customer Information Guide.</w:t>
      </w:r>
    </w:p>
  </w:footnote>
  <w:footnote w:id="82">
    <w:p w14:paraId="7924F736" w14:textId="5E796CDA" w:rsidR="00EF78E7" w:rsidRPr="00A15D27" w:rsidRDefault="00EF78E7" w:rsidP="002D45DD">
      <w:pPr>
        <w:pStyle w:val="FootnoteText"/>
        <w:rPr>
          <w:sz w:val="16"/>
          <w:szCs w:val="16"/>
        </w:rPr>
      </w:pPr>
      <w:r w:rsidRPr="00A15D27">
        <w:rPr>
          <w:rStyle w:val="FootnoteReference"/>
          <w:sz w:val="16"/>
          <w:szCs w:val="16"/>
        </w:rPr>
        <w:footnoteRef/>
      </w:r>
      <w:r w:rsidRPr="00A15D27">
        <w:rPr>
          <w:sz w:val="16"/>
          <w:szCs w:val="16"/>
        </w:rPr>
        <w:t xml:space="preserve"> Australian Government. (2020). Cooperative Research Centres Grants, CRC Program Fact Sheet. </w:t>
      </w:r>
      <w:hyperlink r:id="rId61" w:anchor="program-documents" w:tooltip="Link to CRC program fact sheet" w:history="1">
        <w:r w:rsidRPr="00A15D27">
          <w:rPr>
            <w:rStyle w:val="Hyperlink"/>
            <w:sz w:val="16"/>
            <w:szCs w:val="16"/>
          </w:rPr>
          <w:t>www.business.gov.au/Grants-and-Programs/Cooperative-Research-Centres-CRC-Grants#program-documents</w:t>
        </w:r>
      </w:hyperlink>
      <w:r>
        <w:rPr>
          <w:rStyle w:val="Hyperlink"/>
          <w:sz w:val="16"/>
          <w:szCs w:val="16"/>
        </w:rPr>
        <w:t xml:space="preserve"> </w:t>
      </w:r>
    </w:p>
  </w:footnote>
  <w:footnote w:id="83">
    <w:p w14:paraId="4538ED1B" w14:textId="7351D69C" w:rsidR="00EF78E7" w:rsidRPr="00A15D27" w:rsidRDefault="00EF78E7" w:rsidP="00AD01AC">
      <w:pPr>
        <w:pStyle w:val="FootnoteText"/>
        <w:rPr>
          <w:sz w:val="16"/>
          <w:szCs w:val="16"/>
        </w:rPr>
      </w:pPr>
      <w:r w:rsidRPr="00A15D27">
        <w:rPr>
          <w:rStyle w:val="FootnoteReference"/>
          <w:sz w:val="16"/>
          <w:szCs w:val="16"/>
        </w:rPr>
        <w:footnoteRef/>
      </w:r>
      <w:r w:rsidRPr="00A15D27">
        <w:rPr>
          <w:sz w:val="16"/>
          <w:szCs w:val="16"/>
        </w:rPr>
        <w:t xml:space="preserve"> Paic, A. and C. Viros (2019). Governance of science and technology policies. OECD Science, Technology and Industry Policy Papers, No. 84, OECD Publishing, Paris. </w:t>
      </w:r>
      <w:hyperlink r:id="rId62" w:tooltip="Link to OECD Governance of science and technology policies report" w:history="1">
        <w:r w:rsidRPr="00A15D27">
          <w:rPr>
            <w:rStyle w:val="Hyperlink"/>
            <w:sz w:val="16"/>
            <w:szCs w:val="16"/>
          </w:rPr>
          <w:t>https://doi.org/10.1787/2b3bc558-en</w:t>
        </w:r>
      </w:hyperlink>
    </w:p>
  </w:footnote>
  <w:footnote w:id="84">
    <w:p w14:paraId="33ED09F6" w14:textId="25A322B3" w:rsidR="00EF78E7" w:rsidRPr="00A15D27" w:rsidRDefault="00EF78E7" w:rsidP="00CE4CED">
      <w:pPr>
        <w:pStyle w:val="FootnoteText"/>
        <w:rPr>
          <w:sz w:val="16"/>
          <w:szCs w:val="16"/>
        </w:rPr>
      </w:pPr>
      <w:r w:rsidRPr="00A15D27">
        <w:rPr>
          <w:rStyle w:val="FootnoteReference"/>
          <w:sz w:val="16"/>
          <w:szCs w:val="16"/>
        </w:rPr>
        <w:footnoteRef/>
      </w:r>
      <w:r w:rsidRPr="00A15D27">
        <w:rPr>
          <w:sz w:val="16"/>
          <w:szCs w:val="16"/>
        </w:rPr>
        <w:t xml:space="preserve"> OECD. (2019). Governance of Science and Technology Policies—Case Studies. OECD Science, Technology and Industry Policy Papers. </w:t>
      </w:r>
      <w:hyperlink r:id="rId63" w:tooltip="Link to OECD report: Governance of Science and Technology Policies" w:history="1">
        <w:r w:rsidRPr="00A15D27">
          <w:rPr>
            <w:rStyle w:val="Hyperlink"/>
            <w:sz w:val="16"/>
            <w:szCs w:val="16"/>
          </w:rPr>
          <w:t>https://community.oecd.org/docs/DOC-161275</w:t>
        </w:r>
      </w:hyperlink>
      <w:r w:rsidRPr="00A15D27">
        <w:rPr>
          <w:rStyle w:val="Hyperlink"/>
          <w:sz w:val="16"/>
          <w:szCs w:val="16"/>
        </w:rPr>
        <w:t xml:space="preserve"> </w:t>
      </w:r>
    </w:p>
  </w:footnote>
  <w:footnote w:id="85">
    <w:p w14:paraId="27A40473" w14:textId="7E76E299" w:rsidR="00EF78E7" w:rsidRPr="00A15D27" w:rsidRDefault="00EF78E7" w:rsidP="00AD01AC">
      <w:pPr>
        <w:pStyle w:val="FootnoteText"/>
        <w:rPr>
          <w:sz w:val="16"/>
          <w:szCs w:val="16"/>
        </w:rPr>
      </w:pPr>
      <w:r w:rsidRPr="00A15D27">
        <w:rPr>
          <w:rStyle w:val="FootnoteReference"/>
          <w:sz w:val="16"/>
          <w:szCs w:val="16"/>
        </w:rPr>
        <w:footnoteRef/>
      </w:r>
      <w:r w:rsidRPr="00A15D27">
        <w:rPr>
          <w:sz w:val="16"/>
          <w:szCs w:val="16"/>
        </w:rPr>
        <w:t xml:space="preserve"> Paic, A. and C. Viros (2019). Governance of science and technology policies. OECD Science, Technology and Industry Policy Papers, No. 84, OECD Publishing, Paris. </w:t>
      </w:r>
      <w:hyperlink r:id="rId64" w:tooltip="Link to OECD Governance of science and technology policies report" w:history="1">
        <w:r w:rsidRPr="00A15D27">
          <w:rPr>
            <w:rStyle w:val="Hyperlink"/>
            <w:sz w:val="16"/>
            <w:szCs w:val="16"/>
          </w:rPr>
          <w:t>https://doi.org/10.1787/2b3bc558-en</w:t>
        </w:r>
      </w:hyperlink>
    </w:p>
  </w:footnote>
  <w:footnote w:id="86">
    <w:p w14:paraId="5A4B80B3" w14:textId="31E002EA" w:rsidR="00EF78E7" w:rsidRPr="00A15D27" w:rsidRDefault="00EF78E7" w:rsidP="00AD01AC">
      <w:pPr>
        <w:pStyle w:val="FootnoteText"/>
        <w:rPr>
          <w:sz w:val="16"/>
          <w:szCs w:val="16"/>
        </w:rPr>
      </w:pPr>
      <w:r w:rsidRPr="00A15D27">
        <w:rPr>
          <w:rStyle w:val="FootnoteReference"/>
          <w:sz w:val="16"/>
          <w:szCs w:val="16"/>
        </w:rPr>
        <w:footnoteRef/>
      </w:r>
      <w:r w:rsidRPr="00A15D27">
        <w:rPr>
          <w:sz w:val="16"/>
          <w:szCs w:val="16"/>
          <w:vertAlign w:val="superscript"/>
        </w:rPr>
        <w:t xml:space="preserve"> </w:t>
      </w:r>
      <w:r w:rsidRPr="00A15D27">
        <w:rPr>
          <w:sz w:val="16"/>
          <w:szCs w:val="16"/>
        </w:rPr>
        <w:t xml:space="preserve">Paic, A. and C. Viros (2019). Governance of science and technology policies. OECD Science, Technology and Industry Policy Papers, No. 84, OECD Publishing, Paris. </w:t>
      </w:r>
      <w:hyperlink r:id="rId65" w:tooltip="Link to OECD Governance of science and technology policies report" w:history="1">
        <w:r w:rsidRPr="00A15D27">
          <w:rPr>
            <w:rStyle w:val="Hyperlink"/>
            <w:sz w:val="16"/>
            <w:szCs w:val="16"/>
          </w:rPr>
          <w:t>https://doi.org/10.1787/2b3bc558-en</w:t>
        </w:r>
      </w:hyperlink>
    </w:p>
  </w:footnote>
  <w:footnote w:id="87">
    <w:p w14:paraId="1D953376" w14:textId="3279E147" w:rsidR="00EF78E7" w:rsidRPr="00A15D27" w:rsidRDefault="00EF78E7" w:rsidP="00FF69F6">
      <w:pPr>
        <w:spacing w:after="0" w:line="240" w:lineRule="auto"/>
        <w:rPr>
          <w:sz w:val="16"/>
          <w:szCs w:val="16"/>
        </w:rPr>
      </w:pPr>
      <w:r w:rsidRPr="00A15D27">
        <w:rPr>
          <w:rStyle w:val="FootnoteReference"/>
          <w:sz w:val="16"/>
          <w:szCs w:val="16"/>
        </w:rPr>
        <w:footnoteRef/>
      </w:r>
      <w:r w:rsidRPr="00A15D27">
        <w:rPr>
          <w:sz w:val="16"/>
          <w:szCs w:val="16"/>
        </w:rPr>
        <w:t xml:space="preserve"> Government of Canada. (2017). Investing in Canada’s Future, strengthening the foundations of Canadian Research </w:t>
      </w:r>
      <w:hyperlink r:id="rId66" w:tooltip="Link to Government of Canada's Investing in Canada's Future report" w:history="1">
        <w:r w:rsidRPr="00481E94">
          <w:rPr>
            <w:rStyle w:val="Hyperlink"/>
            <w:sz w:val="16"/>
            <w:szCs w:val="16"/>
          </w:rPr>
          <w:t>http://cins.ca/docs/ScienceReview_April2017.pdf</w:t>
        </w:r>
      </w:hyperlink>
      <w:r w:rsidRPr="00A15D27">
        <w:rPr>
          <w:sz w:val="16"/>
          <w:szCs w:val="16"/>
        </w:rPr>
        <w:t xml:space="preserve"> and Canadian Government. (2014). Seizing Canada's Moment: Moving Forward in Science, Technology and Innovation 2014. </w:t>
      </w:r>
      <w:hyperlink r:id="rId67" w:tooltip="Link to Canadian Government report 'Siezing Canada's moment'" w:history="1">
        <w:r w:rsidRPr="00A15D27">
          <w:rPr>
            <w:rStyle w:val="Hyperlink"/>
            <w:sz w:val="16"/>
            <w:szCs w:val="16"/>
          </w:rPr>
          <w:t>www.ic.gc.ca/eic/site/113.nsf/vwapj/seizing_moment_ST-I_summary-eng.pdf/$file/seizing_moment_ST-I_summary-eng.pdf</w:t>
        </w:r>
      </w:hyperlink>
      <w:r w:rsidRPr="00A15D27">
        <w:rPr>
          <w:sz w:val="16"/>
          <w:szCs w:val="16"/>
        </w:rPr>
        <w:t xml:space="preserve">; and Government of Canada. (2007). Mobilising Science and Technology to Canada’s Advantage. </w:t>
      </w:r>
      <w:hyperlink r:id="rId68" w:history="1">
        <w:r w:rsidRPr="00A15D27">
          <w:rPr>
            <w:rStyle w:val="Hyperlink"/>
            <w:sz w:val="16"/>
            <w:szCs w:val="16"/>
          </w:rPr>
          <w:t>www.ic.gc.ca/eic/site/113.nsf/vwapj/STsummary.pdf/$file/STsummary.pdf</w:t>
        </w:r>
      </w:hyperlink>
    </w:p>
  </w:footnote>
  <w:footnote w:id="88">
    <w:p w14:paraId="282B66FF" w14:textId="0698DAD4" w:rsidR="00EF78E7" w:rsidRPr="00A15D27" w:rsidRDefault="00EF78E7" w:rsidP="00BD32FF">
      <w:pPr>
        <w:pStyle w:val="FootnoteText"/>
        <w:rPr>
          <w:sz w:val="16"/>
          <w:szCs w:val="16"/>
        </w:rPr>
      </w:pPr>
      <w:r w:rsidRPr="00A15D27">
        <w:rPr>
          <w:rStyle w:val="FootnoteReference"/>
          <w:sz w:val="16"/>
          <w:szCs w:val="16"/>
        </w:rPr>
        <w:footnoteRef/>
      </w:r>
      <w:r w:rsidRPr="00A15D27">
        <w:rPr>
          <w:sz w:val="16"/>
          <w:szCs w:val="16"/>
        </w:rPr>
        <w:t xml:space="preserve"> Government of Ireland. (2018). Research Priority Areas, 2018–2023. </w:t>
      </w:r>
      <w:hyperlink r:id="rId69" w:tooltip="Link to Government of Ireland's research priorities" w:history="1">
        <w:r w:rsidRPr="00A15D27">
          <w:rPr>
            <w:rStyle w:val="Hyperlink"/>
            <w:sz w:val="16"/>
            <w:szCs w:val="16"/>
          </w:rPr>
          <w:t>https://dbei.gov.ie/en/Publications/Research-Priority-Areas-2018-to-2023.html</w:t>
        </w:r>
      </w:hyperlink>
    </w:p>
  </w:footnote>
  <w:footnote w:id="89">
    <w:p w14:paraId="7FE406F0" w14:textId="310FA0AD" w:rsidR="00EF78E7" w:rsidRPr="00A15D27" w:rsidRDefault="00EF78E7" w:rsidP="00AD01AC">
      <w:pPr>
        <w:pStyle w:val="FootnoteText"/>
        <w:rPr>
          <w:sz w:val="16"/>
          <w:szCs w:val="16"/>
        </w:rPr>
      </w:pPr>
      <w:r w:rsidRPr="00A15D27">
        <w:rPr>
          <w:rStyle w:val="FootnoteReference"/>
          <w:sz w:val="16"/>
          <w:szCs w:val="16"/>
        </w:rPr>
        <w:footnoteRef/>
      </w:r>
      <w:r w:rsidRPr="00A15D27">
        <w:rPr>
          <w:sz w:val="16"/>
          <w:szCs w:val="16"/>
        </w:rPr>
        <w:t xml:space="preserve"> OECD. (2011). Opportunities, Challenges and Good Practices in International Research Cooperation between Developed and Developing Countries. OECD Global Science Forum. </w:t>
      </w:r>
      <w:hyperlink r:id="rId70" w:tooltip="Link to the OECD's Opportunities, Challenges and Good Practices in International Research Cooperation report" w:history="1">
        <w:r w:rsidRPr="00A15D27">
          <w:rPr>
            <w:rStyle w:val="Hyperlink"/>
            <w:sz w:val="16"/>
            <w:szCs w:val="16"/>
          </w:rPr>
          <w:t>www.oecd.org/sti/inno/47737209.pdf</w:t>
        </w:r>
      </w:hyperlink>
      <w:r w:rsidRPr="00A15D27">
        <w:rPr>
          <w:sz w:val="16"/>
          <w:szCs w:val="16"/>
        </w:rPr>
        <w:t xml:space="preserve"> </w:t>
      </w:r>
    </w:p>
  </w:footnote>
  <w:footnote w:id="90">
    <w:p w14:paraId="69EB138E" w14:textId="7F4A200A" w:rsidR="00EF78E7" w:rsidRPr="00A15D27" w:rsidRDefault="00EF78E7" w:rsidP="00AD01AC">
      <w:pPr>
        <w:pStyle w:val="FootnoteText"/>
        <w:rPr>
          <w:sz w:val="16"/>
          <w:szCs w:val="16"/>
        </w:rPr>
      </w:pPr>
      <w:r w:rsidRPr="00A15D27">
        <w:rPr>
          <w:rStyle w:val="FootnoteReference"/>
          <w:sz w:val="16"/>
          <w:szCs w:val="16"/>
        </w:rPr>
        <w:footnoteRef/>
      </w:r>
      <w:r w:rsidRPr="00A15D27">
        <w:rPr>
          <w:sz w:val="16"/>
          <w:szCs w:val="16"/>
        </w:rPr>
        <w:t xml:space="preserve"> United Nations. Harnessing Science, Technology and Innovation to achieve the Sustainable Development Goals. </w:t>
      </w:r>
      <w:hyperlink r:id="rId71" w:tooltip="Link to the United Nations Harnessing Science, Technology and Innovation to achieve the Sustainable Development Goals website" w:history="1">
        <w:r w:rsidRPr="00A15D27">
          <w:rPr>
            <w:rStyle w:val="Hyperlink"/>
            <w:sz w:val="16"/>
            <w:szCs w:val="16"/>
          </w:rPr>
          <w:t>https://sustainabledevelopment.un.org/tfm</w:t>
        </w:r>
      </w:hyperlink>
    </w:p>
  </w:footnote>
  <w:footnote w:id="91">
    <w:p w14:paraId="7A5A1DDA" w14:textId="59BC121F" w:rsidR="00EF78E7" w:rsidRPr="00A15D27" w:rsidRDefault="00EF78E7" w:rsidP="00AD01AC">
      <w:pPr>
        <w:pStyle w:val="FootnoteText"/>
        <w:rPr>
          <w:sz w:val="16"/>
          <w:szCs w:val="16"/>
        </w:rPr>
      </w:pPr>
      <w:r w:rsidRPr="00A15D27">
        <w:rPr>
          <w:rStyle w:val="FootnoteReference"/>
          <w:sz w:val="16"/>
          <w:szCs w:val="16"/>
        </w:rPr>
        <w:footnoteRef/>
      </w:r>
      <w:r w:rsidRPr="00A15D27">
        <w:rPr>
          <w:sz w:val="16"/>
          <w:szCs w:val="16"/>
        </w:rPr>
        <w:t xml:space="preserve"> The British Academy. (2019). Lessons from the History of UK Science Policy. </w:t>
      </w:r>
      <w:hyperlink r:id="rId72" w:tooltip="Link to the British Academy's Lessons from the history of UK science policy report" w:history="1">
        <w:r w:rsidRPr="00A15D27">
          <w:rPr>
            <w:rStyle w:val="Hyperlink"/>
            <w:sz w:val="16"/>
            <w:szCs w:val="16"/>
          </w:rPr>
          <w:t>www.thebritishacademy.ac.uk/sites/default/files/Lessons-History-UK-science-policy.pdf</w:t>
        </w:r>
      </w:hyperlink>
    </w:p>
  </w:footnote>
  <w:footnote w:id="92">
    <w:p w14:paraId="6E382A48" w14:textId="5F68A7E0" w:rsidR="00EF78E7" w:rsidRPr="00A15D27" w:rsidRDefault="00EF78E7" w:rsidP="00730EBC">
      <w:pPr>
        <w:pStyle w:val="FootnoteText"/>
        <w:rPr>
          <w:sz w:val="16"/>
          <w:szCs w:val="16"/>
        </w:rPr>
      </w:pPr>
      <w:r w:rsidRPr="00A15D27">
        <w:rPr>
          <w:rStyle w:val="FootnoteReference"/>
          <w:sz w:val="16"/>
          <w:szCs w:val="16"/>
        </w:rPr>
        <w:footnoteRef/>
      </w:r>
      <w:r w:rsidRPr="00A15D27">
        <w:rPr>
          <w:sz w:val="16"/>
          <w:szCs w:val="16"/>
        </w:rPr>
        <w:t xml:space="preserve"> The SRI Budget Tables and ABS use different definitions of socioeconomic objectives. The 2019–20 SRI Budget Tables use the 14 socioeconomic objectives described in the OECD’s Frascati Manual 2015 (OECD. (2015). Frascati Manual 2015: Guidelines for Collecting and Reporting Data on Research and Experimental Development, The Measurement of Scientific, Technological and Innovation Activities. OECD Publishing, Paris. </w:t>
      </w:r>
      <w:hyperlink r:id="rId73" w:tooltip="Frascati Manual document link" w:history="1">
        <w:r w:rsidRPr="00A15D27">
          <w:rPr>
            <w:rStyle w:val="Hyperlink"/>
            <w:sz w:val="16"/>
            <w:szCs w:val="16"/>
          </w:rPr>
          <w:t>https://doi.org/10.1787/9789264239012-en</w:t>
        </w:r>
      </w:hyperlink>
      <w:r w:rsidRPr="00A15D27">
        <w:rPr>
          <w:sz w:val="16"/>
          <w:szCs w:val="16"/>
        </w:rPr>
        <w:t xml:space="preserve">) while the ABS uses the 17 divisions of socioeconomic objectives described by the Australian and New Zealand Standard Research Classification (ANZSRC) (1297.0 - Australian and New Zealand Standard Research Classification (ANZSRC), 2008, (cat. no.1297.0). </w:t>
      </w:r>
      <w:r w:rsidRPr="00A15D27">
        <w:rPr>
          <w:rStyle w:val="Hyperlink"/>
          <w:sz w:val="16"/>
          <w:szCs w:val="16"/>
        </w:rPr>
        <w:t>https://www.abs.gov.au/AUSSTATS/abs@.nsf/allprimarymainfeatures/1641059E192F00DFCA2585960012B86F?opendocument</w:t>
      </w:r>
    </w:p>
  </w:footnote>
  <w:footnote w:id="93">
    <w:p w14:paraId="7BBAF02F" w14:textId="34A88F71" w:rsidR="00EF78E7" w:rsidRPr="00A15D27" w:rsidRDefault="00EF78E7" w:rsidP="00521536">
      <w:pPr>
        <w:pStyle w:val="FootnoteText"/>
        <w:rPr>
          <w:sz w:val="16"/>
          <w:szCs w:val="16"/>
        </w:rPr>
      </w:pPr>
      <w:r w:rsidRPr="00A15D27">
        <w:rPr>
          <w:rStyle w:val="FootnoteReference"/>
          <w:sz w:val="16"/>
          <w:szCs w:val="16"/>
        </w:rPr>
        <w:footnoteRef/>
      </w:r>
      <w:r w:rsidRPr="00A15D27">
        <w:rPr>
          <w:sz w:val="16"/>
          <w:szCs w:val="16"/>
        </w:rPr>
        <w:t xml:space="preserve"> For this analysis, Commonwealth R&amp;D expenditure towards SEOs included both Commonwealth and higher education R&amp;D expenditure </w:t>
      </w:r>
      <w:r w:rsidR="0014707A">
        <w:rPr>
          <w:sz w:val="16"/>
          <w:szCs w:val="16"/>
        </w:rPr>
        <w:t>given the Commonwealth funds 85 per cent</w:t>
      </w:r>
      <w:r w:rsidR="00A1412E">
        <w:rPr>
          <w:sz w:val="16"/>
          <w:szCs w:val="16"/>
        </w:rPr>
        <w:t>B</w:t>
      </w:r>
      <w:r w:rsidRPr="00A15D27">
        <w:rPr>
          <w:sz w:val="16"/>
          <w:szCs w:val="16"/>
        </w:rPr>
        <w:t xml:space="preserve"> of higher education R&amp;D expenditure. ABS Source: 8109.0 – Research and Experimental Development, Government and Private Non-Profit Organisations, Australia, 2016–17; ABS 8111.0 – Research and Experimental Development, Higher Education Organisations, Australia, 2016. </w:t>
      </w:r>
    </w:p>
  </w:footnote>
  <w:footnote w:id="94">
    <w:p w14:paraId="4D9D27CB" w14:textId="29351502"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Innovation Australia. (18 May 2020). Andrews drives new ministerial tech council. </w:t>
      </w:r>
      <w:hyperlink r:id="rId74" w:history="1">
        <w:r w:rsidRPr="00A15D27">
          <w:rPr>
            <w:rStyle w:val="Hyperlink"/>
            <w:sz w:val="16"/>
            <w:szCs w:val="16"/>
          </w:rPr>
          <w:t>http://www.innovationaus.com/andrews-drives-new-ministerial-tech-council/?utm_medium=email&amp;utm_campaign=Newsletter%‌20389%20-%2019%20May</w:t>
        </w:r>
        <w:r>
          <w:rPr>
            <w:rStyle w:val="Hyperlink"/>
            <w:sz w:val="16"/>
            <w:szCs w:val="16"/>
          </w:rPr>
          <w:t>‌</w:t>
        </w:r>
        <w:r w:rsidRPr="00A15D27">
          <w:rPr>
            <w:rStyle w:val="Hyperlink"/>
            <w:sz w:val="16"/>
            <w:szCs w:val="16"/>
          </w:rPr>
          <w:t>%202020&amp;utm_content=Newsletter%20389%20-%2019%20May%202020+CID_da757c26fa25a8ba3ed99060363f928f&amp;utm_source=Email%20marketing%20software&amp;utm_term=Andrews%20drives%20new%20ministerial%20tech%20council</w:t>
        </w:r>
      </w:hyperlink>
    </w:p>
  </w:footnote>
  <w:footnote w:id="95">
    <w:p w14:paraId="210C862B" w14:textId="7473C52A" w:rsidR="00EF78E7" w:rsidRPr="00A15D27" w:rsidRDefault="00EF78E7" w:rsidP="009B591D">
      <w:pPr>
        <w:pStyle w:val="FootnoteText"/>
        <w:rPr>
          <w:sz w:val="16"/>
          <w:szCs w:val="16"/>
        </w:rPr>
      </w:pPr>
      <w:r w:rsidRPr="00A15D27">
        <w:rPr>
          <w:rStyle w:val="FootnoteReference"/>
          <w:sz w:val="16"/>
          <w:szCs w:val="16"/>
        </w:rPr>
        <w:footnoteRef/>
      </w:r>
      <w:r w:rsidRPr="00A15D27">
        <w:rPr>
          <w:sz w:val="16"/>
          <w:szCs w:val="16"/>
        </w:rPr>
        <w:t xml:space="preserve"> Innovation and Science Australia. (2017). Australia 2030: Prosperity through Innovation. </w:t>
      </w:r>
      <w:hyperlink r:id="rId75" w:tooltip="Link to ISA's Australia 2030: Prosperity through innovation report" w:history="1">
        <w:r w:rsidRPr="00A15D27">
          <w:rPr>
            <w:rStyle w:val="Hyperlink"/>
            <w:sz w:val="16"/>
            <w:szCs w:val="16"/>
          </w:rPr>
          <w:t>www.industry.gov.au/sites/‌g/files/net3906/f/May%202018/document/pdf/australia-2030-prosperity-through-innovation-full-report.pdf</w:t>
        </w:r>
      </w:hyperlink>
    </w:p>
  </w:footnote>
  <w:footnote w:id="96">
    <w:p w14:paraId="7883D6EA" w14:textId="77777777"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That is investment in new or significantly improved product, process, marketing and organisational practices that are broader than </w:t>
      </w:r>
      <w:r w:rsidRPr="00A15D27">
        <w:rPr>
          <w:rFonts w:cs="Gotham Narrow Light"/>
          <w:color w:val="000000"/>
          <w:sz w:val="16"/>
          <w:szCs w:val="16"/>
        </w:rPr>
        <w:t>R&amp;D alone.</w:t>
      </w:r>
    </w:p>
  </w:footnote>
  <w:footnote w:id="97">
    <w:p w14:paraId="27D9B32C" w14:textId="185FDB7D"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Innovation and Science Australia. (2020). Stimulating business investment in innovation. </w:t>
      </w:r>
      <w:hyperlink r:id="rId76" w:tooltip="Link to ISA's Stimulating business investment in innovation report" w:history="1">
        <w:r w:rsidRPr="00A15D27">
          <w:rPr>
            <w:rStyle w:val="Hyperlink"/>
            <w:sz w:val="16"/>
            <w:szCs w:val="16"/>
          </w:rPr>
          <w:t>www.industry.gov.au/sites/default/files/2020-02/stimulating-business-investment-in-innovation.pdf</w:t>
        </w:r>
      </w:hyperlink>
    </w:p>
  </w:footnote>
  <w:footnote w:id="98">
    <w:p w14:paraId="74D8D128" w14:textId="6F5822AF"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As described in the 2019–20 SRI budget tables, </w:t>
      </w:r>
      <w:hyperlink r:id="rId77" w:tooltip="Link to Science, Research and Innovation Budget Tables data website" w:history="1">
        <w:r w:rsidRPr="00A15D27">
          <w:rPr>
            <w:rStyle w:val="Hyperlink"/>
            <w:sz w:val="16"/>
            <w:szCs w:val="16"/>
          </w:rPr>
          <w:t>www.industry.gov.au/data-and-publications/science-research-and-innovation-sri-budget-tables</w:t>
        </w:r>
      </w:hyperlink>
    </w:p>
  </w:footnote>
  <w:footnote w:id="99">
    <w:p w14:paraId="7EDB26F0" w14:textId="014C8F06"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I</w:t>
      </w:r>
      <w:r>
        <w:rPr>
          <w:sz w:val="16"/>
          <w:szCs w:val="16"/>
        </w:rPr>
        <w:t>I</w:t>
      </w:r>
      <w:r w:rsidRPr="00A15D27">
        <w:rPr>
          <w:sz w:val="16"/>
          <w:szCs w:val="16"/>
        </w:rPr>
        <w:t>SA found that a number of non-R&amp;D innovation investments have not been captured in the SRI Budget tables. For example, many of the investments reflect in the Public Sector Innovation Awards are not currently captured in these tables.</w:t>
      </w:r>
    </w:p>
  </w:footnote>
  <w:footnote w:id="100">
    <w:p w14:paraId="3CDCD901" w14:textId="23377B0D"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As detailed in Innovation and Science Australia. (2020). Stimulating business investment in innovation. </w:t>
      </w:r>
      <w:hyperlink r:id="rId78" w:tooltip="Link to ISA's Stimulating business investment in innovation report" w:history="1">
        <w:r w:rsidRPr="00A15D27">
          <w:rPr>
            <w:rStyle w:val="Hyperlink"/>
            <w:sz w:val="16"/>
            <w:szCs w:val="16"/>
          </w:rPr>
          <w:t>www.industry.gov.au/sites/default/files/2020-02/stimulating-business-investment-in-innovation.pdf</w:t>
        </w:r>
      </w:hyperlink>
    </w:p>
  </w:footnote>
  <w:footnote w:id="101">
    <w:p w14:paraId="7F7DBD5F" w14:textId="227875B8" w:rsidR="00EF78E7" w:rsidRPr="00A15D27" w:rsidRDefault="00EF78E7" w:rsidP="00A01A85">
      <w:pPr>
        <w:pStyle w:val="FootnoteText"/>
        <w:rPr>
          <w:sz w:val="16"/>
          <w:szCs w:val="16"/>
        </w:rPr>
      </w:pPr>
      <w:r w:rsidRPr="00A15D27">
        <w:rPr>
          <w:rStyle w:val="FootnoteReference"/>
          <w:sz w:val="16"/>
          <w:szCs w:val="16"/>
        </w:rPr>
        <w:footnoteRef/>
      </w:r>
      <w:r w:rsidRPr="00A15D27">
        <w:rPr>
          <w:sz w:val="16"/>
          <w:szCs w:val="16"/>
        </w:rPr>
        <w:t xml:space="preserve"> Watt. (2015). Review of research policy and funding arrangements – report. </w:t>
      </w:r>
      <w:hyperlink r:id="rId79" w:tooltip="Link to Watt Review report: Review of research policy and funding arrangements" w:history="1">
        <w:r w:rsidRPr="00A15D27">
          <w:rPr>
            <w:rStyle w:val="Hyperlink"/>
            <w:sz w:val="16"/>
            <w:szCs w:val="16"/>
          </w:rPr>
          <w:t>https://docs.education.gov.au/node/38976</w:t>
        </w:r>
      </w:hyperlink>
    </w:p>
  </w:footnote>
  <w:footnote w:id="102">
    <w:p w14:paraId="15D6E6B1" w14:textId="0248DF13"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OECD. (2014). Promoting Research Excellence: New Approaches to Funding, OECD Publishing. </w:t>
      </w:r>
      <w:hyperlink r:id="rId80" w:tooltip="Link to OECD report 'Promoting research excellence'" w:history="1">
        <w:r w:rsidRPr="00A15D27">
          <w:rPr>
            <w:rStyle w:val="Hyperlink"/>
            <w:sz w:val="16"/>
            <w:szCs w:val="16"/>
          </w:rPr>
          <w:t>https://doi.org/10.1787/9789264207462-en</w:t>
        </w:r>
      </w:hyperlink>
    </w:p>
  </w:footnote>
  <w:footnote w:id="103">
    <w:p w14:paraId="705CCD78" w14:textId="40A29D77" w:rsidR="00EF78E7" w:rsidRPr="00A15D27" w:rsidRDefault="00EF78E7" w:rsidP="00482BD5">
      <w:pPr>
        <w:pStyle w:val="FootnoteText"/>
        <w:rPr>
          <w:sz w:val="16"/>
          <w:szCs w:val="16"/>
        </w:rPr>
      </w:pPr>
      <w:r w:rsidRPr="00A15D27">
        <w:rPr>
          <w:rStyle w:val="FootnoteReference"/>
          <w:sz w:val="16"/>
          <w:szCs w:val="16"/>
        </w:rPr>
        <w:footnoteRef/>
      </w:r>
      <w:r w:rsidRPr="00A15D27">
        <w:rPr>
          <w:sz w:val="16"/>
          <w:szCs w:val="16"/>
        </w:rPr>
        <w:t xml:space="preserve"> Guimón, J. (2019). Policy initiatives to enhance the impact of public research: Promoting excellence, transfer and co-creation, OECD Science, Technology and Industry Policy Papers, No. 81, OECD Publishing. </w:t>
      </w:r>
      <w:hyperlink r:id="rId81" w:tooltip="Link to OECD Science, Technology and Industry Policy Paper 'Policy initiatives to enhance the impact of public research" w:history="1">
        <w:r w:rsidRPr="00A15D27">
          <w:rPr>
            <w:rStyle w:val="Hyperlink"/>
            <w:sz w:val="16"/>
            <w:szCs w:val="16"/>
          </w:rPr>
          <w:t>https://doi.org/10.1787/a4c9197a-en</w:t>
        </w:r>
      </w:hyperlink>
    </w:p>
  </w:footnote>
  <w:footnote w:id="104">
    <w:p w14:paraId="33436523" w14:textId="397FB59A" w:rsidR="00EF78E7" w:rsidRPr="00A15D27" w:rsidRDefault="00EF78E7" w:rsidP="00D55BA6">
      <w:pPr>
        <w:pStyle w:val="FootnoteText"/>
        <w:rPr>
          <w:sz w:val="16"/>
          <w:szCs w:val="16"/>
        </w:rPr>
      </w:pPr>
      <w:r w:rsidRPr="00A15D27">
        <w:rPr>
          <w:rStyle w:val="FootnoteReference"/>
          <w:sz w:val="16"/>
          <w:szCs w:val="16"/>
        </w:rPr>
        <w:footnoteRef/>
      </w:r>
      <w:r w:rsidRPr="00A15D27">
        <w:rPr>
          <w:sz w:val="16"/>
          <w:szCs w:val="16"/>
        </w:rPr>
        <w:t xml:space="preserve"> Paic, A. and C. Viros (2019). Governance of science and technology policies. OECD Science, Technology and Industry Policy Papers, No. 84, OECD Publishing, Paris. </w:t>
      </w:r>
      <w:hyperlink r:id="rId82" w:tooltip="Link to OECD Governance of science and technology policies report" w:history="1">
        <w:r w:rsidRPr="00A15D27">
          <w:rPr>
            <w:rStyle w:val="Hyperlink"/>
            <w:sz w:val="16"/>
            <w:szCs w:val="16"/>
          </w:rPr>
          <w:t>https://doi.org/10.1787/2b3bc558-en</w:t>
        </w:r>
      </w:hyperlink>
    </w:p>
  </w:footnote>
  <w:footnote w:id="105">
    <w:p w14:paraId="04EBAF06" w14:textId="00766964" w:rsidR="00EF78E7" w:rsidRPr="00A15D27" w:rsidRDefault="00EF78E7" w:rsidP="00E352DC">
      <w:pPr>
        <w:pStyle w:val="FootnoteText"/>
        <w:rPr>
          <w:rStyle w:val="Hyperlink"/>
          <w:sz w:val="16"/>
          <w:szCs w:val="16"/>
        </w:rPr>
      </w:pPr>
      <w:r w:rsidRPr="00A15D27">
        <w:rPr>
          <w:rStyle w:val="FootnoteReference"/>
          <w:sz w:val="16"/>
          <w:szCs w:val="16"/>
        </w:rPr>
        <w:footnoteRef/>
      </w:r>
      <w:r w:rsidRPr="00A15D27">
        <w:rPr>
          <w:sz w:val="16"/>
          <w:szCs w:val="16"/>
        </w:rPr>
        <w:t xml:space="preserve"> Australian Research Council</w:t>
      </w:r>
      <w:r>
        <w:rPr>
          <w:sz w:val="16"/>
          <w:szCs w:val="16"/>
        </w:rPr>
        <w:t>.</w:t>
      </w:r>
      <w:r w:rsidRPr="00A15D27">
        <w:rPr>
          <w:sz w:val="16"/>
          <w:szCs w:val="16"/>
        </w:rPr>
        <w:t xml:space="preserve"> </w:t>
      </w:r>
      <w:r>
        <w:rPr>
          <w:sz w:val="16"/>
          <w:szCs w:val="16"/>
        </w:rPr>
        <w:t xml:space="preserve">(2020). </w:t>
      </w:r>
      <w:r w:rsidRPr="00A15D27">
        <w:rPr>
          <w:sz w:val="16"/>
          <w:szCs w:val="16"/>
        </w:rPr>
        <w:t xml:space="preserve">Excellence in Research for Australia. </w:t>
      </w:r>
      <w:hyperlink r:id="rId83" w:tooltip="Australian Research Council's Excellence in Research for Australia website" w:history="1">
        <w:r w:rsidRPr="00A15D27">
          <w:rPr>
            <w:rStyle w:val="Hyperlink"/>
            <w:sz w:val="16"/>
            <w:szCs w:val="16"/>
          </w:rPr>
          <w:t>www.arc.gov.au/excellence-research-australia</w:t>
        </w:r>
      </w:hyperlink>
    </w:p>
  </w:footnote>
  <w:footnote w:id="106">
    <w:p w14:paraId="7BC329A3" w14:textId="2232E955"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Australian Research Council. (2020). </w:t>
      </w:r>
      <w:r>
        <w:rPr>
          <w:sz w:val="16"/>
          <w:szCs w:val="16"/>
        </w:rPr>
        <w:t xml:space="preserve">Engagement and Impact Assessment. </w:t>
      </w:r>
      <w:hyperlink r:id="rId84" w:tooltip="Australian Research Council's Engagement and Impact Assessment website" w:history="1">
        <w:r w:rsidRPr="00A15D27">
          <w:rPr>
            <w:rStyle w:val="Hyperlink"/>
            <w:sz w:val="16"/>
            <w:szCs w:val="16"/>
          </w:rPr>
          <w:t>www.arc.gov.au/engagement-and-impact-assessment</w:t>
        </w:r>
      </w:hyperlink>
    </w:p>
  </w:footnote>
  <w:footnote w:id="107">
    <w:p w14:paraId="09213CFE" w14:textId="0112D471" w:rsidR="00EF78E7" w:rsidRPr="00A15D27" w:rsidRDefault="00EF78E7" w:rsidP="00FC78F4">
      <w:pPr>
        <w:pStyle w:val="FootnoteText"/>
        <w:rPr>
          <w:sz w:val="16"/>
          <w:szCs w:val="16"/>
        </w:rPr>
      </w:pPr>
      <w:r w:rsidRPr="00A15D27">
        <w:rPr>
          <w:rStyle w:val="FootnoteReference"/>
          <w:sz w:val="16"/>
          <w:szCs w:val="16"/>
        </w:rPr>
        <w:footnoteRef/>
      </w:r>
      <w:r w:rsidRPr="00A15D27">
        <w:rPr>
          <w:sz w:val="16"/>
          <w:szCs w:val="16"/>
        </w:rPr>
        <w:t xml:space="preserve"> Australian Research Council. (2019). State of Australian University Research 2018–19</w:t>
      </w:r>
      <w:r>
        <w:rPr>
          <w:sz w:val="16"/>
          <w:szCs w:val="16"/>
        </w:rPr>
        <w:t>, ERA National Report</w:t>
      </w:r>
      <w:r w:rsidRPr="00A15D27">
        <w:rPr>
          <w:sz w:val="16"/>
          <w:szCs w:val="16"/>
        </w:rPr>
        <w:t xml:space="preserve">. </w:t>
      </w:r>
      <w:hyperlink r:id="rId85" w:tooltip="Link to State of Australian University Research report" w:history="1">
        <w:r w:rsidRPr="00A15D27">
          <w:rPr>
            <w:rStyle w:val="Hyperlink"/>
            <w:sz w:val="16"/>
            <w:szCs w:val="16"/>
          </w:rPr>
          <w:t>https://dataportal.arc.gov.au/ERA/NationalReport/2018/</w:t>
        </w:r>
      </w:hyperlink>
      <w:r w:rsidRPr="00A15D27">
        <w:rPr>
          <w:sz w:val="16"/>
          <w:szCs w:val="16"/>
        </w:rPr>
        <w:t xml:space="preserve"> </w:t>
      </w:r>
    </w:p>
  </w:footnote>
  <w:footnote w:id="108">
    <w:p w14:paraId="5B2D899B" w14:textId="44BEE068" w:rsidR="00EF78E7" w:rsidRPr="00A15D27" w:rsidRDefault="00EF78E7" w:rsidP="005517D7">
      <w:pPr>
        <w:pStyle w:val="FootnoteText"/>
        <w:rPr>
          <w:sz w:val="16"/>
          <w:szCs w:val="16"/>
        </w:rPr>
      </w:pPr>
      <w:r w:rsidRPr="00A15D27">
        <w:rPr>
          <w:rStyle w:val="FootnoteReference"/>
          <w:sz w:val="16"/>
          <w:szCs w:val="16"/>
        </w:rPr>
        <w:footnoteRef/>
      </w:r>
      <w:r w:rsidRPr="00A15D27">
        <w:rPr>
          <w:sz w:val="16"/>
          <w:szCs w:val="16"/>
        </w:rPr>
        <w:t xml:space="preserve"> OECD. (2017). OECD Economic Surveys: Australia 2017. OECD Publishing, Paris. </w:t>
      </w:r>
      <w:hyperlink r:id="rId86" w:tooltip="Link to OECD Economic Survey 2017" w:history="1">
        <w:r w:rsidRPr="00A15D27">
          <w:rPr>
            <w:rStyle w:val="Hyperlink"/>
            <w:sz w:val="16"/>
            <w:szCs w:val="16"/>
          </w:rPr>
          <w:t>www.oecd-ilibrary.org/economics/oecd-economic-surveys-australia-2017_eco_surveys-aus-2017-en</w:t>
        </w:r>
      </w:hyperlink>
    </w:p>
  </w:footnote>
  <w:footnote w:id="109">
    <w:p w14:paraId="7D04D506" w14:textId="3244F788" w:rsidR="00EF78E7" w:rsidRPr="00A15D27" w:rsidRDefault="00EF78E7" w:rsidP="005517D7">
      <w:pPr>
        <w:pStyle w:val="FootnoteText"/>
        <w:rPr>
          <w:sz w:val="16"/>
          <w:szCs w:val="16"/>
        </w:rPr>
      </w:pPr>
      <w:r w:rsidRPr="00A15D27">
        <w:rPr>
          <w:rStyle w:val="FootnoteReference"/>
          <w:sz w:val="16"/>
          <w:szCs w:val="16"/>
        </w:rPr>
        <w:footnoteRef/>
      </w:r>
      <w:r w:rsidRPr="00A15D27">
        <w:rPr>
          <w:sz w:val="16"/>
          <w:szCs w:val="16"/>
        </w:rPr>
        <w:t xml:space="preserve"> Senate Economic References Committee. (2015). Australia’s innovation system</w:t>
      </w:r>
      <w:r>
        <w:rPr>
          <w:rStyle w:val="Hyperlink"/>
          <w:sz w:val="16"/>
          <w:szCs w:val="16"/>
        </w:rPr>
        <w:t xml:space="preserve">. </w:t>
      </w:r>
      <w:hyperlink r:id="rId87" w:tooltip="Link to the Senate Economics References Committee's 'Australia's Innovation System report'" w:history="1">
        <w:r w:rsidRPr="00A15D27">
          <w:rPr>
            <w:rStyle w:val="Hyperlink"/>
            <w:sz w:val="16"/>
            <w:szCs w:val="16"/>
          </w:rPr>
          <w:t>www.aph.gov.au/Parliamentary_Business/Committees/Senate/Economics/Innovation_System/Report</w:t>
        </w:r>
      </w:hyperlink>
    </w:p>
  </w:footnote>
  <w:footnote w:id="110">
    <w:p w14:paraId="3D6D3F97" w14:textId="1AD8D8F3" w:rsidR="00EF78E7" w:rsidRPr="00A15D27" w:rsidRDefault="00EF78E7" w:rsidP="005517D7">
      <w:pPr>
        <w:pStyle w:val="FootnoteText"/>
        <w:rPr>
          <w:sz w:val="16"/>
          <w:szCs w:val="16"/>
        </w:rPr>
      </w:pPr>
      <w:r w:rsidRPr="00A15D27">
        <w:rPr>
          <w:rStyle w:val="FootnoteReference"/>
          <w:sz w:val="16"/>
          <w:szCs w:val="16"/>
        </w:rPr>
        <w:footnoteRef/>
      </w:r>
      <w:r w:rsidRPr="00A15D27">
        <w:rPr>
          <w:sz w:val="16"/>
          <w:szCs w:val="16"/>
        </w:rPr>
        <w:t xml:space="preserve"> Watt. (2015). Review of research policy and funding arrangements – report. </w:t>
      </w:r>
      <w:hyperlink r:id="rId88" w:tooltip="Link to Watt Review report: Review of research policy and funding arrangements" w:history="1">
        <w:r w:rsidRPr="00A15D27">
          <w:rPr>
            <w:rStyle w:val="Hyperlink"/>
            <w:sz w:val="16"/>
            <w:szCs w:val="16"/>
          </w:rPr>
          <w:t>https://docs.education.gov.au/node/38976</w:t>
        </w:r>
      </w:hyperlink>
    </w:p>
  </w:footnote>
  <w:footnote w:id="111">
    <w:p w14:paraId="232D59CD" w14:textId="1E6FAC17" w:rsidR="00EF78E7" w:rsidRPr="00A15D27" w:rsidRDefault="00EF78E7" w:rsidP="005517D7">
      <w:pPr>
        <w:pStyle w:val="FootnoteText"/>
        <w:rPr>
          <w:sz w:val="16"/>
          <w:szCs w:val="16"/>
        </w:rPr>
      </w:pPr>
      <w:r w:rsidRPr="00A15D27">
        <w:rPr>
          <w:rStyle w:val="FootnoteReference"/>
          <w:sz w:val="16"/>
          <w:szCs w:val="16"/>
        </w:rPr>
        <w:footnoteRef/>
      </w:r>
      <w:r w:rsidRPr="00A15D27">
        <w:rPr>
          <w:sz w:val="16"/>
          <w:szCs w:val="16"/>
        </w:rPr>
        <w:t xml:space="preserve"> House of Representatives Standing Committee on Employment, Education and Training. (2018). Inquiry into funding Australia's research report: Australian Government Funding Arrangements for non-NHMRC Research. </w:t>
      </w:r>
      <w:hyperlink r:id="rId89" w:tooltip="Link to Inquiry into funding Australia's research report" w:history="1">
        <w:r w:rsidRPr="00A15D27">
          <w:rPr>
            <w:rStyle w:val="Hyperlink"/>
            <w:sz w:val="16"/>
            <w:szCs w:val="16"/>
          </w:rPr>
          <w:t>https://parlinfo.aph.gov.au/parlInfo/download/committees/reportrep/024212/toc_pdf/AustralianGovernmentFundingArrangementsfornon-NHMRCResearch.pdf;fileType=application%2Fpdf</w:t>
        </w:r>
      </w:hyperlink>
    </w:p>
  </w:footnote>
  <w:footnote w:id="112">
    <w:p w14:paraId="1DDACE10" w14:textId="3D29C38D" w:rsidR="00EF78E7" w:rsidRPr="00A15D27" w:rsidRDefault="00EF78E7" w:rsidP="00854094">
      <w:pPr>
        <w:pStyle w:val="FootnoteText"/>
        <w:rPr>
          <w:sz w:val="16"/>
          <w:szCs w:val="16"/>
        </w:rPr>
      </w:pPr>
      <w:r w:rsidRPr="00A15D27">
        <w:rPr>
          <w:rStyle w:val="FootnoteReference"/>
          <w:sz w:val="16"/>
          <w:szCs w:val="16"/>
        </w:rPr>
        <w:footnoteRef/>
      </w:r>
      <w:r w:rsidRPr="00A15D27">
        <w:rPr>
          <w:sz w:val="16"/>
          <w:szCs w:val="16"/>
        </w:rPr>
        <w:t xml:space="preserve"> Paic, A. and C. Viros (2019). Governance of science and technology policies. OECD Science, Technology and Industry Policy Papers, No. 84, OECD Publishing, Paris. </w:t>
      </w:r>
      <w:hyperlink r:id="rId90" w:tooltip="Link to OECD report: Governance of Science and Technology Policies" w:history="1">
        <w:r w:rsidRPr="00A15D27">
          <w:rPr>
            <w:rStyle w:val="Hyperlink"/>
            <w:sz w:val="16"/>
            <w:szCs w:val="16"/>
          </w:rPr>
          <w:t>https://community.oecd.org/docs/DOC-161275</w:t>
        </w:r>
      </w:hyperlink>
    </w:p>
  </w:footnote>
  <w:footnote w:id="113">
    <w:p w14:paraId="6E200551" w14:textId="063FBFDC" w:rsidR="00EF78E7" w:rsidRPr="00A15D27" w:rsidRDefault="00EF78E7" w:rsidP="00854094">
      <w:pPr>
        <w:pStyle w:val="FootnoteText"/>
        <w:rPr>
          <w:sz w:val="16"/>
          <w:szCs w:val="16"/>
        </w:rPr>
      </w:pPr>
      <w:r w:rsidRPr="00A15D27">
        <w:rPr>
          <w:rStyle w:val="FootnoteReference"/>
          <w:sz w:val="16"/>
          <w:szCs w:val="16"/>
        </w:rPr>
        <w:footnoteRef/>
      </w:r>
      <w:r w:rsidRPr="00A15D27">
        <w:rPr>
          <w:sz w:val="16"/>
          <w:szCs w:val="16"/>
        </w:rPr>
        <w:t xml:space="preserve"> Australian Government. (2017). Australia’s National Science Statement. </w:t>
      </w:r>
      <w:hyperlink r:id="rId91" w:tooltip="Link to Australia's National Science Statement" w:history="1">
        <w:r w:rsidRPr="00A15D27">
          <w:rPr>
            <w:rStyle w:val="Hyperlink"/>
            <w:sz w:val="16"/>
            <w:szCs w:val="16"/>
          </w:rPr>
          <w:t>https://publications.industry.gov.au/publications/nationalsciencestatement/index.html</w:t>
        </w:r>
      </w:hyperlink>
    </w:p>
  </w:footnote>
  <w:footnote w:id="114">
    <w:p w14:paraId="65D7D16F" w14:textId="5FA0ADCA" w:rsidR="00EF78E7" w:rsidRPr="00A15D27" w:rsidRDefault="00EF78E7" w:rsidP="00854094">
      <w:pPr>
        <w:pStyle w:val="FootnoteText"/>
        <w:rPr>
          <w:rStyle w:val="Hyperlink"/>
          <w:sz w:val="16"/>
          <w:szCs w:val="16"/>
        </w:rPr>
      </w:pPr>
      <w:r w:rsidRPr="00A15D27">
        <w:rPr>
          <w:rStyle w:val="FootnoteReference"/>
          <w:sz w:val="16"/>
          <w:szCs w:val="16"/>
        </w:rPr>
        <w:footnoteRef/>
      </w:r>
      <w:r w:rsidRPr="00A15D27">
        <w:rPr>
          <w:sz w:val="16"/>
          <w:szCs w:val="16"/>
        </w:rPr>
        <w:t xml:space="preserve"> Department of Education, Skills and Employment. (2018). Research Infrastructure Investment Plan. </w:t>
      </w:r>
      <w:hyperlink r:id="rId92" w:tooltip="Link to Research Infrastructure Investment Plan website" w:history="1">
        <w:r w:rsidRPr="00911A8F">
          <w:rPr>
            <w:rStyle w:val="Hyperlink"/>
            <w:sz w:val="16"/>
            <w:szCs w:val="16"/>
          </w:rPr>
          <w:t>https://docs.education.gov.au/documents/research-infrastructure-investment-plan</w:t>
        </w:r>
      </w:hyperlink>
      <w:r w:rsidRPr="00A15D27">
        <w:rPr>
          <w:rStyle w:val="Hyperlink"/>
          <w:sz w:val="16"/>
          <w:szCs w:val="16"/>
        </w:rPr>
        <w:t xml:space="preserve"> </w:t>
      </w:r>
    </w:p>
  </w:footnote>
  <w:footnote w:id="115">
    <w:p w14:paraId="5D78D588" w14:textId="391FC802" w:rsidR="00EF78E7" w:rsidRPr="00A15D27" w:rsidRDefault="00EF78E7" w:rsidP="00854094">
      <w:pPr>
        <w:pStyle w:val="FootnoteText"/>
        <w:rPr>
          <w:sz w:val="16"/>
          <w:szCs w:val="16"/>
        </w:rPr>
      </w:pPr>
      <w:r w:rsidRPr="00A15D27">
        <w:rPr>
          <w:rStyle w:val="FootnoteReference"/>
          <w:sz w:val="16"/>
          <w:szCs w:val="16"/>
        </w:rPr>
        <w:footnoteRef/>
      </w:r>
      <w:r w:rsidRPr="00A15D27">
        <w:rPr>
          <w:sz w:val="16"/>
          <w:szCs w:val="16"/>
        </w:rPr>
        <w:t xml:space="preserve"> Department of Health. (2020). Medical Research Future Fund 10 year Plan. </w:t>
      </w:r>
      <w:hyperlink r:id="rId93" w:tooltip="link to Medical Research Infrastructure Fund 10-year Plan" w:history="1">
        <w:r w:rsidRPr="00A15D27">
          <w:rPr>
            <w:rStyle w:val="Hyperlink"/>
            <w:sz w:val="16"/>
            <w:szCs w:val="16"/>
          </w:rPr>
          <w:t>www.health.gov.au/sites/default/files/documents/2020/01/medical-research-future-fund-mrff-10-year-investment-plan.pdf</w:t>
        </w:r>
      </w:hyperlink>
      <w:r w:rsidRPr="00A15D27">
        <w:rPr>
          <w:sz w:val="16"/>
          <w:szCs w:val="16"/>
        </w:rPr>
        <w:t xml:space="preserve"> </w:t>
      </w:r>
    </w:p>
  </w:footnote>
  <w:footnote w:id="116">
    <w:p w14:paraId="7FA4ABD4" w14:textId="1348B4A5" w:rsidR="00EF78E7" w:rsidRPr="00A15D27" w:rsidRDefault="00EF78E7" w:rsidP="00854094">
      <w:pPr>
        <w:pStyle w:val="FootnoteText"/>
        <w:rPr>
          <w:sz w:val="16"/>
          <w:szCs w:val="16"/>
        </w:rPr>
      </w:pPr>
      <w:r w:rsidRPr="00A15D27">
        <w:rPr>
          <w:rStyle w:val="FootnoteReference"/>
          <w:sz w:val="16"/>
          <w:szCs w:val="16"/>
        </w:rPr>
        <w:footnoteRef/>
      </w:r>
      <w:r w:rsidRPr="00A15D27">
        <w:rPr>
          <w:sz w:val="16"/>
          <w:szCs w:val="16"/>
        </w:rPr>
        <w:t xml:space="preserve"> Department of Defence (2016). Defence White Paper: Defence Industry. </w:t>
      </w:r>
      <w:hyperlink r:id="rId94" w:tooltip="Link to 2016 Defence White Paper" w:history="1">
        <w:r w:rsidRPr="00A15D27">
          <w:rPr>
            <w:rStyle w:val="Hyperlink"/>
            <w:sz w:val="16"/>
            <w:szCs w:val="16"/>
          </w:rPr>
          <w:t>www.defence.gov.au/Whitepaper/docs/Defence-Industry.pdf</w:t>
        </w:r>
      </w:hyperlink>
      <w:r w:rsidRPr="00A15D27">
        <w:rPr>
          <w:sz w:val="16"/>
          <w:szCs w:val="16"/>
        </w:rPr>
        <w:t xml:space="preserve"> </w:t>
      </w:r>
    </w:p>
  </w:footnote>
  <w:footnote w:id="117">
    <w:p w14:paraId="6B60D3A8" w14:textId="6746CF18" w:rsidR="00EF78E7" w:rsidRPr="00A15D27" w:rsidRDefault="00EF78E7" w:rsidP="00854094">
      <w:pPr>
        <w:pStyle w:val="FootnoteText"/>
        <w:rPr>
          <w:sz w:val="16"/>
          <w:szCs w:val="16"/>
        </w:rPr>
      </w:pPr>
      <w:r w:rsidRPr="00A15D27">
        <w:rPr>
          <w:rStyle w:val="FootnoteReference"/>
          <w:sz w:val="16"/>
          <w:szCs w:val="16"/>
        </w:rPr>
        <w:footnoteRef/>
      </w:r>
      <w:r w:rsidRPr="00A15D27">
        <w:rPr>
          <w:sz w:val="16"/>
          <w:szCs w:val="16"/>
        </w:rPr>
        <w:t xml:space="preserve"> Department of the Prime Minister and Cabinet. (2019). Our Public Service, Our Future. Independent Review of the Australian Public Service. </w:t>
      </w:r>
      <w:hyperlink r:id="rId95" w:tooltip="Link to Australian Public Service Review" w:history="1">
        <w:r w:rsidRPr="00A15D27">
          <w:rPr>
            <w:rStyle w:val="Hyperlink"/>
            <w:sz w:val="16"/>
            <w:szCs w:val="16"/>
          </w:rPr>
          <w:t>https://pmc.gov.au/sites/default/files/publications/independent-review-aps.pdf</w:t>
        </w:r>
      </w:hyperlink>
    </w:p>
  </w:footnote>
  <w:footnote w:id="118">
    <w:p w14:paraId="7CA4C6BE" w14:textId="2283AB8E" w:rsidR="00EF78E7" w:rsidRPr="00A15D27" w:rsidRDefault="00EF78E7" w:rsidP="006211B8">
      <w:pPr>
        <w:pStyle w:val="FootnoteText"/>
        <w:rPr>
          <w:sz w:val="16"/>
          <w:szCs w:val="16"/>
        </w:rPr>
      </w:pPr>
      <w:r w:rsidRPr="00A15D27">
        <w:rPr>
          <w:rStyle w:val="FootnoteReference"/>
          <w:sz w:val="16"/>
          <w:szCs w:val="16"/>
        </w:rPr>
        <w:footnoteRef/>
      </w:r>
      <w:r w:rsidRPr="00A15D27">
        <w:rPr>
          <w:sz w:val="16"/>
          <w:szCs w:val="16"/>
        </w:rPr>
        <w:t xml:space="preserve"> Australian National University, </w:t>
      </w:r>
      <w:r w:rsidRPr="00A15D27">
        <w:rPr>
          <w:i/>
          <w:iCs/>
          <w:sz w:val="16"/>
          <w:szCs w:val="16"/>
        </w:rPr>
        <w:t xml:space="preserve">Submission 31, </w:t>
      </w:r>
      <w:r w:rsidRPr="00A15D27">
        <w:rPr>
          <w:sz w:val="16"/>
          <w:szCs w:val="16"/>
        </w:rPr>
        <w:t xml:space="preserve">p. 1. House of Representatives Standing Committee on Employment, Education and Training. (2018). Inquiry into funding Australia’s research report: Australian Government Funding Arrangements for non-NHMRC Research. </w:t>
      </w:r>
      <w:hyperlink r:id="rId96" w:tooltip="Link to Inquiry into funding Australia's research report" w:history="1">
        <w:r w:rsidRPr="00A15D27">
          <w:rPr>
            <w:rStyle w:val="Hyperlink"/>
            <w:sz w:val="16"/>
            <w:szCs w:val="16"/>
          </w:rPr>
          <w:t>https://parlinfo.aph.gov.au/parlInfo/download/committees/reportrep/024212/toc_pdf/</w:t>
        </w:r>
        <w:r>
          <w:rPr>
            <w:rStyle w:val="Hyperlink"/>
            <w:sz w:val="16"/>
            <w:szCs w:val="16"/>
          </w:rPr>
          <w:t>‌</w:t>
        </w:r>
        <w:r w:rsidRPr="00A15D27">
          <w:rPr>
            <w:rStyle w:val="Hyperlink"/>
            <w:sz w:val="16"/>
            <w:szCs w:val="16"/>
          </w:rPr>
          <w:t>AustralianGovernmentFundingArrangementsfornon-NHMRCResearch.pdf;fileType=application%2Fpdf</w:t>
        </w:r>
      </w:hyperlink>
      <w:r w:rsidRPr="00A15D27">
        <w:rPr>
          <w:sz w:val="16"/>
          <w:szCs w:val="16"/>
        </w:rPr>
        <w:t xml:space="preserve"> </w:t>
      </w:r>
    </w:p>
  </w:footnote>
  <w:footnote w:id="119">
    <w:p w14:paraId="58696AD2" w14:textId="77777777"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In 2017, the Council of Australian Governments (COAG) took a snapshot of policy initiatives and programs, across all levels of government, directed at industry ISR.</w:t>
      </w:r>
    </w:p>
  </w:footnote>
  <w:footnote w:id="120">
    <w:p w14:paraId="1D144671" w14:textId="350431EC" w:rsidR="00EF78E7" w:rsidRPr="00A15D27" w:rsidRDefault="00EF78E7" w:rsidP="001C5FA5">
      <w:pPr>
        <w:pStyle w:val="FootnoteText"/>
        <w:rPr>
          <w:sz w:val="16"/>
          <w:szCs w:val="16"/>
        </w:rPr>
      </w:pPr>
      <w:r w:rsidRPr="00A15D27">
        <w:rPr>
          <w:rStyle w:val="FootnoteReference"/>
          <w:sz w:val="16"/>
          <w:szCs w:val="16"/>
        </w:rPr>
        <w:footnoteRef/>
      </w:r>
      <w:r w:rsidRPr="00A15D27">
        <w:rPr>
          <w:sz w:val="16"/>
          <w:szCs w:val="16"/>
        </w:rPr>
        <w:t xml:space="preserve"> Innovation and Science Australia. (2020). Stimulating business investment in innovation. </w:t>
      </w:r>
      <w:hyperlink r:id="rId97" w:tooltip="Link to ISA's Stimulating business investment in innovation report" w:history="1">
        <w:r w:rsidRPr="00A15D27">
          <w:rPr>
            <w:rStyle w:val="Hyperlink"/>
            <w:sz w:val="16"/>
            <w:szCs w:val="16"/>
          </w:rPr>
          <w:t>www.industry.gov.au/sites/default/files/2020-02/stimulating-business-investment-in-innovation.pdf</w:t>
        </w:r>
      </w:hyperlink>
      <w:r>
        <w:rPr>
          <w:rStyle w:val="Hyperlink"/>
          <w:sz w:val="16"/>
          <w:szCs w:val="16"/>
        </w:rPr>
        <w:t xml:space="preserve"> </w:t>
      </w:r>
    </w:p>
  </w:footnote>
  <w:footnote w:id="121">
    <w:p w14:paraId="68845791" w14:textId="77777777" w:rsidR="00EF78E7" w:rsidRPr="00A15D27" w:rsidRDefault="00EF78E7" w:rsidP="004A5B27">
      <w:pPr>
        <w:pStyle w:val="FootnoteText"/>
        <w:rPr>
          <w:sz w:val="16"/>
          <w:szCs w:val="16"/>
        </w:rPr>
      </w:pPr>
      <w:r w:rsidRPr="00A15D27">
        <w:rPr>
          <w:rStyle w:val="FootnoteReference"/>
          <w:sz w:val="16"/>
          <w:szCs w:val="16"/>
        </w:rPr>
        <w:footnoteRef/>
      </w:r>
      <w:r w:rsidRPr="00A15D27">
        <w:rPr>
          <w:sz w:val="16"/>
          <w:szCs w:val="16"/>
        </w:rPr>
        <w:t xml:space="preserve"> As per eligibility requirement for Entrepreneurs’ Programme – Innovation Connections and Business Management.</w:t>
      </w:r>
    </w:p>
  </w:footnote>
  <w:footnote w:id="122">
    <w:p w14:paraId="382035A9" w14:textId="77777777" w:rsidR="00EF78E7" w:rsidRPr="00A15D27" w:rsidRDefault="00EF78E7" w:rsidP="004A5B27">
      <w:pPr>
        <w:pStyle w:val="FootnoteText"/>
        <w:rPr>
          <w:sz w:val="16"/>
          <w:szCs w:val="16"/>
        </w:rPr>
      </w:pPr>
      <w:r w:rsidRPr="00A15D27">
        <w:rPr>
          <w:rStyle w:val="FootnoteReference"/>
          <w:sz w:val="16"/>
          <w:szCs w:val="16"/>
        </w:rPr>
        <w:footnoteRef/>
      </w:r>
      <w:r w:rsidRPr="00A15D27">
        <w:rPr>
          <w:sz w:val="16"/>
          <w:szCs w:val="16"/>
        </w:rPr>
        <w:t xml:space="preserve"> As per merit selection criteria for the Entrepreneurs’ Programme – Accelerating Commercialisation.</w:t>
      </w:r>
    </w:p>
  </w:footnote>
  <w:footnote w:id="123">
    <w:p w14:paraId="46B76205" w14:textId="77777777" w:rsidR="00EF78E7" w:rsidRPr="00A15D27" w:rsidRDefault="00EF78E7" w:rsidP="004A5B27">
      <w:pPr>
        <w:pStyle w:val="FootnoteText"/>
        <w:rPr>
          <w:color w:val="595959"/>
          <w:sz w:val="16"/>
          <w:szCs w:val="16"/>
        </w:rPr>
      </w:pPr>
      <w:r w:rsidRPr="00A15D27">
        <w:rPr>
          <w:rStyle w:val="FootnoteReference"/>
          <w:sz w:val="16"/>
          <w:szCs w:val="16"/>
        </w:rPr>
        <w:footnoteRef/>
      </w:r>
      <w:r w:rsidRPr="00A15D27">
        <w:rPr>
          <w:sz w:val="16"/>
          <w:szCs w:val="16"/>
        </w:rPr>
        <w:t xml:space="preserve"> Advanced manufacturing; Food and agribusiness; Medical technologies and pharmaceuticals; Mining equipment, technology and services; and Oil, gas and energy resources.</w:t>
      </w:r>
    </w:p>
  </w:footnote>
  <w:footnote w:id="124">
    <w:p w14:paraId="04383A8E" w14:textId="77777777" w:rsidR="00EF78E7" w:rsidRPr="00A15D27" w:rsidRDefault="00EF78E7" w:rsidP="004A5B27">
      <w:pPr>
        <w:pStyle w:val="FootnoteText"/>
        <w:rPr>
          <w:sz w:val="16"/>
          <w:szCs w:val="16"/>
        </w:rPr>
      </w:pPr>
      <w:r w:rsidRPr="00A15D27">
        <w:rPr>
          <w:rStyle w:val="FootnoteReference"/>
          <w:sz w:val="16"/>
          <w:szCs w:val="16"/>
        </w:rPr>
        <w:footnoteRef/>
      </w:r>
      <w:r w:rsidRPr="00A15D27">
        <w:rPr>
          <w:sz w:val="16"/>
          <w:szCs w:val="16"/>
        </w:rPr>
        <w:t xml:space="preserve"> Under the CRC </w:t>
      </w:r>
      <w:r w:rsidRPr="00A15D27">
        <w:rPr>
          <w:noProof/>
          <w:sz w:val="16"/>
          <w:szCs w:val="16"/>
        </w:rPr>
        <w:t>&amp;</w:t>
      </w:r>
      <w:r w:rsidRPr="00A15D27">
        <w:rPr>
          <w:sz w:val="16"/>
          <w:szCs w:val="16"/>
        </w:rPr>
        <w:t xml:space="preserve"> CRC-Ps merit criteria, additional assessment points </w:t>
      </w:r>
      <w:r w:rsidRPr="00A15D27">
        <w:rPr>
          <w:noProof/>
          <w:sz w:val="16"/>
          <w:szCs w:val="16"/>
        </w:rPr>
        <w:t>are awarded for</w:t>
      </w:r>
      <w:r w:rsidRPr="00A15D27">
        <w:rPr>
          <w:sz w:val="16"/>
          <w:szCs w:val="16"/>
        </w:rPr>
        <w:t xml:space="preserve"> linking to Government priorities.</w:t>
      </w:r>
    </w:p>
  </w:footnote>
  <w:footnote w:id="125">
    <w:p w14:paraId="293830DD" w14:textId="77777777" w:rsidR="00EF78E7" w:rsidRPr="00A15D27" w:rsidRDefault="00EF78E7" w:rsidP="009755EF">
      <w:pPr>
        <w:pStyle w:val="FootnoteText"/>
        <w:rPr>
          <w:sz w:val="16"/>
          <w:szCs w:val="16"/>
        </w:rPr>
      </w:pPr>
      <w:r w:rsidRPr="00A15D27">
        <w:rPr>
          <w:rStyle w:val="FootnoteReference"/>
          <w:sz w:val="16"/>
          <w:szCs w:val="16"/>
        </w:rPr>
        <w:footnoteRef/>
      </w:r>
      <w:r w:rsidRPr="00A15D27">
        <w:rPr>
          <w:sz w:val="16"/>
          <w:szCs w:val="16"/>
        </w:rPr>
        <w:t xml:space="preserve"> Queensland Government. (2018) Innovation Journey. </w:t>
      </w:r>
      <w:hyperlink r:id="rId98" w:history="1">
        <w:r w:rsidRPr="00A15D27">
          <w:rPr>
            <w:rStyle w:val="Hyperlink"/>
            <w:sz w:val="16"/>
            <w:szCs w:val="16"/>
          </w:rPr>
          <w:t>www.publications.qld.gov.au/dataset/innovation-journey/resource/ce4aa1c2-48a1-4cc9-9750-047f93cdf152</w:t>
        </w:r>
      </w:hyperlink>
      <w:r w:rsidRPr="00A15D27">
        <w:rPr>
          <w:sz w:val="16"/>
          <w:szCs w:val="16"/>
        </w:rPr>
        <w:t xml:space="preserve"> </w:t>
      </w:r>
    </w:p>
  </w:footnote>
  <w:footnote w:id="126">
    <w:p w14:paraId="2769874F" w14:textId="0CCD3F9E" w:rsidR="00EF78E7" w:rsidRPr="00A15D27" w:rsidRDefault="00EF78E7" w:rsidP="00993B48">
      <w:pPr>
        <w:pStyle w:val="FootnoteText"/>
        <w:rPr>
          <w:sz w:val="16"/>
          <w:szCs w:val="16"/>
        </w:rPr>
      </w:pPr>
      <w:r w:rsidRPr="00A15D27">
        <w:rPr>
          <w:rStyle w:val="FootnoteReference"/>
          <w:sz w:val="16"/>
          <w:szCs w:val="16"/>
        </w:rPr>
        <w:footnoteRef/>
      </w:r>
      <w:r w:rsidRPr="00A15D27">
        <w:rPr>
          <w:sz w:val="16"/>
          <w:szCs w:val="16"/>
        </w:rPr>
        <w:t xml:space="preserve"> Department of Industry, Innovation and Science. (2019). Business Grants Hub Service Offer and Catalogue. </w:t>
      </w:r>
      <w:hyperlink r:id="rId99" w:tooltip="Link to Business Grants Hub Service Offer and Catalogue" w:history="1">
        <w:r w:rsidRPr="00A15D27">
          <w:rPr>
            <w:rStyle w:val="Hyperlink"/>
            <w:sz w:val="16"/>
            <w:szCs w:val="16"/>
          </w:rPr>
          <w:t>www.industry.gov.au/sites/default/files/2019-11/business-grants-hub-service-offer-and-catalogue.pdf</w:t>
        </w:r>
      </w:hyperlink>
      <w:r w:rsidRPr="00A15D27">
        <w:rPr>
          <w:sz w:val="16"/>
          <w:szCs w:val="16"/>
        </w:rPr>
        <w:t xml:space="preserve"> </w:t>
      </w:r>
    </w:p>
  </w:footnote>
  <w:footnote w:id="127">
    <w:p w14:paraId="16789780" w14:textId="390E4EF7" w:rsidR="00EF78E7" w:rsidRPr="00A15D27" w:rsidRDefault="00EF78E7" w:rsidP="00993B48">
      <w:pPr>
        <w:pStyle w:val="FootnoteText"/>
        <w:rPr>
          <w:sz w:val="16"/>
          <w:szCs w:val="16"/>
        </w:rPr>
      </w:pPr>
      <w:r w:rsidRPr="00A15D27">
        <w:rPr>
          <w:rStyle w:val="FootnoteReference"/>
          <w:sz w:val="16"/>
          <w:szCs w:val="16"/>
        </w:rPr>
        <w:footnoteRef/>
      </w:r>
      <w:r w:rsidRPr="00A15D27">
        <w:rPr>
          <w:sz w:val="16"/>
          <w:szCs w:val="16"/>
        </w:rPr>
        <w:t xml:space="preserve"> OECD. (2017). OECD Economic Surveys: Australia, March. </w:t>
      </w:r>
      <w:hyperlink r:id="rId100" w:tooltip="Link to OECD Economic Survey March 2017" w:history="1">
        <w:r w:rsidRPr="00A15D27">
          <w:rPr>
            <w:rStyle w:val="Hyperlink"/>
            <w:sz w:val="16"/>
            <w:szCs w:val="16"/>
          </w:rPr>
          <w:t>www.oecd.org/eco/surveys/Australia-2017-OECD-economic-survey-overview.pdf</w:t>
        </w:r>
      </w:hyperlink>
      <w:r>
        <w:rPr>
          <w:rStyle w:val="Hyperlink"/>
          <w:sz w:val="16"/>
          <w:szCs w:val="16"/>
        </w:rPr>
        <w:t xml:space="preserve"> </w:t>
      </w:r>
    </w:p>
  </w:footnote>
  <w:footnote w:id="128">
    <w:p w14:paraId="2B58CD03" w14:textId="1C5168DD" w:rsidR="00EF78E7" w:rsidRPr="00A15D27" w:rsidRDefault="00EF78E7" w:rsidP="00993B48">
      <w:pPr>
        <w:pStyle w:val="FootnoteText"/>
        <w:rPr>
          <w:sz w:val="16"/>
          <w:szCs w:val="16"/>
        </w:rPr>
      </w:pPr>
      <w:r w:rsidRPr="00A15D27">
        <w:rPr>
          <w:rStyle w:val="FootnoteReference"/>
          <w:sz w:val="16"/>
          <w:szCs w:val="16"/>
        </w:rPr>
        <w:footnoteRef/>
      </w:r>
      <w:r w:rsidRPr="00A15D27">
        <w:rPr>
          <w:sz w:val="16"/>
          <w:szCs w:val="16"/>
        </w:rPr>
        <w:t xml:space="preserve"> European Commission. Research and Innovation Observatory – Horizon 2020 Policy Support Facility. Innovation Fund Denmark. </w:t>
      </w:r>
      <w:hyperlink r:id="rId101" w:tooltip="link to Innovation Fund Denmark website" w:history="1">
        <w:r w:rsidRPr="00A15D27">
          <w:rPr>
            <w:rStyle w:val="Hyperlink"/>
            <w:sz w:val="16"/>
            <w:szCs w:val="16"/>
          </w:rPr>
          <w:t>https://rio.jrc.ec.europa.eu/en/organisations/innovation-fund-denmark</w:t>
        </w:r>
      </w:hyperlink>
    </w:p>
  </w:footnote>
  <w:footnote w:id="129">
    <w:p w14:paraId="08BDB8D2" w14:textId="7A30B8DA" w:rsidR="00EF78E7" w:rsidRPr="00A15D27" w:rsidRDefault="00EF78E7" w:rsidP="00993B48">
      <w:pPr>
        <w:pStyle w:val="FootnoteText"/>
        <w:rPr>
          <w:sz w:val="16"/>
          <w:szCs w:val="16"/>
        </w:rPr>
      </w:pPr>
      <w:r w:rsidRPr="00A15D27">
        <w:rPr>
          <w:rStyle w:val="FootnoteReference"/>
          <w:sz w:val="16"/>
          <w:szCs w:val="16"/>
        </w:rPr>
        <w:footnoteRef/>
      </w:r>
      <w:r w:rsidRPr="00A15D27">
        <w:rPr>
          <w:sz w:val="16"/>
          <w:szCs w:val="16"/>
        </w:rPr>
        <w:t xml:space="preserve"> OECD. (2018). OECD Science, Technology and Innovation Outlook 2018: Adapting to Technological and Societal Disruption, OECD Publishing, Paris. </w:t>
      </w:r>
      <w:hyperlink r:id="rId102" w:tooltip="Link to OECD's Science, Technology and Innovation Outlook 2018" w:history="1">
        <w:r w:rsidRPr="00A15D27">
          <w:rPr>
            <w:rStyle w:val="Hyperlink"/>
            <w:sz w:val="16"/>
            <w:szCs w:val="16"/>
          </w:rPr>
          <w:t>https://doi.org/10.1787/sti_in_outlook-2018-en</w:t>
        </w:r>
      </w:hyperlink>
    </w:p>
  </w:footnote>
  <w:footnote w:id="130">
    <w:p w14:paraId="716803C3" w14:textId="3A3089D8" w:rsidR="00EF78E7" w:rsidRPr="00A15D27" w:rsidRDefault="00EF78E7" w:rsidP="00993B48">
      <w:pPr>
        <w:pStyle w:val="FootnoteText"/>
        <w:rPr>
          <w:sz w:val="16"/>
          <w:szCs w:val="16"/>
        </w:rPr>
      </w:pPr>
      <w:r w:rsidRPr="00A15D27">
        <w:rPr>
          <w:rStyle w:val="FootnoteReference"/>
          <w:sz w:val="16"/>
          <w:szCs w:val="16"/>
        </w:rPr>
        <w:footnoteRef/>
      </w:r>
      <w:r w:rsidRPr="00A15D27">
        <w:rPr>
          <w:sz w:val="16"/>
          <w:szCs w:val="16"/>
        </w:rPr>
        <w:t xml:space="preserve"> OECD. (2019). Governance of science and technology policies – Case studies. OECD Science, Technology and Industry Policy Papers. </w:t>
      </w:r>
      <w:hyperlink r:id="rId103" w:tooltip="Link to OECD report: Governance of Science and Technology Policies" w:history="1">
        <w:r w:rsidRPr="00A15D27">
          <w:rPr>
            <w:rStyle w:val="Hyperlink"/>
            <w:sz w:val="16"/>
            <w:szCs w:val="16"/>
          </w:rPr>
          <w:t>https://community.oecd.org/docs/DOC-161275</w:t>
        </w:r>
      </w:hyperlink>
      <w:r w:rsidRPr="00A15D27">
        <w:rPr>
          <w:rStyle w:val="Hyperlink"/>
          <w:sz w:val="16"/>
          <w:szCs w:val="16"/>
        </w:rPr>
        <w:t xml:space="preserve"> </w:t>
      </w:r>
    </w:p>
  </w:footnote>
  <w:footnote w:id="131">
    <w:p w14:paraId="3E6547E0" w14:textId="72B54D23" w:rsidR="00EF78E7" w:rsidRPr="00A15D27" w:rsidRDefault="00EF78E7" w:rsidP="00993B48">
      <w:pPr>
        <w:pStyle w:val="FootnoteText"/>
        <w:rPr>
          <w:sz w:val="16"/>
          <w:szCs w:val="16"/>
        </w:rPr>
      </w:pPr>
      <w:r w:rsidRPr="00A15D27">
        <w:rPr>
          <w:rStyle w:val="FootnoteReference"/>
          <w:sz w:val="16"/>
          <w:szCs w:val="16"/>
        </w:rPr>
        <w:footnoteRef/>
      </w:r>
      <w:r w:rsidRPr="00A15D27">
        <w:rPr>
          <w:sz w:val="16"/>
          <w:szCs w:val="16"/>
        </w:rPr>
        <w:t xml:space="preserve"> European Commission. Horizon 2020 Research &amp; Innovation. </w:t>
      </w:r>
      <w:hyperlink r:id="rId104" w:tooltip="Link to Horizon Europe 2020 website" w:history="1">
        <w:r w:rsidRPr="00A15D27">
          <w:rPr>
            <w:rStyle w:val="Hyperlink"/>
            <w:sz w:val="16"/>
            <w:szCs w:val="16"/>
          </w:rPr>
          <w:t>https://ec.europa.eu/info/funding-tenders/opportunities/portal/screen/programmes/h2020</w:t>
        </w:r>
      </w:hyperlink>
    </w:p>
  </w:footnote>
  <w:footnote w:id="132">
    <w:p w14:paraId="4E8335EA" w14:textId="305D1A3F" w:rsidR="00EF78E7" w:rsidRPr="00A15D27" w:rsidRDefault="00EF78E7" w:rsidP="00993B48">
      <w:pPr>
        <w:pStyle w:val="FootnoteText"/>
        <w:rPr>
          <w:sz w:val="16"/>
          <w:szCs w:val="16"/>
        </w:rPr>
      </w:pPr>
      <w:r w:rsidRPr="00A15D27">
        <w:rPr>
          <w:rStyle w:val="FootnoteReference"/>
          <w:sz w:val="16"/>
          <w:szCs w:val="16"/>
        </w:rPr>
        <w:footnoteRef/>
      </w:r>
      <w:r w:rsidRPr="00A15D27">
        <w:rPr>
          <w:sz w:val="16"/>
          <w:szCs w:val="16"/>
        </w:rPr>
        <w:t xml:space="preserve"> OECD. (2018). OECD Science, Technology and Innovation Outlook 2018: Adapting to Technological and Societal Disruption, OECD Publishing, Paris. </w:t>
      </w:r>
      <w:hyperlink r:id="rId105" w:tooltip="Link to OECD's Science, Technology and Innovation Outlook 2018" w:history="1">
        <w:r w:rsidRPr="00A15D27">
          <w:rPr>
            <w:rStyle w:val="Hyperlink"/>
            <w:sz w:val="16"/>
            <w:szCs w:val="16"/>
          </w:rPr>
          <w:t>https://doi.org/10.1787/sti_in_outlook-2018-en</w:t>
        </w:r>
      </w:hyperlink>
    </w:p>
  </w:footnote>
  <w:footnote w:id="133">
    <w:p w14:paraId="1AB82E2C" w14:textId="5BBA068D" w:rsidR="00EF78E7" w:rsidRPr="00A15D27" w:rsidRDefault="00EF78E7" w:rsidP="00993B48">
      <w:pPr>
        <w:pStyle w:val="FootnoteText"/>
        <w:rPr>
          <w:sz w:val="16"/>
          <w:szCs w:val="16"/>
        </w:rPr>
      </w:pPr>
      <w:r w:rsidRPr="00A15D27">
        <w:rPr>
          <w:rStyle w:val="FootnoteReference"/>
          <w:sz w:val="16"/>
          <w:szCs w:val="16"/>
        </w:rPr>
        <w:footnoteRef/>
      </w:r>
      <w:r w:rsidRPr="00A15D27">
        <w:rPr>
          <w:sz w:val="16"/>
          <w:szCs w:val="16"/>
        </w:rPr>
        <w:t xml:space="preserve"> US Government Accountability Office. (2019). Additional Opportunities to Reduce Fragmentation, Overlap, and Duplication and Achieve Billions in Financial Benefits. </w:t>
      </w:r>
      <w:hyperlink r:id="rId106" w:tooltip="Link to US Government's 'Additional Opportunities to Reduce Fragmentation, Overlap, and Duplication' report" w:history="1">
        <w:r w:rsidRPr="0040489D">
          <w:rPr>
            <w:rStyle w:val="Hyperlink"/>
            <w:sz w:val="16"/>
            <w:szCs w:val="16"/>
          </w:rPr>
          <w:t>www.gao.gov/reports/GAO-19-285SP/</w:t>
        </w:r>
      </w:hyperlink>
      <w:r>
        <w:rPr>
          <w:rStyle w:val="Hyperlink"/>
          <w:sz w:val="16"/>
          <w:szCs w:val="16"/>
        </w:rPr>
        <w:t xml:space="preserve"> </w:t>
      </w:r>
    </w:p>
  </w:footnote>
  <w:footnote w:id="134">
    <w:p w14:paraId="26D0117F" w14:textId="5B536C60" w:rsidR="00EF78E7" w:rsidRPr="00A15D27" w:rsidRDefault="00EF78E7" w:rsidP="002D47DD">
      <w:pPr>
        <w:pStyle w:val="FootnoteText"/>
        <w:rPr>
          <w:sz w:val="16"/>
          <w:szCs w:val="16"/>
        </w:rPr>
      </w:pPr>
      <w:r w:rsidRPr="00A15D27">
        <w:rPr>
          <w:rStyle w:val="FootnoteReference"/>
          <w:sz w:val="16"/>
          <w:szCs w:val="16"/>
        </w:rPr>
        <w:footnoteRef/>
      </w:r>
      <w:r w:rsidRPr="00A15D27">
        <w:rPr>
          <w:sz w:val="16"/>
          <w:szCs w:val="16"/>
        </w:rPr>
        <w:t xml:space="preserve"> Estimates exclude Defence (KPMG January 2020 estimated</w:t>
      </w:r>
      <w:r w:rsidRPr="00A15D27">
        <w:t xml:space="preserve"> </w:t>
      </w:r>
      <w:r w:rsidRPr="00A15D27">
        <w:rPr>
          <w:sz w:val="16"/>
          <w:szCs w:val="16"/>
        </w:rPr>
        <w:t xml:space="preserve">$11.75b over 20 years or approximately $400–575m annually); </w:t>
      </w:r>
      <w:hyperlink r:id="rId107" w:tooltip="Link to KPMG's Investment in the Australian Space Sector report" w:history="1">
        <w:r w:rsidRPr="00A15D27">
          <w:rPr>
            <w:rStyle w:val="Hyperlink"/>
            <w:sz w:val="16"/>
            <w:szCs w:val="16"/>
          </w:rPr>
          <w:t>Investment in the Australian Space Sector</w:t>
        </w:r>
      </w:hyperlink>
      <w:r w:rsidRPr="00A15D27">
        <w:rPr>
          <w:sz w:val="16"/>
          <w:szCs w:val="16"/>
        </w:rPr>
        <w:t>), and smaller investments including those at AIMS, BoM, ANSTO and AAD. Research and Development Tax Incentive (R&amp;DTI) estimates include registrations for the 2018–19 income year lodged to 21 May 2020; submissions close 30 September 2020. Note, ARC grant values per financial year are estimates only, due to variable grant start and end dates.</w:t>
      </w:r>
    </w:p>
  </w:footnote>
  <w:footnote w:id="135">
    <w:p w14:paraId="0B1359F4" w14:textId="4D7EB4D4"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NB: each business’ R&amp;DTI registration can include multiple projects; this estimate includes 49 projects averaging $467,000.</w:t>
      </w:r>
    </w:p>
  </w:footnote>
  <w:footnote w:id="136">
    <w:p w14:paraId="55ED6390" w14:textId="11B4F204"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Australian Government. </w:t>
      </w:r>
      <w:r>
        <w:rPr>
          <w:sz w:val="16"/>
          <w:szCs w:val="16"/>
        </w:rPr>
        <w:t xml:space="preserve">(2020). </w:t>
      </w:r>
      <w:r w:rsidRPr="006945B9">
        <w:rPr>
          <w:sz w:val="16"/>
          <w:szCs w:val="16"/>
        </w:rPr>
        <w:t>CRC Projects selection round outcomes</w:t>
      </w:r>
      <w:r>
        <w:rPr>
          <w:sz w:val="16"/>
          <w:szCs w:val="16"/>
        </w:rPr>
        <w:t xml:space="preserve">. </w:t>
      </w:r>
      <w:hyperlink r:id="rId108" w:tooltip="Link to CRC Projects selection round outcomes website" w:history="1">
        <w:r w:rsidRPr="00A15D27">
          <w:rPr>
            <w:rStyle w:val="Hyperlink"/>
            <w:sz w:val="16"/>
            <w:szCs w:val="16"/>
          </w:rPr>
          <w:t>www.business.gov.au/Grants-and-Programs/Cooperative-Research-Centres-Projects-CRCP-Grants/CRC-Projects-selection-round-outcomes</w:t>
        </w:r>
      </w:hyperlink>
    </w:p>
  </w:footnote>
  <w:footnote w:id="137">
    <w:p w14:paraId="173C01DE" w14:textId="65B54444" w:rsidR="00EF78E7" w:rsidRPr="00A15D27" w:rsidRDefault="00EF78E7" w:rsidP="00910328">
      <w:pPr>
        <w:pStyle w:val="FootnoteText"/>
        <w:rPr>
          <w:sz w:val="16"/>
          <w:szCs w:val="16"/>
        </w:rPr>
      </w:pPr>
      <w:r w:rsidRPr="00A15D27">
        <w:rPr>
          <w:rStyle w:val="FootnoteReference"/>
          <w:sz w:val="16"/>
          <w:szCs w:val="16"/>
        </w:rPr>
        <w:footnoteRef/>
      </w:r>
      <w:r w:rsidRPr="00A15D27">
        <w:rPr>
          <w:sz w:val="16"/>
          <w:szCs w:val="16"/>
        </w:rPr>
        <w:t xml:space="preserve"> OCED. (2019). The Space Economy in Figures: How Space Contributes to the Global Economy. </w:t>
      </w:r>
      <w:hyperlink r:id="rId109" w:tooltip="Link to OECD report: The Space Economy in Figures" w:history="1">
        <w:r w:rsidRPr="00A15D27">
          <w:rPr>
            <w:rStyle w:val="Hyperlink"/>
            <w:sz w:val="16"/>
            <w:szCs w:val="16"/>
          </w:rPr>
          <w:t>www.oecd-ilibrary.org/science-and-technology/the-space-economy-in-figures_c5996201-en</w:t>
        </w:r>
      </w:hyperlink>
      <w:r>
        <w:rPr>
          <w:rStyle w:val="Hyperlink"/>
          <w:sz w:val="16"/>
          <w:szCs w:val="16"/>
        </w:rPr>
        <w:t xml:space="preserve"> </w:t>
      </w:r>
    </w:p>
  </w:footnote>
  <w:footnote w:id="138">
    <w:p w14:paraId="7420551F" w14:textId="7608C31C" w:rsidR="00EF78E7" w:rsidRPr="00A15D27" w:rsidRDefault="00EF78E7" w:rsidP="002D47DD">
      <w:pPr>
        <w:pStyle w:val="FootnoteText"/>
        <w:rPr>
          <w:sz w:val="16"/>
          <w:szCs w:val="16"/>
        </w:rPr>
      </w:pPr>
      <w:r w:rsidRPr="00A15D27">
        <w:rPr>
          <w:rStyle w:val="FootnoteReference"/>
          <w:sz w:val="16"/>
          <w:szCs w:val="16"/>
        </w:rPr>
        <w:footnoteRef/>
      </w:r>
      <w:r w:rsidRPr="00A15D27">
        <w:rPr>
          <w:sz w:val="16"/>
          <w:szCs w:val="16"/>
        </w:rPr>
        <w:t xml:space="preserve"> Australian Space Agency. (2020). State of Space Report. </w:t>
      </w:r>
      <w:hyperlink r:id="rId110" w:tooltip="Link to Australian Space Agency's State of Space report" w:history="1">
        <w:r w:rsidRPr="00A15D27">
          <w:rPr>
            <w:rStyle w:val="Hyperlink"/>
            <w:sz w:val="16"/>
            <w:szCs w:val="16"/>
          </w:rPr>
          <w:t>www.industry.gov.au/sites/default/files/2020-05/state-of-space-report-2018-19.pdf</w:t>
        </w:r>
      </w:hyperlink>
    </w:p>
  </w:footnote>
  <w:footnote w:id="139">
    <w:p w14:paraId="2A97C527" w14:textId="77777777" w:rsidR="00EF78E7" w:rsidRPr="00A15D27" w:rsidRDefault="00EF78E7" w:rsidP="003B4058">
      <w:pPr>
        <w:pStyle w:val="FootnoteText"/>
        <w:rPr>
          <w:sz w:val="16"/>
          <w:szCs w:val="16"/>
        </w:rPr>
      </w:pPr>
      <w:r w:rsidRPr="00A15D27">
        <w:rPr>
          <w:rStyle w:val="FootnoteReference"/>
          <w:sz w:val="16"/>
          <w:szCs w:val="16"/>
        </w:rPr>
        <w:footnoteRef/>
      </w:r>
      <w:r w:rsidRPr="00A15D27">
        <w:rPr>
          <w:sz w:val="16"/>
          <w:szCs w:val="16"/>
        </w:rPr>
        <w:t xml:space="preserve"> Paic, A. and C. Viros (2019). Governance of science and technology policies. OECD Science, Technology and Industry Policy Papers, No. 84, OECD Publishing, Paris.</w:t>
      </w:r>
      <w:r w:rsidRPr="00C86DA6">
        <w:rPr>
          <w:rStyle w:val="Hyperlink"/>
          <w:sz w:val="16"/>
          <w:szCs w:val="16"/>
        </w:rPr>
        <w:t xml:space="preserve"> </w:t>
      </w:r>
      <w:hyperlink r:id="rId111" w:tooltip="Link to OECD report: Governance of Science and Technology Policies" w:history="1">
        <w:r w:rsidRPr="00A15D27">
          <w:rPr>
            <w:rStyle w:val="Hyperlink"/>
            <w:sz w:val="16"/>
            <w:szCs w:val="16"/>
          </w:rPr>
          <w:t>https://community.oecd.org/docs/DOC-161275</w:t>
        </w:r>
      </w:hyperlink>
    </w:p>
  </w:footnote>
  <w:footnote w:id="140">
    <w:p w14:paraId="04F00327" w14:textId="52F8888E" w:rsidR="00EF78E7" w:rsidRPr="00A15D27" w:rsidRDefault="00EF78E7" w:rsidP="008D443B">
      <w:pPr>
        <w:pStyle w:val="FootnoteText"/>
        <w:rPr>
          <w:sz w:val="16"/>
          <w:szCs w:val="16"/>
        </w:rPr>
      </w:pPr>
      <w:r w:rsidRPr="00A15D27">
        <w:rPr>
          <w:rStyle w:val="FootnoteReference"/>
          <w:sz w:val="16"/>
          <w:szCs w:val="16"/>
        </w:rPr>
        <w:footnoteRef/>
      </w:r>
      <w:r w:rsidRPr="00A15D27">
        <w:rPr>
          <w:sz w:val="16"/>
          <w:szCs w:val="16"/>
        </w:rPr>
        <w:t xml:space="preserve"> Glennie, A. and Bound, K. (2016). How Innovation Agencies Work: International lessons to inspire and inform national strategies. Nesta. </w:t>
      </w:r>
      <w:hyperlink r:id="rId112" w:tooltip="Link to NESTA report on How Innovation Agencies Work: International lessons to inspire and inform national strategies" w:history="1">
        <w:r w:rsidRPr="00A15D27">
          <w:rPr>
            <w:rStyle w:val="Hyperlink"/>
            <w:sz w:val="16"/>
            <w:szCs w:val="16"/>
          </w:rPr>
          <w:t>https://media.nesta.org.uk/documents/how_innovation_agencies_work.pdf</w:t>
        </w:r>
      </w:hyperlink>
    </w:p>
  </w:footnote>
  <w:footnote w:id="141">
    <w:p w14:paraId="06B5A4F8" w14:textId="239B8694" w:rsidR="00EF78E7" w:rsidRPr="00A15D27" w:rsidRDefault="00EF78E7" w:rsidP="0081346A">
      <w:pPr>
        <w:pStyle w:val="FootnoteText"/>
        <w:rPr>
          <w:sz w:val="16"/>
          <w:szCs w:val="16"/>
        </w:rPr>
      </w:pPr>
      <w:r w:rsidRPr="00A15D27">
        <w:rPr>
          <w:rStyle w:val="FootnoteReference"/>
          <w:sz w:val="16"/>
          <w:szCs w:val="16"/>
        </w:rPr>
        <w:footnoteRef/>
      </w:r>
      <w:r w:rsidRPr="00A15D27">
        <w:rPr>
          <w:sz w:val="16"/>
          <w:szCs w:val="16"/>
        </w:rPr>
        <w:t xml:space="preserve"> Watt. (2015). Review of research policy and funding arrangements—report. </w:t>
      </w:r>
      <w:hyperlink r:id="rId113" w:tooltip="Link to Watt Review report: Review of research policy and funding arrangements" w:history="1">
        <w:r w:rsidRPr="00A15D27">
          <w:rPr>
            <w:rStyle w:val="Hyperlink"/>
            <w:sz w:val="16"/>
            <w:szCs w:val="16"/>
          </w:rPr>
          <w:t>https://docs.education.gov.au/node/38976</w:t>
        </w:r>
      </w:hyperlink>
    </w:p>
  </w:footnote>
  <w:footnote w:id="142">
    <w:p w14:paraId="0B205F4B" w14:textId="023B5DE5"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For example, Quality Assurance: Learning and Teaching at the University of Adelaide </w:t>
      </w:r>
      <w:hyperlink r:id="rId114" w:tooltip="Link to University of Adelaide quality assurance website" w:history="1">
        <w:r w:rsidRPr="00A15D27">
          <w:rPr>
            <w:rStyle w:val="Hyperlink"/>
            <w:sz w:val="16"/>
            <w:szCs w:val="16"/>
          </w:rPr>
          <w:t>www.adelaide.edu.au/learning/quality-assurance</w:t>
        </w:r>
      </w:hyperlink>
    </w:p>
  </w:footnote>
  <w:footnote w:id="143">
    <w:p w14:paraId="0186819C" w14:textId="6E375DDC"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OECD (2017). OECD Economic Surveys: Australia, March.</w:t>
      </w:r>
      <w:r>
        <w:rPr>
          <w:sz w:val="16"/>
          <w:szCs w:val="16"/>
        </w:rPr>
        <w:t xml:space="preserve"> </w:t>
      </w:r>
      <w:hyperlink r:id="rId115" w:tooltip="Link to OECD Economic Survey March 2017" w:history="1">
        <w:r w:rsidRPr="00A15D27">
          <w:rPr>
            <w:rStyle w:val="Hyperlink"/>
            <w:sz w:val="16"/>
            <w:szCs w:val="16"/>
          </w:rPr>
          <w:t>www.oecd.org/eco/surveys/Australia-2017-OECD-economic-survey-overview.pdf</w:t>
        </w:r>
      </w:hyperlink>
      <w:r>
        <w:rPr>
          <w:rStyle w:val="Hyperlink"/>
          <w:sz w:val="16"/>
          <w:szCs w:val="16"/>
        </w:rPr>
        <w:t xml:space="preserve"> </w:t>
      </w:r>
    </w:p>
  </w:footnote>
  <w:footnote w:id="144">
    <w:p w14:paraId="2026E40A" w14:textId="63FE21A2" w:rsidR="00EF78E7" w:rsidRPr="00A15D27" w:rsidRDefault="00EF78E7" w:rsidP="00C469A5">
      <w:pPr>
        <w:pStyle w:val="FootnoteText"/>
        <w:rPr>
          <w:sz w:val="16"/>
          <w:szCs w:val="16"/>
        </w:rPr>
      </w:pPr>
      <w:r w:rsidRPr="00A15D27">
        <w:rPr>
          <w:rStyle w:val="FootnoteReference"/>
          <w:sz w:val="16"/>
          <w:szCs w:val="16"/>
        </w:rPr>
        <w:footnoteRef/>
      </w:r>
      <w:r w:rsidRPr="00A15D27">
        <w:rPr>
          <w:sz w:val="16"/>
          <w:szCs w:val="16"/>
        </w:rPr>
        <w:t xml:space="preserve"> Government of Canada. (2020). Policy on Result</w:t>
      </w:r>
      <w:r>
        <w:rPr>
          <w:sz w:val="16"/>
          <w:szCs w:val="16"/>
        </w:rPr>
        <w:t>s</w:t>
      </w:r>
      <w:r w:rsidRPr="00A15D27">
        <w:rPr>
          <w:sz w:val="16"/>
          <w:szCs w:val="16"/>
        </w:rPr>
        <w:t xml:space="preserve">. </w:t>
      </w:r>
      <w:hyperlink r:id="rId116" w:tooltip="Link to Government of Canada's Policy on Results website" w:history="1">
        <w:r w:rsidRPr="00A15D27">
          <w:rPr>
            <w:rStyle w:val="Hyperlink"/>
            <w:sz w:val="16"/>
            <w:szCs w:val="16"/>
          </w:rPr>
          <w:t>www.tbs-sct.gc.ca/pol/doc-eng.aspx?id=31300</w:t>
        </w:r>
      </w:hyperlink>
      <w:r w:rsidRPr="00A15D27">
        <w:rPr>
          <w:sz w:val="16"/>
          <w:szCs w:val="16"/>
        </w:rPr>
        <w:t xml:space="preserve"> and Government of Canada. (2010). About the Centre of Excellence for Evaluation (archived), </w:t>
      </w:r>
      <w:hyperlink r:id="rId117" w:tooltip="Link to Canadian Centre of Excellence for Evaluation website" w:history="1">
        <w:r w:rsidRPr="00A15D27">
          <w:rPr>
            <w:rStyle w:val="Hyperlink"/>
            <w:sz w:val="16"/>
            <w:szCs w:val="16"/>
          </w:rPr>
          <w:t>www.canada.ca/en/treasury-board-secretariat/services/audit-evaluation/centre-excellence-evaluation/about-centre-excellence-evaluation.html</w:t>
        </w:r>
      </w:hyperlink>
    </w:p>
  </w:footnote>
  <w:footnote w:id="145">
    <w:p w14:paraId="0F07071D" w14:textId="474B9A05" w:rsidR="00EF78E7" w:rsidRPr="00A15D27" w:rsidRDefault="00EF78E7" w:rsidP="00C469A5">
      <w:pPr>
        <w:pStyle w:val="FootnoteText"/>
        <w:rPr>
          <w:sz w:val="16"/>
          <w:szCs w:val="16"/>
        </w:rPr>
      </w:pPr>
      <w:r w:rsidRPr="00A15D27">
        <w:rPr>
          <w:rStyle w:val="FootnoteReference"/>
          <w:sz w:val="16"/>
          <w:szCs w:val="16"/>
        </w:rPr>
        <w:footnoteRef/>
      </w:r>
      <w:r w:rsidRPr="00A15D27">
        <w:rPr>
          <w:sz w:val="16"/>
          <w:szCs w:val="16"/>
        </w:rPr>
        <w:t xml:space="preserve"> Government of Canada, Department of Finance. (2016). Budget 2016</w:t>
      </w:r>
      <w:r>
        <w:rPr>
          <w:sz w:val="16"/>
          <w:szCs w:val="16"/>
        </w:rPr>
        <w:t xml:space="preserve">, Chapter 7: </w:t>
      </w:r>
      <w:r w:rsidRPr="00A15D27">
        <w:rPr>
          <w:sz w:val="16"/>
          <w:szCs w:val="16"/>
        </w:rPr>
        <w:t xml:space="preserve">Open and Transparent Government. </w:t>
      </w:r>
      <w:hyperlink r:id="rId118" w:tooltip="Link to Canadian Government Budget 2016, Open and Transparent Government chapter" w:history="1">
        <w:r w:rsidRPr="0040489D">
          <w:rPr>
            <w:rStyle w:val="Hyperlink"/>
            <w:sz w:val="16"/>
            <w:szCs w:val="16"/>
          </w:rPr>
          <w:t>www.budget.gc.ca/2016/docs/plan/ch7-en.html</w:t>
        </w:r>
      </w:hyperlink>
      <w:r>
        <w:rPr>
          <w:rStyle w:val="Hyperlink"/>
          <w:sz w:val="16"/>
          <w:szCs w:val="16"/>
        </w:rPr>
        <w:t xml:space="preserve"> </w:t>
      </w:r>
    </w:p>
  </w:footnote>
  <w:footnote w:id="146">
    <w:p w14:paraId="1BA89A59" w14:textId="0FACF224" w:rsidR="00EF78E7" w:rsidRPr="00A15D27" w:rsidRDefault="00EF78E7" w:rsidP="00C469A5">
      <w:pPr>
        <w:pStyle w:val="FootnoteText"/>
        <w:rPr>
          <w:sz w:val="16"/>
          <w:szCs w:val="16"/>
        </w:rPr>
      </w:pPr>
      <w:r w:rsidRPr="00A15D27">
        <w:rPr>
          <w:rStyle w:val="FootnoteReference"/>
          <w:sz w:val="16"/>
          <w:szCs w:val="16"/>
        </w:rPr>
        <w:footnoteRef/>
      </w:r>
      <w:r w:rsidRPr="00A15D27">
        <w:rPr>
          <w:sz w:val="16"/>
          <w:szCs w:val="16"/>
        </w:rPr>
        <w:t xml:space="preserve"> Library of Parliament, Canada. (2019). Research Publications</w:t>
      </w:r>
      <w:r>
        <w:rPr>
          <w:sz w:val="16"/>
          <w:szCs w:val="16"/>
        </w:rPr>
        <w:t xml:space="preserve">: Does reporting on results make a difference? </w:t>
      </w:r>
      <w:hyperlink r:id="rId119" w:tooltip="Link to Canadian Government report: Does Reporting on Results Make a Difference?" w:history="1">
        <w:r w:rsidRPr="00A15D27">
          <w:rPr>
            <w:rStyle w:val="Hyperlink"/>
            <w:sz w:val="16"/>
            <w:szCs w:val="16"/>
          </w:rPr>
          <w:t>https://lop.parl.ca/sites/PublicWebsite/default/en_CA/ResearchPublications/201904E</w:t>
        </w:r>
      </w:hyperlink>
      <w:r>
        <w:rPr>
          <w:rStyle w:val="Hyperlink"/>
          <w:sz w:val="16"/>
          <w:szCs w:val="16"/>
        </w:rPr>
        <w:t xml:space="preserve"> </w:t>
      </w:r>
    </w:p>
  </w:footnote>
  <w:footnote w:id="147">
    <w:p w14:paraId="2E360A02" w14:textId="47944E37" w:rsidR="00EF78E7" w:rsidRPr="00A15D27" w:rsidRDefault="00EF78E7" w:rsidP="00C469A5">
      <w:pPr>
        <w:pStyle w:val="FootnoteText"/>
        <w:rPr>
          <w:sz w:val="16"/>
          <w:szCs w:val="16"/>
        </w:rPr>
      </w:pPr>
      <w:r w:rsidRPr="00A15D27">
        <w:rPr>
          <w:rStyle w:val="FootnoteReference"/>
          <w:sz w:val="16"/>
          <w:szCs w:val="16"/>
        </w:rPr>
        <w:footnoteRef/>
      </w:r>
      <w:r w:rsidRPr="00A15D27">
        <w:rPr>
          <w:sz w:val="16"/>
          <w:szCs w:val="16"/>
        </w:rPr>
        <w:t xml:space="preserve"> Government of Canada. (2019). Audit of the Implementation of the Policy on Results. </w:t>
      </w:r>
      <w:hyperlink r:id="rId120" w:anchor="a8" w:tooltip="Link to the Canadian Government's Audit of the Implementation of the Policy on Results report" w:history="1">
        <w:r w:rsidRPr="00A15D27">
          <w:rPr>
            <w:rStyle w:val="Hyperlink"/>
            <w:sz w:val="16"/>
            <w:szCs w:val="16"/>
          </w:rPr>
          <w:t>www.canada.ca/en/canadian-heritage/corporate/publications/audits/audit-policy-results.html#a8</w:t>
        </w:r>
      </w:hyperlink>
      <w:r>
        <w:rPr>
          <w:rStyle w:val="Hyperlink"/>
          <w:sz w:val="16"/>
          <w:szCs w:val="16"/>
        </w:rPr>
        <w:t xml:space="preserve"> </w:t>
      </w:r>
    </w:p>
  </w:footnote>
  <w:footnote w:id="148">
    <w:p w14:paraId="6A2ABD5D" w14:textId="79506FF0" w:rsidR="00EF78E7" w:rsidRPr="00A15D27" w:rsidRDefault="00EF78E7" w:rsidP="00C469A5">
      <w:pPr>
        <w:pStyle w:val="FootnoteText"/>
        <w:rPr>
          <w:sz w:val="16"/>
          <w:szCs w:val="16"/>
        </w:rPr>
      </w:pPr>
      <w:r w:rsidRPr="00A15D27">
        <w:rPr>
          <w:rStyle w:val="FootnoteReference"/>
          <w:sz w:val="16"/>
          <w:szCs w:val="16"/>
        </w:rPr>
        <w:footnoteRef/>
      </w:r>
      <w:r w:rsidRPr="00A15D27">
        <w:rPr>
          <w:sz w:val="16"/>
          <w:szCs w:val="16"/>
        </w:rPr>
        <w:t xml:space="preserve"> Government of Canada. (2020). </w:t>
      </w:r>
      <w:r>
        <w:rPr>
          <w:sz w:val="16"/>
          <w:szCs w:val="16"/>
        </w:rPr>
        <w:t xml:space="preserve">National Research Council of Canada, </w:t>
      </w:r>
      <w:r w:rsidRPr="00A15D27">
        <w:rPr>
          <w:sz w:val="16"/>
          <w:szCs w:val="16"/>
        </w:rPr>
        <w:t xml:space="preserve">Departmental Results Report 2018–19. </w:t>
      </w:r>
      <w:hyperlink r:id="rId121" w:tooltip="Link to the National Research Council of Canada's Departmental Results Report " w:history="1">
        <w:r w:rsidRPr="00A15D27">
          <w:rPr>
            <w:rStyle w:val="Hyperlink"/>
            <w:sz w:val="16"/>
            <w:szCs w:val="16"/>
          </w:rPr>
          <w:t>https://nrc.canada.ca/en/corporate/planning-reporting/departmental-results-report-2018-19/</w:t>
        </w:r>
      </w:hyperlink>
      <w:r>
        <w:rPr>
          <w:rStyle w:val="Hyperlink"/>
          <w:sz w:val="16"/>
          <w:szCs w:val="16"/>
        </w:rPr>
        <w:t xml:space="preserve"> </w:t>
      </w:r>
    </w:p>
  </w:footnote>
  <w:footnote w:id="149">
    <w:p w14:paraId="07B79F2C" w14:textId="752B4240"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GC Infobase. </w:t>
      </w:r>
      <w:hyperlink r:id="rId122" w:tooltip="Link to GC Infobase website" w:history="1">
        <w:r w:rsidRPr="00A15D27">
          <w:rPr>
            <w:rStyle w:val="Hyperlink"/>
            <w:sz w:val="16"/>
            <w:szCs w:val="16"/>
          </w:rPr>
          <w:t>https://www.tbs-sct.gc.ca/ems-sgd/edb-bdd/index-eng.html</w:t>
        </w:r>
      </w:hyperlink>
      <w:r>
        <w:rPr>
          <w:rStyle w:val="Hyperlink"/>
          <w:sz w:val="16"/>
          <w:szCs w:val="16"/>
        </w:rPr>
        <w:t xml:space="preserve"> </w:t>
      </w:r>
    </w:p>
  </w:footnote>
  <w:footnote w:id="150">
    <w:p w14:paraId="356F21D8" w14:textId="0D521A04"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While the Government’s SRI budget tables were found to be a valuable source of surveyed time series data for Australian Government investments in R&amp;D, particularly for the system-level analysis of investments within Australian Government departments, they are not suitable for a detailed analysis of government investment in ISR due to insufficient data detail and some data inaccuracies. In addition, although the ABS data can only be used for a system level analysis as it does not have enough detail, such as the recipient of funds, to examine gaps and overlaps in the system.</w:t>
      </w:r>
    </w:p>
  </w:footnote>
  <w:footnote w:id="151">
    <w:p w14:paraId="03722DBE" w14:textId="17998012"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Office of the Chief Economist, Department of Industry, Innovation and Science (2018). Evaluation Strategy 2017–2021. </w:t>
      </w:r>
      <w:hyperlink r:id="rId123" w:tooltip="Link to the Office of the Chief Economist's Evaluation Strategy" w:history="1">
        <w:r w:rsidRPr="00A15D27">
          <w:rPr>
            <w:rStyle w:val="Hyperlink"/>
            <w:sz w:val="16"/>
            <w:szCs w:val="16"/>
          </w:rPr>
          <w:t>www.industry.gov.au/sites/default/files/May%202018/document/pdf/department_of_industry_innovation_and_science_evaluation_strategy_2017-2021.pdf?acsf_files_redirect</w:t>
        </w:r>
      </w:hyperlink>
      <w:r>
        <w:rPr>
          <w:rStyle w:val="Hyperlink"/>
          <w:sz w:val="16"/>
          <w:szCs w:val="16"/>
        </w:rPr>
        <w:t xml:space="preserve"> </w:t>
      </w:r>
    </w:p>
  </w:footnote>
  <w:footnote w:id="152">
    <w:p w14:paraId="4E51966F" w14:textId="75D754E8" w:rsidR="00EF78E7" w:rsidRPr="00A15D27" w:rsidRDefault="00EF78E7" w:rsidP="008475A7">
      <w:pPr>
        <w:pStyle w:val="FootnoteText"/>
        <w:rPr>
          <w:sz w:val="16"/>
          <w:szCs w:val="16"/>
        </w:rPr>
      </w:pPr>
      <w:r w:rsidRPr="00A15D27">
        <w:rPr>
          <w:rStyle w:val="FootnoteReference"/>
          <w:sz w:val="16"/>
          <w:szCs w:val="16"/>
        </w:rPr>
        <w:footnoteRef/>
      </w:r>
      <w:r w:rsidRPr="00A15D27">
        <w:rPr>
          <w:sz w:val="16"/>
          <w:szCs w:val="16"/>
        </w:rPr>
        <w:t xml:space="preserve"> The Business Grants Hub is designed to streamline and standardise end-to-end delivery services across the grants program lifecycle. For more information see: </w:t>
      </w:r>
      <w:hyperlink r:id="rId124" w:tooltip="Link to grant design and delivery services website" w:history="1">
        <w:r w:rsidRPr="00A15D27">
          <w:rPr>
            <w:rStyle w:val="Hyperlink"/>
            <w:sz w:val="16"/>
            <w:szCs w:val="16"/>
          </w:rPr>
          <w:t>www.industry.gov.au/government-to-government/grant-design-and-delivery-services</w:t>
        </w:r>
      </w:hyperlink>
      <w:r w:rsidRPr="00A15D27">
        <w:rPr>
          <w:sz w:val="16"/>
          <w:szCs w:val="16"/>
        </w:rPr>
        <w:t xml:space="preserve"> </w:t>
      </w:r>
    </w:p>
  </w:footnote>
  <w:footnote w:id="153">
    <w:p w14:paraId="2B04F3F2" w14:textId="3BDD8348" w:rsidR="00EF78E7" w:rsidRPr="00A15D27" w:rsidRDefault="00EF78E7" w:rsidP="008475A7">
      <w:pPr>
        <w:pStyle w:val="FootnoteText"/>
        <w:rPr>
          <w:sz w:val="16"/>
          <w:szCs w:val="16"/>
        </w:rPr>
      </w:pPr>
      <w:r w:rsidRPr="00A15D27">
        <w:rPr>
          <w:rStyle w:val="FootnoteReference"/>
          <w:sz w:val="16"/>
          <w:szCs w:val="16"/>
        </w:rPr>
        <w:footnoteRef/>
      </w:r>
      <w:r w:rsidRPr="00A15D27">
        <w:rPr>
          <w:sz w:val="16"/>
          <w:szCs w:val="16"/>
        </w:rPr>
        <w:t xml:space="preserve"> Office of the Chief Economist, Department of Industry, Innovation and Science (2018). Evaluation Ready: Ensuring Evaluability</w:t>
      </w:r>
      <w:r>
        <w:rPr>
          <w:sz w:val="16"/>
          <w:szCs w:val="16"/>
        </w:rPr>
        <w:t>.</w:t>
      </w:r>
      <w:r w:rsidRPr="00A15D27">
        <w:rPr>
          <w:sz w:val="16"/>
          <w:szCs w:val="16"/>
        </w:rPr>
        <w:t xml:space="preserve"> </w:t>
      </w:r>
      <w:r>
        <w:rPr>
          <w:sz w:val="16"/>
          <w:szCs w:val="16"/>
        </w:rPr>
        <w:t xml:space="preserve">Presentation to AES18, International Evaluation Conference September 21 2018. </w:t>
      </w:r>
      <w:hyperlink r:id="rId125" w:tooltip="Link to conference abstract 'Evaluation Ready: Ensuring Evaluability'" w:history="1">
        <w:r w:rsidRPr="00A15D27">
          <w:rPr>
            <w:rStyle w:val="Hyperlink"/>
            <w:sz w:val="16"/>
            <w:szCs w:val="16"/>
          </w:rPr>
          <w:t>https://aes18.sched.com/event/Erob/evaluation-ready-transforming-government-processes-and-ensuring-evaluability</w:t>
        </w:r>
      </w:hyperlink>
    </w:p>
  </w:footnote>
  <w:footnote w:id="154">
    <w:p w14:paraId="4EC9D35B" w14:textId="2C049C43" w:rsidR="00EF78E7" w:rsidRPr="00A15D27" w:rsidRDefault="00EF78E7" w:rsidP="008475A7">
      <w:pPr>
        <w:pStyle w:val="FootnoteText"/>
        <w:rPr>
          <w:sz w:val="16"/>
          <w:szCs w:val="16"/>
        </w:rPr>
      </w:pPr>
      <w:r w:rsidRPr="00A15D27">
        <w:rPr>
          <w:rStyle w:val="FootnoteReference"/>
          <w:sz w:val="16"/>
          <w:szCs w:val="16"/>
        </w:rPr>
        <w:footnoteRef/>
      </w:r>
      <w:r w:rsidRPr="00A15D27">
        <w:rPr>
          <w:sz w:val="16"/>
          <w:szCs w:val="16"/>
        </w:rPr>
        <w:t xml:space="preserve"> Gruen</w:t>
      </w:r>
      <w:r>
        <w:rPr>
          <w:sz w:val="16"/>
          <w:szCs w:val="16"/>
        </w:rPr>
        <w:t>, N.</w:t>
      </w:r>
      <w:r w:rsidRPr="00A15D27">
        <w:rPr>
          <w:sz w:val="16"/>
          <w:szCs w:val="16"/>
        </w:rPr>
        <w:t xml:space="preserve"> (2016). Why Australia needs an evaluator-general. The Mandarin</w:t>
      </w:r>
      <w:r>
        <w:rPr>
          <w:sz w:val="16"/>
          <w:szCs w:val="16"/>
        </w:rPr>
        <w:t>, May 9 2016</w:t>
      </w:r>
      <w:r w:rsidRPr="00A15D27">
        <w:rPr>
          <w:sz w:val="16"/>
          <w:szCs w:val="16"/>
        </w:rPr>
        <w:t xml:space="preserve">. </w:t>
      </w:r>
      <w:hyperlink r:id="rId126" w:tooltip="link to Mandarin article 'Why Australia needs an evaluator-general'" w:history="1">
        <w:r w:rsidRPr="00A15D27">
          <w:rPr>
            <w:rStyle w:val="Hyperlink"/>
            <w:sz w:val="16"/>
            <w:szCs w:val="16"/>
          </w:rPr>
          <w:t>www.themandarin.com.au/64566-nicholas-gruen-evaluator-general-part-two/</w:t>
        </w:r>
      </w:hyperlink>
      <w:r w:rsidRPr="00A15D27">
        <w:rPr>
          <w:sz w:val="16"/>
          <w:szCs w:val="16"/>
        </w:rPr>
        <w:t xml:space="preserve"> </w:t>
      </w:r>
    </w:p>
  </w:footnote>
  <w:footnote w:id="155">
    <w:p w14:paraId="0E3391E0" w14:textId="4D0CFCCE"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Korea Institute of S&amp;T Evaluation and Planning, Evaluation of national R&amp;D program performance</w:t>
      </w:r>
      <w:r>
        <w:rPr>
          <w:sz w:val="16"/>
          <w:szCs w:val="16"/>
        </w:rPr>
        <w:t>.</w:t>
      </w:r>
      <w:r w:rsidRPr="00A15D27">
        <w:rPr>
          <w:sz w:val="16"/>
          <w:szCs w:val="16"/>
        </w:rPr>
        <w:t xml:space="preserve"> </w:t>
      </w:r>
      <w:hyperlink r:id="rId127" w:tooltip="Link to Korean Government website: Evaluation of national R&amp;D program performance" w:history="1">
        <w:r w:rsidRPr="00A15D27">
          <w:rPr>
            <w:rStyle w:val="Hyperlink"/>
            <w:sz w:val="16"/>
            <w:szCs w:val="16"/>
          </w:rPr>
          <w:t>www.kistep.re.kr/en/c2/sub1_4.jsp</w:t>
        </w:r>
      </w:hyperlink>
    </w:p>
  </w:footnote>
  <w:footnote w:id="156">
    <w:p w14:paraId="77F1D8B9" w14:textId="096504A6" w:rsidR="00EF78E7" w:rsidRPr="00A15D27" w:rsidRDefault="00EF78E7" w:rsidP="00580D7F">
      <w:pPr>
        <w:spacing w:after="0" w:line="240" w:lineRule="auto"/>
        <w:rPr>
          <w:sz w:val="16"/>
          <w:szCs w:val="16"/>
        </w:rPr>
      </w:pPr>
      <w:r w:rsidRPr="00A15D27">
        <w:rPr>
          <w:rStyle w:val="FootnoteReference"/>
          <w:sz w:val="16"/>
          <w:szCs w:val="16"/>
        </w:rPr>
        <w:footnoteRef/>
      </w:r>
      <w:r w:rsidRPr="00A15D27">
        <w:rPr>
          <w:sz w:val="16"/>
          <w:szCs w:val="16"/>
        </w:rPr>
        <w:t xml:space="preserve"> NSW Treasury. Outcome Budgeting </w:t>
      </w:r>
      <w:hyperlink r:id="rId128" w:tooltip="Link to NSW Treasury Outome Budgeting website" w:history="1">
        <w:r w:rsidRPr="00A15D27">
          <w:rPr>
            <w:rStyle w:val="Hyperlink"/>
            <w:sz w:val="16"/>
            <w:szCs w:val="16"/>
          </w:rPr>
          <w:t>www.treasury.nsw.gov.au/budget-financial-management/reform/outcome-budgeting</w:t>
        </w:r>
      </w:hyperlink>
    </w:p>
  </w:footnote>
  <w:footnote w:id="157">
    <w:p w14:paraId="2853E53C" w14:textId="04DC6EC8" w:rsidR="00EF78E7" w:rsidRPr="00A15D27" w:rsidRDefault="00EF78E7" w:rsidP="00580D7F">
      <w:pPr>
        <w:spacing w:after="0" w:line="240" w:lineRule="auto"/>
        <w:rPr>
          <w:sz w:val="16"/>
          <w:szCs w:val="16"/>
        </w:rPr>
      </w:pPr>
      <w:r w:rsidRPr="00A15D27">
        <w:rPr>
          <w:rStyle w:val="FootnoteReference"/>
          <w:sz w:val="16"/>
          <w:szCs w:val="16"/>
        </w:rPr>
        <w:footnoteRef/>
      </w:r>
      <w:r w:rsidRPr="00A15D27">
        <w:rPr>
          <w:sz w:val="16"/>
          <w:szCs w:val="16"/>
        </w:rPr>
        <w:t xml:space="preserve"> Jenkins</w:t>
      </w:r>
      <w:r>
        <w:rPr>
          <w:sz w:val="16"/>
          <w:szCs w:val="16"/>
        </w:rPr>
        <w:t>, S.</w:t>
      </w:r>
      <w:r w:rsidRPr="00A15D27">
        <w:rPr>
          <w:sz w:val="16"/>
          <w:szCs w:val="16"/>
        </w:rPr>
        <w:t xml:space="preserve"> (2020)</w:t>
      </w:r>
      <w:r>
        <w:rPr>
          <w:sz w:val="16"/>
          <w:szCs w:val="16"/>
        </w:rPr>
        <w:t>.</w:t>
      </w:r>
      <w:r w:rsidRPr="00A15D27">
        <w:rPr>
          <w:sz w:val="16"/>
          <w:szCs w:val="16"/>
        </w:rPr>
        <w:t xml:space="preserve"> Outcome budgeting calls for cultural and behavioural shift, NSW Treasury says</w:t>
      </w:r>
      <w:r>
        <w:rPr>
          <w:sz w:val="16"/>
          <w:szCs w:val="16"/>
        </w:rPr>
        <w:t>.</w:t>
      </w:r>
      <w:r w:rsidRPr="00A15D27">
        <w:rPr>
          <w:sz w:val="16"/>
          <w:szCs w:val="16"/>
        </w:rPr>
        <w:t xml:space="preserve"> </w:t>
      </w:r>
      <w:r>
        <w:rPr>
          <w:sz w:val="16"/>
          <w:szCs w:val="16"/>
        </w:rPr>
        <w:t>The Mandarin, March 12 2020.</w:t>
      </w:r>
      <w:r w:rsidRPr="00A15D27">
        <w:rPr>
          <w:sz w:val="16"/>
          <w:szCs w:val="16"/>
        </w:rPr>
        <w:t xml:space="preserve"> </w:t>
      </w:r>
      <w:hyperlink r:id="rId129" w:tooltip="Link To Mandarin article on NSW outcome budgeting calls for cultural and behavioural shift" w:history="1">
        <w:r w:rsidRPr="00A15D27">
          <w:rPr>
            <w:rStyle w:val="Hyperlink"/>
            <w:sz w:val="16"/>
            <w:szCs w:val="16"/>
          </w:rPr>
          <w:t>www.themandarin.com.au/127142-outcome-budgeting-calls-for-cultural-and-behavioural-shift-nsw-treasury-says/?utm_source=TheJuice&amp;utm_medium=email&amp;utm_source=newsletter&amp;utm_type=mandarin</w:t>
        </w:r>
      </w:hyperlink>
      <w:r>
        <w:rPr>
          <w:rStyle w:val="Hyperlink"/>
          <w:sz w:val="16"/>
          <w:szCs w:val="16"/>
        </w:rPr>
        <w:t xml:space="preserve"> </w:t>
      </w:r>
    </w:p>
  </w:footnote>
  <w:footnote w:id="158">
    <w:p w14:paraId="2FBE34D5" w14:textId="17929001" w:rsidR="00EF78E7" w:rsidRPr="00A15D27" w:rsidRDefault="00EF78E7" w:rsidP="008475A7">
      <w:pPr>
        <w:pStyle w:val="FootnoteText"/>
        <w:rPr>
          <w:sz w:val="16"/>
          <w:szCs w:val="16"/>
        </w:rPr>
      </w:pPr>
      <w:r w:rsidRPr="00A15D27">
        <w:rPr>
          <w:rStyle w:val="FootnoteReference"/>
          <w:sz w:val="16"/>
          <w:szCs w:val="16"/>
        </w:rPr>
        <w:footnoteRef/>
      </w:r>
      <w:r w:rsidRPr="00A15D27">
        <w:rPr>
          <w:sz w:val="16"/>
          <w:szCs w:val="16"/>
        </w:rPr>
        <w:t xml:space="preserve"> Paic, A. and C. Viros (2019). Governance of science and technology policies. OECD Science, Technology and Industry Policy Papers, No. 84, OECD Publishing, Paris. </w:t>
      </w:r>
      <w:hyperlink r:id="rId130" w:tooltip="Link to OECD Governance of science and technology policies report" w:history="1">
        <w:r w:rsidRPr="00A15D27">
          <w:rPr>
            <w:rStyle w:val="Hyperlink"/>
            <w:sz w:val="16"/>
            <w:szCs w:val="16"/>
          </w:rPr>
          <w:t>https://doi.org/10.1787/2b3bc558-en</w:t>
        </w:r>
      </w:hyperlink>
      <w:r>
        <w:rPr>
          <w:rStyle w:val="Hyperlink"/>
          <w:sz w:val="16"/>
          <w:szCs w:val="16"/>
        </w:rPr>
        <w:t xml:space="preserve"> </w:t>
      </w:r>
    </w:p>
  </w:footnote>
  <w:footnote w:id="159">
    <w:p w14:paraId="66393597" w14:textId="65E0C46F"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It is acknowledged a three-year timeframe may not be enough time for some ISR investments to have concluded and/or show impact but interim evaluation still provides useful information, for example, on implementation.</w:t>
      </w:r>
    </w:p>
  </w:footnote>
  <w:footnote w:id="160">
    <w:p w14:paraId="3081858C" w14:textId="7C76DA06" w:rsidR="00EF78E7" w:rsidRPr="009809F7" w:rsidRDefault="00EF78E7" w:rsidP="009809F7">
      <w:pPr>
        <w:pStyle w:val="FootnoteText"/>
        <w:rPr>
          <w:sz w:val="16"/>
          <w:szCs w:val="16"/>
        </w:rPr>
      </w:pPr>
      <w:r w:rsidRPr="00A15D27">
        <w:rPr>
          <w:rStyle w:val="FootnoteReference"/>
          <w:sz w:val="16"/>
          <w:szCs w:val="16"/>
        </w:rPr>
        <w:footnoteRef/>
      </w:r>
      <w:r w:rsidRPr="00A15D27">
        <w:rPr>
          <w:sz w:val="16"/>
          <w:szCs w:val="16"/>
        </w:rPr>
        <w:t xml:space="preserve"> OECD</w:t>
      </w:r>
      <w:r>
        <w:rPr>
          <w:sz w:val="16"/>
          <w:szCs w:val="16"/>
        </w:rPr>
        <w:t xml:space="preserve"> </w:t>
      </w:r>
      <w:r w:rsidRPr="00A15D27">
        <w:rPr>
          <w:sz w:val="16"/>
          <w:szCs w:val="16"/>
        </w:rPr>
        <w:t xml:space="preserve">Working party of senior budget officials. (2013). </w:t>
      </w:r>
      <w:r>
        <w:rPr>
          <w:sz w:val="16"/>
          <w:szCs w:val="16"/>
        </w:rPr>
        <w:t>3’t</w:t>
      </w:r>
      <w:r w:rsidRPr="009809F7">
        <w:rPr>
          <w:sz w:val="16"/>
          <w:szCs w:val="16"/>
        </w:rPr>
        <w:t xml:space="preserve">h </w:t>
      </w:r>
      <w:r>
        <w:rPr>
          <w:sz w:val="16"/>
          <w:szCs w:val="16"/>
        </w:rPr>
        <w:t>Annual Meeting of OECD</w:t>
      </w:r>
      <w:r w:rsidRPr="009809F7">
        <w:rPr>
          <w:sz w:val="16"/>
          <w:szCs w:val="16"/>
        </w:rPr>
        <w:t xml:space="preserve"> Senior Budget Officials</w:t>
      </w:r>
    </w:p>
    <w:p w14:paraId="2EFDA300" w14:textId="1F7DA31B" w:rsidR="00EF78E7" w:rsidRPr="00A15D27" w:rsidRDefault="00EF78E7" w:rsidP="009809F7">
      <w:pPr>
        <w:pStyle w:val="FootnoteText"/>
        <w:rPr>
          <w:sz w:val="16"/>
          <w:szCs w:val="16"/>
        </w:rPr>
      </w:pPr>
      <w:r w:rsidRPr="009809F7">
        <w:rPr>
          <w:sz w:val="16"/>
          <w:szCs w:val="16"/>
        </w:rPr>
        <w:t>Spending Reviews</w:t>
      </w:r>
      <w:r>
        <w:rPr>
          <w:sz w:val="16"/>
          <w:szCs w:val="16"/>
        </w:rPr>
        <w:t xml:space="preserve">. </w:t>
      </w:r>
      <w:hyperlink r:id="rId131" w:tooltip="link to OECD Annual Meeting of OECD senior budget officials spending reviews document" w:history="1">
        <w:r w:rsidRPr="00A15D27">
          <w:rPr>
            <w:rStyle w:val="Hyperlink"/>
            <w:sz w:val="16"/>
            <w:szCs w:val="16"/>
          </w:rPr>
          <w:t>www.oecd.org/officialdocuments/publicdisplaydocumentpdf/?cote=GOV/PGC/SBO(2013)6&amp;doclanguage=en</w:t>
        </w:r>
      </w:hyperlink>
      <w:r>
        <w:rPr>
          <w:rStyle w:val="Hyperlink"/>
          <w:sz w:val="16"/>
          <w:szCs w:val="16"/>
        </w:rPr>
        <w:t xml:space="preserve"> </w:t>
      </w:r>
    </w:p>
  </w:footnote>
  <w:footnote w:id="161">
    <w:p w14:paraId="536305C0" w14:textId="31E710F6" w:rsidR="00EF78E7" w:rsidRPr="00A15D27" w:rsidRDefault="00EF78E7" w:rsidP="005517D7">
      <w:pPr>
        <w:pStyle w:val="FootnoteText"/>
        <w:rPr>
          <w:sz w:val="16"/>
          <w:szCs w:val="16"/>
        </w:rPr>
      </w:pPr>
      <w:r w:rsidRPr="00A15D27">
        <w:rPr>
          <w:rStyle w:val="FootnoteReference"/>
          <w:sz w:val="16"/>
          <w:szCs w:val="16"/>
        </w:rPr>
        <w:footnoteRef/>
      </w:r>
      <w:r w:rsidRPr="00A15D27">
        <w:rPr>
          <w:sz w:val="16"/>
          <w:szCs w:val="16"/>
        </w:rPr>
        <w:t xml:space="preserve"> Productivity Commission. (2017). 5 Year Productivity Review, Supporting Paper No.12: An overview of innovation policy. </w:t>
      </w:r>
      <w:hyperlink r:id="rId132" w:tooltip="Link to Productivity Commission's Five year productivity review report" w:history="1">
        <w:r w:rsidRPr="00A15D27">
          <w:rPr>
            <w:rStyle w:val="Hyperlink"/>
            <w:sz w:val="16"/>
            <w:szCs w:val="16"/>
          </w:rPr>
          <w:t>www.pc.gov.au/inquiries/completed/productivity-review/report/productivity-review-supporting12.pdf</w:t>
        </w:r>
      </w:hyperlink>
      <w:r>
        <w:rPr>
          <w:rStyle w:val="Hyperlink"/>
          <w:sz w:val="16"/>
          <w:szCs w:val="16"/>
        </w:rPr>
        <w:t xml:space="preserve"> </w:t>
      </w:r>
    </w:p>
  </w:footnote>
  <w:footnote w:id="162">
    <w:p w14:paraId="18E06CEC" w14:textId="08827228" w:rsidR="00EF78E7" w:rsidRPr="00A15D27" w:rsidRDefault="00EF78E7" w:rsidP="005517D7">
      <w:pPr>
        <w:pStyle w:val="FootnoteText"/>
        <w:rPr>
          <w:sz w:val="16"/>
          <w:szCs w:val="16"/>
        </w:rPr>
      </w:pPr>
      <w:r w:rsidRPr="00A15D27">
        <w:rPr>
          <w:rStyle w:val="FootnoteReference"/>
          <w:sz w:val="16"/>
          <w:szCs w:val="16"/>
        </w:rPr>
        <w:footnoteRef/>
      </w:r>
      <w:r w:rsidRPr="00A15D27">
        <w:rPr>
          <w:sz w:val="16"/>
          <w:szCs w:val="16"/>
        </w:rPr>
        <w:t xml:space="preserve"> The Advisory Panel for the Review of Federal Support for Fundamental Science. (2017). Investing in Canada’s future: Strengthening the Foundations of Canadian Research. </w:t>
      </w:r>
      <w:hyperlink r:id="rId133" w:tooltip="Link to Government of Canada's Investing in Canada's Future report" w:history="1">
        <w:r w:rsidRPr="00481E94">
          <w:rPr>
            <w:rStyle w:val="Hyperlink"/>
            <w:sz w:val="16"/>
            <w:szCs w:val="16"/>
          </w:rPr>
          <w:t>http://cins.ca/docs/ScienceReview_April2017.pdf</w:t>
        </w:r>
      </w:hyperlink>
    </w:p>
  </w:footnote>
  <w:footnote w:id="163">
    <w:p w14:paraId="74BF48DD" w14:textId="48463EA8" w:rsidR="00EF78E7" w:rsidRPr="00A15D27" w:rsidRDefault="00EF78E7" w:rsidP="005517D7">
      <w:pPr>
        <w:pStyle w:val="FootnoteText"/>
        <w:rPr>
          <w:sz w:val="16"/>
          <w:szCs w:val="16"/>
        </w:rPr>
      </w:pPr>
      <w:r w:rsidRPr="00A15D27">
        <w:rPr>
          <w:rStyle w:val="FootnoteReference"/>
          <w:sz w:val="16"/>
          <w:szCs w:val="16"/>
        </w:rPr>
        <w:footnoteRef/>
      </w:r>
      <w:r w:rsidRPr="00A15D27">
        <w:rPr>
          <w:sz w:val="16"/>
          <w:szCs w:val="16"/>
        </w:rPr>
        <w:t xml:space="preserve"> UK House of Commons. (2019). Report on the review of Balance and Effectiveness of Research and Innovation Spending</w:t>
      </w:r>
      <w:r>
        <w:rPr>
          <w:sz w:val="16"/>
          <w:szCs w:val="16"/>
        </w:rPr>
        <w:t>.</w:t>
      </w:r>
      <w:r w:rsidRPr="00A15D27">
        <w:rPr>
          <w:sz w:val="16"/>
          <w:szCs w:val="16"/>
        </w:rPr>
        <w:t xml:space="preserve"> </w:t>
      </w:r>
      <w:hyperlink r:id="rId134" w:tooltip="Link to UK House of Commons' report on the review of Balance and Effectiveness of Research and Innovation Spending" w:history="1">
        <w:r w:rsidRPr="00A15D27">
          <w:rPr>
            <w:rStyle w:val="Hyperlink"/>
            <w:sz w:val="16"/>
            <w:szCs w:val="16"/>
          </w:rPr>
          <w:t>https://publications.parliament.uk/pa/cm201719/cmselect/cmsctech/1453/1453.pdf</w:t>
        </w:r>
      </w:hyperlink>
    </w:p>
  </w:footnote>
  <w:footnote w:id="164">
    <w:p w14:paraId="695B29CA" w14:textId="49DE9D47" w:rsidR="00EF78E7" w:rsidRPr="00A15D27" w:rsidRDefault="00EF78E7" w:rsidP="008C4BCA">
      <w:pPr>
        <w:pStyle w:val="FootnoteText"/>
        <w:rPr>
          <w:sz w:val="16"/>
          <w:szCs w:val="16"/>
        </w:rPr>
      </w:pPr>
      <w:r w:rsidRPr="00A15D27">
        <w:rPr>
          <w:rStyle w:val="FootnoteReference"/>
          <w:sz w:val="16"/>
          <w:szCs w:val="16"/>
        </w:rPr>
        <w:footnoteRef/>
      </w:r>
      <w:r w:rsidRPr="00A15D27">
        <w:rPr>
          <w:sz w:val="16"/>
          <w:szCs w:val="16"/>
        </w:rPr>
        <w:t xml:space="preserve"> </w:t>
      </w:r>
      <w:r w:rsidRPr="00A15D27">
        <w:rPr>
          <w:sz w:val="16"/>
          <w:szCs w:val="16"/>
          <w:lang w:val="en"/>
        </w:rPr>
        <w:t xml:space="preserve">Australian Government. (2017). </w:t>
      </w:r>
      <w:r w:rsidRPr="00A15D27">
        <w:rPr>
          <w:rStyle w:val="Emphasis"/>
          <w:i w:val="0"/>
          <w:sz w:val="16"/>
          <w:szCs w:val="16"/>
          <w:lang w:val="en"/>
        </w:rPr>
        <w:t>Agency resourcing: budget paper no. 4: 2017–18</w:t>
      </w:r>
      <w:r w:rsidRPr="00A15D27">
        <w:rPr>
          <w:i/>
          <w:sz w:val="16"/>
          <w:szCs w:val="16"/>
          <w:lang w:val="en"/>
        </w:rPr>
        <w:t xml:space="preserve">, </w:t>
      </w:r>
      <w:r w:rsidRPr="00A15D27">
        <w:rPr>
          <w:sz w:val="16"/>
          <w:szCs w:val="16"/>
          <w:lang w:val="en"/>
        </w:rPr>
        <w:t xml:space="preserve">p. 2. </w:t>
      </w:r>
      <w:hyperlink r:id="rId135" w:tooltip="Link to Australian Government Budget Paper 4 2017-18" w:history="1">
        <w:r w:rsidRPr="00A15D27">
          <w:rPr>
            <w:rStyle w:val="Hyperlink"/>
            <w:sz w:val="16"/>
            <w:szCs w:val="16"/>
          </w:rPr>
          <w:t>https://archive.budget.gov.au/2017-18/bp4/Budget2017-18_BP4.pdf</w:t>
        </w:r>
      </w:hyperlink>
      <w:r>
        <w:rPr>
          <w:rStyle w:val="Hyperlink"/>
          <w:sz w:val="16"/>
          <w:szCs w:val="16"/>
        </w:rPr>
        <w:t xml:space="preserve"> </w:t>
      </w:r>
    </w:p>
  </w:footnote>
  <w:footnote w:id="165">
    <w:p w14:paraId="695F0C9D" w14:textId="51E5C5BD" w:rsidR="00EF78E7" w:rsidRPr="00A15D27" w:rsidRDefault="00EF78E7" w:rsidP="00633751">
      <w:pPr>
        <w:pStyle w:val="FootnoteText"/>
        <w:rPr>
          <w:sz w:val="16"/>
          <w:szCs w:val="16"/>
        </w:rPr>
      </w:pPr>
      <w:r w:rsidRPr="00A15D27">
        <w:rPr>
          <w:rStyle w:val="FootnoteReference"/>
          <w:sz w:val="16"/>
          <w:szCs w:val="16"/>
        </w:rPr>
        <w:footnoteRef/>
      </w:r>
      <w:r w:rsidRPr="00A15D27">
        <w:rPr>
          <w:sz w:val="16"/>
          <w:szCs w:val="16"/>
        </w:rPr>
        <w:t xml:space="preserve"> More information can be found at</w:t>
      </w:r>
      <w:r>
        <w:rPr>
          <w:sz w:val="16"/>
          <w:szCs w:val="16"/>
        </w:rPr>
        <w:t>:</w:t>
      </w:r>
      <w:r w:rsidRPr="00A15D27">
        <w:rPr>
          <w:sz w:val="16"/>
          <w:szCs w:val="16"/>
        </w:rPr>
        <w:t xml:space="preserve"> </w:t>
      </w:r>
      <w:r>
        <w:rPr>
          <w:sz w:val="16"/>
          <w:szCs w:val="16"/>
        </w:rPr>
        <w:t xml:space="preserve">Parliamentary Library. (2017). </w:t>
      </w:r>
      <w:r w:rsidRPr="00A15D27">
        <w:rPr>
          <w:sz w:val="16"/>
          <w:szCs w:val="16"/>
        </w:rPr>
        <w:t xml:space="preserve">The Public Sector Modernisation Fund: A quick guide. </w:t>
      </w:r>
      <w:r>
        <w:rPr>
          <w:sz w:val="16"/>
          <w:szCs w:val="16"/>
        </w:rPr>
        <w:t xml:space="preserve">Research paper Series 2017–18. </w:t>
      </w:r>
      <w:hyperlink r:id="rId136" w:anchor="search=%22library/prspub/5347385%22" w:tooltip="Link to The Public Sector Modernisation Fund guide" w:history="1">
        <w:r w:rsidRPr="00A15D27">
          <w:rPr>
            <w:rStyle w:val="Hyperlink"/>
            <w:sz w:val="16"/>
            <w:szCs w:val="16"/>
          </w:rPr>
          <w:t>https://parlinfo.aph.gov.au/parlInfo/download/library/prspub/5347385/upload_binary/‌5347385.pdf;fileType=application%2Fpdf#search=%22library/prspub/5347385%22</w:t>
        </w:r>
      </w:hyperlink>
    </w:p>
  </w:footnote>
  <w:footnote w:id="166">
    <w:p w14:paraId="7E73C1E4" w14:textId="0280D1A3" w:rsidR="00EF78E7" w:rsidRPr="00A15D27" w:rsidRDefault="00EF78E7" w:rsidP="00DC73BE">
      <w:pPr>
        <w:pStyle w:val="FootnoteText"/>
        <w:rPr>
          <w:sz w:val="16"/>
          <w:szCs w:val="16"/>
        </w:rPr>
      </w:pPr>
      <w:r w:rsidRPr="00A15D27">
        <w:rPr>
          <w:rStyle w:val="FootnoteReference"/>
          <w:sz w:val="16"/>
          <w:szCs w:val="16"/>
        </w:rPr>
        <w:footnoteRef/>
      </w:r>
      <w:r w:rsidRPr="00A15D27">
        <w:rPr>
          <w:sz w:val="16"/>
          <w:szCs w:val="16"/>
        </w:rPr>
        <w:t xml:space="preserve"> The Hon Melissa Price MP, Minister for Defence Industry. (2019). World first deployable 3D printers for Defence. </w:t>
      </w:r>
      <w:r>
        <w:rPr>
          <w:sz w:val="16"/>
          <w:szCs w:val="16"/>
        </w:rPr>
        <w:t xml:space="preserve">Press release 21 November 2019. </w:t>
      </w:r>
      <w:hyperlink r:id="rId137" w:tooltip="Link to media release: World first deployable 3D printers for Defence" w:history="1">
        <w:r w:rsidRPr="00A15D27">
          <w:rPr>
            <w:rStyle w:val="Hyperlink"/>
            <w:sz w:val="16"/>
            <w:szCs w:val="16"/>
          </w:rPr>
          <w:t>www.minister.defence.gov.au/minister/melissa-price/media-releases/world-first-deployable-3d-printers-defence</w:t>
        </w:r>
      </w:hyperlink>
    </w:p>
  </w:footnote>
  <w:footnote w:id="167">
    <w:p w14:paraId="39E24662" w14:textId="7D58F401" w:rsidR="00EF78E7" w:rsidRPr="00A15D27" w:rsidRDefault="00EF78E7" w:rsidP="008C4BCA">
      <w:pPr>
        <w:pStyle w:val="FootnoteText"/>
        <w:rPr>
          <w:sz w:val="16"/>
          <w:szCs w:val="16"/>
        </w:rPr>
      </w:pPr>
      <w:r w:rsidRPr="00A15D27">
        <w:rPr>
          <w:rStyle w:val="FootnoteReference"/>
          <w:sz w:val="16"/>
          <w:szCs w:val="16"/>
        </w:rPr>
        <w:footnoteRef/>
      </w:r>
      <w:r w:rsidRPr="00A15D27">
        <w:rPr>
          <w:sz w:val="16"/>
          <w:szCs w:val="16"/>
        </w:rPr>
        <w:t xml:space="preserve"> Institute of Public Administration Australia. (2020). Public Sector Innovation Awards</w:t>
      </w:r>
      <w:r w:rsidRPr="00A15D27">
        <w:rPr>
          <w:rFonts w:ascii="Calibri" w:hAnsi="Calibri" w:cs="Calibri"/>
          <w:sz w:val="16"/>
          <w:szCs w:val="16"/>
        </w:rPr>
        <w:t>—</w:t>
      </w:r>
      <w:r w:rsidRPr="00A15D27">
        <w:rPr>
          <w:sz w:val="16"/>
          <w:szCs w:val="16"/>
        </w:rPr>
        <w:t>2020 Awards</w:t>
      </w:r>
      <w:r>
        <w:rPr>
          <w:sz w:val="16"/>
          <w:szCs w:val="16"/>
        </w:rPr>
        <w:t>.</w:t>
      </w:r>
      <w:r w:rsidRPr="00A15D27">
        <w:rPr>
          <w:sz w:val="16"/>
          <w:szCs w:val="16"/>
        </w:rPr>
        <w:t xml:space="preserve"> </w:t>
      </w:r>
      <w:hyperlink r:id="rId138" w:tooltip="Link to Public Sector Innovation Awards 2020 website" w:history="1">
        <w:r w:rsidRPr="00A15D27">
          <w:rPr>
            <w:rStyle w:val="Hyperlink"/>
            <w:sz w:val="16"/>
            <w:szCs w:val="16"/>
          </w:rPr>
          <w:t>www.act.ipaa.org.au/innovation-awards</w:t>
        </w:r>
      </w:hyperlink>
      <w:r w:rsidDel="00154F28">
        <w:rPr>
          <w:rStyle w:val="Hyperlink"/>
          <w:sz w:val="16"/>
          <w:szCs w:val="16"/>
        </w:rPr>
        <w:t xml:space="preserve"> </w:t>
      </w:r>
    </w:p>
  </w:footnote>
  <w:footnote w:id="168">
    <w:p w14:paraId="6FB98612" w14:textId="02CE6DC7" w:rsidR="00EF78E7" w:rsidRPr="00A15D27" w:rsidRDefault="00EF78E7" w:rsidP="00DB4997">
      <w:pPr>
        <w:pStyle w:val="FootnoteText"/>
        <w:rPr>
          <w:sz w:val="16"/>
          <w:szCs w:val="16"/>
        </w:rPr>
      </w:pPr>
      <w:r w:rsidRPr="00A15D27">
        <w:rPr>
          <w:rStyle w:val="FootnoteReference"/>
          <w:sz w:val="16"/>
          <w:szCs w:val="16"/>
        </w:rPr>
        <w:footnoteRef/>
      </w:r>
      <w:r w:rsidRPr="00A15D27">
        <w:rPr>
          <w:sz w:val="16"/>
          <w:szCs w:val="16"/>
        </w:rPr>
        <w:t xml:space="preserve"> Noting the difficulty of measuring non-R&amp;D innovation, the Government’s ISR investment is currently heavily weighted toward R&amp;D, with the 2019–20 SRI Budget Tables showing just $488 million of expenditure on non-R&amp;D innovation, or just 4.9 per cent of its total investment. Further details can be found at Innovation and Science Australia. (2020). Stimulating business investment in innovation. </w:t>
      </w:r>
      <w:hyperlink r:id="rId139" w:tooltip="Link to ISA's Stimulating business investment in innovation report" w:history="1">
        <w:r w:rsidRPr="00A15D27">
          <w:rPr>
            <w:rStyle w:val="Hyperlink"/>
            <w:sz w:val="16"/>
            <w:szCs w:val="16"/>
          </w:rPr>
          <w:t>www.industry.gov.au/sites/default/files/2020-02/stimulating-business-investment-in-innovation.pdf</w:t>
        </w:r>
      </w:hyperlink>
      <w:r>
        <w:rPr>
          <w:rStyle w:val="Hyperlink"/>
          <w:sz w:val="16"/>
          <w:szCs w:val="16"/>
        </w:rPr>
        <w:t xml:space="preserve"> </w:t>
      </w:r>
    </w:p>
  </w:footnote>
  <w:footnote w:id="169">
    <w:p w14:paraId="243D76BA" w14:textId="376E572A"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OECD. (2013). New sources of growth: knowledge-based capital key analyses and policy conclusions synthesis report</w:t>
      </w:r>
      <w:r>
        <w:rPr>
          <w:sz w:val="16"/>
          <w:szCs w:val="16"/>
        </w:rPr>
        <w:t>.</w:t>
      </w:r>
      <w:r w:rsidRPr="00A15D27">
        <w:rPr>
          <w:sz w:val="16"/>
          <w:szCs w:val="16"/>
        </w:rPr>
        <w:t xml:space="preserve"> p. 13. </w:t>
      </w:r>
      <w:hyperlink r:id="rId140" w:tooltip="Link to OECD's New sources of growth: knowledge-based capital key analyses and policy conclusions synthesis report" w:history="1">
        <w:r w:rsidRPr="0040489D">
          <w:rPr>
            <w:rStyle w:val="Hyperlink"/>
            <w:sz w:val="16"/>
            <w:szCs w:val="16"/>
          </w:rPr>
          <w:t>https://www.oecd.org/sti/inno/knowledge-based-capital-synthesis.pdf</w:t>
        </w:r>
      </w:hyperlink>
      <w:r>
        <w:rPr>
          <w:rStyle w:val="Hyperlink"/>
          <w:sz w:val="16"/>
          <w:szCs w:val="16"/>
        </w:rPr>
        <w:t xml:space="preserve"> </w:t>
      </w:r>
    </w:p>
  </w:footnote>
  <w:footnote w:id="170">
    <w:p w14:paraId="439AC96E" w14:textId="0DDF943D" w:rsidR="00EF78E7" w:rsidRPr="00A15D27" w:rsidRDefault="00EF78E7" w:rsidP="008B3320">
      <w:pPr>
        <w:pStyle w:val="FootnoteText"/>
        <w:rPr>
          <w:sz w:val="16"/>
          <w:szCs w:val="16"/>
        </w:rPr>
      </w:pPr>
      <w:r w:rsidRPr="00A15D27">
        <w:rPr>
          <w:rStyle w:val="FootnoteReference"/>
          <w:sz w:val="16"/>
          <w:szCs w:val="16"/>
        </w:rPr>
        <w:footnoteRef/>
      </w:r>
      <w:r w:rsidRPr="00A15D27">
        <w:rPr>
          <w:sz w:val="16"/>
          <w:szCs w:val="16"/>
        </w:rPr>
        <w:t xml:space="preserve"> Tang,</w:t>
      </w:r>
      <w:r>
        <w:rPr>
          <w:sz w:val="16"/>
          <w:szCs w:val="16"/>
        </w:rPr>
        <w:t xml:space="preserve"> E.</w:t>
      </w:r>
      <w:r w:rsidRPr="00A15D27">
        <w:rPr>
          <w:sz w:val="16"/>
          <w:szCs w:val="16"/>
        </w:rPr>
        <w:t xml:space="preserve"> (2019). Global benchmarking shows innovation skills power Australian prosperity</w:t>
      </w:r>
      <w:r>
        <w:rPr>
          <w:sz w:val="16"/>
          <w:szCs w:val="16"/>
        </w:rPr>
        <w:t>.</w:t>
      </w:r>
      <w:r w:rsidRPr="00A15D27">
        <w:rPr>
          <w:sz w:val="16"/>
          <w:szCs w:val="16"/>
        </w:rPr>
        <w:t xml:space="preserve"> Australian Trade and Investment Commission</w:t>
      </w:r>
      <w:r>
        <w:rPr>
          <w:sz w:val="16"/>
          <w:szCs w:val="16"/>
        </w:rPr>
        <w:t>, Economic Analysis News 2 May 2019.</w:t>
      </w:r>
      <w:r w:rsidRPr="00A15D27">
        <w:rPr>
          <w:sz w:val="16"/>
          <w:szCs w:val="16"/>
        </w:rPr>
        <w:t xml:space="preserve"> </w:t>
      </w:r>
      <w:hyperlink r:id="rId141" w:tooltip="Link to Global benchmarking shows innovation skills power Australian prosperity news article" w:history="1">
        <w:r w:rsidRPr="00A15D27">
          <w:rPr>
            <w:rStyle w:val="Hyperlink"/>
            <w:sz w:val="16"/>
            <w:szCs w:val="16"/>
          </w:rPr>
          <w:t>www.austrade.gov.au/news/economic-analysis/global-benchmarking-shows-innovation-skills-power-australian-prosperity</w:t>
        </w:r>
      </w:hyperlink>
      <w:r w:rsidDel="00154F28">
        <w:rPr>
          <w:rStyle w:val="Hyperlink"/>
          <w:sz w:val="16"/>
          <w:szCs w:val="16"/>
        </w:rPr>
        <w:t xml:space="preserve"> </w:t>
      </w:r>
    </w:p>
  </w:footnote>
  <w:footnote w:id="171">
    <w:p w14:paraId="242E6930" w14:textId="77777777" w:rsidR="00EF78E7" w:rsidRPr="00A15D27" w:rsidRDefault="00EF78E7" w:rsidP="008B3320">
      <w:pPr>
        <w:pStyle w:val="FootnoteText"/>
        <w:rPr>
          <w:sz w:val="16"/>
          <w:szCs w:val="16"/>
        </w:rPr>
      </w:pPr>
      <w:r w:rsidRPr="00A15D27">
        <w:rPr>
          <w:rStyle w:val="FootnoteReference"/>
          <w:sz w:val="16"/>
          <w:szCs w:val="16"/>
        </w:rPr>
        <w:footnoteRef/>
      </w:r>
      <w:r w:rsidRPr="00A15D27">
        <w:rPr>
          <w:sz w:val="16"/>
          <w:szCs w:val="16"/>
        </w:rPr>
        <w:t xml:space="preserve"> Innovation and Science Australia. (2016). Performance review of the Australian Innovation, Science and Research System.</w:t>
      </w:r>
    </w:p>
    <w:p w14:paraId="23862351" w14:textId="5546A706" w:rsidR="00EF78E7" w:rsidRPr="00A15D27" w:rsidRDefault="00A1412E" w:rsidP="008B3320">
      <w:pPr>
        <w:pStyle w:val="FootnoteText"/>
        <w:rPr>
          <w:sz w:val="16"/>
          <w:szCs w:val="16"/>
        </w:rPr>
      </w:pPr>
      <w:hyperlink r:id="rId142" w:tooltip="Link to ISA's Performance review of the Australian ISR system" w:history="1">
        <w:r w:rsidR="00EF78E7" w:rsidRPr="0040489D">
          <w:rPr>
            <w:rStyle w:val="Hyperlink"/>
            <w:sz w:val="16"/>
            <w:szCs w:val="16"/>
          </w:rPr>
          <w:t>www.industry.gov.au/sites/default/files/2020-02/stimulating-business-investment-in-innovation.pdf</w:t>
        </w:r>
      </w:hyperlink>
      <w:r w:rsidR="00EF78E7">
        <w:rPr>
          <w:rStyle w:val="Hyperlink"/>
          <w:sz w:val="16"/>
          <w:szCs w:val="16"/>
        </w:rPr>
        <w:t xml:space="preserve"> </w:t>
      </w:r>
    </w:p>
  </w:footnote>
  <w:footnote w:id="172">
    <w:p w14:paraId="6C059BD6" w14:textId="036469D4" w:rsidR="00EF78E7" w:rsidRPr="00A15D27" w:rsidRDefault="00EF78E7" w:rsidP="00B87126">
      <w:pPr>
        <w:pStyle w:val="FootnoteText"/>
        <w:rPr>
          <w:sz w:val="16"/>
          <w:szCs w:val="16"/>
        </w:rPr>
      </w:pPr>
      <w:r w:rsidRPr="00A15D27">
        <w:rPr>
          <w:rStyle w:val="FootnoteReference"/>
          <w:sz w:val="16"/>
          <w:szCs w:val="16"/>
        </w:rPr>
        <w:footnoteRef/>
      </w:r>
      <w:r w:rsidRPr="00A15D27">
        <w:rPr>
          <w:sz w:val="16"/>
          <w:szCs w:val="16"/>
        </w:rPr>
        <w:t xml:space="preserve"> This analysis is based on ABS data, where basic research in this figure is the sum of pure basic and strategic basic research. This data has been taken from ABS, 8104.0 – Research and Experimental Development, Businesses, Australia, 2017–18; 8109.0 – Research and Experimental Development, Government and Private Non-Profit Organisations, Australia, 2016–17; 8111.0 – Research and Experimental Development, Higher Education Organisations, Australia, 2016. Note the ABS surveys those entities that perform R&amp;D (businesses, institutes, universities, etc.) in order to identify the amount they spend on R&amp;D activities that they perform in a given year.</w:t>
      </w:r>
    </w:p>
  </w:footnote>
  <w:footnote w:id="173">
    <w:p w14:paraId="2E385089" w14:textId="12827A3B" w:rsidR="00EF78E7" w:rsidRPr="00A15D27" w:rsidRDefault="00EF78E7" w:rsidP="008C424D">
      <w:pPr>
        <w:pStyle w:val="FootnoteText"/>
        <w:rPr>
          <w:sz w:val="16"/>
          <w:szCs w:val="16"/>
        </w:rPr>
      </w:pPr>
      <w:r w:rsidRPr="00A15D27">
        <w:rPr>
          <w:rStyle w:val="FootnoteReference"/>
          <w:sz w:val="16"/>
          <w:szCs w:val="16"/>
        </w:rPr>
        <w:footnoteRef/>
      </w:r>
      <w:r w:rsidRPr="00A15D27">
        <w:rPr>
          <w:sz w:val="16"/>
          <w:szCs w:val="16"/>
        </w:rPr>
        <w:t xml:space="preserve"> House of Representatives Standing Committee on Employment, Education and Training. (2018). Inquiry into funding Australia's research report: Australian Government Funding Arrangements for non-NHMRC Research. </w:t>
      </w:r>
      <w:hyperlink r:id="rId143" w:tooltip="Link to Inquiry into funding Australia's research report" w:history="1">
        <w:r w:rsidRPr="00A15D27">
          <w:rPr>
            <w:rStyle w:val="Hyperlink"/>
            <w:sz w:val="16"/>
            <w:szCs w:val="16"/>
          </w:rPr>
          <w:t>https://parlinfo.aph.gov.au/parlInfo/download/committees/reportrep/024212/toc_pdf/AustralianGovernmentFundingArrangementsfornon-NHMRCResearch.pdf;fileType=application%2Fpdf</w:t>
        </w:r>
      </w:hyperlink>
      <w:r>
        <w:rPr>
          <w:rStyle w:val="Hyperlink"/>
          <w:sz w:val="16"/>
          <w:szCs w:val="16"/>
        </w:rPr>
        <w:t xml:space="preserve"> </w:t>
      </w:r>
    </w:p>
  </w:footnote>
  <w:footnote w:id="174">
    <w:p w14:paraId="417671E9" w14:textId="3297F63C" w:rsidR="00EF78E7" w:rsidRPr="00A15D27" w:rsidRDefault="00EF78E7" w:rsidP="00C20DED">
      <w:pPr>
        <w:pStyle w:val="FootnoteText"/>
        <w:rPr>
          <w:sz w:val="16"/>
          <w:szCs w:val="16"/>
        </w:rPr>
      </w:pPr>
      <w:r w:rsidRPr="00A15D27">
        <w:rPr>
          <w:rStyle w:val="FootnoteReference"/>
          <w:sz w:val="16"/>
          <w:szCs w:val="16"/>
        </w:rPr>
        <w:footnoteRef/>
      </w:r>
      <w:r w:rsidRPr="00A15D27">
        <w:rPr>
          <w:sz w:val="16"/>
          <w:szCs w:val="16"/>
        </w:rPr>
        <w:t xml:space="preserve"> OECD. (2015). The innovation imperative – contributing to productivity, growth and well-being. </w:t>
      </w:r>
      <w:hyperlink r:id="rId144" w:tooltip="link to the OECD The innovation imperative report" w:history="1">
        <w:r w:rsidRPr="00A15D27">
          <w:rPr>
            <w:rStyle w:val="Hyperlink"/>
            <w:sz w:val="16"/>
            <w:szCs w:val="16"/>
          </w:rPr>
          <w:t>www.oecd.org/publications/the-innovation-imperative-9789264239814-en.htm</w:t>
        </w:r>
      </w:hyperlink>
      <w:r>
        <w:rPr>
          <w:rStyle w:val="Hyperlink"/>
          <w:sz w:val="16"/>
          <w:szCs w:val="16"/>
        </w:rPr>
        <w:t xml:space="preserve"> </w:t>
      </w:r>
    </w:p>
  </w:footnote>
  <w:footnote w:id="175">
    <w:p w14:paraId="77FCBED3" w14:textId="0ACE3C9C" w:rsidR="00EF78E7" w:rsidRPr="00A15D27" w:rsidRDefault="00EF78E7" w:rsidP="00E175BD">
      <w:pPr>
        <w:pStyle w:val="FootnoteText"/>
        <w:rPr>
          <w:sz w:val="16"/>
          <w:szCs w:val="16"/>
        </w:rPr>
      </w:pPr>
      <w:r w:rsidRPr="00A15D27">
        <w:rPr>
          <w:rStyle w:val="FootnoteReference"/>
          <w:sz w:val="16"/>
          <w:szCs w:val="16"/>
        </w:rPr>
        <w:footnoteRef/>
      </w:r>
      <w:r w:rsidRPr="00A15D27">
        <w:rPr>
          <w:sz w:val="16"/>
          <w:szCs w:val="16"/>
        </w:rPr>
        <w:t xml:space="preserve"> House of Representatives Standing Committee on Employment, Education and Training. (2018). Inquiry into funding Australia's research report: Australian Government Funding Arrangements for non-NHMRC Research. </w:t>
      </w:r>
      <w:hyperlink r:id="rId145" w:tooltip="Link to Inquiry into funding Australia's research report" w:history="1">
        <w:r w:rsidRPr="00A15D27">
          <w:rPr>
            <w:rStyle w:val="Hyperlink"/>
            <w:sz w:val="16"/>
            <w:szCs w:val="16"/>
          </w:rPr>
          <w:t>https://parlinfo.aph.gov.au/parlInfo/download/committees/reportrep/024212/toc_pdf/AustralianGovernmentFundingArrangementsfornon-NHMRCResearch.pdf;fileType=application%2Fpdf</w:t>
        </w:r>
      </w:hyperlink>
      <w:r>
        <w:rPr>
          <w:rStyle w:val="Hyperlink"/>
          <w:sz w:val="16"/>
          <w:szCs w:val="16"/>
        </w:rPr>
        <w:t xml:space="preserve"> </w:t>
      </w:r>
    </w:p>
  </w:footnote>
  <w:footnote w:id="176">
    <w:p w14:paraId="363193EC" w14:textId="72979F34" w:rsidR="00EF78E7" w:rsidRPr="00A15D27" w:rsidRDefault="00EF78E7" w:rsidP="008B3320">
      <w:pPr>
        <w:pStyle w:val="FootnoteText"/>
        <w:rPr>
          <w:sz w:val="16"/>
          <w:szCs w:val="16"/>
        </w:rPr>
      </w:pPr>
      <w:r w:rsidRPr="00A15D27">
        <w:rPr>
          <w:rStyle w:val="FootnoteReference"/>
          <w:sz w:val="16"/>
          <w:szCs w:val="16"/>
        </w:rPr>
        <w:footnoteRef/>
      </w:r>
      <w:r w:rsidRPr="00A15D27">
        <w:rPr>
          <w:sz w:val="16"/>
          <w:szCs w:val="16"/>
        </w:rPr>
        <w:t xml:space="preserve"> Innovation and Science Australia. (2017). Australia 2030: Prosperity through Innovation. </w:t>
      </w:r>
      <w:hyperlink r:id="rId146" w:tooltip="Link to ISA's Australia 2030: Prosperity through innovation report" w:history="1">
        <w:r w:rsidRPr="00A15D27">
          <w:rPr>
            <w:rStyle w:val="Hyperlink"/>
            <w:sz w:val="16"/>
            <w:szCs w:val="16"/>
          </w:rPr>
          <w:t>www.industry.gov.au/sites/‌g/files/net3906/f/May%202018/document/pdf/australia-2030-prosperity-through-innovation-full-report.pdf</w:t>
        </w:r>
      </w:hyperlink>
      <w:r w:rsidRPr="00307A38">
        <w:rPr>
          <w:rStyle w:val="Hyperlink"/>
          <w:sz w:val="16"/>
          <w:szCs w:val="16"/>
        </w:rPr>
        <w:t xml:space="preserve"> </w:t>
      </w:r>
    </w:p>
  </w:footnote>
  <w:footnote w:id="177">
    <w:p w14:paraId="27049489" w14:textId="3DC38387" w:rsidR="00EF78E7" w:rsidRPr="00A15D27" w:rsidRDefault="00EF78E7" w:rsidP="008B3320">
      <w:pPr>
        <w:pStyle w:val="FootnoteText"/>
        <w:rPr>
          <w:sz w:val="16"/>
          <w:szCs w:val="16"/>
        </w:rPr>
      </w:pPr>
      <w:r w:rsidRPr="00A15D27">
        <w:rPr>
          <w:rStyle w:val="FootnoteReference"/>
          <w:sz w:val="16"/>
          <w:szCs w:val="16"/>
        </w:rPr>
        <w:footnoteRef/>
      </w:r>
      <w:r w:rsidRPr="00A15D27">
        <w:rPr>
          <w:sz w:val="16"/>
          <w:szCs w:val="16"/>
        </w:rPr>
        <w:t xml:space="preserve"> Paic, A. and C. Viros (2019). Governance of science and technology policies. OECD Science, Technology and Industry Policy Papers, No. 84, OECD Publishing, Paris. </w:t>
      </w:r>
      <w:hyperlink r:id="rId147" w:tooltip="Link to OECD Governance of science and technology policies report" w:history="1">
        <w:r w:rsidRPr="00A15D27">
          <w:rPr>
            <w:rStyle w:val="Hyperlink"/>
            <w:sz w:val="16"/>
            <w:szCs w:val="16"/>
          </w:rPr>
          <w:t>https://doi.org/10.1787/2b3bc558-en</w:t>
        </w:r>
      </w:hyperlink>
      <w:r w:rsidRPr="00307A38">
        <w:rPr>
          <w:rStyle w:val="Hyperlink"/>
          <w:sz w:val="16"/>
          <w:szCs w:val="16"/>
        </w:rPr>
        <w:t xml:space="preserve"> </w:t>
      </w:r>
    </w:p>
  </w:footnote>
  <w:footnote w:id="178">
    <w:p w14:paraId="75C31067" w14:textId="1099B2C7" w:rsidR="00EF78E7" w:rsidRPr="00A15D27" w:rsidRDefault="00EF78E7" w:rsidP="008B3320">
      <w:pPr>
        <w:pStyle w:val="FootnoteText"/>
        <w:rPr>
          <w:sz w:val="16"/>
          <w:szCs w:val="16"/>
        </w:rPr>
      </w:pPr>
      <w:r w:rsidRPr="00A15D27">
        <w:rPr>
          <w:rStyle w:val="FootnoteReference"/>
          <w:sz w:val="16"/>
          <w:szCs w:val="16"/>
        </w:rPr>
        <w:footnoteRef/>
      </w:r>
      <w:r w:rsidRPr="00A15D27">
        <w:rPr>
          <w:sz w:val="16"/>
          <w:szCs w:val="16"/>
        </w:rPr>
        <w:t xml:space="preserve"> Guimón, J. (2019). Policy initiatives to enhance the impact of public research: Promoting excellence, transfer and co-creation. OECD Science, Technology and Industry Policy Papers, No. 81, OECD Publishing. </w:t>
      </w:r>
      <w:hyperlink r:id="rId148" w:tooltip="Link to OECD Science, Technology and Industry Policy Paper 'Policy initiatives to enhance the impact of public research" w:history="1">
        <w:r w:rsidRPr="00A15D27">
          <w:rPr>
            <w:rStyle w:val="Hyperlink"/>
            <w:sz w:val="16"/>
            <w:szCs w:val="16"/>
          </w:rPr>
          <w:t>https://doi.org/10.1787/a4c9197a-en</w:t>
        </w:r>
      </w:hyperlink>
      <w:r w:rsidRPr="00307A38">
        <w:rPr>
          <w:rStyle w:val="Hyperlink"/>
          <w:sz w:val="16"/>
          <w:szCs w:val="16"/>
        </w:rPr>
        <w:t xml:space="preserve"> </w:t>
      </w:r>
    </w:p>
  </w:footnote>
  <w:footnote w:id="179">
    <w:p w14:paraId="575927F1" w14:textId="736C42DF"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House of Representatives Standing Committee on Employment, Education and Training. (2018). Inquiry into funding Australia’s research report: Australian Government Funding Arrangements for non-NHMRC Research. </w:t>
      </w:r>
      <w:hyperlink r:id="rId149" w:tooltip="Link to Inquiry into funding Australia's research report" w:history="1">
        <w:r w:rsidRPr="00A15D27">
          <w:rPr>
            <w:rStyle w:val="Hyperlink"/>
            <w:sz w:val="16"/>
            <w:szCs w:val="16"/>
          </w:rPr>
          <w:t>https://parlinfo.aph.gov.au/parlInfo/download/committees/reportrep/024212/toc_pdf/AustralianGovernmentFundingArrangementsfornon-NHMRCResearch.pdf;fileType=application%2Fpdf</w:t>
        </w:r>
      </w:hyperlink>
      <w:r w:rsidRPr="00307A38">
        <w:rPr>
          <w:rStyle w:val="Hyperlink"/>
          <w:sz w:val="16"/>
          <w:szCs w:val="16"/>
        </w:rPr>
        <w:t xml:space="preserve"> </w:t>
      </w:r>
    </w:p>
  </w:footnote>
  <w:footnote w:id="180">
    <w:p w14:paraId="125E3161" w14:textId="1B4E6943"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Australian Government. (2017). Australia’s National Science Statement. </w:t>
      </w:r>
      <w:hyperlink r:id="rId150" w:tooltip="Link to Australia's National Science Statement" w:history="1">
        <w:r w:rsidRPr="00A15D27">
          <w:rPr>
            <w:rStyle w:val="Hyperlink"/>
            <w:sz w:val="16"/>
            <w:szCs w:val="16"/>
          </w:rPr>
          <w:t>https://publications.industry.gov.au/publications/nationalsciencestatement/index.html</w:t>
        </w:r>
      </w:hyperlink>
      <w:r w:rsidRPr="00307A38">
        <w:rPr>
          <w:rStyle w:val="Hyperlink"/>
          <w:sz w:val="16"/>
          <w:szCs w:val="16"/>
        </w:rPr>
        <w:t xml:space="preserve"> </w:t>
      </w:r>
    </w:p>
  </w:footnote>
  <w:footnote w:id="181">
    <w:p w14:paraId="1F11757E" w14:textId="49A7CFBB" w:rsidR="00EF78E7" w:rsidRPr="00A15D27" w:rsidRDefault="00EF78E7" w:rsidP="004E6867">
      <w:pPr>
        <w:pStyle w:val="FootnoteText"/>
        <w:rPr>
          <w:sz w:val="16"/>
          <w:szCs w:val="16"/>
        </w:rPr>
      </w:pPr>
      <w:r w:rsidRPr="00A15D27">
        <w:rPr>
          <w:rStyle w:val="FootnoteReference"/>
          <w:sz w:val="16"/>
          <w:szCs w:val="16"/>
        </w:rPr>
        <w:footnoteRef/>
      </w:r>
      <w:r w:rsidRPr="00A15D27">
        <w:rPr>
          <w:sz w:val="16"/>
          <w:szCs w:val="16"/>
        </w:rPr>
        <w:t xml:space="preserve"> </w:t>
      </w:r>
      <w:r>
        <w:rPr>
          <w:sz w:val="16"/>
          <w:szCs w:val="16"/>
        </w:rPr>
        <w:t xml:space="preserve">Australian Government. (2020). </w:t>
      </w:r>
      <w:r w:rsidRPr="00A15D27">
        <w:rPr>
          <w:sz w:val="16"/>
          <w:szCs w:val="16"/>
        </w:rPr>
        <w:t xml:space="preserve">Innovation Connections. </w:t>
      </w:r>
      <w:hyperlink r:id="rId151" w:tooltip="Link to Innovation Connections website" w:history="1">
        <w:r w:rsidRPr="00A15D27">
          <w:rPr>
            <w:rStyle w:val="Hyperlink"/>
            <w:sz w:val="16"/>
            <w:szCs w:val="16"/>
          </w:rPr>
          <w:t>www.business.gov.au/Grants-and-Programs/Innovation-Connections</w:t>
        </w:r>
      </w:hyperlink>
      <w:r w:rsidRPr="00307A38">
        <w:rPr>
          <w:rStyle w:val="Hyperlink"/>
          <w:sz w:val="16"/>
          <w:szCs w:val="16"/>
        </w:rPr>
        <w:t xml:space="preserve"> </w:t>
      </w:r>
    </w:p>
  </w:footnote>
  <w:footnote w:id="182">
    <w:p w14:paraId="0B2CE024" w14:textId="7875ACB7" w:rsidR="00EF78E7" w:rsidRPr="00A15D27" w:rsidRDefault="00EF78E7" w:rsidP="00AC3B61">
      <w:pPr>
        <w:pStyle w:val="FootnoteText"/>
        <w:rPr>
          <w:sz w:val="16"/>
          <w:szCs w:val="16"/>
        </w:rPr>
      </w:pPr>
      <w:r w:rsidRPr="00A15D27">
        <w:rPr>
          <w:rStyle w:val="FootnoteReference"/>
          <w:sz w:val="16"/>
          <w:szCs w:val="16"/>
        </w:rPr>
        <w:footnoteRef/>
      </w:r>
      <w:r w:rsidRPr="00A15D27">
        <w:rPr>
          <w:sz w:val="16"/>
          <w:szCs w:val="16"/>
        </w:rPr>
        <w:t xml:space="preserve"> Note: Software developers or programmers; and executives and directors involved in the planning or management of scientific and technical aspects of R&amp;D projects are also classified as researchers (BERD) and postgraduate students are classified as researchers (HERD, 2016). Source: ABS, 8104.0 – Research and Experimental Development, Businesses, Australia, 2017–18; 8109.0 – Research and Experimental Development, Government and Private Non-Profit Organisations, Australia, 2016–17; 8111.0 – Research and Experimental Development, Higher Education Organisations, Australia, 2016.</w:t>
      </w:r>
    </w:p>
  </w:footnote>
  <w:footnote w:id="183">
    <w:p w14:paraId="539F80DF" w14:textId="7008523F" w:rsidR="00EF78E7" w:rsidRPr="00A15D27" w:rsidRDefault="00EF78E7" w:rsidP="00AC3B61">
      <w:pPr>
        <w:pStyle w:val="FootnoteText"/>
        <w:rPr>
          <w:sz w:val="16"/>
          <w:szCs w:val="16"/>
        </w:rPr>
      </w:pPr>
      <w:r w:rsidRPr="00A15D27">
        <w:rPr>
          <w:rStyle w:val="FootnoteReference"/>
          <w:sz w:val="16"/>
          <w:szCs w:val="16"/>
        </w:rPr>
        <w:footnoteRef/>
      </w:r>
      <w:r w:rsidRPr="00A15D27">
        <w:rPr>
          <w:sz w:val="16"/>
          <w:szCs w:val="16"/>
        </w:rPr>
        <w:t xml:space="preserve"> OECD. (2016). Main Science and Technology Indicators. </w:t>
      </w:r>
      <w:hyperlink r:id="rId152" w:tooltip="OECD Main Science and Technology Indcators data link" w:history="1">
        <w:r w:rsidRPr="00A15D27">
          <w:rPr>
            <w:rStyle w:val="Hyperlink"/>
            <w:sz w:val="16"/>
            <w:szCs w:val="16"/>
          </w:rPr>
          <w:t>https://stats.oecd.org/Index.aspx?DataSetCode=MSTI_PUB</w:t>
        </w:r>
      </w:hyperlink>
      <w:r w:rsidDel="00154F28">
        <w:rPr>
          <w:rStyle w:val="Hyperlink"/>
          <w:sz w:val="16"/>
          <w:szCs w:val="16"/>
        </w:rPr>
        <w:t xml:space="preserve"> </w:t>
      </w:r>
    </w:p>
  </w:footnote>
  <w:footnote w:id="184">
    <w:p w14:paraId="0573ADE1" w14:textId="0A482FB4"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French Government, Ministry of Research. (2019). How CIFRE works. </w:t>
      </w:r>
      <w:hyperlink r:id="rId153" w:tooltip="Link to French Government document: How CIFRE works" w:history="1">
        <w:r w:rsidRPr="00A15D27">
          <w:rPr>
            <w:rStyle w:val="Hyperlink"/>
            <w:sz w:val="16"/>
            <w:szCs w:val="16"/>
          </w:rPr>
          <w:t>www.anrt.asso.fr/sites/default/files/cifre_plaquette_2019_eng.pdf</w:t>
        </w:r>
      </w:hyperlink>
      <w:r>
        <w:rPr>
          <w:rStyle w:val="Hyperlink"/>
          <w:sz w:val="16"/>
          <w:szCs w:val="16"/>
        </w:rPr>
        <w:t xml:space="preserve"> </w:t>
      </w:r>
    </w:p>
  </w:footnote>
  <w:footnote w:id="185">
    <w:p w14:paraId="291FC2E8" w14:textId="77777777" w:rsidR="00EF78E7" w:rsidRPr="00A15D27" w:rsidRDefault="00EF78E7">
      <w:pPr>
        <w:pStyle w:val="FootnoteText"/>
        <w:rPr>
          <w:sz w:val="16"/>
          <w:szCs w:val="16"/>
        </w:rPr>
      </w:pPr>
      <w:r w:rsidRPr="00A15D27">
        <w:rPr>
          <w:rStyle w:val="FootnoteReference"/>
          <w:sz w:val="16"/>
          <w:szCs w:val="16"/>
        </w:rPr>
        <w:footnoteRef/>
      </w:r>
      <w:r w:rsidRPr="00A15D27">
        <w:rPr>
          <w:sz w:val="16"/>
          <w:szCs w:val="16"/>
        </w:rPr>
        <w:t xml:space="preserve"> These are Innovation Connections, Industry PhDs through CSIRO, the Australian Postgraduate Research Intern program, the National Research Internships Program (NRIP), and the Researcher Exchange and Development within Industry (REDI) initiative.</w:t>
      </w:r>
    </w:p>
  </w:footnote>
  <w:footnote w:id="186">
    <w:p w14:paraId="4284F43B" w14:textId="17EAA8EC" w:rsidR="00EF78E7" w:rsidRPr="00A15D27" w:rsidRDefault="00EF78E7" w:rsidP="006E595D">
      <w:pPr>
        <w:pStyle w:val="FootnoteText"/>
        <w:rPr>
          <w:sz w:val="16"/>
          <w:szCs w:val="16"/>
        </w:rPr>
      </w:pPr>
      <w:r w:rsidRPr="00A15D27">
        <w:rPr>
          <w:rStyle w:val="FootnoteReference"/>
          <w:sz w:val="16"/>
          <w:szCs w:val="16"/>
        </w:rPr>
        <w:footnoteRef/>
      </w:r>
      <w:r w:rsidRPr="00A15D27">
        <w:rPr>
          <w:sz w:val="16"/>
          <w:szCs w:val="16"/>
        </w:rPr>
        <w:t xml:space="preserve"> Innovate UK. Knowledge Transfer Partnerships </w:t>
      </w:r>
      <w:hyperlink r:id="rId154" w:tooltip="Innovate UK Knowledge Transfer Partnerships website link" w:history="1">
        <w:r w:rsidRPr="00A15D27">
          <w:rPr>
            <w:rStyle w:val="Hyperlink"/>
            <w:sz w:val="16"/>
            <w:szCs w:val="16"/>
          </w:rPr>
          <w:t>http://ktp.innovateuk.org/</w:t>
        </w:r>
      </w:hyperlink>
    </w:p>
  </w:footnote>
  <w:footnote w:id="187">
    <w:p w14:paraId="648C5B72" w14:textId="7F3F5148" w:rsidR="00EF78E7" w:rsidRPr="00A15D27" w:rsidRDefault="00EF78E7" w:rsidP="006E595D">
      <w:pPr>
        <w:pStyle w:val="FootnoteText"/>
        <w:rPr>
          <w:sz w:val="16"/>
          <w:szCs w:val="16"/>
        </w:rPr>
      </w:pPr>
      <w:r w:rsidRPr="00A15D27">
        <w:rPr>
          <w:rStyle w:val="FootnoteReference"/>
          <w:sz w:val="16"/>
          <w:szCs w:val="16"/>
        </w:rPr>
        <w:footnoteRef/>
      </w:r>
      <w:r w:rsidRPr="00A15D27">
        <w:rPr>
          <w:sz w:val="16"/>
          <w:szCs w:val="16"/>
        </w:rPr>
        <w:t xml:space="preserve"> UK Government. Knowledge Transfer Partnerships: what they are and how to apply. </w:t>
      </w:r>
      <w:hyperlink r:id="rId155" w:tooltip="Link to UK Government's Knowledge Transfer Partnerships website" w:history="1">
        <w:r w:rsidRPr="00A15D27">
          <w:rPr>
            <w:rStyle w:val="Hyperlink"/>
            <w:sz w:val="16"/>
            <w:szCs w:val="16"/>
          </w:rPr>
          <w:t>www.gov.uk/guidance/knowledge-transfer-partnerships-what-they-are-and-how-to-apply</w:t>
        </w:r>
      </w:hyperlink>
      <w:r>
        <w:rPr>
          <w:rStyle w:val="Hyperlink"/>
          <w:sz w:val="16"/>
          <w:szCs w:val="16"/>
        </w:rPr>
        <w:t xml:space="preserve"> </w:t>
      </w:r>
    </w:p>
  </w:footnote>
  <w:footnote w:id="188">
    <w:p w14:paraId="77CDD68B" w14:textId="0EF9F04C" w:rsidR="00EF78E7" w:rsidRPr="00A15D27" w:rsidRDefault="00EF78E7" w:rsidP="004E5861">
      <w:pPr>
        <w:pStyle w:val="FootnoteText"/>
        <w:rPr>
          <w:sz w:val="16"/>
          <w:szCs w:val="16"/>
        </w:rPr>
      </w:pPr>
      <w:r w:rsidRPr="00A15D27">
        <w:rPr>
          <w:rStyle w:val="FootnoteReference"/>
          <w:sz w:val="16"/>
          <w:szCs w:val="16"/>
        </w:rPr>
        <w:footnoteRef/>
      </w:r>
      <w:r w:rsidRPr="00A15D27">
        <w:rPr>
          <w:sz w:val="16"/>
          <w:szCs w:val="16"/>
        </w:rPr>
        <w:t xml:space="preserve"> Hughes. (2015). Review of approaches to the commercialisation of university research and support for university industry collaboration in the UK. Report for Securing Australia’s Future Project “Translating research for economic and social benefit: country comparisons” on behalf of the Australian Council of Learned Academies. </w:t>
      </w:r>
      <w:hyperlink r:id="rId156" w:tooltip="Link to report on approaches to the commercialisation of university research and support for university industry collaboration" w:history="1">
        <w:r w:rsidRPr="00A15D27">
          <w:rPr>
            <w:rStyle w:val="Hyperlink"/>
            <w:sz w:val="16"/>
            <w:szCs w:val="16"/>
          </w:rPr>
          <w:t>https://acola.org/wp-content/uploads/2018/08/13-uk.pdf</w:t>
        </w:r>
      </w:hyperlink>
      <w:r>
        <w:rPr>
          <w:rStyle w:val="Hyperlink"/>
          <w:sz w:val="16"/>
          <w:szCs w:val="16"/>
        </w:rPr>
        <w:t xml:space="preserve"> </w:t>
      </w:r>
    </w:p>
  </w:footnote>
  <w:footnote w:id="189">
    <w:p w14:paraId="4761DB15" w14:textId="2B74D172" w:rsidR="00EF78E7" w:rsidRPr="00A15D27" w:rsidRDefault="00EF78E7" w:rsidP="006E595D">
      <w:pPr>
        <w:pStyle w:val="FootnoteText"/>
        <w:rPr>
          <w:sz w:val="16"/>
          <w:szCs w:val="16"/>
        </w:rPr>
      </w:pPr>
      <w:r w:rsidRPr="00A15D27">
        <w:rPr>
          <w:rStyle w:val="FootnoteReference"/>
          <w:sz w:val="16"/>
          <w:szCs w:val="16"/>
        </w:rPr>
        <w:footnoteRef/>
      </w:r>
      <w:r w:rsidRPr="00A15D27">
        <w:rPr>
          <w:sz w:val="16"/>
          <w:szCs w:val="16"/>
        </w:rPr>
        <w:t xml:space="preserve"> University of Leicester.</w:t>
      </w:r>
      <w:r>
        <w:rPr>
          <w:sz w:val="16"/>
          <w:szCs w:val="16"/>
        </w:rPr>
        <w:t xml:space="preserve"> (2020).</w:t>
      </w:r>
      <w:r w:rsidRPr="00A15D27">
        <w:rPr>
          <w:sz w:val="16"/>
          <w:szCs w:val="16"/>
        </w:rPr>
        <w:t xml:space="preserve"> Information for Academics. </w:t>
      </w:r>
      <w:hyperlink r:id="rId157" w:tooltip="Link to University Of Leicester's Information for academics website" w:history="1">
        <w:r w:rsidRPr="00A15D27">
          <w:rPr>
            <w:rStyle w:val="Hyperlink"/>
            <w:sz w:val="16"/>
            <w:szCs w:val="16"/>
          </w:rPr>
          <w:t>https://le.ac.uk/enterprise/development/innovation-hub/support-for-smes/ktp/academics</w:t>
        </w:r>
      </w:hyperlink>
      <w:r w:rsidRPr="00A15D27" w:rsidDel="00154F28">
        <w:rPr>
          <w:rStyle w:val="Hyperlink"/>
          <w:sz w:val="16"/>
          <w:szCs w:val="16"/>
        </w:rPr>
        <w:t xml:space="preserve"> </w:t>
      </w:r>
    </w:p>
  </w:footnote>
  <w:footnote w:id="190">
    <w:p w14:paraId="7EBE19A0" w14:textId="3B93D3F0" w:rsidR="00EF78E7" w:rsidRPr="00A15D27" w:rsidRDefault="00EF78E7" w:rsidP="006E595D">
      <w:pPr>
        <w:pStyle w:val="FootnoteText"/>
        <w:rPr>
          <w:sz w:val="16"/>
          <w:szCs w:val="16"/>
        </w:rPr>
      </w:pPr>
      <w:r w:rsidRPr="00A15D27">
        <w:rPr>
          <w:rStyle w:val="FootnoteReference"/>
          <w:sz w:val="16"/>
          <w:szCs w:val="16"/>
        </w:rPr>
        <w:footnoteRef/>
      </w:r>
      <w:r w:rsidRPr="00A15D27">
        <w:rPr>
          <w:sz w:val="16"/>
          <w:szCs w:val="16"/>
        </w:rPr>
        <w:t xml:space="preserve"> For example, management KTPs were introduced in 2019, with a specific focus on introducing transformational change through improved management strategy and processes. More information can be found at </w:t>
      </w:r>
      <w:hyperlink r:id="rId158" w:tooltip="Link to management KTP website" w:history="1">
        <w:r w:rsidRPr="00A15D27">
          <w:rPr>
            <w:rStyle w:val="Hyperlink"/>
            <w:sz w:val="16"/>
            <w:szCs w:val="16"/>
          </w:rPr>
          <w:t>www.ktp-uk.org/mktp/</w:t>
        </w:r>
      </w:hyperlink>
      <w:r>
        <w:rPr>
          <w:rStyle w:val="Hyperlink"/>
          <w:sz w:val="16"/>
          <w:szCs w:val="16"/>
        </w:rPr>
        <w:t xml:space="preserve"> </w:t>
      </w:r>
    </w:p>
  </w:footnote>
  <w:footnote w:id="191">
    <w:p w14:paraId="5DEA1791" w14:textId="313669A4" w:rsidR="00EF78E7" w:rsidRPr="00A15D27" w:rsidRDefault="00EF78E7" w:rsidP="006E595D">
      <w:pPr>
        <w:pStyle w:val="FootnoteText"/>
        <w:rPr>
          <w:sz w:val="16"/>
          <w:szCs w:val="16"/>
        </w:rPr>
      </w:pPr>
      <w:r w:rsidRPr="00A15D27">
        <w:rPr>
          <w:rStyle w:val="FootnoteReference"/>
          <w:sz w:val="16"/>
          <w:szCs w:val="16"/>
        </w:rPr>
        <w:footnoteRef/>
      </w:r>
      <w:r w:rsidRPr="00A15D27">
        <w:rPr>
          <w:sz w:val="16"/>
          <w:szCs w:val="16"/>
        </w:rPr>
        <w:t xml:space="preserve"> Hughes. (2015). Review of approaches to the commercialisation of university research and support for university industry collaboration in the UK, on behalf of the Australian Council of Learned Academies. </w:t>
      </w:r>
      <w:hyperlink r:id="rId159" w:tooltip="Link to report on approaches to the commercialisation of university research and support for university industry collaboration" w:history="1">
        <w:r w:rsidRPr="00A15D27">
          <w:rPr>
            <w:rStyle w:val="Hyperlink"/>
            <w:sz w:val="16"/>
            <w:szCs w:val="16"/>
          </w:rPr>
          <w:t>https://acola.org/wp-content/uploads/2018/08/13-uk.pdf</w:t>
        </w:r>
      </w:hyperlink>
      <w:r>
        <w:rPr>
          <w:rStyle w:val="Hyperlink"/>
          <w:sz w:val="16"/>
          <w:szCs w:val="16"/>
        </w:rPr>
        <w:t xml:space="preserve"> </w:t>
      </w:r>
    </w:p>
  </w:footnote>
  <w:footnote w:id="192">
    <w:p w14:paraId="78970D09" w14:textId="228BE4CF" w:rsidR="00EF78E7" w:rsidRPr="00A15D27" w:rsidRDefault="00EF78E7" w:rsidP="006E595D">
      <w:pPr>
        <w:pStyle w:val="FootnoteText"/>
        <w:rPr>
          <w:sz w:val="16"/>
          <w:szCs w:val="16"/>
        </w:rPr>
      </w:pPr>
      <w:r w:rsidRPr="00A15D27">
        <w:rPr>
          <w:rStyle w:val="FootnoteReference"/>
          <w:sz w:val="16"/>
          <w:szCs w:val="16"/>
        </w:rPr>
        <w:footnoteRef/>
      </w:r>
      <w:r w:rsidRPr="00A15D27">
        <w:rPr>
          <w:sz w:val="16"/>
          <w:szCs w:val="16"/>
        </w:rPr>
        <w:t xml:space="preserve"> KTP</w:t>
      </w:r>
      <w:r>
        <w:rPr>
          <w:sz w:val="16"/>
          <w:szCs w:val="16"/>
        </w:rPr>
        <w:t xml:space="preserve">. (2020). </w:t>
      </w:r>
      <w:r w:rsidRPr="00A15D27">
        <w:rPr>
          <w:sz w:val="16"/>
          <w:szCs w:val="16"/>
        </w:rPr>
        <w:t xml:space="preserve">The Flagship Knowledge Transfer Programme. </w:t>
      </w:r>
      <w:hyperlink r:id="rId160" w:tooltip="Link to Knwoledge Transfer Partnerships academics webpage" w:history="1">
        <w:r w:rsidRPr="00A15D27">
          <w:rPr>
            <w:rStyle w:val="Hyperlink"/>
            <w:sz w:val="16"/>
            <w:szCs w:val="16"/>
          </w:rPr>
          <w:t>www.ktp-uk.org/academics/</w:t>
        </w:r>
      </w:hyperlink>
    </w:p>
  </w:footnote>
  <w:footnote w:id="193">
    <w:p w14:paraId="55DBF9AB" w14:textId="5BBD536C" w:rsidR="00EF78E7" w:rsidRPr="00A15D27" w:rsidRDefault="00EF78E7" w:rsidP="006E595D">
      <w:pPr>
        <w:pStyle w:val="FootnoteText"/>
        <w:rPr>
          <w:sz w:val="16"/>
          <w:szCs w:val="16"/>
        </w:rPr>
      </w:pPr>
      <w:r w:rsidRPr="00A15D27">
        <w:rPr>
          <w:rStyle w:val="FootnoteReference"/>
          <w:sz w:val="16"/>
          <w:szCs w:val="16"/>
        </w:rPr>
        <w:footnoteRef/>
      </w:r>
      <w:r w:rsidRPr="00A15D27">
        <w:rPr>
          <w:sz w:val="16"/>
          <w:szCs w:val="16"/>
        </w:rPr>
        <w:t xml:space="preserve"> W</w:t>
      </w:r>
      <w:r>
        <w:rPr>
          <w:sz w:val="16"/>
          <w:szCs w:val="16"/>
        </w:rPr>
        <w:t xml:space="preserve">arwick </w:t>
      </w:r>
      <w:r w:rsidRPr="00A15D27">
        <w:rPr>
          <w:sz w:val="16"/>
          <w:szCs w:val="16"/>
        </w:rPr>
        <w:t>E</w:t>
      </w:r>
      <w:r>
        <w:rPr>
          <w:sz w:val="16"/>
          <w:szCs w:val="16"/>
        </w:rPr>
        <w:t>conomics and Development</w:t>
      </w:r>
      <w:r w:rsidRPr="00A15D27">
        <w:rPr>
          <w:sz w:val="16"/>
          <w:szCs w:val="16"/>
        </w:rPr>
        <w:t xml:space="preserve">. (2015). KTP Programme – The impacts of KTP Associates and knowledge base on the UK economy. </w:t>
      </w:r>
      <w:hyperlink r:id="rId161" w:tooltip="Link to Warwick Economics and Development report on KTP programme impacts on the UK economy" w:history="1">
        <w:r w:rsidRPr="00A15D27">
          <w:rPr>
            <w:rStyle w:val="Hyperlink"/>
            <w:sz w:val="16"/>
            <w:szCs w:val="16"/>
          </w:rPr>
          <w:t>https://assets.publishing.service.gov.uk/government/uploads/system/uploads/attachment</w:t>
        </w:r>
        <w:r>
          <w:rPr>
            <w:rStyle w:val="Hyperlink"/>
            <w:sz w:val="16"/>
            <w:szCs w:val="16"/>
          </w:rPr>
          <w:t>‌</w:t>
        </w:r>
        <w:r w:rsidRPr="00A15D27">
          <w:rPr>
            <w:rStyle w:val="Hyperlink"/>
            <w:sz w:val="16"/>
            <w:szCs w:val="16"/>
          </w:rPr>
          <w:t>_data/file/467142/KTP_Report_July_2015_Exec_summary__1-SEP-15_.pdf</w:t>
        </w:r>
      </w:hyperlink>
    </w:p>
  </w:footnote>
  <w:footnote w:id="194">
    <w:p w14:paraId="7306086F" w14:textId="598DC71C" w:rsidR="00EF78E7" w:rsidRPr="00A15D27" w:rsidRDefault="00EF78E7" w:rsidP="008B3320">
      <w:pPr>
        <w:pStyle w:val="FootnoteText"/>
        <w:rPr>
          <w:sz w:val="16"/>
          <w:szCs w:val="16"/>
        </w:rPr>
      </w:pPr>
      <w:r w:rsidRPr="00A15D27">
        <w:rPr>
          <w:rStyle w:val="FootnoteReference"/>
          <w:sz w:val="16"/>
          <w:szCs w:val="16"/>
        </w:rPr>
        <w:footnoteRef/>
      </w:r>
      <w:r w:rsidRPr="00A15D27">
        <w:rPr>
          <w:sz w:val="16"/>
          <w:szCs w:val="16"/>
        </w:rPr>
        <w:t xml:space="preserve"> OECD Observatory for Public Sector Innovation. (2019). Embracing Innovation in Government: Global Trends 2019. </w:t>
      </w:r>
      <w:hyperlink r:id="rId162" w:tooltip="Link to OECD Observatory for Public Sector Innovation's Embracing innovation in government 2019 report" w:history="1">
        <w:r w:rsidRPr="00A15D27">
          <w:rPr>
            <w:rStyle w:val="Hyperlink"/>
            <w:sz w:val="16"/>
            <w:szCs w:val="16"/>
          </w:rPr>
          <w:t>https://trends.oecd-opsi.org/embracing-innovation-in-government-global-trends-2019.pdf</w:t>
        </w:r>
      </w:hyperlink>
      <w:r w:rsidRPr="00A15D27">
        <w:rPr>
          <w:sz w:val="16"/>
          <w:szCs w:val="16"/>
        </w:rPr>
        <w:t xml:space="preserve"> </w:t>
      </w:r>
    </w:p>
  </w:footnote>
  <w:footnote w:id="195">
    <w:p w14:paraId="497E7911" w14:textId="2F1C6879" w:rsidR="00EF78E7" w:rsidRPr="00A15D27" w:rsidRDefault="00EF78E7" w:rsidP="008B3320">
      <w:pPr>
        <w:pStyle w:val="FootnoteText"/>
        <w:rPr>
          <w:sz w:val="16"/>
          <w:szCs w:val="16"/>
        </w:rPr>
      </w:pPr>
      <w:r w:rsidRPr="00A15D27">
        <w:rPr>
          <w:rStyle w:val="FootnoteReference"/>
          <w:sz w:val="16"/>
          <w:szCs w:val="16"/>
        </w:rPr>
        <w:footnoteRef/>
      </w:r>
      <w:r w:rsidRPr="00A15D27">
        <w:rPr>
          <w:sz w:val="16"/>
          <w:szCs w:val="16"/>
        </w:rPr>
        <w:t xml:space="preserve"> Egli, F., Johnstone</w:t>
      </w:r>
      <w:r>
        <w:rPr>
          <w:sz w:val="16"/>
          <w:szCs w:val="16"/>
        </w:rPr>
        <w:t>, N.</w:t>
      </w:r>
      <w:r w:rsidRPr="00A15D27">
        <w:rPr>
          <w:sz w:val="16"/>
          <w:szCs w:val="16"/>
        </w:rPr>
        <w:t> and Menon</w:t>
      </w:r>
      <w:r>
        <w:rPr>
          <w:sz w:val="16"/>
          <w:szCs w:val="16"/>
        </w:rPr>
        <w:t>, C.</w:t>
      </w:r>
      <w:r w:rsidRPr="00A15D27">
        <w:rPr>
          <w:sz w:val="16"/>
          <w:szCs w:val="16"/>
        </w:rPr>
        <w:t xml:space="preserve"> (2015). Identifying and inducing breakthrough inventions: An application related to climate change mitigation. OECD Science, Technology and Industry Working Papers, No. 2015/04, OECD Publishing, Paris. </w:t>
      </w:r>
      <w:hyperlink r:id="rId163" w:tooltip="Link to Identifying and inducing breakthrough inventions working paper" w:history="1">
        <w:r w:rsidRPr="00A15D27">
          <w:rPr>
            <w:rStyle w:val="Hyperlink"/>
            <w:sz w:val="16"/>
            <w:szCs w:val="16"/>
          </w:rPr>
          <w:t>https://doi.org/10.1787/5js03zd40n37-en</w:t>
        </w:r>
      </w:hyperlink>
      <w:r>
        <w:rPr>
          <w:rStyle w:val="Hyperlink"/>
          <w:sz w:val="16"/>
          <w:szCs w:val="16"/>
        </w:rPr>
        <w:t xml:space="preserve"> </w:t>
      </w:r>
    </w:p>
  </w:footnote>
  <w:footnote w:id="196">
    <w:p w14:paraId="13F76D00" w14:textId="59E94FBC" w:rsidR="00EF78E7" w:rsidRPr="00A15D27" w:rsidRDefault="00EF78E7" w:rsidP="008B3320">
      <w:pPr>
        <w:pStyle w:val="FootnoteText"/>
        <w:rPr>
          <w:sz w:val="16"/>
          <w:szCs w:val="16"/>
        </w:rPr>
      </w:pPr>
      <w:r w:rsidRPr="00A15D27">
        <w:rPr>
          <w:rStyle w:val="FootnoteReference"/>
          <w:sz w:val="16"/>
          <w:szCs w:val="16"/>
        </w:rPr>
        <w:footnoteRef/>
      </w:r>
      <w:r w:rsidRPr="00A15D27">
        <w:rPr>
          <w:sz w:val="16"/>
          <w:szCs w:val="16"/>
        </w:rPr>
        <w:t xml:space="preserve"> Mazzucato. (2015). What is government’s role in sparking innovation? </w:t>
      </w:r>
      <w:hyperlink r:id="rId164" w:tooltip="Link to Maxxucato report 'What is government’s role in sparking innovation'" w:history="1">
        <w:r w:rsidRPr="00A15D27">
          <w:rPr>
            <w:rStyle w:val="Hyperlink"/>
            <w:sz w:val="16"/>
            <w:szCs w:val="16"/>
          </w:rPr>
          <w:t>www.weforum.org/agenda/2015/04/what-is-governments-role-in-sparking-innovation</w:t>
        </w:r>
      </w:hyperlink>
      <w:r w:rsidDel="00154F28">
        <w:rPr>
          <w:rStyle w:val="Hyperlink"/>
          <w:sz w:val="16"/>
          <w:szCs w:val="16"/>
        </w:rPr>
        <w:t xml:space="preserve"> </w:t>
      </w:r>
    </w:p>
  </w:footnote>
  <w:footnote w:id="197">
    <w:p w14:paraId="161D5B17" w14:textId="635C2F02" w:rsidR="00EF78E7" w:rsidRPr="00A15D27" w:rsidRDefault="00EF78E7" w:rsidP="00752571">
      <w:pPr>
        <w:pStyle w:val="FootnoteText"/>
        <w:rPr>
          <w:sz w:val="16"/>
          <w:szCs w:val="16"/>
        </w:rPr>
      </w:pPr>
      <w:r w:rsidRPr="00A15D27">
        <w:rPr>
          <w:rStyle w:val="FootnoteReference"/>
          <w:sz w:val="16"/>
          <w:szCs w:val="16"/>
        </w:rPr>
        <w:footnoteRef/>
      </w:r>
      <w:r>
        <w:rPr>
          <w:sz w:val="16"/>
          <w:szCs w:val="16"/>
        </w:rPr>
        <w:t xml:space="preserve"> Hehir, G.</w:t>
      </w:r>
      <w:r w:rsidRPr="00A15D27">
        <w:rPr>
          <w:sz w:val="16"/>
          <w:szCs w:val="16"/>
        </w:rPr>
        <w:t xml:space="preserve"> (2018). Strategic governance of risk: Lessons learnt from public sector audit. </w:t>
      </w:r>
      <w:r w:rsidRPr="00927640">
        <w:rPr>
          <w:sz w:val="16"/>
          <w:szCs w:val="16"/>
        </w:rPr>
        <w:t>31 July 2018</w:t>
      </w:r>
      <w:r>
        <w:rPr>
          <w:sz w:val="16"/>
          <w:szCs w:val="16"/>
        </w:rPr>
        <w:t xml:space="preserve"> presentation by the Auditor General to the</w:t>
      </w:r>
      <w:r w:rsidRPr="00927640">
        <w:rPr>
          <w:sz w:val="16"/>
          <w:szCs w:val="16"/>
        </w:rPr>
        <w:t xml:space="preserve"> Internal Auditors-Australia ‘Public Sect</w:t>
      </w:r>
      <w:r>
        <w:rPr>
          <w:sz w:val="16"/>
          <w:szCs w:val="16"/>
        </w:rPr>
        <w:t xml:space="preserve">or Internal Audit Conference. </w:t>
      </w:r>
      <w:r w:rsidRPr="00A15D27">
        <w:rPr>
          <w:sz w:val="16"/>
          <w:szCs w:val="16"/>
        </w:rPr>
        <w:t xml:space="preserve">ANAO. </w:t>
      </w:r>
      <w:hyperlink r:id="rId165" w:tooltip="Link to Auditor Generals speech: 'Strategic governance of risk: Lessons learnt from public sector audit'" w:history="1">
        <w:r w:rsidRPr="00A15D27">
          <w:rPr>
            <w:rStyle w:val="Hyperlink"/>
            <w:sz w:val="16"/>
            <w:szCs w:val="16"/>
          </w:rPr>
          <w:t>www.anao.gov.au/work/speech/strategic-governance-risk-lessons-learnt-public-sector-audit</w:t>
        </w:r>
      </w:hyperlink>
      <w:r>
        <w:rPr>
          <w:rStyle w:val="Hyperlink"/>
          <w:sz w:val="16"/>
          <w:szCs w:val="16"/>
        </w:rPr>
        <w:t xml:space="preserve"> </w:t>
      </w:r>
    </w:p>
  </w:footnote>
  <w:footnote w:id="198">
    <w:p w14:paraId="7F3C3CC5" w14:textId="5DC58B36" w:rsidR="00EF78E7" w:rsidRPr="00A15D27" w:rsidRDefault="00EF78E7" w:rsidP="008B3320">
      <w:pPr>
        <w:pStyle w:val="FootnoteText"/>
        <w:rPr>
          <w:sz w:val="16"/>
          <w:szCs w:val="16"/>
        </w:rPr>
      </w:pPr>
      <w:r w:rsidRPr="00A15D27">
        <w:rPr>
          <w:rStyle w:val="FootnoteReference"/>
          <w:sz w:val="16"/>
          <w:szCs w:val="16"/>
        </w:rPr>
        <w:footnoteRef/>
      </w:r>
      <w:r w:rsidRPr="00A15D27">
        <w:rPr>
          <w:sz w:val="16"/>
          <w:szCs w:val="16"/>
        </w:rPr>
        <w:t xml:space="preserve"> Defence Science and Technology Group publishes its Technical Risk Assessment Handbook which provides Defence personnel and relevant stakeholders with a process and best-practice guide to the assessment of technical risks for major capital acquisition programs. It provides the framework in which DSTG Project Science and Technology Advisers report the technical risks identified and assessed in major capital acquisitions.</w:t>
      </w:r>
      <w:r>
        <w:rPr>
          <w:sz w:val="16"/>
          <w:szCs w:val="16"/>
        </w:rPr>
        <w:t xml:space="preserve"> DST Group. </w:t>
      </w:r>
      <w:r w:rsidRPr="00A15D27">
        <w:rPr>
          <w:sz w:val="16"/>
          <w:szCs w:val="16"/>
        </w:rPr>
        <w:t>(2010). Technical Risk Assessment Handbook</w:t>
      </w:r>
      <w:r>
        <w:rPr>
          <w:sz w:val="16"/>
          <w:szCs w:val="16"/>
        </w:rPr>
        <w:t>.</w:t>
      </w:r>
      <w:r>
        <w:rPr>
          <w:rStyle w:val="Hyperlink"/>
          <w:sz w:val="16"/>
          <w:szCs w:val="16"/>
        </w:rPr>
        <w:t xml:space="preserve"> </w:t>
      </w:r>
      <w:hyperlink r:id="rId166" w:tooltip="Link to DST Group's Technical Risk Assessment Handbook" w:history="1">
        <w:r w:rsidRPr="00A15D27">
          <w:rPr>
            <w:rStyle w:val="Hyperlink"/>
            <w:sz w:val="16"/>
            <w:szCs w:val="16"/>
          </w:rPr>
          <w:t>www.dst.defence.gov.au/sites/default/files/basic_pages/documents/Technical-Risk-Assessment-Handbook_2.pdf</w:t>
        </w:r>
      </w:hyperlink>
      <w:r>
        <w:rPr>
          <w:rStyle w:val="Hyperlink"/>
          <w:sz w:val="16"/>
          <w:szCs w:val="16"/>
        </w:rPr>
        <w:t xml:space="preserve"> </w:t>
      </w:r>
    </w:p>
  </w:footnote>
  <w:footnote w:id="199">
    <w:p w14:paraId="44F45358" w14:textId="519C9E7C" w:rsidR="00EF78E7" w:rsidRPr="00A15D27" w:rsidRDefault="00EF78E7" w:rsidP="001C4DA3">
      <w:pPr>
        <w:pStyle w:val="FootnoteText"/>
        <w:rPr>
          <w:sz w:val="16"/>
          <w:szCs w:val="16"/>
        </w:rPr>
      </w:pPr>
      <w:r w:rsidRPr="00A15D27">
        <w:rPr>
          <w:rStyle w:val="FootnoteReference"/>
          <w:sz w:val="16"/>
          <w:szCs w:val="16"/>
        </w:rPr>
        <w:footnoteRef/>
      </w:r>
      <w:r w:rsidRPr="00A15D27">
        <w:rPr>
          <w:sz w:val="16"/>
          <w:szCs w:val="16"/>
        </w:rPr>
        <w:t xml:space="preserve"> In March 2020, the OECD Global Science Forum hel</w:t>
      </w:r>
      <w:r>
        <w:rPr>
          <w:sz w:val="16"/>
          <w:szCs w:val="16"/>
        </w:rPr>
        <w:t>d</w:t>
      </w:r>
      <w:r w:rsidRPr="00A15D27">
        <w:rPr>
          <w:sz w:val="16"/>
          <w:szCs w:val="16"/>
        </w:rPr>
        <w:t xml:space="preserve"> a workshop to examine effective policies to foster high</w:t>
      </w:r>
      <w:r>
        <w:rPr>
          <w:sz w:val="16"/>
          <w:szCs w:val="16"/>
        </w:rPr>
        <w:noBreakHyphen/>
      </w:r>
      <w:r w:rsidRPr="00A15D27">
        <w:rPr>
          <w:sz w:val="16"/>
          <w:szCs w:val="16"/>
        </w:rPr>
        <w:t>risk</w:t>
      </w:r>
      <w:r>
        <w:rPr>
          <w:sz w:val="16"/>
          <w:szCs w:val="16"/>
        </w:rPr>
        <w:t xml:space="preserve"> and</w:t>
      </w:r>
      <w:r w:rsidRPr="00A15D27">
        <w:rPr>
          <w:sz w:val="16"/>
          <w:szCs w:val="16"/>
        </w:rPr>
        <w:t xml:space="preserve"> high</w:t>
      </w:r>
      <w:r>
        <w:rPr>
          <w:sz w:val="16"/>
          <w:szCs w:val="16"/>
        </w:rPr>
        <w:noBreakHyphen/>
      </w:r>
      <w:r w:rsidRPr="00A15D27">
        <w:rPr>
          <w:sz w:val="16"/>
          <w:szCs w:val="16"/>
        </w:rPr>
        <w:t xml:space="preserve">reward research. </w:t>
      </w:r>
      <w:hyperlink r:id="rId167" w:tooltip="Link to OECD Global Science Forum program" w:history="1">
        <w:r w:rsidRPr="00A15D27">
          <w:rPr>
            <w:rStyle w:val="Hyperlink"/>
            <w:sz w:val="16"/>
            <w:szCs w:val="16"/>
          </w:rPr>
          <w:t>https://community.oecd.org/docs/DOC-170560</w:t>
        </w:r>
      </w:hyperlink>
      <w:r w:rsidDel="00154F28">
        <w:rPr>
          <w:rStyle w:val="Hyperlink"/>
          <w:sz w:val="16"/>
          <w:szCs w:val="16"/>
        </w:rPr>
        <w:t xml:space="preserve"> </w:t>
      </w:r>
    </w:p>
  </w:footnote>
  <w:footnote w:id="200">
    <w:p w14:paraId="6C2E2185" w14:textId="0078CAA0" w:rsidR="00EF78E7" w:rsidRPr="00A15D27" w:rsidRDefault="00EF78E7" w:rsidP="002071C5">
      <w:pPr>
        <w:pStyle w:val="FootnoteText"/>
        <w:rPr>
          <w:sz w:val="16"/>
          <w:szCs w:val="16"/>
        </w:rPr>
      </w:pPr>
      <w:r w:rsidRPr="00A15D27">
        <w:rPr>
          <w:rStyle w:val="FootnoteReference"/>
          <w:sz w:val="16"/>
          <w:szCs w:val="16"/>
        </w:rPr>
        <w:footnoteRef/>
      </w:r>
      <w:r w:rsidRPr="00A15D27">
        <w:rPr>
          <w:sz w:val="16"/>
          <w:szCs w:val="16"/>
        </w:rPr>
        <w:t xml:space="preserve"> OECD. (2010). Ministerial report on the OECD innovation strategy – innovation to strengthen growth and address global and social challenges. </w:t>
      </w:r>
      <w:hyperlink r:id="rId168" w:tooltip="Link to OECD's Ministerial report on the OECD innovation strategy " w:history="1">
        <w:r w:rsidRPr="00A15D27">
          <w:rPr>
            <w:rStyle w:val="Hyperlink"/>
            <w:sz w:val="16"/>
            <w:szCs w:val="16"/>
          </w:rPr>
          <w:t>https://www.oecd.org/sti/45326349.pdf</w:t>
        </w:r>
      </w:hyperlink>
      <w:r>
        <w:rPr>
          <w:rStyle w:val="Hyperlink"/>
          <w:sz w:val="16"/>
          <w:szCs w:val="16"/>
        </w:rPr>
        <w:t xml:space="preserve"> </w:t>
      </w:r>
    </w:p>
  </w:footnote>
  <w:footnote w:id="201">
    <w:p w14:paraId="40C8E141" w14:textId="3F586F31" w:rsidR="00EF78E7" w:rsidRPr="00A15D27" w:rsidRDefault="00EF78E7" w:rsidP="008B3320">
      <w:pPr>
        <w:pStyle w:val="FootnoteText"/>
        <w:rPr>
          <w:sz w:val="16"/>
          <w:szCs w:val="16"/>
        </w:rPr>
      </w:pPr>
      <w:r w:rsidRPr="00A15D27">
        <w:rPr>
          <w:rStyle w:val="FootnoteReference"/>
          <w:sz w:val="16"/>
          <w:szCs w:val="16"/>
        </w:rPr>
        <w:footnoteRef/>
      </w:r>
      <w:r w:rsidRPr="00A15D27">
        <w:rPr>
          <w:sz w:val="16"/>
          <w:szCs w:val="16"/>
        </w:rPr>
        <w:t xml:space="preserve"> Glennie, A. and Bound, K. (2016). How Innovation Agencies Work: International lessons to inspire and inform national strategies. Nesta. </w:t>
      </w:r>
      <w:hyperlink r:id="rId169" w:tooltip="Link to NESTA report on How Innovation Agencies Work: International lessons to inspire and inform national strategies" w:history="1">
        <w:r w:rsidRPr="00A15D27">
          <w:rPr>
            <w:rStyle w:val="Hyperlink"/>
            <w:sz w:val="16"/>
            <w:szCs w:val="16"/>
          </w:rPr>
          <w:t>https://media.nesta.org.uk/documents/how_innovation_agencies_work.pdf</w:t>
        </w:r>
      </w:hyperlink>
      <w:r>
        <w:rPr>
          <w:rStyle w:val="Hyperlink"/>
          <w:sz w:val="16"/>
          <w:szCs w:val="16"/>
        </w:rPr>
        <w:t xml:space="preserve"> </w:t>
      </w:r>
    </w:p>
  </w:footnote>
  <w:footnote w:id="202">
    <w:p w14:paraId="757650DA" w14:textId="3EAE847E" w:rsidR="00EF78E7" w:rsidRPr="00A15D27" w:rsidRDefault="00EF78E7" w:rsidP="008B3320">
      <w:pPr>
        <w:pStyle w:val="FootnoteText"/>
        <w:rPr>
          <w:sz w:val="16"/>
          <w:szCs w:val="16"/>
        </w:rPr>
      </w:pPr>
      <w:r w:rsidRPr="00A15D27">
        <w:rPr>
          <w:rStyle w:val="FootnoteReference"/>
          <w:sz w:val="16"/>
          <w:szCs w:val="16"/>
        </w:rPr>
        <w:footnoteRef/>
      </w:r>
      <w:r w:rsidRPr="00A15D27">
        <w:rPr>
          <w:sz w:val="16"/>
          <w:szCs w:val="16"/>
        </w:rPr>
        <w:t xml:space="preserve"> Paic, A. and C. Viros (2019). Governance of science and technology policies. OECD Science, Technology and Industry Policy Papers, No. 84, OECD Publishing, Paris. </w:t>
      </w:r>
      <w:hyperlink r:id="rId170" w:tooltip="Link to OECD Governance of science and technology policies report" w:history="1">
        <w:r w:rsidRPr="00A15D27">
          <w:rPr>
            <w:rStyle w:val="Hyperlink"/>
            <w:sz w:val="16"/>
            <w:szCs w:val="16"/>
          </w:rPr>
          <w:t>https://doi.org/10.1787/2b3bc558-en</w:t>
        </w:r>
      </w:hyperlink>
      <w:r>
        <w:rPr>
          <w:rStyle w:val="Hyperlink"/>
          <w:sz w:val="16"/>
          <w:szCs w:val="16"/>
        </w:rPr>
        <w:t xml:space="preserve"> </w:t>
      </w:r>
    </w:p>
  </w:footnote>
  <w:footnote w:id="203">
    <w:p w14:paraId="5708BE05" w14:textId="3FB03228" w:rsidR="00EF78E7" w:rsidRPr="00A15D27" w:rsidRDefault="00EF78E7" w:rsidP="00186398">
      <w:pPr>
        <w:pStyle w:val="FootnoteText"/>
        <w:rPr>
          <w:sz w:val="16"/>
          <w:szCs w:val="16"/>
        </w:rPr>
      </w:pPr>
      <w:r w:rsidRPr="00A15D27">
        <w:rPr>
          <w:rStyle w:val="FootnoteReference"/>
          <w:sz w:val="16"/>
          <w:szCs w:val="16"/>
        </w:rPr>
        <w:footnoteRef/>
      </w:r>
      <w:r w:rsidRPr="00A15D27">
        <w:rPr>
          <w:sz w:val="16"/>
          <w:szCs w:val="16"/>
        </w:rPr>
        <w:t xml:space="preserve"> Note: The increase in ISR investment in 2017–18 was predominantly due to increases in a number of areas including NCRIS, the Reef Trust, and the Pawsey High Performance Computer. </w:t>
      </w:r>
    </w:p>
  </w:footnote>
  <w:footnote w:id="204">
    <w:p w14:paraId="5E4395BC" w14:textId="59105103" w:rsidR="00EF78E7" w:rsidRPr="00A15D27" w:rsidRDefault="00EF78E7" w:rsidP="00E8541F">
      <w:pPr>
        <w:pStyle w:val="FootnoteText"/>
        <w:rPr>
          <w:sz w:val="16"/>
          <w:szCs w:val="16"/>
        </w:rPr>
      </w:pPr>
      <w:r w:rsidRPr="00A15D27">
        <w:rPr>
          <w:rStyle w:val="FootnoteReference"/>
          <w:sz w:val="16"/>
          <w:szCs w:val="16"/>
        </w:rPr>
        <w:footnoteRef/>
      </w:r>
      <w:r w:rsidRPr="00A15D27">
        <w:rPr>
          <w:sz w:val="16"/>
          <w:szCs w:val="16"/>
        </w:rPr>
        <w:t xml:space="preserve"> Note: this figure is based on budget estimates only. Australian Department of Industry, Innovation and Science. (2019). Science, Research and Innovation Budget Tables 2019–20. </w:t>
      </w:r>
      <w:hyperlink r:id="rId171" w:tooltip="Link to SRI budget tables 2019-20 data" w:history="1">
        <w:r w:rsidRPr="00A15D27">
          <w:rPr>
            <w:rStyle w:val="Hyperlink"/>
            <w:sz w:val="16"/>
            <w:szCs w:val="16"/>
          </w:rPr>
          <w:t>www.industry.gov.au/sites/default/files/2019-09/2019-20-sri-budget-tables.xlsx</w:t>
        </w:r>
      </w:hyperlink>
      <w:r w:rsidRPr="00A15D27" w:rsidDel="00154F28">
        <w:rPr>
          <w:rStyle w:val="Hyperlink"/>
          <w:sz w:val="16"/>
          <w:szCs w:val="16"/>
        </w:rPr>
        <w:t xml:space="preserve"> </w:t>
      </w:r>
    </w:p>
  </w:footnote>
  <w:footnote w:id="205">
    <w:p w14:paraId="61D42543" w14:textId="526ADFCD" w:rsidR="00EF78E7" w:rsidRPr="00A15D27" w:rsidRDefault="00EF78E7" w:rsidP="00E8541F">
      <w:pPr>
        <w:pStyle w:val="FootnoteText"/>
        <w:rPr>
          <w:sz w:val="16"/>
          <w:szCs w:val="16"/>
        </w:rPr>
      </w:pPr>
      <w:r w:rsidRPr="00A15D27">
        <w:rPr>
          <w:rStyle w:val="FootnoteReference"/>
          <w:sz w:val="16"/>
          <w:szCs w:val="16"/>
        </w:rPr>
        <w:footnoteRef/>
      </w:r>
      <w:r w:rsidRPr="00A15D27">
        <w:rPr>
          <w:sz w:val="16"/>
          <w:szCs w:val="16"/>
        </w:rPr>
        <w:t xml:space="preserve"> Senate Economic References Committee. (2015). Australia’s innovation system.</w:t>
      </w:r>
      <w:r>
        <w:rPr>
          <w:sz w:val="16"/>
          <w:szCs w:val="16"/>
        </w:rPr>
        <w:t xml:space="preserve"> </w:t>
      </w:r>
      <w:hyperlink r:id="rId172" w:tooltip="Link to the Senate Economics References Committee's 'Australia's Innovation System report'" w:history="1">
        <w:r w:rsidRPr="00A15D27">
          <w:rPr>
            <w:rStyle w:val="Hyperlink"/>
            <w:sz w:val="16"/>
            <w:szCs w:val="16"/>
          </w:rPr>
          <w:t>www.aph.gov.au/Parliamentary_Business/Committees/Senate/Economics/Innovation_System/Report</w:t>
        </w:r>
      </w:hyperlink>
      <w:r w:rsidRPr="00A15D27">
        <w:rPr>
          <w:sz w:val="16"/>
          <w:szCs w:val="16"/>
        </w:rPr>
        <w:t xml:space="preserve"> </w:t>
      </w:r>
    </w:p>
  </w:footnote>
  <w:footnote w:id="206">
    <w:p w14:paraId="22A66A16" w14:textId="728EC86B" w:rsidR="00EF78E7" w:rsidRPr="00A15D27" w:rsidRDefault="00EF78E7" w:rsidP="00E8541F">
      <w:pPr>
        <w:pStyle w:val="FootnoteText"/>
        <w:rPr>
          <w:sz w:val="16"/>
          <w:szCs w:val="16"/>
        </w:rPr>
      </w:pPr>
      <w:r w:rsidRPr="00A15D27">
        <w:rPr>
          <w:rStyle w:val="FootnoteReference"/>
          <w:sz w:val="16"/>
          <w:szCs w:val="16"/>
        </w:rPr>
        <w:footnoteRef/>
      </w:r>
      <w:r w:rsidRPr="00A15D27">
        <w:rPr>
          <w:sz w:val="16"/>
          <w:szCs w:val="16"/>
        </w:rPr>
        <w:t xml:space="preserve"> Innovation and Science Australia. (2017). Australia 2030: Prosperity through Innovation. </w:t>
      </w:r>
      <w:hyperlink r:id="rId173" w:tooltip="Link to ISA's Australia 2030: Prosperity through innovation report" w:history="1">
        <w:r w:rsidRPr="00A15D27">
          <w:rPr>
            <w:rStyle w:val="Hyperlink"/>
            <w:sz w:val="16"/>
            <w:szCs w:val="16"/>
          </w:rPr>
          <w:t>www.industry.gov.au/sites/‌g/files/net3906/f/May%202018/document/pdf/australia-2030-prosperity-through-innovation-full-report.pdf</w:t>
        </w:r>
      </w:hyperlink>
      <w:r>
        <w:rPr>
          <w:rStyle w:val="Hyperlink"/>
          <w:sz w:val="16"/>
          <w:szCs w:val="16"/>
        </w:rPr>
        <w:t xml:space="preserve"> </w:t>
      </w:r>
      <w:hyperlink r:id="rId174" w:history="1"/>
    </w:p>
  </w:footnote>
  <w:footnote w:id="207">
    <w:p w14:paraId="6540934D" w14:textId="6AAB9772" w:rsidR="00EF78E7" w:rsidRPr="00A15D27" w:rsidRDefault="00EF78E7" w:rsidP="00E8541F">
      <w:pPr>
        <w:pStyle w:val="FootnoteText"/>
        <w:rPr>
          <w:sz w:val="16"/>
          <w:szCs w:val="16"/>
        </w:rPr>
      </w:pPr>
      <w:r w:rsidRPr="00A15D27">
        <w:rPr>
          <w:rStyle w:val="FootnoteReference"/>
          <w:sz w:val="16"/>
          <w:szCs w:val="16"/>
        </w:rPr>
        <w:footnoteRef/>
      </w:r>
      <w:r w:rsidRPr="00A15D27">
        <w:rPr>
          <w:sz w:val="16"/>
          <w:szCs w:val="16"/>
        </w:rPr>
        <w:t xml:space="preserve"> House of Representatives Standing Committee on Employment, Education and Training. (2018). Inquiry into funding Australia’s research report: Australian Government Funding Arrangements for non-NHMRC Research. </w:t>
      </w:r>
      <w:hyperlink r:id="rId175" w:tooltip="Link to Inquiry into funding Australia's research report" w:history="1">
        <w:r w:rsidRPr="00A15D27">
          <w:rPr>
            <w:rStyle w:val="Hyperlink"/>
            <w:sz w:val="16"/>
            <w:szCs w:val="16"/>
          </w:rPr>
          <w:t>https://parlinfo.aph.gov.au/parlInfo/download/committees/reportrep/024212/toc_pdf/AustralianGovernmentFundingArrangementsfornon-NHMRCResearch.pdf;fileType=application%2Fpdf</w:t>
        </w:r>
      </w:hyperlink>
      <w:r w:rsidRPr="00307A38">
        <w:rPr>
          <w:rStyle w:val="Hyperlink"/>
          <w:sz w:val="16"/>
          <w:szCs w:val="16"/>
        </w:rPr>
        <w:t xml:space="preserve"> </w:t>
      </w:r>
    </w:p>
  </w:footnote>
  <w:footnote w:id="208">
    <w:p w14:paraId="795FCB7C" w14:textId="402532B4" w:rsidR="00EF78E7" w:rsidRPr="00A15D27" w:rsidRDefault="00EF78E7" w:rsidP="00E8541F">
      <w:pPr>
        <w:pStyle w:val="FootnoteText"/>
        <w:rPr>
          <w:sz w:val="16"/>
          <w:szCs w:val="16"/>
        </w:rPr>
      </w:pPr>
      <w:r w:rsidRPr="00A15D27">
        <w:rPr>
          <w:rStyle w:val="FootnoteReference"/>
          <w:sz w:val="16"/>
          <w:szCs w:val="16"/>
        </w:rPr>
        <w:footnoteRef/>
      </w:r>
      <w:r w:rsidRPr="00A15D27">
        <w:rPr>
          <w:sz w:val="16"/>
          <w:szCs w:val="16"/>
        </w:rPr>
        <w:t xml:space="preserve"> United Kingdom Research and Innovation (UKRI). (2019). Industrial Strategy Challenge Fund. </w:t>
      </w:r>
      <w:hyperlink r:id="rId176" w:tooltip="Link to Industrial Strategy Challenge Fund" w:history="1">
        <w:r w:rsidRPr="00104986">
          <w:rPr>
            <w:rStyle w:val="Hyperlink"/>
            <w:sz w:val="16"/>
            <w:szCs w:val="16"/>
          </w:rPr>
          <w:t>www.ukri.org/innovation/industrial-strategy-challenge-fund</w:t>
        </w:r>
      </w:hyperlink>
      <w:r w:rsidRPr="00307A38" w:rsidDel="00154F28">
        <w:rPr>
          <w:rStyle w:val="Hyperlink"/>
          <w:sz w:val="16"/>
          <w:szCs w:val="16"/>
        </w:rPr>
        <w:t xml:space="preserve"> </w:t>
      </w:r>
    </w:p>
  </w:footnote>
  <w:footnote w:id="209">
    <w:p w14:paraId="056EA55B" w14:textId="1E40E262" w:rsidR="00EF78E7" w:rsidRPr="00A15D27" w:rsidRDefault="00EF78E7" w:rsidP="003220D9">
      <w:pPr>
        <w:pStyle w:val="FootnoteText"/>
        <w:rPr>
          <w:sz w:val="16"/>
          <w:szCs w:val="16"/>
        </w:rPr>
      </w:pPr>
      <w:r w:rsidRPr="00A15D27">
        <w:rPr>
          <w:rStyle w:val="FootnoteReference"/>
          <w:sz w:val="16"/>
          <w:szCs w:val="16"/>
        </w:rPr>
        <w:footnoteRef/>
      </w:r>
      <w:r w:rsidRPr="00A15D27">
        <w:rPr>
          <w:sz w:val="16"/>
          <w:szCs w:val="16"/>
        </w:rPr>
        <w:t xml:space="preserve"> Expert Reference Group to Review. (2018). Review of Australia’s Space Industry Capability: Report from the Expert Reference Group for the Review. </w:t>
      </w:r>
      <w:hyperlink r:id="rId177" w:tooltip="Link to the Review of Australia’s Space Industry Capability, report from the Expert Reference Group for the Review" w:history="1">
        <w:r w:rsidRPr="00104986">
          <w:rPr>
            <w:rStyle w:val="Hyperlink"/>
            <w:sz w:val="16"/>
            <w:szCs w:val="16"/>
          </w:rPr>
          <w:t>www.industry.gov.au/sites/default/files/June%202018/document/pdf/review_of‌_australias_space_industry_capability_-_report_from_the_expert_reference_group.pdf?acsf_files_redirect</w:t>
        </w:r>
      </w:hyperlink>
      <w:r w:rsidRPr="00307A38">
        <w:rPr>
          <w:rStyle w:val="Hyperlink"/>
          <w:sz w:val="16"/>
          <w:szCs w:val="16"/>
        </w:rPr>
        <w:t xml:space="preserve"> </w:t>
      </w:r>
    </w:p>
  </w:footnote>
  <w:footnote w:id="210">
    <w:p w14:paraId="59DF74A9" w14:textId="0464EBD1" w:rsidR="00EF78E7" w:rsidRPr="00A15D27" w:rsidRDefault="00EF78E7" w:rsidP="005F4741">
      <w:pPr>
        <w:pStyle w:val="FootnoteText"/>
        <w:rPr>
          <w:sz w:val="16"/>
          <w:szCs w:val="16"/>
        </w:rPr>
      </w:pPr>
      <w:r w:rsidRPr="00A15D27">
        <w:rPr>
          <w:rStyle w:val="FootnoteReference"/>
          <w:sz w:val="16"/>
          <w:szCs w:val="16"/>
        </w:rPr>
        <w:footnoteRef/>
      </w:r>
      <w:r w:rsidRPr="00A15D27">
        <w:rPr>
          <w:sz w:val="16"/>
          <w:szCs w:val="16"/>
        </w:rPr>
        <w:t xml:space="preserve"> Association of Australian Medical Research Institutes. (2014). Submission to the inquiry into Australia's Innovation System, Senate Economics References Committee. </w:t>
      </w:r>
      <w:hyperlink r:id="rId178" w:tooltip="Association of Australian Medical Research Institutes submission to the Innovation system inquiry" w:history="1">
        <w:r w:rsidRPr="00A15D27">
          <w:rPr>
            <w:rStyle w:val="Hyperlink"/>
            <w:sz w:val="16"/>
            <w:szCs w:val="16"/>
          </w:rPr>
          <w:t>https://www.aph.gov.au/Parliamentary_Business/Committees/Senate/Economics/‌Innovation_System/Submissions</w:t>
        </w:r>
      </w:hyperlink>
      <w:r w:rsidRPr="00307A38" w:rsidDel="00154F28">
        <w:rPr>
          <w:rStyle w:val="Hyperlink"/>
          <w:sz w:val="16"/>
          <w:szCs w:val="16"/>
        </w:rPr>
        <w:t xml:space="preserve"> </w:t>
      </w:r>
    </w:p>
  </w:footnote>
  <w:footnote w:id="211">
    <w:p w14:paraId="3A6FDD2C" w14:textId="2EB75844" w:rsidR="00EF78E7" w:rsidRPr="00A15D27" w:rsidRDefault="00EF78E7" w:rsidP="005F4741">
      <w:pPr>
        <w:pStyle w:val="FootnoteText"/>
        <w:rPr>
          <w:sz w:val="16"/>
          <w:szCs w:val="16"/>
        </w:rPr>
      </w:pPr>
      <w:r w:rsidRPr="00A15D27">
        <w:rPr>
          <w:rStyle w:val="FootnoteReference"/>
          <w:sz w:val="16"/>
          <w:szCs w:val="16"/>
        </w:rPr>
        <w:footnoteRef/>
      </w:r>
      <w:r w:rsidRPr="00A15D27">
        <w:rPr>
          <w:sz w:val="16"/>
          <w:szCs w:val="16"/>
        </w:rPr>
        <w:t xml:space="preserve"> House of Representatives Standing Committee on Employment, Education and Training. (2018). Inquiry into funding Australia’s research report: Australian Government Funding Arrangements for non-NHMRC Research. </w:t>
      </w:r>
      <w:hyperlink r:id="rId179" w:tooltip="Link to Inquiry into funding Australia's research report" w:history="1">
        <w:r w:rsidRPr="00A15D27">
          <w:rPr>
            <w:rStyle w:val="Hyperlink"/>
            <w:sz w:val="16"/>
            <w:szCs w:val="16"/>
          </w:rPr>
          <w:t>https://parlinfo.aph.gov.au/parlInfo/download/committees/reportrep/024212/toc_pdf/AustralianGovernmentFundingArrangementsfornon-NHMRCResearch.pdf;fileType=application%2Fpdf</w:t>
        </w:r>
      </w:hyperlink>
      <w:r w:rsidRPr="00307A38">
        <w:rPr>
          <w:rStyle w:val="Hyperlink"/>
          <w:sz w:val="16"/>
          <w:szCs w:val="16"/>
        </w:rPr>
        <w:t xml:space="preserve"> </w:t>
      </w:r>
    </w:p>
  </w:footnote>
  <w:footnote w:id="212">
    <w:p w14:paraId="7084BA85" w14:textId="4AC1EA0A" w:rsidR="00EF78E7" w:rsidRPr="00A15D27" w:rsidRDefault="00EF78E7" w:rsidP="005F4741">
      <w:pPr>
        <w:pStyle w:val="FootnoteText"/>
        <w:rPr>
          <w:sz w:val="16"/>
          <w:szCs w:val="16"/>
        </w:rPr>
      </w:pPr>
      <w:r w:rsidRPr="00A15D27">
        <w:rPr>
          <w:rStyle w:val="FootnoteReference"/>
          <w:sz w:val="16"/>
          <w:szCs w:val="16"/>
        </w:rPr>
        <w:footnoteRef/>
      </w:r>
      <w:r w:rsidRPr="00A15D27">
        <w:rPr>
          <w:sz w:val="16"/>
          <w:szCs w:val="16"/>
        </w:rPr>
        <w:t xml:space="preserve"> Recommendation 34. Australian Government. (2019). Our public service, our future. Independent review of the Australian public service. </w:t>
      </w:r>
      <w:hyperlink r:id="rId180" w:tooltip="Link to Australian Public Service Review" w:history="1">
        <w:r w:rsidRPr="00A15D27">
          <w:rPr>
            <w:rStyle w:val="Hyperlink"/>
            <w:sz w:val="16"/>
            <w:szCs w:val="16"/>
          </w:rPr>
          <w:t>https://pmc.gov.au/sites/default/files/publications/independent-review-aps.pdf</w:t>
        </w:r>
      </w:hyperlink>
      <w:r w:rsidRPr="00307A38">
        <w:rPr>
          <w:rStyle w:val="Hyperlink"/>
          <w:sz w:val="16"/>
          <w:szCs w:val="16"/>
        </w:rPr>
        <w:t xml:space="preserve"> </w:t>
      </w:r>
    </w:p>
  </w:footnote>
  <w:footnote w:id="213">
    <w:p w14:paraId="2EF482D8" w14:textId="0C3C6A76" w:rsidR="00EF78E7" w:rsidRPr="00A15D27" w:rsidRDefault="00EF78E7" w:rsidP="005F4741">
      <w:pPr>
        <w:pStyle w:val="FootnoteText"/>
        <w:rPr>
          <w:sz w:val="16"/>
          <w:szCs w:val="16"/>
        </w:rPr>
      </w:pPr>
      <w:r w:rsidRPr="00A15D27">
        <w:rPr>
          <w:rStyle w:val="FootnoteReference"/>
          <w:sz w:val="16"/>
          <w:szCs w:val="16"/>
        </w:rPr>
        <w:footnoteRef/>
      </w:r>
      <w:r w:rsidRPr="00A15D27">
        <w:rPr>
          <w:sz w:val="16"/>
          <w:szCs w:val="16"/>
        </w:rPr>
        <w:t xml:space="preserve"> The Advisory Panel for the Review of Federal Support for Fundamental Science. (2017). Investing in Canada’s future: Strengthening the Foundations of Canadian Research. </w:t>
      </w:r>
      <w:hyperlink r:id="rId181" w:tooltip="Link to Government of Canada's Investing in Canada's Future report" w:history="1">
        <w:r w:rsidRPr="00481E94">
          <w:rPr>
            <w:rStyle w:val="Hyperlink"/>
            <w:sz w:val="16"/>
            <w:szCs w:val="16"/>
          </w:rPr>
          <w:t>http://cins.ca/docs/ScienceReview_April2017.pdf</w:t>
        </w:r>
      </w:hyperlink>
      <w:r w:rsidRPr="00307A38">
        <w:rPr>
          <w:rStyle w:val="Hyperlink"/>
          <w:sz w:val="16"/>
          <w:szCs w:val="16"/>
        </w:rPr>
        <w:t xml:space="preserve"> </w:t>
      </w:r>
    </w:p>
  </w:footnote>
  <w:footnote w:id="214">
    <w:p w14:paraId="754C5C20" w14:textId="04CCE8C5" w:rsidR="00EF78E7" w:rsidRPr="00A15D27" w:rsidRDefault="00EF78E7" w:rsidP="008B3320">
      <w:pPr>
        <w:pStyle w:val="FootnoteText"/>
        <w:rPr>
          <w:sz w:val="16"/>
          <w:szCs w:val="16"/>
        </w:rPr>
      </w:pPr>
      <w:r w:rsidRPr="00A15D27">
        <w:rPr>
          <w:rStyle w:val="FootnoteReference"/>
          <w:sz w:val="16"/>
          <w:szCs w:val="16"/>
        </w:rPr>
        <w:footnoteRef/>
      </w:r>
      <w:r w:rsidRPr="00A15D27">
        <w:rPr>
          <w:sz w:val="16"/>
          <w:szCs w:val="16"/>
        </w:rPr>
        <w:t xml:space="preserve"> Senate Economics References Committee. (2015). Australia’s Innovation System. </w:t>
      </w:r>
      <w:hyperlink r:id="rId182" w:tooltip="Link to the Senate Economics References Committee's 'Australia's Innovation System report'" w:history="1">
        <w:r w:rsidRPr="00A15D27">
          <w:rPr>
            <w:rStyle w:val="Hyperlink"/>
            <w:sz w:val="16"/>
            <w:szCs w:val="16"/>
          </w:rPr>
          <w:t>www.aph.gov.au/Parliamentary_Business/Committees/Senate/Economics/Innovation_System/Report</w:t>
        </w:r>
      </w:hyperlink>
      <w:r w:rsidRPr="00A15D27">
        <w:rPr>
          <w:rStyle w:val="Hyperlink"/>
          <w:sz w:val="16"/>
          <w:szCs w:val="16"/>
        </w:rPr>
        <w:t xml:space="preserve"> </w:t>
      </w:r>
    </w:p>
  </w:footnote>
  <w:footnote w:id="215">
    <w:p w14:paraId="0D7738A8" w14:textId="09D5CAF7" w:rsidR="00EF78E7" w:rsidRPr="00A15D27" w:rsidRDefault="00EF78E7" w:rsidP="008B3320">
      <w:pPr>
        <w:pStyle w:val="FootnoteText"/>
        <w:rPr>
          <w:sz w:val="16"/>
          <w:szCs w:val="16"/>
        </w:rPr>
      </w:pPr>
      <w:r w:rsidRPr="00A15D27">
        <w:rPr>
          <w:rStyle w:val="FootnoteReference"/>
          <w:sz w:val="16"/>
          <w:szCs w:val="16"/>
        </w:rPr>
        <w:footnoteRef/>
      </w:r>
      <w:r w:rsidRPr="00A15D27">
        <w:rPr>
          <w:sz w:val="16"/>
          <w:szCs w:val="16"/>
        </w:rPr>
        <w:t xml:space="preserve"> Australian Department of Industry, Innovation and Science. (2019). Science, Research and Innovation Budget Tables 2019–20. </w:t>
      </w:r>
      <w:hyperlink r:id="rId183" w:tooltip="Link to SRI budget tables 2019-20 data" w:history="1">
        <w:r w:rsidRPr="00A15D27">
          <w:rPr>
            <w:rStyle w:val="Hyperlink"/>
            <w:sz w:val="16"/>
            <w:szCs w:val="16"/>
          </w:rPr>
          <w:t>www.industry.gov.au/sites/default/files/2019-09/2019-20-sri-budget-tables.xlsx</w:t>
        </w:r>
      </w:hyperlink>
      <w:r w:rsidRPr="00307A38" w:rsidDel="00154F28">
        <w:rPr>
          <w:rStyle w:val="Hyperlink"/>
          <w:sz w:val="16"/>
          <w:szCs w:val="16"/>
        </w:rPr>
        <w:t xml:space="preserve"> </w:t>
      </w:r>
    </w:p>
  </w:footnote>
  <w:footnote w:id="216">
    <w:p w14:paraId="31C5306A" w14:textId="29474252" w:rsidR="00EF78E7" w:rsidRPr="00A15D27" w:rsidRDefault="00EF78E7" w:rsidP="008B3320">
      <w:pPr>
        <w:pStyle w:val="FootnoteText"/>
        <w:rPr>
          <w:sz w:val="16"/>
          <w:szCs w:val="16"/>
        </w:rPr>
      </w:pPr>
      <w:r w:rsidRPr="00A15D27">
        <w:rPr>
          <w:rStyle w:val="FootnoteReference"/>
          <w:sz w:val="16"/>
          <w:szCs w:val="16"/>
        </w:rPr>
        <w:footnoteRef/>
      </w:r>
      <w:r w:rsidRPr="00A15D27">
        <w:rPr>
          <w:sz w:val="16"/>
          <w:szCs w:val="16"/>
        </w:rPr>
        <w:t xml:space="preserve"> For this analysis we have assumed that the SRI categorisations of competitive funding (where applications for funding or entries to a competition are judged by a panel against selection criteria), targeted funding (where funding is allocated in order to address particular challenges or to accomplish particular objectives) and competitive/targeted funding (a combination of the previous two categories) are considered to be targeted investments. There were a few exceptions for some competitive funding investments, which were assessed as being broad-based measures. These exceptions included: CRC, ARC National Competitive Grants Program, Innovation Investment Fund, Inspiring Australia, Public Sector Modernisation Fund, Global Innovation Strategy, and Oversight of Significant Digital and ICT Initiatives programs. Assessment of programs classified as annual, restricted non</w:t>
      </w:r>
      <w:r>
        <w:rPr>
          <w:sz w:val="16"/>
          <w:szCs w:val="16"/>
        </w:rPr>
        <w:noBreakHyphen/>
      </w:r>
      <w:r w:rsidRPr="00A15D27">
        <w:rPr>
          <w:sz w:val="16"/>
          <w:szCs w:val="16"/>
        </w:rPr>
        <w:t>competitive, other or were uncategorised in the 2019–20 SRI Budget Tables were assessed as targeted investments. Broad</w:t>
      </w:r>
      <w:r>
        <w:rPr>
          <w:sz w:val="16"/>
          <w:szCs w:val="16"/>
        </w:rPr>
        <w:noBreakHyphen/>
      </w:r>
      <w:r w:rsidRPr="00A15D27">
        <w:rPr>
          <w:sz w:val="16"/>
          <w:szCs w:val="16"/>
        </w:rPr>
        <w:t>based investments included entitlement funding (where an organisation undertaking eligible activities receives pre</w:t>
      </w:r>
      <w:r>
        <w:rPr>
          <w:sz w:val="16"/>
          <w:szCs w:val="16"/>
        </w:rPr>
        <w:noBreakHyphen/>
      </w:r>
      <w:r w:rsidRPr="00A15D27">
        <w:rPr>
          <w:sz w:val="16"/>
          <w:szCs w:val="16"/>
        </w:rPr>
        <w:t>specified levels of financial assistance from the Australian Government, such as the R&amp;D Tax Measures) and formula funding (where organisations receive an allocation calculated according to a formula based upon their performance against specified metrics, such as performance-based block funding to universities).</w:t>
      </w:r>
    </w:p>
  </w:footnote>
  <w:footnote w:id="217">
    <w:p w14:paraId="74DF32DD" w14:textId="69D816BB" w:rsidR="00EF78E7" w:rsidRPr="00A15D27" w:rsidRDefault="00EF78E7" w:rsidP="008B3320">
      <w:pPr>
        <w:pStyle w:val="FootnoteText"/>
        <w:rPr>
          <w:sz w:val="16"/>
          <w:szCs w:val="16"/>
        </w:rPr>
      </w:pPr>
      <w:r w:rsidRPr="00A15D27">
        <w:rPr>
          <w:rStyle w:val="FootnoteReference"/>
          <w:sz w:val="16"/>
          <w:szCs w:val="16"/>
        </w:rPr>
        <w:footnoteRef/>
      </w:r>
      <w:r w:rsidRPr="00A15D27">
        <w:rPr>
          <w:sz w:val="16"/>
          <w:szCs w:val="16"/>
        </w:rPr>
        <w:t xml:space="preserve"> Council of Canadian Academies. (2017). Science Policy: Considerations for Subnational Governments. </w:t>
      </w:r>
      <w:hyperlink r:id="rId184" w:tooltip="Link to to Considerations for Subnational Governments science policy report" w:history="1">
        <w:r w:rsidRPr="0040489D">
          <w:rPr>
            <w:rStyle w:val="Hyperlink"/>
            <w:sz w:val="16"/>
            <w:szCs w:val="16"/>
          </w:rPr>
          <w:t>https://cca-reports.ca/wp-content/uploads/2018/08/subnatlscipol_fullreport_en.pdf</w:t>
        </w:r>
      </w:hyperlink>
      <w:r>
        <w:rPr>
          <w:rStyle w:val="Hyperlink"/>
          <w:sz w:val="16"/>
          <w:szCs w:val="16"/>
        </w:rPr>
        <w:t xml:space="preserve"> </w:t>
      </w:r>
    </w:p>
  </w:footnote>
  <w:footnote w:id="218">
    <w:p w14:paraId="31AF38C1" w14:textId="21ECFC32" w:rsidR="00EF78E7" w:rsidRPr="00A15D27" w:rsidRDefault="00EF78E7" w:rsidP="008B3320">
      <w:pPr>
        <w:pStyle w:val="FootnoteText"/>
        <w:rPr>
          <w:sz w:val="16"/>
          <w:szCs w:val="16"/>
        </w:rPr>
      </w:pPr>
      <w:r w:rsidRPr="00A15D27">
        <w:rPr>
          <w:rStyle w:val="FootnoteReference"/>
          <w:sz w:val="16"/>
          <w:szCs w:val="16"/>
        </w:rPr>
        <w:footnoteRef/>
      </w:r>
      <w:r w:rsidRPr="00A15D27">
        <w:rPr>
          <w:sz w:val="16"/>
          <w:szCs w:val="16"/>
        </w:rPr>
        <w:t xml:space="preserve"> OECD. (2018). OECD Science, Technology and Innovation Outlook 2018: Adapting to Technological and Societal Disruption, OECD Publishing, Paris. </w:t>
      </w:r>
      <w:hyperlink r:id="rId185" w:tooltip="Link to OECD's Science, Technology and Innovation Outlook 2018" w:history="1">
        <w:r w:rsidRPr="00A15D27">
          <w:rPr>
            <w:rStyle w:val="Hyperlink"/>
            <w:sz w:val="16"/>
            <w:szCs w:val="16"/>
          </w:rPr>
          <w:t>https://doi.org/10.1787/sti_in_outlook-2018-en</w:t>
        </w:r>
      </w:hyperlink>
      <w:r w:rsidRPr="00A15D27">
        <w:rPr>
          <w:rStyle w:val="Hyperlink"/>
          <w:sz w:val="16"/>
          <w:szCs w:val="16"/>
        </w:rPr>
        <w:t xml:space="preserve"> </w:t>
      </w:r>
    </w:p>
  </w:footnote>
  <w:footnote w:id="219">
    <w:p w14:paraId="20160F3A" w14:textId="57C9E4CC" w:rsidR="00EF78E7" w:rsidRPr="00A15D27" w:rsidRDefault="00EF78E7" w:rsidP="009B29CE">
      <w:pPr>
        <w:spacing w:after="0" w:line="240" w:lineRule="auto"/>
        <w:rPr>
          <w:sz w:val="16"/>
          <w:szCs w:val="16"/>
        </w:rPr>
      </w:pPr>
      <w:r w:rsidRPr="00A15D27">
        <w:rPr>
          <w:rStyle w:val="FootnoteReference"/>
          <w:sz w:val="16"/>
          <w:szCs w:val="16"/>
        </w:rPr>
        <w:footnoteRef/>
      </w:r>
      <w:r w:rsidRPr="00A15D27">
        <w:rPr>
          <w:sz w:val="16"/>
          <w:szCs w:val="16"/>
        </w:rPr>
        <w:t xml:space="preserve"> </w:t>
      </w:r>
      <w:r w:rsidRPr="00A15D27">
        <w:rPr>
          <w:sz w:val="16"/>
          <w:szCs w:val="16"/>
          <w:lang w:val="en-US"/>
        </w:rPr>
        <w:t>This review should be informed by a mapping of investment priorities currently operating across the ISR system, both national and subsidiary ISR priorities, as expressed in key ISR documents such as NSRPs and decadal plans.</w:t>
      </w:r>
    </w:p>
  </w:footnote>
  <w:footnote w:id="220">
    <w:p w14:paraId="274B2EBD" w14:textId="1B93D219" w:rsidR="00EF78E7" w:rsidRPr="00A15D27" w:rsidRDefault="00EF78E7" w:rsidP="00A61AC1">
      <w:pPr>
        <w:pStyle w:val="FootnoteText"/>
        <w:rPr>
          <w:sz w:val="16"/>
          <w:szCs w:val="16"/>
        </w:rPr>
      </w:pPr>
      <w:r w:rsidRPr="00A15D27">
        <w:rPr>
          <w:rStyle w:val="FootnoteReference"/>
          <w:sz w:val="16"/>
          <w:szCs w:val="16"/>
        </w:rPr>
        <w:footnoteRef/>
      </w:r>
      <w:r w:rsidRPr="00A15D27">
        <w:rPr>
          <w:sz w:val="16"/>
          <w:szCs w:val="16"/>
        </w:rPr>
        <w:t xml:space="preserve"> Government of Ireland. (2018). Research Priority Areas, 2018–2023. </w:t>
      </w:r>
      <w:hyperlink r:id="rId186" w:tooltip="Link to Government of Ireland's research priorities" w:history="1">
        <w:r w:rsidRPr="00A15D27">
          <w:rPr>
            <w:rStyle w:val="Hyperlink"/>
            <w:sz w:val="16"/>
            <w:szCs w:val="16"/>
          </w:rPr>
          <w:t>https://dbei.gov.ie/en/Publications/Research-Priority-Areas-2018-to-2023.html</w:t>
        </w:r>
      </w:hyperlink>
      <w:r w:rsidRPr="00A15D27">
        <w:rPr>
          <w:sz w:val="16"/>
          <w:szCs w:val="16"/>
        </w:rPr>
        <w:t xml:space="preserve"> </w:t>
      </w:r>
    </w:p>
  </w:footnote>
  <w:footnote w:id="221">
    <w:p w14:paraId="0A4CCC79" w14:textId="22EC4F4B" w:rsidR="00EF78E7" w:rsidRPr="00A15D27" w:rsidRDefault="00EF78E7" w:rsidP="00A61AC1">
      <w:pPr>
        <w:pStyle w:val="FootnoteText"/>
        <w:rPr>
          <w:sz w:val="16"/>
          <w:szCs w:val="16"/>
        </w:rPr>
      </w:pPr>
      <w:r w:rsidRPr="00A15D27">
        <w:rPr>
          <w:rStyle w:val="FootnoteReference"/>
          <w:sz w:val="16"/>
          <w:szCs w:val="16"/>
        </w:rPr>
        <w:footnoteRef/>
      </w:r>
      <w:r w:rsidRPr="00A15D27">
        <w:rPr>
          <w:sz w:val="16"/>
          <w:szCs w:val="16"/>
        </w:rPr>
        <w:t xml:space="preserve"> </w:t>
      </w:r>
      <w:r>
        <w:rPr>
          <w:sz w:val="16"/>
          <w:szCs w:val="16"/>
        </w:rPr>
        <w:t xml:space="preserve">UK Department for Business, Energy and Industrial Strategy. 2019. </w:t>
      </w:r>
      <w:r w:rsidRPr="00A15D27">
        <w:rPr>
          <w:sz w:val="16"/>
          <w:szCs w:val="16"/>
        </w:rPr>
        <w:t>The Grand Challenge Missions</w:t>
      </w:r>
      <w:r>
        <w:rPr>
          <w:sz w:val="16"/>
          <w:szCs w:val="16"/>
        </w:rPr>
        <w:t xml:space="preserve"> Policy Paper. </w:t>
      </w:r>
      <w:hyperlink r:id="rId187" w:tooltip="Link to the UK's Grand Challenge Missions Policy Paper" w:history="1">
        <w:r w:rsidRPr="00A15D27">
          <w:rPr>
            <w:rStyle w:val="Hyperlink"/>
            <w:sz w:val="16"/>
            <w:szCs w:val="16"/>
          </w:rPr>
          <w:t>https://www.gov.uk/government/publications/industrial-strategy-the-grand-challenges/missions</w:t>
        </w:r>
      </w:hyperlink>
      <w:r w:rsidDel="00154F28">
        <w:rPr>
          <w:rStyle w:val="Hyperlink"/>
          <w:sz w:val="16"/>
          <w:szCs w:val="16"/>
        </w:rPr>
        <w:t xml:space="preserve"> </w:t>
      </w:r>
    </w:p>
  </w:footnote>
  <w:footnote w:id="222">
    <w:p w14:paraId="004B764C" w14:textId="77777777" w:rsidR="00EF78E7" w:rsidRPr="00A15D27" w:rsidRDefault="00EF78E7" w:rsidP="00C05D56">
      <w:pPr>
        <w:pStyle w:val="FootnoteText"/>
        <w:rPr>
          <w:sz w:val="16"/>
          <w:szCs w:val="16"/>
        </w:rPr>
      </w:pPr>
      <w:r w:rsidRPr="00A15D27">
        <w:rPr>
          <w:rStyle w:val="FootnoteReference"/>
          <w:sz w:val="16"/>
          <w:szCs w:val="16"/>
        </w:rPr>
        <w:footnoteRef/>
      </w:r>
      <w:r w:rsidRPr="00A15D27">
        <w:rPr>
          <w:sz w:val="16"/>
          <w:szCs w:val="16"/>
        </w:rPr>
        <w:t xml:space="preserve"> Where investments are made across priority areas, they should be categorised as joint investments.</w:t>
      </w:r>
    </w:p>
  </w:footnote>
  <w:footnote w:id="223">
    <w:p w14:paraId="6A05E8CC" w14:textId="1F9507E4" w:rsidR="00EF78E7" w:rsidRPr="00A15D27" w:rsidRDefault="00EF78E7" w:rsidP="006F2468">
      <w:pPr>
        <w:pStyle w:val="FootnoteText"/>
        <w:rPr>
          <w:sz w:val="16"/>
          <w:szCs w:val="16"/>
        </w:rPr>
      </w:pPr>
      <w:r w:rsidRPr="00A15D27">
        <w:rPr>
          <w:rStyle w:val="FootnoteReference"/>
          <w:sz w:val="16"/>
          <w:szCs w:val="16"/>
        </w:rPr>
        <w:footnoteRef/>
      </w:r>
      <w:r w:rsidRPr="00A15D27">
        <w:rPr>
          <w:sz w:val="16"/>
          <w:szCs w:val="16"/>
        </w:rPr>
        <w:t xml:space="preserve"> For example, agency corporate reporting and budget cycles.</w:t>
      </w:r>
    </w:p>
  </w:footnote>
  <w:footnote w:id="224">
    <w:p w14:paraId="7FC0CADE" w14:textId="0C60A9C8" w:rsidR="00EF78E7" w:rsidRPr="00843B31" w:rsidRDefault="00EF78E7" w:rsidP="005516FF">
      <w:pPr>
        <w:pStyle w:val="FootnoteText"/>
        <w:rPr>
          <w:sz w:val="16"/>
          <w:szCs w:val="16"/>
        </w:rPr>
      </w:pPr>
      <w:r w:rsidRPr="00A15D27">
        <w:rPr>
          <w:rStyle w:val="FootnoteReference"/>
          <w:sz w:val="16"/>
          <w:szCs w:val="16"/>
        </w:rPr>
        <w:footnoteRef/>
      </w:r>
      <w:r w:rsidRPr="00A15D27">
        <w:rPr>
          <w:sz w:val="16"/>
          <w:szCs w:val="16"/>
        </w:rPr>
        <w:t xml:space="preserve"> Guided by the US target of “at least 8 per cent for federal agencies budgets should be set aside for discretionary funding</w:t>
      </w:r>
      <w:r w:rsidRPr="00307A38">
        <w:rPr>
          <w:sz w:val="16"/>
          <w:szCs w:val="16"/>
        </w:rPr>
        <w:t>..</w:t>
      </w:r>
      <w:r w:rsidRPr="00A15D27">
        <w:rPr>
          <w:sz w:val="16"/>
          <w:szCs w:val="16"/>
        </w:rPr>
        <w:t xml:space="preserve">. for high-risk, high payoff research”. National Academy of Sciences, National Academy of Engineering, and Institute of Medicine. (2007). Rising Above the Gathering Storm: Energizing and Employing America for a Brighter Economic Future. Washington, DC: The National Academies Press. </w:t>
      </w:r>
      <w:hyperlink r:id="rId188" w:tooltip="Link to the book Rising Above the Gathering Storm" w:history="1">
        <w:r w:rsidRPr="00A15D27">
          <w:rPr>
            <w:rStyle w:val="Hyperlink"/>
            <w:sz w:val="16"/>
            <w:szCs w:val="16"/>
          </w:rPr>
          <w:t>https://doi.org/10.17226/11463</w:t>
        </w:r>
      </w:hyperlink>
      <w:r w:rsidRPr="00307A38" w:rsidDel="00154F28">
        <w:rPr>
          <w:rStyle w:val="Hyperlink"/>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4DD32" w14:textId="2C0B7F23" w:rsidR="00EF78E7" w:rsidRPr="00154F28" w:rsidRDefault="00EF78E7" w:rsidP="00154F28">
    <w:pPr>
      <w:spacing w:after="0"/>
      <w:jc w:val="center"/>
      <w:rPr>
        <w:color w:val="FF000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D5C84" w14:textId="02C1744A" w:rsidR="00EF78E7" w:rsidRDefault="00EF78E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81B38" w14:textId="6FB0CBF4" w:rsidR="00EF78E7" w:rsidRDefault="00EF78E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51516" w14:textId="0C779152" w:rsidR="00EF78E7" w:rsidRDefault="00EF78E7"/>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4C27E" w14:textId="620EA7DE" w:rsidR="00EF78E7" w:rsidRDefault="00EF78E7"/>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0A4FA" w14:textId="5296FBD8" w:rsidR="00EF78E7" w:rsidRDefault="00EF78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BBA56" w14:textId="50192F44" w:rsidR="00EF78E7" w:rsidRPr="00154F28" w:rsidRDefault="00EF78E7" w:rsidP="00154F28">
    <w:pPr>
      <w:spacing w:after="0"/>
      <w:jc w:val="center"/>
      <w:rPr>
        <w:color w:val="FF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FFFAA" w14:textId="2D00A1FD" w:rsidR="00EF78E7" w:rsidRDefault="00EF78E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7584A" w14:textId="51A6CFCF" w:rsidR="00EF78E7" w:rsidRPr="00A66DDE" w:rsidRDefault="00EF78E7" w:rsidP="00050534">
    <w:pPr>
      <w:spacing w:after="0"/>
      <w:jc w:val="center"/>
      <w:rPr>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529CF" w14:textId="7005E3CA" w:rsidR="00EF78E7" w:rsidRDefault="00EF78E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4C745" w14:textId="6A724F4C" w:rsidR="00EF78E7" w:rsidRPr="00154F28" w:rsidRDefault="00EF78E7" w:rsidP="00154F28">
    <w:pPr>
      <w:spacing w:after="0"/>
      <w:jc w:val="center"/>
      <w:rPr>
        <w:color w:val="FF000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E188D" w14:textId="3E58F432" w:rsidR="00EF78E7" w:rsidRPr="00154F28" w:rsidRDefault="00EF78E7" w:rsidP="00154F28">
    <w:pPr>
      <w:spacing w:after="0"/>
      <w:jc w:val="center"/>
      <w:rPr>
        <w:color w:val="FF000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3EE99" w14:textId="6CE88576" w:rsidR="00EF78E7" w:rsidRDefault="00EF78E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84D03" w14:textId="759CF6FB" w:rsidR="00EF78E7" w:rsidRPr="00154F28" w:rsidRDefault="00EF78E7" w:rsidP="00154F28">
    <w:pPr>
      <w:spacing w:after="0"/>
      <w:jc w:val="center"/>
      <w:rPr>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6E8615A"/>
    <w:styleLink w:val="AnnualReport"/>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01165C56"/>
    <w:multiLevelType w:val="hybridMultilevel"/>
    <w:tmpl w:val="DB328ACA"/>
    <w:lvl w:ilvl="0" w:tplc="0C09000F">
      <w:start w:val="1"/>
      <w:numFmt w:val="decimal"/>
      <w:lvlText w:val="%1."/>
      <w:lvlJc w:val="left"/>
      <w:pPr>
        <w:ind w:left="536" w:hanging="360"/>
      </w:pPr>
      <w:rPr>
        <w:rFonts w:hint="default"/>
      </w:rPr>
    </w:lvl>
    <w:lvl w:ilvl="1" w:tplc="0C090003" w:tentative="1">
      <w:start w:val="1"/>
      <w:numFmt w:val="bullet"/>
      <w:lvlText w:val="o"/>
      <w:lvlJc w:val="left"/>
      <w:pPr>
        <w:ind w:left="1256" w:hanging="360"/>
      </w:pPr>
      <w:rPr>
        <w:rFonts w:ascii="Courier New" w:hAnsi="Courier New" w:cs="Courier New" w:hint="default"/>
      </w:rPr>
    </w:lvl>
    <w:lvl w:ilvl="2" w:tplc="0C090005" w:tentative="1">
      <w:start w:val="1"/>
      <w:numFmt w:val="bullet"/>
      <w:lvlText w:val=""/>
      <w:lvlJc w:val="left"/>
      <w:pPr>
        <w:ind w:left="1976" w:hanging="360"/>
      </w:pPr>
      <w:rPr>
        <w:rFonts w:ascii="Wingdings" w:hAnsi="Wingdings" w:hint="default"/>
      </w:rPr>
    </w:lvl>
    <w:lvl w:ilvl="3" w:tplc="0C090001" w:tentative="1">
      <w:start w:val="1"/>
      <w:numFmt w:val="bullet"/>
      <w:lvlText w:val=""/>
      <w:lvlJc w:val="left"/>
      <w:pPr>
        <w:ind w:left="2696" w:hanging="360"/>
      </w:pPr>
      <w:rPr>
        <w:rFonts w:ascii="Symbol" w:hAnsi="Symbol" w:hint="default"/>
      </w:rPr>
    </w:lvl>
    <w:lvl w:ilvl="4" w:tplc="0C090003" w:tentative="1">
      <w:start w:val="1"/>
      <w:numFmt w:val="bullet"/>
      <w:lvlText w:val="o"/>
      <w:lvlJc w:val="left"/>
      <w:pPr>
        <w:ind w:left="3416" w:hanging="360"/>
      </w:pPr>
      <w:rPr>
        <w:rFonts w:ascii="Courier New" w:hAnsi="Courier New" w:cs="Courier New" w:hint="default"/>
      </w:rPr>
    </w:lvl>
    <w:lvl w:ilvl="5" w:tplc="0C090005" w:tentative="1">
      <w:start w:val="1"/>
      <w:numFmt w:val="bullet"/>
      <w:lvlText w:val=""/>
      <w:lvlJc w:val="left"/>
      <w:pPr>
        <w:ind w:left="4136" w:hanging="360"/>
      </w:pPr>
      <w:rPr>
        <w:rFonts w:ascii="Wingdings" w:hAnsi="Wingdings" w:hint="default"/>
      </w:rPr>
    </w:lvl>
    <w:lvl w:ilvl="6" w:tplc="0C090001" w:tentative="1">
      <w:start w:val="1"/>
      <w:numFmt w:val="bullet"/>
      <w:lvlText w:val=""/>
      <w:lvlJc w:val="left"/>
      <w:pPr>
        <w:ind w:left="4856" w:hanging="360"/>
      </w:pPr>
      <w:rPr>
        <w:rFonts w:ascii="Symbol" w:hAnsi="Symbol" w:hint="default"/>
      </w:rPr>
    </w:lvl>
    <w:lvl w:ilvl="7" w:tplc="0C090003" w:tentative="1">
      <w:start w:val="1"/>
      <w:numFmt w:val="bullet"/>
      <w:lvlText w:val="o"/>
      <w:lvlJc w:val="left"/>
      <w:pPr>
        <w:ind w:left="5576" w:hanging="360"/>
      </w:pPr>
      <w:rPr>
        <w:rFonts w:ascii="Courier New" w:hAnsi="Courier New" w:cs="Courier New" w:hint="default"/>
      </w:rPr>
    </w:lvl>
    <w:lvl w:ilvl="8" w:tplc="0C090005" w:tentative="1">
      <w:start w:val="1"/>
      <w:numFmt w:val="bullet"/>
      <w:lvlText w:val=""/>
      <w:lvlJc w:val="left"/>
      <w:pPr>
        <w:ind w:left="6296" w:hanging="360"/>
      </w:pPr>
      <w:rPr>
        <w:rFonts w:ascii="Wingdings" w:hAnsi="Wingdings" w:hint="default"/>
      </w:rPr>
    </w:lvl>
  </w:abstractNum>
  <w:abstractNum w:abstractNumId="5" w15:restartNumberingAfterBreak="0">
    <w:nsid w:val="08B77D6A"/>
    <w:multiLevelType w:val="hybridMultilevel"/>
    <w:tmpl w:val="55728190"/>
    <w:lvl w:ilvl="0" w:tplc="0C090017">
      <w:start w:val="1"/>
      <w:numFmt w:val="lowerLetter"/>
      <w:lvlText w:val="%1)"/>
      <w:lvlJc w:val="left"/>
      <w:pPr>
        <w:ind w:left="1256" w:hanging="360"/>
      </w:pPr>
    </w:lvl>
    <w:lvl w:ilvl="1" w:tplc="0C090019" w:tentative="1">
      <w:start w:val="1"/>
      <w:numFmt w:val="lowerLetter"/>
      <w:lvlText w:val="%2."/>
      <w:lvlJc w:val="left"/>
      <w:pPr>
        <w:ind w:left="1976" w:hanging="360"/>
      </w:pPr>
    </w:lvl>
    <w:lvl w:ilvl="2" w:tplc="0C09001B" w:tentative="1">
      <w:start w:val="1"/>
      <w:numFmt w:val="lowerRoman"/>
      <w:lvlText w:val="%3."/>
      <w:lvlJc w:val="right"/>
      <w:pPr>
        <w:ind w:left="2696" w:hanging="180"/>
      </w:pPr>
    </w:lvl>
    <w:lvl w:ilvl="3" w:tplc="0C09000F" w:tentative="1">
      <w:start w:val="1"/>
      <w:numFmt w:val="decimal"/>
      <w:lvlText w:val="%4."/>
      <w:lvlJc w:val="left"/>
      <w:pPr>
        <w:ind w:left="3416" w:hanging="360"/>
      </w:pPr>
    </w:lvl>
    <w:lvl w:ilvl="4" w:tplc="0C090019" w:tentative="1">
      <w:start w:val="1"/>
      <w:numFmt w:val="lowerLetter"/>
      <w:lvlText w:val="%5."/>
      <w:lvlJc w:val="left"/>
      <w:pPr>
        <w:ind w:left="4136" w:hanging="360"/>
      </w:pPr>
    </w:lvl>
    <w:lvl w:ilvl="5" w:tplc="0C09001B" w:tentative="1">
      <w:start w:val="1"/>
      <w:numFmt w:val="lowerRoman"/>
      <w:lvlText w:val="%6."/>
      <w:lvlJc w:val="right"/>
      <w:pPr>
        <w:ind w:left="4856" w:hanging="180"/>
      </w:pPr>
    </w:lvl>
    <w:lvl w:ilvl="6" w:tplc="0C09000F" w:tentative="1">
      <w:start w:val="1"/>
      <w:numFmt w:val="decimal"/>
      <w:lvlText w:val="%7."/>
      <w:lvlJc w:val="left"/>
      <w:pPr>
        <w:ind w:left="5576" w:hanging="360"/>
      </w:pPr>
    </w:lvl>
    <w:lvl w:ilvl="7" w:tplc="0C090019" w:tentative="1">
      <w:start w:val="1"/>
      <w:numFmt w:val="lowerLetter"/>
      <w:lvlText w:val="%8."/>
      <w:lvlJc w:val="left"/>
      <w:pPr>
        <w:ind w:left="6296" w:hanging="360"/>
      </w:pPr>
    </w:lvl>
    <w:lvl w:ilvl="8" w:tplc="0C09001B" w:tentative="1">
      <w:start w:val="1"/>
      <w:numFmt w:val="lowerRoman"/>
      <w:lvlText w:val="%9."/>
      <w:lvlJc w:val="right"/>
      <w:pPr>
        <w:ind w:left="7016" w:hanging="180"/>
      </w:pPr>
    </w:lvl>
  </w:abstractNum>
  <w:abstractNum w:abstractNumId="6" w15:restartNumberingAfterBreak="0">
    <w:nsid w:val="0BCF267B"/>
    <w:multiLevelType w:val="hybridMultilevel"/>
    <w:tmpl w:val="DB5A8964"/>
    <w:lvl w:ilvl="0" w:tplc="0C090003">
      <w:start w:val="1"/>
      <w:numFmt w:val="bullet"/>
      <w:lvlText w:val="o"/>
      <w:lvlJc w:val="left"/>
      <w:pPr>
        <w:ind w:left="1225" w:hanging="360"/>
      </w:pPr>
      <w:rPr>
        <w:rFonts w:ascii="Courier New" w:hAnsi="Courier New" w:cs="Courier New" w:hint="default"/>
      </w:rPr>
    </w:lvl>
    <w:lvl w:ilvl="1" w:tplc="0C090003" w:tentative="1">
      <w:start w:val="1"/>
      <w:numFmt w:val="bullet"/>
      <w:lvlText w:val="o"/>
      <w:lvlJc w:val="left"/>
      <w:pPr>
        <w:ind w:left="1945" w:hanging="360"/>
      </w:pPr>
      <w:rPr>
        <w:rFonts w:ascii="Courier New" w:hAnsi="Courier New" w:cs="Courier New" w:hint="default"/>
      </w:rPr>
    </w:lvl>
    <w:lvl w:ilvl="2" w:tplc="0C090005" w:tentative="1">
      <w:start w:val="1"/>
      <w:numFmt w:val="bullet"/>
      <w:lvlText w:val=""/>
      <w:lvlJc w:val="left"/>
      <w:pPr>
        <w:ind w:left="2665" w:hanging="360"/>
      </w:pPr>
      <w:rPr>
        <w:rFonts w:ascii="Wingdings" w:hAnsi="Wingdings" w:hint="default"/>
      </w:rPr>
    </w:lvl>
    <w:lvl w:ilvl="3" w:tplc="0C090001" w:tentative="1">
      <w:start w:val="1"/>
      <w:numFmt w:val="bullet"/>
      <w:lvlText w:val=""/>
      <w:lvlJc w:val="left"/>
      <w:pPr>
        <w:ind w:left="3385" w:hanging="360"/>
      </w:pPr>
      <w:rPr>
        <w:rFonts w:ascii="Symbol" w:hAnsi="Symbol" w:hint="default"/>
      </w:rPr>
    </w:lvl>
    <w:lvl w:ilvl="4" w:tplc="0C090003" w:tentative="1">
      <w:start w:val="1"/>
      <w:numFmt w:val="bullet"/>
      <w:lvlText w:val="o"/>
      <w:lvlJc w:val="left"/>
      <w:pPr>
        <w:ind w:left="4105" w:hanging="360"/>
      </w:pPr>
      <w:rPr>
        <w:rFonts w:ascii="Courier New" w:hAnsi="Courier New" w:cs="Courier New" w:hint="default"/>
      </w:rPr>
    </w:lvl>
    <w:lvl w:ilvl="5" w:tplc="0C090005" w:tentative="1">
      <w:start w:val="1"/>
      <w:numFmt w:val="bullet"/>
      <w:lvlText w:val=""/>
      <w:lvlJc w:val="left"/>
      <w:pPr>
        <w:ind w:left="4825" w:hanging="360"/>
      </w:pPr>
      <w:rPr>
        <w:rFonts w:ascii="Wingdings" w:hAnsi="Wingdings" w:hint="default"/>
      </w:rPr>
    </w:lvl>
    <w:lvl w:ilvl="6" w:tplc="0C090001" w:tentative="1">
      <w:start w:val="1"/>
      <w:numFmt w:val="bullet"/>
      <w:lvlText w:val=""/>
      <w:lvlJc w:val="left"/>
      <w:pPr>
        <w:ind w:left="5545" w:hanging="360"/>
      </w:pPr>
      <w:rPr>
        <w:rFonts w:ascii="Symbol" w:hAnsi="Symbol" w:hint="default"/>
      </w:rPr>
    </w:lvl>
    <w:lvl w:ilvl="7" w:tplc="0C090003" w:tentative="1">
      <w:start w:val="1"/>
      <w:numFmt w:val="bullet"/>
      <w:lvlText w:val="o"/>
      <w:lvlJc w:val="left"/>
      <w:pPr>
        <w:ind w:left="6265" w:hanging="360"/>
      </w:pPr>
      <w:rPr>
        <w:rFonts w:ascii="Courier New" w:hAnsi="Courier New" w:cs="Courier New" w:hint="default"/>
      </w:rPr>
    </w:lvl>
    <w:lvl w:ilvl="8" w:tplc="0C090005" w:tentative="1">
      <w:start w:val="1"/>
      <w:numFmt w:val="bullet"/>
      <w:lvlText w:val=""/>
      <w:lvlJc w:val="left"/>
      <w:pPr>
        <w:ind w:left="6985" w:hanging="360"/>
      </w:pPr>
      <w:rPr>
        <w:rFonts w:ascii="Wingdings" w:hAnsi="Wingdings" w:hint="default"/>
      </w:rPr>
    </w:lvl>
  </w:abstractNum>
  <w:abstractNum w:abstractNumId="7" w15:restartNumberingAfterBreak="0">
    <w:nsid w:val="107502E0"/>
    <w:multiLevelType w:val="hybridMultilevel"/>
    <w:tmpl w:val="8EC6EA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114A80"/>
    <w:multiLevelType w:val="hybridMultilevel"/>
    <w:tmpl w:val="B56C76FC"/>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9" w15:restartNumberingAfterBreak="0">
    <w:nsid w:val="16F56706"/>
    <w:multiLevelType w:val="hybridMultilevel"/>
    <w:tmpl w:val="DB328ACA"/>
    <w:lvl w:ilvl="0" w:tplc="0C09000F">
      <w:start w:val="1"/>
      <w:numFmt w:val="decimal"/>
      <w:lvlText w:val="%1."/>
      <w:lvlJc w:val="left"/>
      <w:pPr>
        <w:ind w:left="536" w:hanging="360"/>
      </w:pPr>
      <w:rPr>
        <w:rFonts w:hint="default"/>
      </w:rPr>
    </w:lvl>
    <w:lvl w:ilvl="1" w:tplc="0C090003" w:tentative="1">
      <w:start w:val="1"/>
      <w:numFmt w:val="bullet"/>
      <w:lvlText w:val="o"/>
      <w:lvlJc w:val="left"/>
      <w:pPr>
        <w:ind w:left="1256" w:hanging="360"/>
      </w:pPr>
      <w:rPr>
        <w:rFonts w:ascii="Courier New" w:hAnsi="Courier New" w:cs="Courier New" w:hint="default"/>
      </w:rPr>
    </w:lvl>
    <w:lvl w:ilvl="2" w:tplc="0C090005" w:tentative="1">
      <w:start w:val="1"/>
      <w:numFmt w:val="bullet"/>
      <w:lvlText w:val=""/>
      <w:lvlJc w:val="left"/>
      <w:pPr>
        <w:ind w:left="1976" w:hanging="360"/>
      </w:pPr>
      <w:rPr>
        <w:rFonts w:ascii="Wingdings" w:hAnsi="Wingdings" w:hint="default"/>
      </w:rPr>
    </w:lvl>
    <w:lvl w:ilvl="3" w:tplc="0C090001" w:tentative="1">
      <w:start w:val="1"/>
      <w:numFmt w:val="bullet"/>
      <w:lvlText w:val=""/>
      <w:lvlJc w:val="left"/>
      <w:pPr>
        <w:ind w:left="2696" w:hanging="360"/>
      </w:pPr>
      <w:rPr>
        <w:rFonts w:ascii="Symbol" w:hAnsi="Symbol" w:hint="default"/>
      </w:rPr>
    </w:lvl>
    <w:lvl w:ilvl="4" w:tplc="0C090003" w:tentative="1">
      <w:start w:val="1"/>
      <w:numFmt w:val="bullet"/>
      <w:lvlText w:val="o"/>
      <w:lvlJc w:val="left"/>
      <w:pPr>
        <w:ind w:left="3416" w:hanging="360"/>
      </w:pPr>
      <w:rPr>
        <w:rFonts w:ascii="Courier New" w:hAnsi="Courier New" w:cs="Courier New" w:hint="default"/>
      </w:rPr>
    </w:lvl>
    <w:lvl w:ilvl="5" w:tplc="0C090005" w:tentative="1">
      <w:start w:val="1"/>
      <w:numFmt w:val="bullet"/>
      <w:lvlText w:val=""/>
      <w:lvlJc w:val="left"/>
      <w:pPr>
        <w:ind w:left="4136" w:hanging="360"/>
      </w:pPr>
      <w:rPr>
        <w:rFonts w:ascii="Wingdings" w:hAnsi="Wingdings" w:hint="default"/>
      </w:rPr>
    </w:lvl>
    <w:lvl w:ilvl="6" w:tplc="0C090001" w:tentative="1">
      <w:start w:val="1"/>
      <w:numFmt w:val="bullet"/>
      <w:lvlText w:val=""/>
      <w:lvlJc w:val="left"/>
      <w:pPr>
        <w:ind w:left="4856" w:hanging="360"/>
      </w:pPr>
      <w:rPr>
        <w:rFonts w:ascii="Symbol" w:hAnsi="Symbol" w:hint="default"/>
      </w:rPr>
    </w:lvl>
    <w:lvl w:ilvl="7" w:tplc="0C090003" w:tentative="1">
      <w:start w:val="1"/>
      <w:numFmt w:val="bullet"/>
      <w:lvlText w:val="o"/>
      <w:lvlJc w:val="left"/>
      <w:pPr>
        <w:ind w:left="5576" w:hanging="360"/>
      </w:pPr>
      <w:rPr>
        <w:rFonts w:ascii="Courier New" w:hAnsi="Courier New" w:cs="Courier New" w:hint="default"/>
      </w:rPr>
    </w:lvl>
    <w:lvl w:ilvl="8" w:tplc="0C090005" w:tentative="1">
      <w:start w:val="1"/>
      <w:numFmt w:val="bullet"/>
      <w:lvlText w:val=""/>
      <w:lvlJc w:val="left"/>
      <w:pPr>
        <w:ind w:left="6296" w:hanging="360"/>
      </w:pPr>
      <w:rPr>
        <w:rFonts w:ascii="Wingdings" w:hAnsi="Wingdings" w:hint="default"/>
      </w:rPr>
    </w:lvl>
  </w:abstractNum>
  <w:abstractNum w:abstractNumId="10" w15:restartNumberingAfterBreak="0">
    <w:nsid w:val="1BF9609C"/>
    <w:multiLevelType w:val="hybridMultilevel"/>
    <w:tmpl w:val="074C3E46"/>
    <w:lvl w:ilvl="0" w:tplc="6A9A0002">
      <w:start w:val="1"/>
      <w:numFmt w:val="bullet"/>
      <w:lvlText w:val="•"/>
      <w:lvlJc w:val="left"/>
      <w:pPr>
        <w:tabs>
          <w:tab w:val="num" w:pos="720"/>
        </w:tabs>
        <w:ind w:left="720" w:hanging="360"/>
      </w:pPr>
      <w:rPr>
        <w:rFonts w:ascii="Arial" w:hAnsi="Arial" w:hint="default"/>
      </w:rPr>
    </w:lvl>
    <w:lvl w:ilvl="1" w:tplc="938019B0" w:tentative="1">
      <w:start w:val="1"/>
      <w:numFmt w:val="bullet"/>
      <w:lvlText w:val="•"/>
      <w:lvlJc w:val="left"/>
      <w:pPr>
        <w:tabs>
          <w:tab w:val="num" w:pos="1440"/>
        </w:tabs>
        <w:ind w:left="1440" w:hanging="360"/>
      </w:pPr>
      <w:rPr>
        <w:rFonts w:ascii="Arial" w:hAnsi="Arial" w:hint="default"/>
      </w:rPr>
    </w:lvl>
    <w:lvl w:ilvl="2" w:tplc="FE0E1008" w:tentative="1">
      <w:start w:val="1"/>
      <w:numFmt w:val="bullet"/>
      <w:lvlText w:val="•"/>
      <w:lvlJc w:val="left"/>
      <w:pPr>
        <w:tabs>
          <w:tab w:val="num" w:pos="2160"/>
        </w:tabs>
        <w:ind w:left="2160" w:hanging="360"/>
      </w:pPr>
      <w:rPr>
        <w:rFonts w:ascii="Arial" w:hAnsi="Arial" w:hint="default"/>
      </w:rPr>
    </w:lvl>
    <w:lvl w:ilvl="3" w:tplc="630EAF0C" w:tentative="1">
      <w:start w:val="1"/>
      <w:numFmt w:val="bullet"/>
      <w:lvlText w:val="•"/>
      <w:lvlJc w:val="left"/>
      <w:pPr>
        <w:tabs>
          <w:tab w:val="num" w:pos="2880"/>
        </w:tabs>
        <w:ind w:left="2880" w:hanging="360"/>
      </w:pPr>
      <w:rPr>
        <w:rFonts w:ascii="Arial" w:hAnsi="Arial" w:hint="default"/>
      </w:rPr>
    </w:lvl>
    <w:lvl w:ilvl="4" w:tplc="CAF00080" w:tentative="1">
      <w:start w:val="1"/>
      <w:numFmt w:val="bullet"/>
      <w:lvlText w:val="•"/>
      <w:lvlJc w:val="left"/>
      <w:pPr>
        <w:tabs>
          <w:tab w:val="num" w:pos="3600"/>
        </w:tabs>
        <w:ind w:left="3600" w:hanging="360"/>
      </w:pPr>
      <w:rPr>
        <w:rFonts w:ascii="Arial" w:hAnsi="Arial" w:hint="default"/>
      </w:rPr>
    </w:lvl>
    <w:lvl w:ilvl="5" w:tplc="6E6EFDDE" w:tentative="1">
      <w:start w:val="1"/>
      <w:numFmt w:val="bullet"/>
      <w:lvlText w:val="•"/>
      <w:lvlJc w:val="left"/>
      <w:pPr>
        <w:tabs>
          <w:tab w:val="num" w:pos="4320"/>
        </w:tabs>
        <w:ind w:left="4320" w:hanging="360"/>
      </w:pPr>
      <w:rPr>
        <w:rFonts w:ascii="Arial" w:hAnsi="Arial" w:hint="default"/>
      </w:rPr>
    </w:lvl>
    <w:lvl w:ilvl="6" w:tplc="E0D4B152" w:tentative="1">
      <w:start w:val="1"/>
      <w:numFmt w:val="bullet"/>
      <w:lvlText w:val="•"/>
      <w:lvlJc w:val="left"/>
      <w:pPr>
        <w:tabs>
          <w:tab w:val="num" w:pos="5040"/>
        </w:tabs>
        <w:ind w:left="5040" w:hanging="360"/>
      </w:pPr>
      <w:rPr>
        <w:rFonts w:ascii="Arial" w:hAnsi="Arial" w:hint="default"/>
      </w:rPr>
    </w:lvl>
    <w:lvl w:ilvl="7" w:tplc="3F1C9130" w:tentative="1">
      <w:start w:val="1"/>
      <w:numFmt w:val="bullet"/>
      <w:lvlText w:val="•"/>
      <w:lvlJc w:val="left"/>
      <w:pPr>
        <w:tabs>
          <w:tab w:val="num" w:pos="5760"/>
        </w:tabs>
        <w:ind w:left="5760" w:hanging="360"/>
      </w:pPr>
      <w:rPr>
        <w:rFonts w:ascii="Arial" w:hAnsi="Arial" w:hint="default"/>
      </w:rPr>
    </w:lvl>
    <w:lvl w:ilvl="8" w:tplc="6060A6F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DDB1EA3"/>
    <w:multiLevelType w:val="hybridMultilevel"/>
    <w:tmpl w:val="E8E65FEA"/>
    <w:lvl w:ilvl="0" w:tplc="9F40E5D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F42541F"/>
    <w:multiLevelType w:val="hybridMultilevel"/>
    <w:tmpl w:val="BAC49C1C"/>
    <w:lvl w:ilvl="0" w:tplc="8B9C775A">
      <w:start w:val="1"/>
      <w:numFmt w:val="bullet"/>
      <w:lvlText w:val="•"/>
      <w:lvlJc w:val="left"/>
      <w:pPr>
        <w:tabs>
          <w:tab w:val="num" w:pos="720"/>
        </w:tabs>
        <w:ind w:left="720" w:hanging="360"/>
      </w:pPr>
      <w:rPr>
        <w:rFonts w:ascii="Arial" w:hAnsi="Arial" w:hint="default"/>
      </w:rPr>
    </w:lvl>
    <w:lvl w:ilvl="1" w:tplc="561036CC" w:tentative="1">
      <w:start w:val="1"/>
      <w:numFmt w:val="bullet"/>
      <w:lvlText w:val="•"/>
      <w:lvlJc w:val="left"/>
      <w:pPr>
        <w:tabs>
          <w:tab w:val="num" w:pos="1440"/>
        </w:tabs>
        <w:ind w:left="1440" w:hanging="360"/>
      </w:pPr>
      <w:rPr>
        <w:rFonts w:ascii="Arial" w:hAnsi="Arial" w:hint="default"/>
      </w:rPr>
    </w:lvl>
    <w:lvl w:ilvl="2" w:tplc="BDA63EF2" w:tentative="1">
      <w:start w:val="1"/>
      <w:numFmt w:val="bullet"/>
      <w:lvlText w:val="•"/>
      <w:lvlJc w:val="left"/>
      <w:pPr>
        <w:tabs>
          <w:tab w:val="num" w:pos="2160"/>
        </w:tabs>
        <w:ind w:left="2160" w:hanging="360"/>
      </w:pPr>
      <w:rPr>
        <w:rFonts w:ascii="Arial" w:hAnsi="Arial" w:hint="default"/>
      </w:rPr>
    </w:lvl>
    <w:lvl w:ilvl="3" w:tplc="45620E04" w:tentative="1">
      <w:start w:val="1"/>
      <w:numFmt w:val="bullet"/>
      <w:lvlText w:val="•"/>
      <w:lvlJc w:val="left"/>
      <w:pPr>
        <w:tabs>
          <w:tab w:val="num" w:pos="2880"/>
        </w:tabs>
        <w:ind w:left="2880" w:hanging="360"/>
      </w:pPr>
      <w:rPr>
        <w:rFonts w:ascii="Arial" w:hAnsi="Arial" w:hint="default"/>
      </w:rPr>
    </w:lvl>
    <w:lvl w:ilvl="4" w:tplc="F6E2F6C2" w:tentative="1">
      <w:start w:val="1"/>
      <w:numFmt w:val="bullet"/>
      <w:lvlText w:val="•"/>
      <w:lvlJc w:val="left"/>
      <w:pPr>
        <w:tabs>
          <w:tab w:val="num" w:pos="3600"/>
        </w:tabs>
        <w:ind w:left="3600" w:hanging="360"/>
      </w:pPr>
      <w:rPr>
        <w:rFonts w:ascii="Arial" w:hAnsi="Arial" w:hint="default"/>
      </w:rPr>
    </w:lvl>
    <w:lvl w:ilvl="5" w:tplc="0FEE990E" w:tentative="1">
      <w:start w:val="1"/>
      <w:numFmt w:val="bullet"/>
      <w:lvlText w:val="•"/>
      <w:lvlJc w:val="left"/>
      <w:pPr>
        <w:tabs>
          <w:tab w:val="num" w:pos="4320"/>
        </w:tabs>
        <w:ind w:left="4320" w:hanging="360"/>
      </w:pPr>
      <w:rPr>
        <w:rFonts w:ascii="Arial" w:hAnsi="Arial" w:hint="default"/>
      </w:rPr>
    </w:lvl>
    <w:lvl w:ilvl="6" w:tplc="577CC92A" w:tentative="1">
      <w:start w:val="1"/>
      <w:numFmt w:val="bullet"/>
      <w:lvlText w:val="•"/>
      <w:lvlJc w:val="left"/>
      <w:pPr>
        <w:tabs>
          <w:tab w:val="num" w:pos="5040"/>
        </w:tabs>
        <w:ind w:left="5040" w:hanging="360"/>
      </w:pPr>
      <w:rPr>
        <w:rFonts w:ascii="Arial" w:hAnsi="Arial" w:hint="default"/>
      </w:rPr>
    </w:lvl>
    <w:lvl w:ilvl="7" w:tplc="0E427FF2" w:tentative="1">
      <w:start w:val="1"/>
      <w:numFmt w:val="bullet"/>
      <w:lvlText w:val="•"/>
      <w:lvlJc w:val="left"/>
      <w:pPr>
        <w:tabs>
          <w:tab w:val="num" w:pos="5760"/>
        </w:tabs>
        <w:ind w:left="5760" w:hanging="360"/>
      </w:pPr>
      <w:rPr>
        <w:rFonts w:ascii="Arial" w:hAnsi="Arial" w:hint="default"/>
      </w:rPr>
    </w:lvl>
    <w:lvl w:ilvl="8" w:tplc="C392593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0175B17"/>
    <w:multiLevelType w:val="hybridMultilevel"/>
    <w:tmpl w:val="1658B70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380A29"/>
    <w:multiLevelType w:val="hybridMultilevel"/>
    <w:tmpl w:val="8C9CD992"/>
    <w:lvl w:ilvl="0" w:tplc="2D78C76C">
      <w:numFmt w:val="bullet"/>
      <w:lvlText w:val="•"/>
      <w:lvlJc w:val="left"/>
      <w:pPr>
        <w:ind w:left="1140" w:hanging="720"/>
      </w:pPr>
      <w:rPr>
        <w:rFonts w:ascii="Calibri" w:eastAsiaTheme="minorHAnsi" w:hAnsi="Calibri" w:cs="Calibri"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25C520BD"/>
    <w:multiLevelType w:val="hybridMultilevel"/>
    <w:tmpl w:val="39305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251EBB"/>
    <w:multiLevelType w:val="hybridMultilevel"/>
    <w:tmpl w:val="A5982E18"/>
    <w:lvl w:ilvl="0" w:tplc="EE4A1264">
      <w:start w:val="1"/>
      <w:numFmt w:val="bullet"/>
      <w:lvlText w:val="•"/>
      <w:lvlJc w:val="left"/>
      <w:pPr>
        <w:tabs>
          <w:tab w:val="num" w:pos="720"/>
        </w:tabs>
        <w:ind w:left="720" w:hanging="360"/>
      </w:pPr>
      <w:rPr>
        <w:rFonts w:ascii="Arial" w:hAnsi="Arial" w:hint="default"/>
      </w:rPr>
    </w:lvl>
    <w:lvl w:ilvl="1" w:tplc="CEDA1200" w:tentative="1">
      <w:start w:val="1"/>
      <w:numFmt w:val="bullet"/>
      <w:lvlText w:val="•"/>
      <w:lvlJc w:val="left"/>
      <w:pPr>
        <w:tabs>
          <w:tab w:val="num" w:pos="1440"/>
        </w:tabs>
        <w:ind w:left="1440" w:hanging="360"/>
      </w:pPr>
      <w:rPr>
        <w:rFonts w:ascii="Arial" w:hAnsi="Arial" w:hint="default"/>
      </w:rPr>
    </w:lvl>
    <w:lvl w:ilvl="2" w:tplc="CD8E73B2" w:tentative="1">
      <w:start w:val="1"/>
      <w:numFmt w:val="bullet"/>
      <w:lvlText w:val="•"/>
      <w:lvlJc w:val="left"/>
      <w:pPr>
        <w:tabs>
          <w:tab w:val="num" w:pos="2160"/>
        </w:tabs>
        <w:ind w:left="2160" w:hanging="360"/>
      </w:pPr>
      <w:rPr>
        <w:rFonts w:ascii="Arial" w:hAnsi="Arial" w:hint="default"/>
      </w:rPr>
    </w:lvl>
    <w:lvl w:ilvl="3" w:tplc="EDCAF8B6" w:tentative="1">
      <w:start w:val="1"/>
      <w:numFmt w:val="bullet"/>
      <w:lvlText w:val="•"/>
      <w:lvlJc w:val="left"/>
      <w:pPr>
        <w:tabs>
          <w:tab w:val="num" w:pos="2880"/>
        </w:tabs>
        <w:ind w:left="2880" w:hanging="360"/>
      </w:pPr>
      <w:rPr>
        <w:rFonts w:ascii="Arial" w:hAnsi="Arial" w:hint="default"/>
      </w:rPr>
    </w:lvl>
    <w:lvl w:ilvl="4" w:tplc="E9E6C708" w:tentative="1">
      <w:start w:val="1"/>
      <w:numFmt w:val="bullet"/>
      <w:lvlText w:val="•"/>
      <w:lvlJc w:val="left"/>
      <w:pPr>
        <w:tabs>
          <w:tab w:val="num" w:pos="3600"/>
        </w:tabs>
        <w:ind w:left="3600" w:hanging="360"/>
      </w:pPr>
      <w:rPr>
        <w:rFonts w:ascii="Arial" w:hAnsi="Arial" w:hint="default"/>
      </w:rPr>
    </w:lvl>
    <w:lvl w:ilvl="5" w:tplc="276E0A5C" w:tentative="1">
      <w:start w:val="1"/>
      <w:numFmt w:val="bullet"/>
      <w:lvlText w:val="•"/>
      <w:lvlJc w:val="left"/>
      <w:pPr>
        <w:tabs>
          <w:tab w:val="num" w:pos="4320"/>
        </w:tabs>
        <w:ind w:left="4320" w:hanging="360"/>
      </w:pPr>
      <w:rPr>
        <w:rFonts w:ascii="Arial" w:hAnsi="Arial" w:hint="default"/>
      </w:rPr>
    </w:lvl>
    <w:lvl w:ilvl="6" w:tplc="B3DC8214" w:tentative="1">
      <w:start w:val="1"/>
      <w:numFmt w:val="bullet"/>
      <w:lvlText w:val="•"/>
      <w:lvlJc w:val="left"/>
      <w:pPr>
        <w:tabs>
          <w:tab w:val="num" w:pos="5040"/>
        </w:tabs>
        <w:ind w:left="5040" w:hanging="360"/>
      </w:pPr>
      <w:rPr>
        <w:rFonts w:ascii="Arial" w:hAnsi="Arial" w:hint="default"/>
      </w:rPr>
    </w:lvl>
    <w:lvl w:ilvl="7" w:tplc="CCD6A860" w:tentative="1">
      <w:start w:val="1"/>
      <w:numFmt w:val="bullet"/>
      <w:lvlText w:val="•"/>
      <w:lvlJc w:val="left"/>
      <w:pPr>
        <w:tabs>
          <w:tab w:val="num" w:pos="5760"/>
        </w:tabs>
        <w:ind w:left="5760" w:hanging="360"/>
      </w:pPr>
      <w:rPr>
        <w:rFonts w:ascii="Arial" w:hAnsi="Arial" w:hint="default"/>
      </w:rPr>
    </w:lvl>
    <w:lvl w:ilvl="8" w:tplc="01E2A14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8766E49"/>
    <w:multiLevelType w:val="hybridMultilevel"/>
    <w:tmpl w:val="56A6A570"/>
    <w:lvl w:ilvl="0" w:tplc="297493A8">
      <w:start w:val="1"/>
      <w:numFmt w:val="bullet"/>
      <w:lvlText w:val="•"/>
      <w:lvlJc w:val="left"/>
      <w:pPr>
        <w:tabs>
          <w:tab w:val="num" w:pos="720"/>
        </w:tabs>
        <w:ind w:left="720" w:hanging="360"/>
      </w:pPr>
      <w:rPr>
        <w:rFonts w:ascii="Arial" w:hAnsi="Arial" w:hint="default"/>
      </w:rPr>
    </w:lvl>
    <w:lvl w:ilvl="1" w:tplc="234A288C" w:tentative="1">
      <w:start w:val="1"/>
      <w:numFmt w:val="bullet"/>
      <w:lvlText w:val="•"/>
      <w:lvlJc w:val="left"/>
      <w:pPr>
        <w:tabs>
          <w:tab w:val="num" w:pos="1440"/>
        </w:tabs>
        <w:ind w:left="1440" w:hanging="360"/>
      </w:pPr>
      <w:rPr>
        <w:rFonts w:ascii="Arial" w:hAnsi="Arial" w:hint="default"/>
      </w:rPr>
    </w:lvl>
    <w:lvl w:ilvl="2" w:tplc="0DDE5D8A" w:tentative="1">
      <w:start w:val="1"/>
      <w:numFmt w:val="bullet"/>
      <w:lvlText w:val="•"/>
      <w:lvlJc w:val="left"/>
      <w:pPr>
        <w:tabs>
          <w:tab w:val="num" w:pos="2160"/>
        </w:tabs>
        <w:ind w:left="2160" w:hanging="360"/>
      </w:pPr>
      <w:rPr>
        <w:rFonts w:ascii="Arial" w:hAnsi="Arial" w:hint="default"/>
      </w:rPr>
    </w:lvl>
    <w:lvl w:ilvl="3" w:tplc="E1726F42" w:tentative="1">
      <w:start w:val="1"/>
      <w:numFmt w:val="bullet"/>
      <w:lvlText w:val="•"/>
      <w:lvlJc w:val="left"/>
      <w:pPr>
        <w:tabs>
          <w:tab w:val="num" w:pos="2880"/>
        </w:tabs>
        <w:ind w:left="2880" w:hanging="360"/>
      </w:pPr>
      <w:rPr>
        <w:rFonts w:ascii="Arial" w:hAnsi="Arial" w:hint="default"/>
      </w:rPr>
    </w:lvl>
    <w:lvl w:ilvl="4" w:tplc="D4A0B820" w:tentative="1">
      <w:start w:val="1"/>
      <w:numFmt w:val="bullet"/>
      <w:lvlText w:val="•"/>
      <w:lvlJc w:val="left"/>
      <w:pPr>
        <w:tabs>
          <w:tab w:val="num" w:pos="3600"/>
        </w:tabs>
        <w:ind w:left="3600" w:hanging="360"/>
      </w:pPr>
      <w:rPr>
        <w:rFonts w:ascii="Arial" w:hAnsi="Arial" w:hint="default"/>
      </w:rPr>
    </w:lvl>
    <w:lvl w:ilvl="5" w:tplc="1764A9F2" w:tentative="1">
      <w:start w:val="1"/>
      <w:numFmt w:val="bullet"/>
      <w:lvlText w:val="•"/>
      <w:lvlJc w:val="left"/>
      <w:pPr>
        <w:tabs>
          <w:tab w:val="num" w:pos="4320"/>
        </w:tabs>
        <w:ind w:left="4320" w:hanging="360"/>
      </w:pPr>
      <w:rPr>
        <w:rFonts w:ascii="Arial" w:hAnsi="Arial" w:hint="default"/>
      </w:rPr>
    </w:lvl>
    <w:lvl w:ilvl="6" w:tplc="27265E42" w:tentative="1">
      <w:start w:val="1"/>
      <w:numFmt w:val="bullet"/>
      <w:lvlText w:val="•"/>
      <w:lvlJc w:val="left"/>
      <w:pPr>
        <w:tabs>
          <w:tab w:val="num" w:pos="5040"/>
        </w:tabs>
        <w:ind w:left="5040" w:hanging="360"/>
      </w:pPr>
      <w:rPr>
        <w:rFonts w:ascii="Arial" w:hAnsi="Arial" w:hint="default"/>
      </w:rPr>
    </w:lvl>
    <w:lvl w:ilvl="7" w:tplc="7DAEE26C" w:tentative="1">
      <w:start w:val="1"/>
      <w:numFmt w:val="bullet"/>
      <w:lvlText w:val="•"/>
      <w:lvlJc w:val="left"/>
      <w:pPr>
        <w:tabs>
          <w:tab w:val="num" w:pos="5760"/>
        </w:tabs>
        <w:ind w:left="5760" w:hanging="360"/>
      </w:pPr>
      <w:rPr>
        <w:rFonts w:ascii="Arial" w:hAnsi="Arial" w:hint="default"/>
      </w:rPr>
    </w:lvl>
    <w:lvl w:ilvl="8" w:tplc="0A00E6A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AE84A6E"/>
    <w:multiLevelType w:val="hybridMultilevel"/>
    <w:tmpl w:val="ADD2EE50"/>
    <w:lvl w:ilvl="0" w:tplc="DE6A2FA2">
      <w:numFmt w:val="bullet"/>
      <w:lvlText w:val="-"/>
      <w:lvlJc w:val="left"/>
      <w:pPr>
        <w:ind w:left="417" w:hanging="360"/>
      </w:pPr>
      <w:rPr>
        <w:rFonts w:ascii="Microsoft New Tai Lue" w:eastAsia="MS Mincho" w:hAnsi="Microsoft New Tai Lue" w:cs="Microsoft New Tai Lue"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9" w15:restartNumberingAfterBreak="0">
    <w:nsid w:val="2BBB5D9F"/>
    <w:multiLevelType w:val="hybridMultilevel"/>
    <w:tmpl w:val="286C035E"/>
    <w:lvl w:ilvl="0" w:tplc="239EA864">
      <w:start w:val="1"/>
      <w:numFmt w:val="bullet"/>
      <w:lvlText w:val="•"/>
      <w:lvlJc w:val="left"/>
      <w:pPr>
        <w:tabs>
          <w:tab w:val="num" w:pos="720"/>
        </w:tabs>
        <w:ind w:left="720" w:hanging="360"/>
      </w:pPr>
      <w:rPr>
        <w:rFonts w:ascii="Arial" w:hAnsi="Arial" w:hint="default"/>
      </w:rPr>
    </w:lvl>
    <w:lvl w:ilvl="1" w:tplc="7E0C03B0" w:tentative="1">
      <w:start w:val="1"/>
      <w:numFmt w:val="bullet"/>
      <w:lvlText w:val="•"/>
      <w:lvlJc w:val="left"/>
      <w:pPr>
        <w:tabs>
          <w:tab w:val="num" w:pos="1440"/>
        </w:tabs>
        <w:ind w:left="1440" w:hanging="360"/>
      </w:pPr>
      <w:rPr>
        <w:rFonts w:ascii="Arial" w:hAnsi="Arial" w:hint="default"/>
      </w:rPr>
    </w:lvl>
    <w:lvl w:ilvl="2" w:tplc="F34EA166" w:tentative="1">
      <w:start w:val="1"/>
      <w:numFmt w:val="bullet"/>
      <w:lvlText w:val="•"/>
      <w:lvlJc w:val="left"/>
      <w:pPr>
        <w:tabs>
          <w:tab w:val="num" w:pos="2160"/>
        </w:tabs>
        <w:ind w:left="2160" w:hanging="360"/>
      </w:pPr>
      <w:rPr>
        <w:rFonts w:ascii="Arial" w:hAnsi="Arial" w:hint="default"/>
      </w:rPr>
    </w:lvl>
    <w:lvl w:ilvl="3" w:tplc="5E263816" w:tentative="1">
      <w:start w:val="1"/>
      <w:numFmt w:val="bullet"/>
      <w:lvlText w:val="•"/>
      <w:lvlJc w:val="left"/>
      <w:pPr>
        <w:tabs>
          <w:tab w:val="num" w:pos="2880"/>
        </w:tabs>
        <w:ind w:left="2880" w:hanging="360"/>
      </w:pPr>
      <w:rPr>
        <w:rFonts w:ascii="Arial" w:hAnsi="Arial" w:hint="default"/>
      </w:rPr>
    </w:lvl>
    <w:lvl w:ilvl="4" w:tplc="13FE568A" w:tentative="1">
      <w:start w:val="1"/>
      <w:numFmt w:val="bullet"/>
      <w:lvlText w:val="•"/>
      <w:lvlJc w:val="left"/>
      <w:pPr>
        <w:tabs>
          <w:tab w:val="num" w:pos="3600"/>
        </w:tabs>
        <w:ind w:left="3600" w:hanging="360"/>
      </w:pPr>
      <w:rPr>
        <w:rFonts w:ascii="Arial" w:hAnsi="Arial" w:hint="default"/>
      </w:rPr>
    </w:lvl>
    <w:lvl w:ilvl="5" w:tplc="88B030F6" w:tentative="1">
      <w:start w:val="1"/>
      <w:numFmt w:val="bullet"/>
      <w:lvlText w:val="•"/>
      <w:lvlJc w:val="left"/>
      <w:pPr>
        <w:tabs>
          <w:tab w:val="num" w:pos="4320"/>
        </w:tabs>
        <w:ind w:left="4320" w:hanging="360"/>
      </w:pPr>
      <w:rPr>
        <w:rFonts w:ascii="Arial" w:hAnsi="Arial" w:hint="default"/>
      </w:rPr>
    </w:lvl>
    <w:lvl w:ilvl="6" w:tplc="AAF4DA38" w:tentative="1">
      <w:start w:val="1"/>
      <w:numFmt w:val="bullet"/>
      <w:lvlText w:val="•"/>
      <w:lvlJc w:val="left"/>
      <w:pPr>
        <w:tabs>
          <w:tab w:val="num" w:pos="5040"/>
        </w:tabs>
        <w:ind w:left="5040" w:hanging="360"/>
      </w:pPr>
      <w:rPr>
        <w:rFonts w:ascii="Arial" w:hAnsi="Arial" w:hint="default"/>
      </w:rPr>
    </w:lvl>
    <w:lvl w:ilvl="7" w:tplc="20CED64C" w:tentative="1">
      <w:start w:val="1"/>
      <w:numFmt w:val="bullet"/>
      <w:lvlText w:val="•"/>
      <w:lvlJc w:val="left"/>
      <w:pPr>
        <w:tabs>
          <w:tab w:val="num" w:pos="5760"/>
        </w:tabs>
        <w:ind w:left="5760" w:hanging="360"/>
      </w:pPr>
      <w:rPr>
        <w:rFonts w:ascii="Arial" w:hAnsi="Arial" w:hint="default"/>
      </w:rPr>
    </w:lvl>
    <w:lvl w:ilvl="8" w:tplc="E2F68BD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16D56A7"/>
    <w:multiLevelType w:val="hybridMultilevel"/>
    <w:tmpl w:val="F482E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DD6415"/>
    <w:multiLevelType w:val="hybridMultilevel"/>
    <w:tmpl w:val="1770A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661EF0"/>
    <w:multiLevelType w:val="hybridMultilevel"/>
    <w:tmpl w:val="372E2ED0"/>
    <w:lvl w:ilvl="0" w:tplc="0C09000F">
      <w:start w:val="1"/>
      <w:numFmt w:val="decimal"/>
      <w:lvlText w:val="%1."/>
      <w:lvlJc w:val="left"/>
      <w:pPr>
        <w:ind w:left="536" w:hanging="360"/>
      </w:pPr>
      <w:rPr>
        <w:rFonts w:hint="default"/>
      </w:rPr>
    </w:lvl>
    <w:lvl w:ilvl="1" w:tplc="0C090003" w:tentative="1">
      <w:start w:val="1"/>
      <w:numFmt w:val="bullet"/>
      <w:lvlText w:val="o"/>
      <w:lvlJc w:val="left"/>
      <w:pPr>
        <w:ind w:left="1256" w:hanging="360"/>
      </w:pPr>
      <w:rPr>
        <w:rFonts w:ascii="Courier New" w:hAnsi="Courier New" w:cs="Courier New" w:hint="default"/>
      </w:rPr>
    </w:lvl>
    <w:lvl w:ilvl="2" w:tplc="0C090005" w:tentative="1">
      <w:start w:val="1"/>
      <w:numFmt w:val="bullet"/>
      <w:lvlText w:val=""/>
      <w:lvlJc w:val="left"/>
      <w:pPr>
        <w:ind w:left="1976" w:hanging="360"/>
      </w:pPr>
      <w:rPr>
        <w:rFonts w:ascii="Wingdings" w:hAnsi="Wingdings" w:hint="default"/>
      </w:rPr>
    </w:lvl>
    <w:lvl w:ilvl="3" w:tplc="0C090001" w:tentative="1">
      <w:start w:val="1"/>
      <w:numFmt w:val="bullet"/>
      <w:lvlText w:val=""/>
      <w:lvlJc w:val="left"/>
      <w:pPr>
        <w:ind w:left="2696" w:hanging="360"/>
      </w:pPr>
      <w:rPr>
        <w:rFonts w:ascii="Symbol" w:hAnsi="Symbol" w:hint="default"/>
      </w:rPr>
    </w:lvl>
    <w:lvl w:ilvl="4" w:tplc="0C090003" w:tentative="1">
      <w:start w:val="1"/>
      <w:numFmt w:val="bullet"/>
      <w:lvlText w:val="o"/>
      <w:lvlJc w:val="left"/>
      <w:pPr>
        <w:ind w:left="3416" w:hanging="360"/>
      </w:pPr>
      <w:rPr>
        <w:rFonts w:ascii="Courier New" w:hAnsi="Courier New" w:cs="Courier New" w:hint="default"/>
      </w:rPr>
    </w:lvl>
    <w:lvl w:ilvl="5" w:tplc="0C090005" w:tentative="1">
      <w:start w:val="1"/>
      <w:numFmt w:val="bullet"/>
      <w:lvlText w:val=""/>
      <w:lvlJc w:val="left"/>
      <w:pPr>
        <w:ind w:left="4136" w:hanging="360"/>
      </w:pPr>
      <w:rPr>
        <w:rFonts w:ascii="Wingdings" w:hAnsi="Wingdings" w:hint="default"/>
      </w:rPr>
    </w:lvl>
    <w:lvl w:ilvl="6" w:tplc="0C090001" w:tentative="1">
      <w:start w:val="1"/>
      <w:numFmt w:val="bullet"/>
      <w:lvlText w:val=""/>
      <w:lvlJc w:val="left"/>
      <w:pPr>
        <w:ind w:left="4856" w:hanging="360"/>
      </w:pPr>
      <w:rPr>
        <w:rFonts w:ascii="Symbol" w:hAnsi="Symbol" w:hint="default"/>
      </w:rPr>
    </w:lvl>
    <w:lvl w:ilvl="7" w:tplc="0C090003" w:tentative="1">
      <w:start w:val="1"/>
      <w:numFmt w:val="bullet"/>
      <w:lvlText w:val="o"/>
      <w:lvlJc w:val="left"/>
      <w:pPr>
        <w:ind w:left="5576" w:hanging="360"/>
      </w:pPr>
      <w:rPr>
        <w:rFonts w:ascii="Courier New" w:hAnsi="Courier New" w:cs="Courier New" w:hint="default"/>
      </w:rPr>
    </w:lvl>
    <w:lvl w:ilvl="8" w:tplc="0C090005" w:tentative="1">
      <w:start w:val="1"/>
      <w:numFmt w:val="bullet"/>
      <w:lvlText w:val=""/>
      <w:lvlJc w:val="left"/>
      <w:pPr>
        <w:ind w:left="6296" w:hanging="360"/>
      </w:pPr>
      <w:rPr>
        <w:rFonts w:ascii="Wingdings" w:hAnsi="Wingdings" w:hint="default"/>
      </w:rPr>
    </w:lvl>
  </w:abstractNum>
  <w:abstractNum w:abstractNumId="23" w15:restartNumberingAfterBreak="0">
    <w:nsid w:val="39DC6DA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DC27AA4"/>
    <w:multiLevelType w:val="hybridMultilevel"/>
    <w:tmpl w:val="601EED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5C7EF2"/>
    <w:multiLevelType w:val="hybridMultilevel"/>
    <w:tmpl w:val="E96ED82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02A4525"/>
    <w:multiLevelType w:val="hybridMultilevel"/>
    <w:tmpl w:val="B7A268D6"/>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7" w15:restartNumberingAfterBreak="0">
    <w:nsid w:val="46532378"/>
    <w:multiLevelType w:val="hybridMultilevel"/>
    <w:tmpl w:val="DD18A6C0"/>
    <w:lvl w:ilvl="0" w:tplc="A430755A">
      <w:start w:val="1"/>
      <w:numFmt w:val="decimal"/>
      <w:lvlText w:val="%1."/>
      <w:lvlJc w:val="left"/>
      <w:pPr>
        <w:ind w:left="896" w:hanging="720"/>
      </w:pPr>
      <w:rPr>
        <w:rFonts w:hint="default"/>
      </w:rPr>
    </w:lvl>
    <w:lvl w:ilvl="1" w:tplc="0C090017">
      <w:start w:val="1"/>
      <w:numFmt w:val="lowerLetter"/>
      <w:lvlText w:val="%2)"/>
      <w:lvlJc w:val="left"/>
      <w:pPr>
        <w:ind w:left="1256" w:hanging="360"/>
      </w:pPr>
    </w:lvl>
    <w:lvl w:ilvl="2" w:tplc="0C09001B" w:tentative="1">
      <w:start w:val="1"/>
      <w:numFmt w:val="lowerRoman"/>
      <w:lvlText w:val="%3."/>
      <w:lvlJc w:val="right"/>
      <w:pPr>
        <w:ind w:left="1976" w:hanging="180"/>
      </w:pPr>
    </w:lvl>
    <w:lvl w:ilvl="3" w:tplc="0C09000F" w:tentative="1">
      <w:start w:val="1"/>
      <w:numFmt w:val="decimal"/>
      <w:lvlText w:val="%4."/>
      <w:lvlJc w:val="left"/>
      <w:pPr>
        <w:ind w:left="2696" w:hanging="360"/>
      </w:pPr>
    </w:lvl>
    <w:lvl w:ilvl="4" w:tplc="0C090019" w:tentative="1">
      <w:start w:val="1"/>
      <w:numFmt w:val="lowerLetter"/>
      <w:lvlText w:val="%5."/>
      <w:lvlJc w:val="left"/>
      <w:pPr>
        <w:ind w:left="3416" w:hanging="360"/>
      </w:pPr>
    </w:lvl>
    <w:lvl w:ilvl="5" w:tplc="0C09001B" w:tentative="1">
      <w:start w:val="1"/>
      <w:numFmt w:val="lowerRoman"/>
      <w:lvlText w:val="%6."/>
      <w:lvlJc w:val="right"/>
      <w:pPr>
        <w:ind w:left="4136" w:hanging="180"/>
      </w:pPr>
    </w:lvl>
    <w:lvl w:ilvl="6" w:tplc="0C09000F" w:tentative="1">
      <w:start w:val="1"/>
      <w:numFmt w:val="decimal"/>
      <w:lvlText w:val="%7."/>
      <w:lvlJc w:val="left"/>
      <w:pPr>
        <w:ind w:left="4856" w:hanging="360"/>
      </w:pPr>
    </w:lvl>
    <w:lvl w:ilvl="7" w:tplc="0C090019" w:tentative="1">
      <w:start w:val="1"/>
      <w:numFmt w:val="lowerLetter"/>
      <w:lvlText w:val="%8."/>
      <w:lvlJc w:val="left"/>
      <w:pPr>
        <w:ind w:left="5576" w:hanging="360"/>
      </w:pPr>
    </w:lvl>
    <w:lvl w:ilvl="8" w:tplc="0C09001B" w:tentative="1">
      <w:start w:val="1"/>
      <w:numFmt w:val="lowerRoman"/>
      <w:lvlText w:val="%9."/>
      <w:lvlJc w:val="right"/>
      <w:pPr>
        <w:ind w:left="6296" w:hanging="180"/>
      </w:pPr>
    </w:lvl>
  </w:abstractNum>
  <w:abstractNum w:abstractNumId="28" w15:restartNumberingAfterBreak="0">
    <w:nsid w:val="4A991782"/>
    <w:multiLevelType w:val="hybridMultilevel"/>
    <w:tmpl w:val="2E7A4B1C"/>
    <w:lvl w:ilvl="0" w:tplc="EB98C0CA">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BF37144"/>
    <w:multiLevelType w:val="hybridMultilevel"/>
    <w:tmpl w:val="04325A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E252ABD"/>
    <w:multiLevelType w:val="hybridMultilevel"/>
    <w:tmpl w:val="8E329722"/>
    <w:lvl w:ilvl="0" w:tplc="EE4A126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C33993"/>
    <w:multiLevelType w:val="hybridMultilevel"/>
    <w:tmpl w:val="F5FA0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21A7EED"/>
    <w:multiLevelType w:val="hybridMultilevel"/>
    <w:tmpl w:val="1FE0145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3" w15:restartNumberingAfterBreak="0">
    <w:nsid w:val="55247D29"/>
    <w:multiLevelType w:val="hybridMultilevel"/>
    <w:tmpl w:val="A59E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55B5362"/>
    <w:multiLevelType w:val="hybridMultilevel"/>
    <w:tmpl w:val="5776DE5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5" w15:restartNumberingAfterBreak="0">
    <w:nsid w:val="572F6798"/>
    <w:multiLevelType w:val="hybridMultilevel"/>
    <w:tmpl w:val="F2983FEE"/>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36" w15:restartNumberingAfterBreak="0">
    <w:nsid w:val="5C0B6480"/>
    <w:multiLevelType w:val="hybridMultilevel"/>
    <w:tmpl w:val="37D0A9A2"/>
    <w:lvl w:ilvl="0" w:tplc="A430755A">
      <w:start w:val="1"/>
      <w:numFmt w:val="decimal"/>
      <w:lvlText w:val="%1."/>
      <w:lvlJc w:val="left"/>
      <w:pPr>
        <w:ind w:left="896" w:hanging="720"/>
      </w:pPr>
      <w:rPr>
        <w:rFonts w:hint="default"/>
      </w:rPr>
    </w:lvl>
    <w:lvl w:ilvl="1" w:tplc="0C090019">
      <w:start w:val="1"/>
      <w:numFmt w:val="lowerLetter"/>
      <w:lvlText w:val="%2."/>
      <w:lvlJc w:val="left"/>
      <w:pPr>
        <w:ind w:left="1256" w:hanging="360"/>
      </w:pPr>
    </w:lvl>
    <w:lvl w:ilvl="2" w:tplc="0C09001B" w:tentative="1">
      <w:start w:val="1"/>
      <w:numFmt w:val="lowerRoman"/>
      <w:lvlText w:val="%3."/>
      <w:lvlJc w:val="right"/>
      <w:pPr>
        <w:ind w:left="1976" w:hanging="180"/>
      </w:pPr>
    </w:lvl>
    <w:lvl w:ilvl="3" w:tplc="0C09000F" w:tentative="1">
      <w:start w:val="1"/>
      <w:numFmt w:val="decimal"/>
      <w:lvlText w:val="%4."/>
      <w:lvlJc w:val="left"/>
      <w:pPr>
        <w:ind w:left="2696" w:hanging="360"/>
      </w:pPr>
    </w:lvl>
    <w:lvl w:ilvl="4" w:tplc="0C090019" w:tentative="1">
      <w:start w:val="1"/>
      <w:numFmt w:val="lowerLetter"/>
      <w:lvlText w:val="%5."/>
      <w:lvlJc w:val="left"/>
      <w:pPr>
        <w:ind w:left="3416" w:hanging="360"/>
      </w:pPr>
    </w:lvl>
    <w:lvl w:ilvl="5" w:tplc="0C09001B" w:tentative="1">
      <w:start w:val="1"/>
      <w:numFmt w:val="lowerRoman"/>
      <w:lvlText w:val="%6."/>
      <w:lvlJc w:val="right"/>
      <w:pPr>
        <w:ind w:left="4136" w:hanging="180"/>
      </w:pPr>
    </w:lvl>
    <w:lvl w:ilvl="6" w:tplc="0C09000F" w:tentative="1">
      <w:start w:val="1"/>
      <w:numFmt w:val="decimal"/>
      <w:lvlText w:val="%7."/>
      <w:lvlJc w:val="left"/>
      <w:pPr>
        <w:ind w:left="4856" w:hanging="360"/>
      </w:pPr>
    </w:lvl>
    <w:lvl w:ilvl="7" w:tplc="0C090019" w:tentative="1">
      <w:start w:val="1"/>
      <w:numFmt w:val="lowerLetter"/>
      <w:lvlText w:val="%8."/>
      <w:lvlJc w:val="left"/>
      <w:pPr>
        <w:ind w:left="5576" w:hanging="360"/>
      </w:pPr>
    </w:lvl>
    <w:lvl w:ilvl="8" w:tplc="0C09001B" w:tentative="1">
      <w:start w:val="1"/>
      <w:numFmt w:val="lowerRoman"/>
      <w:lvlText w:val="%9."/>
      <w:lvlJc w:val="right"/>
      <w:pPr>
        <w:ind w:left="6296" w:hanging="180"/>
      </w:pPr>
    </w:lvl>
  </w:abstractNum>
  <w:abstractNum w:abstractNumId="37" w15:restartNumberingAfterBreak="0">
    <w:nsid w:val="5C3B0321"/>
    <w:multiLevelType w:val="hybridMultilevel"/>
    <w:tmpl w:val="4BA42CC8"/>
    <w:lvl w:ilvl="0" w:tplc="6DA49288">
      <w:start w:val="1"/>
      <w:numFmt w:val="bullet"/>
      <w:lvlText w:val="•"/>
      <w:lvlJc w:val="left"/>
      <w:pPr>
        <w:tabs>
          <w:tab w:val="num" w:pos="720"/>
        </w:tabs>
        <w:ind w:left="720" w:hanging="360"/>
      </w:pPr>
      <w:rPr>
        <w:rFonts w:ascii="Arial" w:hAnsi="Arial" w:hint="default"/>
      </w:rPr>
    </w:lvl>
    <w:lvl w:ilvl="1" w:tplc="DE24BFF2" w:tentative="1">
      <w:start w:val="1"/>
      <w:numFmt w:val="bullet"/>
      <w:lvlText w:val="•"/>
      <w:lvlJc w:val="left"/>
      <w:pPr>
        <w:tabs>
          <w:tab w:val="num" w:pos="1440"/>
        </w:tabs>
        <w:ind w:left="1440" w:hanging="360"/>
      </w:pPr>
      <w:rPr>
        <w:rFonts w:ascii="Arial" w:hAnsi="Arial" w:hint="default"/>
      </w:rPr>
    </w:lvl>
    <w:lvl w:ilvl="2" w:tplc="54CED5C6" w:tentative="1">
      <w:start w:val="1"/>
      <w:numFmt w:val="bullet"/>
      <w:lvlText w:val="•"/>
      <w:lvlJc w:val="left"/>
      <w:pPr>
        <w:tabs>
          <w:tab w:val="num" w:pos="2160"/>
        </w:tabs>
        <w:ind w:left="2160" w:hanging="360"/>
      </w:pPr>
      <w:rPr>
        <w:rFonts w:ascii="Arial" w:hAnsi="Arial" w:hint="default"/>
      </w:rPr>
    </w:lvl>
    <w:lvl w:ilvl="3" w:tplc="BA8E6D8C" w:tentative="1">
      <w:start w:val="1"/>
      <w:numFmt w:val="bullet"/>
      <w:lvlText w:val="•"/>
      <w:lvlJc w:val="left"/>
      <w:pPr>
        <w:tabs>
          <w:tab w:val="num" w:pos="2880"/>
        </w:tabs>
        <w:ind w:left="2880" w:hanging="360"/>
      </w:pPr>
      <w:rPr>
        <w:rFonts w:ascii="Arial" w:hAnsi="Arial" w:hint="default"/>
      </w:rPr>
    </w:lvl>
    <w:lvl w:ilvl="4" w:tplc="29CE27E4" w:tentative="1">
      <w:start w:val="1"/>
      <w:numFmt w:val="bullet"/>
      <w:lvlText w:val="•"/>
      <w:lvlJc w:val="left"/>
      <w:pPr>
        <w:tabs>
          <w:tab w:val="num" w:pos="3600"/>
        </w:tabs>
        <w:ind w:left="3600" w:hanging="360"/>
      </w:pPr>
      <w:rPr>
        <w:rFonts w:ascii="Arial" w:hAnsi="Arial" w:hint="default"/>
      </w:rPr>
    </w:lvl>
    <w:lvl w:ilvl="5" w:tplc="D44E6B56" w:tentative="1">
      <w:start w:val="1"/>
      <w:numFmt w:val="bullet"/>
      <w:lvlText w:val="•"/>
      <w:lvlJc w:val="left"/>
      <w:pPr>
        <w:tabs>
          <w:tab w:val="num" w:pos="4320"/>
        </w:tabs>
        <w:ind w:left="4320" w:hanging="360"/>
      </w:pPr>
      <w:rPr>
        <w:rFonts w:ascii="Arial" w:hAnsi="Arial" w:hint="default"/>
      </w:rPr>
    </w:lvl>
    <w:lvl w:ilvl="6" w:tplc="2F648C9A" w:tentative="1">
      <w:start w:val="1"/>
      <w:numFmt w:val="bullet"/>
      <w:lvlText w:val="•"/>
      <w:lvlJc w:val="left"/>
      <w:pPr>
        <w:tabs>
          <w:tab w:val="num" w:pos="5040"/>
        </w:tabs>
        <w:ind w:left="5040" w:hanging="360"/>
      </w:pPr>
      <w:rPr>
        <w:rFonts w:ascii="Arial" w:hAnsi="Arial" w:hint="default"/>
      </w:rPr>
    </w:lvl>
    <w:lvl w:ilvl="7" w:tplc="7496FD26" w:tentative="1">
      <w:start w:val="1"/>
      <w:numFmt w:val="bullet"/>
      <w:lvlText w:val="•"/>
      <w:lvlJc w:val="left"/>
      <w:pPr>
        <w:tabs>
          <w:tab w:val="num" w:pos="5760"/>
        </w:tabs>
        <w:ind w:left="5760" w:hanging="360"/>
      </w:pPr>
      <w:rPr>
        <w:rFonts w:ascii="Arial" w:hAnsi="Arial" w:hint="default"/>
      </w:rPr>
    </w:lvl>
    <w:lvl w:ilvl="8" w:tplc="3BE40E6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E1F0C4C"/>
    <w:multiLevelType w:val="hybridMultilevel"/>
    <w:tmpl w:val="DB328ACA"/>
    <w:lvl w:ilvl="0" w:tplc="0C09000F">
      <w:start w:val="1"/>
      <w:numFmt w:val="decimal"/>
      <w:lvlText w:val="%1."/>
      <w:lvlJc w:val="left"/>
      <w:pPr>
        <w:ind w:left="536" w:hanging="360"/>
      </w:pPr>
      <w:rPr>
        <w:rFonts w:hint="default"/>
      </w:rPr>
    </w:lvl>
    <w:lvl w:ilvl="1" w:tplc="0C090003" w:tentative="1">
      <w:start w:val="1"/>
      <w:numFmt w:val="bullet"/>
      <w:lvlText w:val="o"/>
      <w:lvlJc w:val="left"/>
      <w:pPr>
        <w:ind w:left="1256" w:hanging="360"/>
      </w:pPr>
      <w:rPr>
        <w:rFonts w:ascii="Courier New" w:hAnsi="Courier New" w:cs="Courier New" w:hint="default"/>
      </w:rPr>
    </w:lvl>
    <w:lvl w:ilvl="2" w:tplc="0C090005" w:tentative="1">
      <w:start w:val="1"/>
      <w:numFmt w:val="bullet"/>
      <w:lvlText w:val=""/>
      <w:lvlJc w:val="left"/>
      <w:pPr>
        <w:ind w:left="1976" w:hanging="360"/>
      </w:pPr>
      <w:rPr>
        <w:rFonts w:ascii="Wingdings" w:hAnsi="Wingdings" w:hint="default"/>
      </w:rPr>
    </w:lvl>
    <w:lvl w:ilvl="3" w:tplc="0C090001" w:tentative="1">
      <w:start w:val="1"/>
      <w:numFmt w:val="bullet"/>
      <w:lvlText w:val=""/>
      <w:lvlJc w:val="left"/>
      <w:pPr>
        <w:ind w:left="2696" w:hanging="360"/>
      </w:pPr>
      <w:rPr>
        <w:rFonts w:ascii="Symbol" w:hAnsi="Symbol" w:hint="default"/>
      </w:rPr>
    </w:lvl>
    <w:lvl w:ilvl="4" w:tplc="0C090003" w:tentative="1">
      <w:start w:val="1"/>
      <w:numFmt w:val="bullet"/>
      <w:lvlText w:val="o"/>
      <w:lvlJc w:val="left"/>
      <w:pPr>
        <w:ind w:left="3416" w:hanging="360"/>
      </w:pPr>
      <w:rPr>
        <w:rFonts w:ascii="Courier New" w:hAnsi="Courier New" w:cs="Courier New" w:hint="default"/>
      </w:rPr>
    </w:lvl>
    <w:lvl w:ilvl="5" w:tplc="0C090005" w:tentative="1">
      <w:start w:val="1"/>
      <w:numFmt w:val="bullet"/>
      <w:lvlText w:val=""/>
      <w:lvlJc w:val="left"/>
      <w:pPr>
        <w:ind w:left="4136" w:hanging="360"/>
      </w:pPr>
      <w:rPr>
        <w:rFonts w:ascii="Wingdings" w:hAnsi="Wingdings" w:hint="default"/>
      </w:rPr>
    </w:lvl>
    <w:lvl w:ilvl="6" w:tplc="0C090001" w:tentative="1">
      <w:start w:val="1"/>
      <w:numFmt w:val="bullet"/>
      <w:lvlText w:val=""/>
      <w:lvlJc w:val="left"/>
      <w:pPr>
        <w:ind w:left="4856" w:hanging="360"/>
      </w:pPr>
      <w:rPr>
        <w:rFonts w:ascii="Symbol" w:hAnsi="Symbol" w:hint="default"/>
      </w:rPr>
    </w:lvl>
    <w:lvl w:ilvl="7" w:tplc="0C090003" w:tentative="1">
      <w:start w:val="1"/>
      <w:numFmt w:val="bullet"/>
      <w:lvlText w:val="o"/>
      <w:lvlJc w:val="left"/>
      <w:pPr>
        <w:ind w:left="5576" w:hanging="360"/>
      </w:pPr>
      <w:rPr>
        <w:rFonts w:ascii="Courier New" w:hAnsi="Courier New" w:cs="Courier New" w:hint="default"/>
      </w:rPr>
    </w:lvl>
    <w:lvl w:ilvl="8" w:tplc="0C090005" w:tentative="1">
      <w:start w:val="1"/>
      <w:numFmt w:val="bullet"/>
      <w:lvlText w:val=""/>
      <w:lvlJc w:val="left"/>
      <w:pPr>
        <w:ind w:left="6296" w:hanging="360"/>
      </w:pPr>
      <w:rPr>
        <w:rFonts w:ascii="Wingdings" w:hAnsi="Wingdings" w:hint="default"/>
      </w:rPr>
    </w:lvl>
  </w:abstractNum>
  <w:abstractNum w:abstractNumId="39" w15:restartNumberingAfterBreak="0">
    <w:nsid w:val="60CE021D"/>
    <w:multiLevelType w:val="hybridMultilevel"/>
    <w:tmpl w:val="C36A5DCA"/>
    <w:lvl w:ilvl="0" w:tplc="257687D0">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2FF244B"/>
    <w:multiLevelType w:val="hybridMultilevel"/>
    <w:tmpl w:val="372E2ED0"/>
    <w:lvl w:ilvl="0" w:tplc="0C09000F">
      <w:start w:val="1"/>
      <w:numFmt w:val="decimal"/>
      <w:lvlText w:val="%1."/>
      <w:lvlJc w:val="left"/>
      <w:pPr>
        <w:ind w:left="536" w:hanging="360"/>
      </w:pPr>
      <w:rPr>
        <w:rFonts w:hint="default"/>
      </w:rPr>
    </w:lvl>
    <w:lvl w:ilvl="1" w:tplc="0C090003" w:tentative="1">
      <w:start w:val="1"/>
      <w:numFmt w:val="bullet"/>
      <w:lvlText w:val="o"/>
      <w:lvlJc w:val="left"/>
      <w:pPr>
        <w:ind w:left="1256" w:hanging="360"/>
      </w:pPr>
      <w:rPr>
        <w:rFonts w:ascii="Courier New" w:hAnsi="Courier New" w:cs="Courier New" w:hint="default"/>
      </w:rPr>
    </w:lvl>
    <w:lvl w:ilvl="2" w:tplc="0C090005" w:tentative="1">
      <w:start w:val="1"/>
      <w:numFmt w:val="bullet"/>
      <w:lvlText w:val=""/>
      <w:lvlJc w:val="left"/>
      <w:pPr>
        <w:ind w:left="1976" w:hanging="360"/>
      </w:pPr>
      <w:rPr>
        <w:rFonts w:ascii="Wingdings" w:hAnsi="Wingdings" w:hint="default"/>
      </w:rPr>
    </w:lvl>
    <w:lvl w:ilvl="3" w:tplc="0C090001" w:tentative="1">
      <w:start w:val="1"/>
      <w:numFmt w:val="bullet"/>
      <w:lvlText w:val=""/>
      <w:lvlJc w:val="left"/>
      <w:pPr>
        <w:ind w:left="2696" w:hanging="360"/>
      </w:pPr>
      <w:rPr>
        <w:rFonts w:ascii="Symbol" w:hAnsi="Symbol" w:hint="default"/>
      </w:rPr>
    </w:lvl>
    <w:lvl w:ilvl="4" w:tplc="0C090003" w:tentative="1">
      <w:start w:val="1"/>
      <w:numFmt w:val="bullet"/>
      <w:lvlText w:val="o"/>
      <w:lvlJc w:val="left"/>
      <w:pPr>
        <w:ind w:left="3416" w:hanging="360"/>
      </w:pPr>
      <w:rPr>
        <w:rFonts w:ascii="Courier New" w:hAnsi="Courier New" w:cs="Courier New" w:hint="default"/>
      </w:rPr>
    </w:lvl>
    <w:lvl w:ilvl="5" w:tplc="0C090005" w:tentative="1">
      <w:start w:val="1"/>
      <w:numFmt w:val="bullet"/>
      <w:lvlText w:val=""/>
      <w:lvlJc w:val="left"/>
      <w:pPr>
        <w:ind w:left="4136" w:hanging="360"/>
      </w:pPr>
      <w:rPr>
        <w:rFonts w:ascii="Wingdings" w:hAnsi="Wingdings" w:hint="default"/>
      </w:rPr>
    </w:lvl>
    <w:lvl w:ilvl="6" w:tplc="0C090001" w:tentative="1">
      <w:start w:val="1"/>
      <w:numFmt w:val="bullet"/>
      <w:lvlText w:val=""/>
      <w:lvlJc w:val="left"/>
      <w:pPr>
        <w:ind w:left="4856" w:hanging="360"/>
      </w:pPr>
      <w:rPr>
        <w:rFonts w:ascii="Symbol" w:hAnsi="Symbol" w:hint="default"/>
      </w:rPr>
    </w:lvl>
    <w:lvl w:ilvl="7" w:tplc="0C090003" w:tentative="1">
      <w:start w:val="1"/>
      <w:numFmt w:val="bullet"/>
      <w:lvlText w:val="o"/>
      <w:lvlJc w:val="left"/>
      <w:pPr>
        <w:ind w:left="5576" w:hanging="360"/>
      </w:pPr>
      <w:rPr>
        <w:rFonts w:ascii="Courier New" w:hAnsi="Courier New" w:cs="Courier New" w:hint="default"/>
      </w:rPr>
    </w:lvl>
    <w:lvl w:ilvl="8" w:tplc="0C090005" w:tentative="1">
      <w:start w:val="1"/>
      <w:numFmt w:val="bullet"/>
      <w:lvlText w:val=""/>
      <w:lvlJc w:val="left"/>
      <w:pPr>
        <w:ind w:left="6296" w:hanging="360"/>
      </w:pPr>
      <w:rPr>
        <w:rFonts w:ascii="Wingdings" w:hAnsi="Wingdings" w:hint="default"/>
      </w:rPr>
    </w:lvl>
  </w:abstractNum>
  <w:abstractNum w:abstractNumId="41" w15:restartNumberingAfterBreak="0">
    <w:nsid w:val="644B5F43"/>
    <w:multiLevelType w:val="hybridMultilevel"/>
    <w:tmpl w:val="AC16666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54B320D"/>
    <w:multiLevelType w:val="hybridMultilevel"/>
    <w:tmpl w:val="37D0A9A2"/>
    <w:lvl w:ilvl="0" w:tplc="A430755A">
      <w:start w:val="1"/>
      <w:numFmt w:val="decimal"/>
      <w:lvlText w:val="%1."/>
      <w:lvlJc w:val="left"/>
      <w:pPr>
        <w:ind w:left="896" w:hanging="720"/>
      </w:pPr>
      <w:rPr>
        <w:rFonts w:hint="default"/>
      </w:rPr>
    </w:lvl>
    <w:lvl w:ilvl="1" w:tplc="0C090019">
      <w:start w:val="1"/>
      <w:numFmt w:val="lowerLetter"/>
      <w:lvlText w:val="%2."/>
      <w:lvlJc w:val="left"/>
      <w:pPr>
        <w:ind w:left="1256" w:hanging="360"/>
      </w:pPr>
    </w:lvl>
    <w:lvl w:ilvl="2" w:tplc="0C09001B" w:tentative="1">
      <w:start w:val="1"/>
      <w:numFmt w:val="lowerRoman"/>
      <w:lvlText w:val="%3."/>
      <w:lvlJc w:val="right"/>
      <w:pPr>
        <w:ind w:left="1976" w:hanging="180"/>
      </w:pPr>
    </w:lvl>
    <w:lvl w:ilvl="3" w:tplc="0C09000F" w:tentative="1">
      <w:start w:val="1"/>
      <w:numFmt w:val="decimal"/>
      <w:lvlText w:val="%4."/>
      <w:lvlJc w:val="left"/>
      <w:pPr>
        <w:ind w:left="2696" w:hanging="360"/>
      </w:pPr>
    </w:lvl>
    <w:lvl w:ilvl="4" w:tplc="0C090019" w:tentative="1">
      <w:start w:val="1"/>
      <w:numFmt w:val="lowerLetter"/>
      <w:lvlText w:val="%5."/>
      <w:lvlJc w:val="left"/>
      <w:pPr>
        <w:ind w:left="3416" w:hanging="360"/>
      </w:pPr>
    </w:lvl>
    <w:lvl w:ilvl="5" w:tplc="0C09001B" w:tentative="1">
      <w:start w:val="1"/>
      <w:numFmt w:val="lowerRoman"/>
      <w:lvlText w:val="%6."/>
      <w:lvlJc w:val="right"/>
      <w:pPr>
        <w:ind w:left="4136" w:hanging="180"/>
      </w:pPr>
    </w:lvl>
    <w:lvl w:ilvl="6" w:tplc="0C09000F" w:tentative="1">
      <w:start w:val="1"/>
      <w:numFmt w:val="decimal"/>
      <w:lvlText w:val="%7."/>
      <w:lvlJc w:val="left"/>
      <w:pPr>
        <w:ind w:left="4856" w:hanging="360"/>
      </w:pPr>
    </w:lvl>
    <w:lvl w:ilvl="7" w:tplc="0C090019" w:tentative="1">
      <w:start w:val="1"/>
      <w:numFmt w:val="lowerLetter"/>
      <w:lvlText w:val="%8."/>
      <w:lvlJc w:val="left"/>
      <w:pPr>
        <w:ind w:left="5576" w:hanging="360"/>
      </w:pPr>
    </w:lvl>
    <w:lvl w:ilvl="8" w:tplc="0C09001B" w:tentative="1">
      <w:start w:val="1"/>
      <w:numFmt w:val="lowerRoman"/>
      <w:lvlText w:val="%9."/>
      <w:lvlJc w:val="right"/>
      <w:pPr>
        <w:ind w:left="6296" w:hanging="180"/>
      </w:pPr>
    </w:lvl>
  </w:abstractNum>
  <w:abstractNum w:abstractNumId="43" w15:restartNumberingAfterBreak="0">
    <w:nsid w:val="66D834A0"/>
    <w:multiLevelType w:val="hybridMultilevel"/>
    <w:tmpl w:val="363CF70E"/>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44" w15:restartNumberingAfterBreak="0">
    <w:nsid w:val="67C12389"/>
    <w:multiLevelType w:val="hybridMultilevel"/>
    <w:tmpl w:val="60449C80"/>
    <w:lvl w:ilvl="0" w:tplc="535E978C">
      <w:numFmt w:val="bullet"/>
      <w:lvlText w:val="-"/>
      <w:lvlJc w:val="left"/>
      <w:pPr>
        <w:ind w:left="420" w:hanging="360"/>
      </w:pPr>
      <w:rPr>
        <w:rFonts w:ascii="Microsoft New Tai Lue" w:eastAsia="MS Mincho" w:hAnsi="Microsoft New Tai Lue" w:cs="Microsoft New Tai Lue"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45" w15:restartNumberingAfterBreak="0">
    <w:nsid w:val="68FC5AB5"/>
    <w:multiLevelType w:val="hybridMultilevel"/>
    <w:tmpl w:val="58C26504"/>
    <w:lvl w:ilvl="0" w:tplc="E7AEA772">
      <w:start w:val="1"/>
      <w:numFmt w:val="bullet"/>
      <w:lvlText w:val="•"/>
      <w:lvlJc w:val="left"/>
      <w:pPr>
        <w:tabs>
          <w:tab w:val="num" w:pos="720"/>
        </w:tabs>
        <w:ind w:left="720" w:hanging="360"/>
      </w:pPr>
      <w:rPr>
        <w:rFonts w:ascii="Arial" w:hAnsi="Arial" w:hint="default"/>
      </w:rPr>
    </w:lvl>
    <w:lvl w:ilvl="1" w:tplc="30CC4FEC" w:tentative="1">
      <w:start w:val="1"/>
      <w:numFmt w:val="bullet"/>
      <w:lvlText w:val="•"/>
      <w:lvlJc w:val="left"/>
      <w:pPr>
        <w:tabs>
          <w:tab w:val="num" w:pos="1440"/>
        </w:tabs>
        <w:ind w:left="1440" w:hanging="360"/>
      </w:pPr>
      <w:rPr>
        <w:rFonts w:ascii="Arial" w:hAnsi="Arial" w:hint="default"/>
      </w:rPr>
    </w:lvl>
    <w:lvl w:ilvl="2" w:tplc="7908BB0C" w:tentative="1">
      <w:start w:val="1"/>
      <w:numFmt w:val="bullet"/>
      <w:lvlText w:val="•"/>
      <w:lvlJc w:val="left"/>
      <w:pPr>
        <w:tabs>
          <w:tab w:val="num" w:pos="2160"/>
        </w:tabs>
        <w:ind w:left="2160" w:hanging="360"/>
      </w:pPr>
      <w:rPr>
        <w:rFonts w:ascii="Arial" w:hAnsi="Arial" w:hint="default"/>
      </w:rPr>
    </w:lvl>
    <w:lvl w:ilvl="3" w:tplc="515A4282" w:tentative="1">
      <w:start w:val="1"/>
      <w:numFmt w:val="bullet"/>
      <w:lvlText w:val="•"/>
      <w:lvlJc w:val="left"/>
      <w:pPr>
        <w:tabs>
          <w:tab w:val="num" w:pos="2880"/>
        </w:tabs>
        <w:ind w:left="2880" w:hanging="360"/>
      </w:pPr>
      <w:rPr>
        <w:rFonts w:ascii="Arial" w:hAnsi="Arial" w:hint="default"/>
      </w:rPr>
    </w:lvl>
    <w:lvl w:ilvl="4" w:tplc="F5647E30" w:tentative="1">
      <w:start w:val="1"/>
      <w:numFmt w:val="bullet"/>
      <w:lvlText w:val="•"/>
      <w:lvlJc w:val="left"/>
      <w:pPr>
        <w:tabs>
          <w:tab w:val="num" w:pos="3600"/>
        </w:tabs>
        <w:ind w:left="3600" w:hanging="360"/>
      </w:pPr>
      <w:rPr>
        <w:rFonts w:ascii="Arial" w:hAnsi="Arial" w:hint="default"/>
      </w:rPr>
    </w:lvl>
    <w:lvl w:ilvl="5" w:tplc="8D16F7A2" w:tentative="1">
      <w:start w:val="1"/>
      <w:numFmt w:val="bullet"/>
      <w:lvlText w:val="•"/>
      <w:lvlJc w:val="left"/>
      <w:pPr>
        <w:tabs>
          <w:tab w:val="num" w:pos="4320"/>
        </w:tabs>
        <w:ind w:left="4320" w:hanging="360"/>
      </w:pPr>
      <w:rPr>
        <w:rFonts w:ascii="Arial" w:hAnsi="Arial" w:hint="default"/>
      </w:rPr>
    </w:lvl>
    <w:lvl w:ilvl="6" w:tplc="C43475D2" w:tentative="1">
      <w:start w:val="1"/>
      <w:numFmt w:val="bullet"/>
      <w:lvlText w:val="•"/>
      <w:lvlJc w:val="left"/>
      <w:pPr>
        <w:tabs>
          <w:tab w:val="num" w:pos="5040"/>
        </w:tabs>
        <w:ind w:left="5040" w:hanging="360"/>
      </w:pPr>
      <w:rPr>
        <w:rFonts w:ascii="Arial" w:hAnsi="Arial" w:hint="default"/>
      </w:rPr>
    </w:lvl>
    <w:lvl w:ilvl="7" w:tplc="95F2D44A" w:tentative="1">
      <w:start w:val="1"/>
      <w:numFmt w:val="bullet"/>
      <w:lvlText w:val="•"/>
      <w:lvlJc w:val="left"/>
      <w:pPr>
        <w:tabs>
          <w:tab w:val="num" w:pos="5760"/>
        </w:tabs>
        <w:ind w:left="5760" w:hanging="360"/>
      </w:pPr>
      <w:rPr>
        <w:rFonts w:ascii="Arial" w:hAnsi="Arial" w:hint="default"/>
      </w:rPr>
    </w:lvl>
    <w:lvl w:ilvl="8" w:tplc="C8921770"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69A11623"/>
    <w:multiLevelType w:val="hybridMultilevel"/>
    <w:tmpl w:val="37D0A9A2"/>
    <w:lvl w:ilvl="0" w:tplc="A430755A">
      <w:start w:val="1"/>
      <w:numFmt w:val="decimal"/>
      <w:lvlText w:val="%1."/>
      <w:lvlJc w:val="left"/>
      <w:pPr>
        <w:ind w:left="896" w:hanging="720"/>
      </w:pPr>
      <w:rPr>
        <w:rFonts w:hint="default"/>
      </w:rPr>
    </w:lvl>
    <w:lvl w:ilvl="1" w:tplc="0C090019">
      <w:start w:val="1"/>
      <w:numFmt w:val="lowerLetter"/>
      <w:lvlText w:val="%2."/>
      <w:lvlJc w:val="left"/>
      <w:pPr>
        <w:ind w:left="1256" w:hanging="360"/>
      </w:pPr>
    </w:lvl>
    <w:lvl w:ilvl="2" w:tplc="0C09001B" w:tentative="1">
      <w:start w:val="1"/>
      <w:numFmt w:val="lowerRoman"/>
      <w:lvlText w:val="%3."/>
      <w:lvlJc w:val="right"/>
      <w:pPr>
        <w:ind w:left="1976" w:hanging="180"/>
      </w:pPr>
    </w:lvl>
    <w:lvl w:ilvl="3" w:tplc="0C09000F" w:tentative="1">
      <w:start w:val="1"/>
      <w:numFmt w:val="decimal"/>
      <w:lvlText w:val="%4."/>
      <w:lvlJc w:val="left"/>
      <w:pPr>
        <w:ind w:left="2696" w:hanging="360"/>
      </w:pPr>
    </w:lvl>
    <w:lvl w:ilvl="4" w:tplc="0C090019" w:tentative="1">
      <w:start w:val="1"/>
      <w:numFmt w:val="lowerLetter"/>
      <w:lvlText w:val="%5."/>
      <w:lvlJc w:val="left"/>
      <w:pPr>
        <w:ind w:left="3416" w:hanging="360"/>
      </w:pPr>
    </w:lvl>
    <w:lvl w:ilvl="5" w:tplc="0C09001B" w:tentative="1">
      <w:start w:val="1"/>
      <w:numFmt w:val="lowerRoman"/>
      <w:lvlText w:val="%6."/>
      <w:lvlJc w:val="right"/>
      <w:pPr>
        <w:ind w:left="4136" w:hanging="180"/>
      </w:pPr>
    </w:lvl>
    <w:lvl w:ilvl="6" w:tplc="0C09000F" w:tentative="1">
      <w:start w:val="1"/>
      <w:numFmt w:val="decimal"/>
      <w:lvlText w:val="%7."/>
      <w:lvlJc w:val="left"/>
      <w:pPr>
        <w:ind w:left="4856" w:hanging="360"/>
      </w:pPr>
    </w:lvl>
    <w:lvl w:ilvl="7" w:tplc="0C090019" w:tentative="1">
      <w:start w:val="1"/>
      <w:numFmt w:val="lowerLetter"/>
      <w:lvlText w:val="%8."/>
      <w:lvlJc w:val="left"/>
      <w:pPr>
        <w:ind w:left="5576" w:hanging="360"/>
      </w:pPr>
    </w:lvl>
    <w:lvl w:ilvl="8" w:tplc="0C09001B" w:tentative="1">
      <w:start w:val="1"/>
      <w:numFmt w:val="lowerRoman"/>
      <w:lvlText w:val="%9."/>
      <w:lvlJc w:val="right"/>
      <w:pPr>
        <w:ind w:left="6296" w:hanging="180"/>
      </w:pPr>
    </w:lvl>
  </w:abstractNum>
  <w:abstractNum w:abstractNumId="47" w15:restartNumberingAfterBreak="0">
    <w:nsid w:val="6B3D49F4"/>
    <w:multiLevelType w:val="hybridMultilevel"/>
    <w:tmpl w:val="C6A2B8C8"/>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48" w15:restartNumberingAfterBreak="0">
    <w:nsid w:val="70EC5EC4"/>
    <w:multiLevelType w:val="hybridMultilevel"/>
    <w:tmpl w:val="AFA6F45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3F5579D"/>
    <w:multiLevelType w:val="hybridMultilevel"/>
    <w:tmpl w:val="C936C754"/>
    <w:lvl w:ilvl="0" w:tplc="6B9E1A1E">
      <w:start w:val="1"/>
      <w:numFmt w:val="bullet"/>
      <w:lvlText w:val="•"/>
      <w:lvlJc w:val="left"/>
      <w:pPr>
        <w:tabs>
          <w:tab w:val="num" w:pos="720"/>
        </w:tabs>
        <w:ind w:left="720" w:hanging="360"/>
      </w:pPr>
      <w:rPr>
        <w:rFonts w:ascii="Arial" w:hAnsi="Arial" w:hint="default"/>
      </w:rPr>
    </w:lvl>
    <w:lvl w:ilvl="1" w:tplc="4C9A3AC6" w:tentative="1">
      <w:start w:val="1"/>
      <w:numFmt w:val="bullet"/>
      <w:lvlText w:val="•"/>
      <w:lvlJc w:val="left"/>
      <w:pPr>
        <w:tabs>
          <w:tab w:val="num" w:pos="1440"/>
        </w:tabs>
        <w:ind w:left="1440" w:hanging="360"/>
      </w:pPr>
      <w:rPr>
        <w:rFonts w:ascii="Arial" w:hAnsi="Arial" w:hint="default"/>
      </w:rPr>
    </w:lvl>
    <w:lvl w:ilvl="2" w:tplc="4016F0B6" w:tentative="1">
      <w:start w:val="1"/>
      <w:numFmt w:val="bullet"/>
      <w:lvlText w:val="•"/>
      <w:lvlJc w:val="left"/>
      <w:pPr>
        <w:tabs>
          <w:tab w:val="num" w:pos="2160"/>
        </w:tabs>
        <w:ind w:left="2160" w:hanging="360"/>
      </w:pPr>
      <w:rPr>
        <w:rFonts w:ascii="Arial" w:hAnsi="Arial" w:hint="default"/>
      </w:rPr>
    </w:lvl>
    <w:lvl w:ilvl="3" w:tplc="0C184324" w:tentative="1">
      <w:start w:val="1"/>
      <w:numFmt w:val="bullet"/>
      <w:lvlText w:val="•"/>
      <w:lvlJc w:val="left"/>
      <w:pPr>
        <w:tabs>
          <w:tab w:val="num" w:pos="2880"/>
        </w:tabs>
        <w:ind w:left="2880" w:hanging="360"/>
      </w:pPr>
      <w:rPr>
        <w:rFonts w:ascii="Arial" w:hAnsi="Arial" w:hint="default"/>
      </w:rPr>
    </w:lvl>
    <w:lvl w:ilvl="4" w:tplc="242892AC" w:tentative="1">
      <w:start w:val="1"/>
      <w:numFmt w:val="bullet"/>
      <w:lvlText w:val="•"/>
      <w:lvlJc w:val="left"/>
      <w:pPr>
        <w:tabs>
          <w:tab w:val="num" w:pos="3600"/>
        </w:tabs>
        <w:ind w:left="3600" w:hanging="360"/>
      </w:pPr>
      <w:rPr>
        <w:rFonts w:ascii="Arial" w:hAnsi="Arial" w:hint="default"/>
      </w:rPr>
    </w:lvl>
    <w:lvl w:ilvl="5" w:tplc="4A1C9D9A" w:tentative="1">
      <w:start w:val="1"/>
      <w:numFmt w:val="bullet"/>
      <w:lvlText w:val="•"/>
      <w:lvlJc w:val="left"/>
      <w:pPr>
        <w:tabs>
          <w:tab w:val="num" w:pos="4320"/>
        </w:tabs>
        <w:ind w:left="4320" w:hanging="360"/>
      </w:pPr>
      <w:rPr>
        <w:rFonts w:ascii="Arial" w:hAnsi="Arial" w:hint="default"/>
      </w:rPr>
    </w:lvl>
    <w:lvl w:ilvl="6" w:tplc="932A1E66" w:tentative="1">
      <w:start w:val="1"/>
      <w:numFmt w:val="bullet"/>
      <w:lvlText w:val="•"/>
      <w:lvlJc w:val="left"/>
      <w:pPr>
        <w:tabs>
          <w:tab w:val="num" w:pos="5040"/>
        </w:tabs>
        <w:ind w:left="5040" w:hanging="360"/>
      </w:pPr>
      <w:rPr>
        <w:rFonts w:ascii="Arial" w:hAnsi="Arial" w:hint="default"/>
      </w:rPr>
    </w:lvl>
    <w:lvl w:ilvl="7" w:tplc="A0E298AA" w:tentative="1">
      <w:start w:val="1"/>
      <w:numFmt w:val="bullet"/>
      <w:lvlText w:val="•"/>
      <w:lvlJc w:val="left"/>
      <w:pPr>
        <w:tabs>
          <w:tab w:val="num" w:pos="5760"/>
        </w:tabs>
        <w:ind w:left="5760" w:hanging="360"/>
      </w:pPr>
      <w:rPr>
        <w:rFonts w:ascii="Arial" w:hAnsi="Arial" w:hint="default"/>
      </w:rPr>
    </w:lvl>
    <w:lvl w:ilvl="8" w:tplc="5A724744"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74163802"/>
    <w:multiLevelType w:val="hybridMultilevel"/>
    <w:tmpl w:val="D076C0A0"/>
    <w:lvl w:ilvl="0" w:tplc="EE4A1264">
      <w:start w:val="1"/>
      <w:numFmt w:val="bullet"/>
      <w:lvlText w:val="•"/>
      <w:lvlJc w:val="left"/>
      <w:pPr>
        <w:ind w:left="754" w:hanging="360"/>
      </w:pPr>
      <w:rPr>
        <w:rFonts w:ascii="Arial" w:hAnsi="Aria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51" w15:restartNumberingAfterBreak="0">
    <w:nsid w:val="77490195"/>
    <w:multiLevelType w:val="hybridMultilevel"/>
    <w:tmpl w:val="AC64E254"/>
    <w:lvl w:ilvl="0" w:tplc="32D21458">
      <w:start w:val="1"/>
      <w:numFmt w:val="bullet"/>
      <w:lvlText w:val="•"/>
      <w:lvlJc w:val="left"/>
      <w:pPr>
        <w:tabs>
          <w:tab w:val="num" w:pos="720"/>
        </w:tabs>
        <w:ind w:left="720" w:hanging="360"/>
      </w:pPr>
      <w:rPr>
        <w:rFonts w:ascii="Arial" w:hAnsi="Arial" w:hint="default"/>
      </w:rPr>
    </w:lvl>
    <w:lvl w:ilvl="1" w:tplc="D2D6D77A" w:tentative="1">
      <w:start w:val="1"/>
      <w:numFmt w:val="bullet"/>
      <w:lvlText w:val="•"/>
      <w:lvlJc w:val="left"/>
      <w:pPr>
        <w:tabs>
          <w:tab w:val="num" w:pos="1440"/>
        </w:tabs>
        <w:ind w:left="1440" w:hanging="360"/>
      </w:pPr>
      <w:rPr>
        <w:rFonts w:ascii="Arial" w:hAnsi="Arial" w:hint="default"/>
      </w:rPr>
    </w:lvl>
    <w:lvl w:ilvl="2" w:tplc="E098CDBE" w:tentative="1">
      <w:start w:val="1"/>
      <w:numFmt w:val="bullet"/>
      <w:lvlText w:val="•"/>
      <w:lvlJc w:val="left"/>
      <w:pPr>
        <w:tabs>
          <w:tab w:val="num" w:pos="2160"/>
        </w:tabs>
        <w:ind w:left="2160" w:hanging="360"/>
      </w:pPr>
      <w:rPr>
        <w:rFonts w:ascii="Arial" w:hAnsi="Arial" w:hint="default"/>
      </w:rPr>
    </w:lvl>
    <w:lvl w:ilvl="3" w:tplc="7FB2318A" w:tentative="1">
      <w:start w:val="1"/>
      <w:numFmt w:val="bullet"/>
      <w:lvlText w:val="•"/>
      <w:lvlJc w:val="left"/>
      <w:pPr>
        <w:tabs>
          <w:tab w:val="num" w:pos="2880"/>
        </w:tabs>
        <w:ind w:left="2880" w:hanging="360"/>
      </w:pPr>
      <w:rPr>
        <w:rFonts w:ascii="Arial" w:hAnsi="Arial" w:hint="default"/>
      </w:rPr>
    </w:lvl>
    <w:lvl w:ilvl="4" w:tplc="D37E1C1E" w:tentative="1">
      <w:start w:val="1"/>
      <w:numFmt w:val="bullet"/>
      <w:lvlText w:val="•"/>
      <w:lvlJc w:val="left"/>
      <w:pPr>
        <w:tabs>
          <w:tab w:val="num" w:pos="3600"/>
        </w:tabs>
        <w:ind w:left="3600" w:hanging="360"/>
      </w:pPr>
      <w:rPr>
        <w:rFonts w:ascii="Arial" w:hAnsi="Arial" w:hint="default"/>
      </w:rPr>
    </w:lvl>
    <w:lvl w:ilvl="5" w:tplc="F628F31E" w:tentative="1">
      <w:start w:val="1"/>
      <w:numFmt w:val="bullet"/>
      <w:lvlText w:val="•"/>
      <w:lvlJc w:val="left"/>
      <w:pPr>
        <w:tabs>
          <w:tab w:val="num" w:pos="4320"/>
        </w:tabs>
        <w:ind w:left="4320" w:hanging="360"/>
      </w:pPr>
      <w:rPr>
        <w:rFonts w:ascii="Arial" w:hAnsi="Arial" w:hint="default"/>
      </w:rPr>
    </w:lvl>
    <w:lvl w:ilvl="6" w:tplc="6B029774" w:tentative="1">
      <w:start w:val="1"/>
      <w:numFmt w:val="bullet"/>
      <w:lvlText w:val="•"/>
      <w:lvlJc w:val="left"/>
      <w:pPr>
        <w:tabs>
          <w:tab w:val="num" w:pos="5040"/>
        </w:tabs>
        <w:ind w:left="5040" w:hanging="360"/>
      </w:pPr>
      <w:rPr>
        <w:rFonts w:ascii="Arial" w:hAnsi="Arial" w:hint="default"/>
      </w:rPr>
    </w:lvl>
    <w:lvl w:ilvl="7" w:tplc="D250DC76" w:tentative="1">
      <w:start w:val="1"/>
      <w:numFmt w:val="bullet"/>
      <w:lvlText w:val="•"/>
      <w:lvlJc w:val="left"/>
      <w:pPr>
        <w:tabs>
          <w:tab w:val="num" w:pos="5760"/>
        </w:tabs>
        <w:ind w:left="5760" w:hanging="360"/>
      </w:pPr>
      <w:rPr>
        <w:rFonts w:ascii="Arial" w:hAnsi="Arial" w:hint="default"/>
      </w:rPr>
    </w:lvl>
    <w:lvl w:ilvl="8" w:tplc="40BE47EC"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774A1ABA"/>
    <w:multiLevelType w:val="hybridMultilevel"/>
    <w:tmpl w:val="1B529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7B2327D"/>
    <w:multiLevelType w:val="hybridMultilevel"/>
    <w:tmpl w:val="DB328ACA"/>
    <w:lvl w:ilvl="0" w:tplc="0C09000F">
      <w:start w:val="1"/>
      <w:numFmt w:val="decimal"/>
      <w:lvlText w:val="%1."/>
      <w:lvlJc w:val="left"/>
      <w:pPr>
        <w:ind w:left="536" w:hanging="360"/>
      </w:pPr>
      <w:rPr>
        <w:rFonts w:hint="default"/>
      </w:rPr>
    </w:lvl>
    <w:lvl w:ilvl="1" w:tplc="0C090003" w:tentative="1">
      <w:start w:val="1"/>
      <w:numFmt w:val="bullet"/>
      <w:lvlText w:val="o"/>
      <w:lvlJc w:val="left"/>
      <w:pPr>
        <w:ind w:left="1256" w:hanging="360"/>
      </w:pPr>
      <w:rPr>
        <w:rFonts w:ascii="Courier New" w:hAnsi="Courier New" w:cs="Courier New" w:hint="default"/>
      </w:rPr>
    </w:lvl>
    <w:lvl w:ilvl="2" w:tplc="0C090005" w:tentative="1">
      <w:start w:val="1"/>
      <w:numFmt w:val="bullet"/>
      <w:lvlText w:val=""/>
      <w:lvlJc w:val="left"/>
      <w:pPr>
        <w:ind w:left="1976" w:hanging="360"/>
      </w:pPr>
      <w:rPr>
        <w:rFonts w:ascii="Wingdings" w:hAnsi="Wingdings" w:hint="default"/>
      </w:rPr>
    </w:lvl>
    <w:lvl w:ilvl="3" w:tplc="0C090001" w:tentative="1">
      <w:start w:val="1"/>
      <w:numFmt w:val="bullet"/>
      <w:lvlText w:val=""/>
      <w:lvlJc w:val="left"/>
      <w:pPr>
        <w:ind w:left="2696" w:hanging="360"/>
      </w:pPr>
      <w:rPr>
        <w:rFonts w:ascii="Symbol" w:hAnsi="Symbol" w:hint="default"/>
      </w:rPr>
    </w:lvl>
    <w:lvl w:ilvl="4" w:tplc="0C090003" w:tentative="1">
      <w:start w:val="1"/>
      <w:numFmt w:val="bullet"/>
      <w:lvlText w:val="o"/>
      <w:lvlJc w:val="left"/>
      <w:pPr>
        <w:ind w:left="3416" w:hanging="360"/>
      </w:pPr>
      <w:rPr>
        <w:rFonts w:ascii="Courier New" w:hAnsi="Courier New" w:cs="Courier New" w:hint="default"/>
      </w:rPr>
    </w:lvl>
    <w:lvl w:ilvl="5" w:tplc="0C090005" w:tentative="1">
      <w:start w:val="1"/>
      <w:numFmt w:val="bullet"/>
      <w:lvlText w:val=""/>
      <w:lvlJc w:val="left"/>
      <w:pPr>
        <w:ind w:left="4136" w:hanging="360"/>
      </w:pPr>
      <w:rPr>
        <w:rFonts w:ascii="Wingdings" w:hAnsi="Wingdings" w:hint="default"/>
      </w:rPr>
    </w:lvl>
    <w:lvl w:ilvl="6" w:tplc="0C090001" w:tentative="1">
      <w:start w:val="1"/>
      <w:numFmt w:val="bullet"/>
      <w:lvlText w:val=""/>
      <w:lvlJc w:val="left"/>
      <w:pPr>
        <w:ind w:left="4856" w:hanging="360"/>
      </w:pPr>
      <w:rPr>
        <w:rFonts w:ascii="Symbol" w:hAnsi="Symbol" w:hint="default"/>
      </w:rPr>
    </w:lvl>
    <w:lvl w:ilvl="7" w:tplc="0C090003" w:tentative="1">
      <w:start w:val="1"/>
      <w:numFmt w:val="bullet"/>
      <w:lvlText w:val="o"/>
      <w:lvlJc w:val="left"/>
      <w:pPr>
        <w:ind w:left="5576" w:hanging="360"/>
      </w:pPr>
      <w:rPr>
        <w:rFonts w:ascii="Courier New" w:hAnsi="Courier New" w:cs="Courier New" w:hint="default"/>
      </w:rPr>
    </w:lvl>
    <w:lvl w:ilvl="8" w:tplc="0C090005" w:tentative="1">
      <w:start w:val="1"/>
      <w:numFmt w:val="bullet"/>
      <w:lvlText w:val=""/>
      <w:lvlJc w:val="left"/>
      <w:pPr>
        <w:ind w:left="6296" w:hanging="360"/>
      </w:pPr>
      <w:rPr>
        <w:rFonts w:ascii="Wingdings" w:hAnsi="Wingdings" w:hint="default"/>
      </w:rPr>
    </w:lvl>
  </w:abstractNum>
  <w:abstractNum w:abstractNumId="54" w15:restartNumberingAfterBreak="0">
    <w:nsid w:val="79C42F1B"/>
    <w:multiLevelType w:val="hybridMultilevel"/>
    <w:tmpl w:val="B568D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E2B163D"/>
    <w:multiLevelType w:val="hybridMultilevel"/>
    <w:tmpl w:val="B986FE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28"/>
  </w:num>
  <w:num w:numId="6">
    <w:abstractNumId w:val="36"/>
  </w:num>
  <w:num w:numId="7">
    <w:abstractNumId w:val="7"/>
  </w:num>
  <w:num w:numId="8">
    <w:abstractNumId w:val="14"/>
  </w:num>
  <w:num w:numId="9">
    <w:abstractNumId w:val="20"/>
  </w:num>
  <w:num w:numId="10">
    <w:abstractNumId w:val="38"/>
  </w:num>
  <w:num w:numId="11">
    <w:abstractNumId w:val="4"/>
  </w:num>
  <w:num w:numId="12">
    <w:abstractNumId w:val="13"/>
  </w:num>
  <w:num w:numId="13">
    <w:abstractNumId w:val="24"/>
  </w:num>
  <w:num w:numId="14">
    <w:abstractNumId w:val="33"/>
  </w:num>
  <w:num w:numId="15">
    <w:abstractNumId w:val="43"/>
  </w:num>
  <w:num w:numId="16">
    <w:abstractNumId w:val="47"/>
  </w:num>
  <w:num w:numId="17">
    <w:abstractNumId w:val="48"/>
  </w:num>
  <w:num w:numId="18">
    <w:abstractNumId w:val="54"/>
  </w:num>
  <w:num w:numId="19">
    <w:abstractNumId w:val="46"/>
  </w:num>
  <w:num w:numId="20">
    <w:abstractNumId w:val="22"/>
  </w:num>
  <w:num w:numId="21">
    <w:abstractNumId w:val="40"/>
  </w:num>
  <w:num w:numId="22">
    <w:abstractNumId w:val="45"/>
  </w:num>
  <w:num w:numId="23">
    <w:abstractNumId w:val="51"/>
  </w:num>
  <w:num w:numId="24">
    <w:abstractNumId w:val="49"/>
  </w:num>
  <w:num w:numId="25">
    <w:abstractNumId w:val="16"/>
  </w:num>
  <w:num w:numId="26">
    <w:abstractNumId w:val="17"/>
  </w:num>
  <w:num w:numId="27">
    <w:abstractNumId w:val="12"/>
  </w:num>
  <w:num w:numId="28">
    <w:abstractNumId w:val="37"/>
  </w:num>
  <w:num w:numId="29">
    <w:abstractNumId w:val="10"/>
  </w:num>
  <w:num w:numId="30">
    <w:abstractNumId w:val="19"/>
  </w:num>
  <w:num w:numId="31">
    <w:abstractNumId w:val="31"/>
  </w:num>
  <w:num w:numId="32">
    <w:abstractNumId w:val="30"/>
  </w:num>
  <w:num w:numId="33">
    <w:abstractNumId w:val="50"/>
  </w:num>
  <w:num w:numId="34">
    <w:abstractNumId w:val="39"/>
  </w:num>
  <w:num w:numId="35">
    <w:abstractNumId w:val="21"/>
  </w:num>
  <w:num w:numId="36">
    <w:abstractNumId w:val="34"/>
  </w:num>
  <w:num w:numId="37">
    <w:abstractNumId w:val="35"/>
  </w:num>
  <w:num w:numId="38">
    <w:abstractNumId w:val="23"/>
  </w:num>
  <w:num w:numId="39">
    <w:abstractNumId w:val="15"/>
  </w:num>
  <w:num w:numId="40">
    <w:abstractNumId w:val="6"/>
  </w:num>
  <w:num w:numId="41">
    <w:abstractNumId w:val="52"/>
  </w:num>
  <w:num w:numId="42">
    <w:abstractNumId w:val="55"/>
  </w:num>
  <w:num w:numId="43">
    <w:abstractNumId w:val="26"/>
  </w:num>
  <w:num w:numId="44">
    <w:abstractNumId w:val="29"/>
  </w:num>
  <w:num w:numId="45">
    <w:abstractNumId w:val="18"/>
  </w:num>
  <w:num w:numId="46">
    <w:abstractNumId w:val="11"/>
  </w:num>
  <w:num w:numId="47">
    <w:abstractNumId w:val="27"/>
  </w:num>
  <w:num w:numId="48">
    <w:abstractNumId w:val="25"/>
  </w:num>
  <w:num w:numId="49">
    <w:abstractNumId w:val="32"/>
  </w:num>
  <w:num w:numId="50">
    <w:abstractNumId w:val="44"/>
  </w:num>
  <w:num w:numId="51">
    <w:abstractNumId w:val="8"/>
  </w:num>
  <w:num w:numId="52">
    <w:abstractNumId w:val="41"/>
  </w:num>
  <w:num w:numId="53">
    <w:abstractNumId w:val="9"/>
  </w:num>
  <w:num w:numId="54">
    <w:abstractNumId w:val="53"/>
  </w:num>
  <w:num w:numId="55">
    <w:abstractNumId w:val="42"/>
  </w:num>
  <w:num w:numId="56">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defaultTabStop w:val="720"/>
  <w:evenAndOddHeaders/>
  <w:characterSpacingControl w:val="doNotCompress"/>
  <w:hdrShapeDefaults>
    <o:shapedefaults v:ext="edit" spidmax="2027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DF5"/>
    <w:rsid w:val="000001D5"/>
    <w:rsid w:val="000004F9"/>
    <w:rsid w:val="00000519"/>
    <w:rsid w:val="000009DC"/>
    <w:rsid w:val="00000B83"/>
    <w:rsid w:val="00000D1B"/>
    <w:rsid w:val="00000E93"/>
    <w:rsid w:val="00001014"/>
    <w:rsid w:val="000019B3"/>
    <w:rsid w:val="00001E95"/>
    <w:rsid w:val="00002200"/>
    <w:rsid w:val="00002B8C"/>
    <w:rsid w:val="00002D4D"/>
    <w:rsid w:val="00002E05"/>
    <w:rsid w:val="00002E51"/>
    <w:rsid w:val="00003AC5"/>
    <w:rsid w:val="00003DA0"/>
    <w:rsid w:val="00004116"/>
    <w:rsid w:val="0000436F"/>
    <w:rsid w:val="00004452"/>
    <w:rsid w:val="000044F7"/>
    <w:rsid w:val="00004CE0"/>
    <w:rsid w:val="00004D9A"/>
    <w:rsid w:val="00004F54"/>
    <w:rsid w:val="0000508F"/>
    <w:rsid w:val="000052FE"/>
    <w:rsid w:val="0000547E"/>
    <w:rsid w:val="00005FBA"/>
    <w:rsid w:val="0000653E"/>
    <w:rsid w:val="000067D6"/>
    <w:rsid w:val="00006B0C"/>
    <w:rsid w:val="000071B8"/>
    <w:rsid w:val="00007220"/>
    <w:rsid w:val="00007B9C"/>
    <w:rsid w:val="00010215"/>
    <w:rsid w:val="00010425"/>
    <w:rsid w:val="00010611"/>
    <w:rsid w:val="00010671"/>
    <w:rsid w:val="00010F72"/>
    <w:rsid w:val="00011275"/>
    <w:rsid w:val="0001187B"/>
    <w:rsid w:val="000118F0"/>
    <w:rsid w:val="00011A14"/>
    <w:rsid w:val="00011A38"/>
    <w:rsid w:val="00011AC7"/>
    <w:rsid w:val="00011AD2"/>
    <w:rsid w:val="00011E4E"/>
    <w:rsid w:val="00011F6F"/>
    <w:rsid w:val="00011FAC"/>
    <w:rsid w:val="000120B8"/>
    <w:rsid w:val="000122BE"/>
    <w:rsid w:val="00012404"/>
    <w:rsid w:val="0001259A"/>
    <w:rsid w:val="00012BB0"/>
    <w:rsid w:val="00012E3C"/>
    <w:rsid w:val="00012E4F"/>
    <w:rsid w:val="000131B1"/>
    <w:rsid w:val="00013CDC"/>
    <w:rsid w:val="00014771"/>
    <w:rsid w:val="00014B32"/>
    <w:rsid w:val="00015344"/>
    <w:rsid w:val="00015504"/>
    <w:rsid w:val="0001598E"/>
    <w:rsid w:val="00015F15"/>
    <w:rsid w:val="000160E1"/>
    <w:rsid w:val="00016451"/>
    <w:rsid w:val="00016667"/>
    <w:rsid w:val="000166D6"/>
    <w:rsid w:val="00017298"/>
    <w:rsid w:val="00017318"/>
    <w:rsid w:val="00017440"/>
    <w:rsid w:val="00017D3D"/>
    <w:rsid w:val="000202E5"/>
    <w:rsid w:val="000206B1"/>
    <w:rsid w:val="00020B7E"/>
    <w:rsid w:val="000212A3"/>
    <w:rsid w:val="00021422"/>
    <w:rsid w:val="0002149C"/>
    <w:rsid w:val="00021A6D"/>
    <w:rsid w:val="00021CD5"/>
    <w:rsid w:val="00022074"/>
    <w:rsid w:val="00022392"/>
    <w:rsid w:val="00022EAB"/>
    <w:rsid w:val="00022F8F"/>
    <w:rsid w:val="000233E0"/>
    <w:rsid w:val="00023947"/>
    <w:rsid w:val="00023AF4"/>
    <w:rsid w:val="00024132"/>
    <w:rsid w:val="0002445E"/>
    <w:rsid w:val="000246CA"/>
    <w:rsid w:val="00024749"/>
    <w:rsid w:val="000249EC"/>
    <w:rsid w:val="00024ABC"/>
    <w:rsid w:val="00024AF3"/>
    <w:rsid w:val="00025805"/>
    <w:rsid w:val="0002594B"/>
    <w:rsid w:val="00025B5D"/>
    <w:rsid w:val="00025C64"/>
    <w:rsid w:val="000261B1"/>
    <w:rsid w:val="00026392"/>
    <w:rsid w:val="00026E53"/>
    <w:rsid w:val="00026E78"/>
    <w:rsid w:val="00027B9B"/>
    <w:rsid w:val="00027F87"/>
    <w:rsid w:val="0003021A"/>
    <w:rsid w:val="000304D4"/>
    <w:rsid w:val="00030660"/>
    <w:rsid w:val="00030BDC"/>
    <w:rsid w:val="00030CFA"/>
    <w:rsid w:val="000310C7"/>
    <w:rsid w:val="00031123"/>
    <w:rsid w:val="000317B8"/>
    <w:rsid w:val="00031BF2"/>
    <w:rsid w:val="000321B7"/>
    <w:rsid w:val="000322B4"/>
    <w:rsid w:val="000328F6"/>
    <w:rsid w:val="00032B64"/>
    <w:rsid w:val="00032E2B"/>
    <w:rsid w:val="000332BE"/>
    <w:rsid w:val="00033534"/>
    <w:rsid w:val="00033BD6"/>
    <w:rsid w:val="0003401E"/>
    <w:rsid w:val="00034280"/>
    <w:rsid w:val="000342AC"/>
    <w:rsid w:val="00034758"/>
    <w:rsid w:val="00034999"/>
    <w:rsid w:val="00034A18"/>
    <w:rsid w:val="000350E0"/>
    <w:rsid w:val="0003532F"/>
    <w:rsid w:val="0003543D"/>
    <w:rsid w:val="00035C1B"/>
    <w:rsid w:val="00035F2D"/>
    <w:rsid w:val="00036295"/>
    <w:rsid w:val="0003652D"/>
    <w:rsid w:val="000365A2"/>
    <w:rsid w:val="0003667E"/>
    <w:rsid w:val="00036779"/>
    <w:rsid w:val="000367ED"/>
    <w:rsid w:val="00036AFA"/>
    <w:rsid w:val="00036E92"/>
    <w:rsid w:val="000371FB"/>
    <w:rsid w:val="0003727B"/>
    <w:rsid w:val="000372F9"/>
    <w:rsid w:val="000377BD"/>
    <w:rsid w:val="000378A1"/>
    <w:rsid w:val="0003797E"/>
    <w:rsid w:val="000402A4"/>
    <w:rsid w:val="0004058F"/>
    <w:rsid w:val="00040847"/>
    <w:rsid w:val="0004092F"/>
    <w:rsid w:val="00040B2A"/>
    <w:rsid w:val="00040FA6"/>
    <w:rsid w:val="00041293"/>
    <w:rsid w:val="0004150E"/>
    <w:rsid w:val="00041619"/>
    <w:rsid w:val="000416C6"/>
    <w:rsid w:val="00042090"/>
    <w:rsid w:val="000421B6"/>
    <w:rsid w:val="000433BB"/>
    <w:rsid w:val="00043432"/>
    <w:rsid w:val="00043822"/>
    <w:rsid w:val="00043A5C"/>
    <w:rsid w:val="00043C40"/>
    <w:rsid w:val="00044088"/>
    <w:rsid w:val="00044238"/>
    <w:rsid w:val="000442B1"/>
    <w:rsid w:val="0004491D"/>
    <w:rsid w:val="000449AC"/>
    <w:rsid w:val="000451F1"/>
    <w:rsid w:val="0004588C"/>
    <w:rsid w:val="00045E9B"/>
    <w:rsid w:val="00045EB8"/>
    <w:rsid w:val="000466CE"/>
    <w:rsid w:val="00046A4E"/>
    <w:rsid w:val="00046B37"/>
    <w:rsid w:val="00047499"/>
    <w:rsid w:val="00047551"/>
    <w:rsid w:val="00047668"/>
    <w:rsid w:val="00047EAD"/>
    <w:rsid w:val="000500AA"/>
    <w:rsid w:val="00050124"/>
    <w:rsid w:val="00050534"/>
    <w:rsid w:val="0005065D"/>
    <w:rsid w:val="00050753"/>
    <w:rsid w:val="00050A09"/>
    <w:rsid w:val="00051021"/>
    <w:rsid w:val="000515B1"/>
    <w:rsid w:val="00051857"/>
    <w:rsid w:val="00051CDB"/>
    <w:rsid w:val="00051ECA"/>
    <w:rsid w:val="000524BB"/>
    <w:rsid w:val="00052A7E"/>
    <w:rsid w:val="00053157"/>
    <w:rsid w:val="00053548"/>
    <w:rsid w:val="0005385A"/>
    <w:rsid w:val="000539C1"/>
    <w:rsid w:val="00054362"/>
    <w:rsid w:val="00054AFF"/>
    <w:rsid w:val="00055354"/>
    <w:rsid w:val="0005559C"/>
    <w:rsid w:val="00055E24"/>
    <w:rsid w:val="00055E90"/>
    <w:rsid w:val="00055ECE"/>
    <w:rsid w:val="00055FA8"/>
    <w:rsid w:val="00056126"/>
    <w:rsid w:val="0005626C"/>
    <w:rsid w:val="00056A2C"/>
    <w:rsid w:val="00056A32"/>
    <w:rsid w:val="00056C0D"/>
    <w:rsid w:val="00056E8F"/>
    <w:rsid w:val="00057B8F"/>
    <w:rsid w:val="00057CF7"/>
    <w:rsid w:val="00057F39"/>
    <w:rsid w:val="000600D0"/>
    <w:rsid w:val="000601FD"/>
    <w:rsid w:val="0006059D"/>
    <w:rsid w:val="00060A24"/>
    <w:rsid w:val="00060B29"/>
    <w:rsid w:val="00060B2E"/>
    <w:rsid w:val="00061C2E"/>
    <w:rsid w:val="00061DA0"/>
    <w:rsid w:val="000629DE"/>
    <w:rsid w:val="00063669"/>
    <w:rsid w:val="00063787"/>
    <w:rsid w:val="00064674"/>
    <w:rsid w:val="00064D7F"/>
    <w:rsid w:val="00064EBD"/>
    <w:rsid w:val="00064ECD"/>
    <w:rsid w:val="00064F2B"/>
    <w:rsid w:val="000651DE"/>
    <w:rsid w:val="00065200"/>
    <w:rsid w:val="000652AB"/>
    <w:rsid w:val="00065572"/>
    <w:rsid w:val="00065579"/>
    <w:rsid w:val="000658A1"/>
    <w:rsid w:val="000658F9"/>
    <w:rsid w:val="0006664F"/>
    <w:rsid w:val="000666EE"/>
    <w:rsid w:val="00066948"/>
    <w:rsid w:val="00067600"/>
    <w:rsid w:val="00067694"/>
    <w:rsid w:val="000677FD"/>
    <w:rsid w:val="00070188"/>
    <w:rsid w:val="000708AF"/>
    <w:rsid w:val="00070AD6"/>
    <w:rsid w:val="00070C2E"/>
    <w:rsid w:val="000710CB"/>
    <w:rsid w:val="000712CC"/>
    <w:rsid w:val="000715BC"/>
    <w:rsid w:val="0007185D"/>
    <w:rsid w:val="00071A80"/>
    <w:rsid w:val="000720C2"/>
    <w:rsid w:val="00072446"/>
    <w:rsid w:val="00072D5A"/>
    <w:rsid w:val="00072E7F"/>
    <w:rsid w:val="00072FCD"/>
    <w:rsid w:val="000730F8"/>
    <w:rsid w:val="0007383C"/>
    <w:rsid w:val="00073A6F"/>
    <w:rsid w:val="00073E8B"/>
    <w:rsid w:val="000742BF"/>
    <w:rsid w:val="00074C5D"/>
    <w:rsid w:val="00074E47"/>
    <w:rsid w:val="00075072"/>
    <w:rsid w:val="00075122"/>
    <w:rsid w:val="0007549A"/>
    <w:rsid w:val="000758C3"/>
    <w:rsid w:val="00075A6B"/>
    <w:rsid w:val="00076204"/>
    <w:rsid w:val="00076428"/>
    <w:rsid w:val="00076F5B"/>
    <w:rsid w:val="000777BA"/>
    <w:rsid w:val="00080308"/>
    <w:rsid w:val="0008090B"/>
    <w:rsid w:val="00080ED9"/>
    <w:rsid w:val="00081413"/>
    <w:rsid w:val="000814B6"/>
    <w:rsid w:val="0008258E"/>
    <w:rsid w:val="0008261B"/>
    <w:rsid w:val="00082CCB"/>
    <w:rsid w:val="000831F5"/>
    <w:rsid w:val="000832C3"/>
    <w:rsid w:val="00083473"/>
    <w:rsid w:val="00083644"/>
    <w:rsid w:val="00083C7F"/>
    <w:rsid w:val="000843A4"/>
    <w:rsid w:val="0008516D"/>
    <w:rsid w:val="000858AA"/>
    <w:rsid w:val="00085AEF"/>
    <w:rsid w:val="00086053"/>
    <w:rsid w:val="00086229"/>
    <w:rsid w:val="00086B68"/>
    <w:rsid w:val="00086F7D"/>
    <w:rsid w:val="00086F86"/>
    <w:rsid w:val="00087452"/>
    <w:rsid w:val="000876C5"/>
    <w:rsid w:val="00087DB5"/>
    <w:rsid w:val="00087F16"/>
    <w:rsid w:val="000902A7"/>
    <w:rsid w:val="000904E0"/>
    <w:rsid w:val="000909A6"/>
    <w:rsid w:val="00090C68"/>
    <w:rsid w:val="00090C74"/>
    <w:rsid w:val="00091FDE"/>
    <w:rsid w:val="00092162"/>
    <w:rsid w:val="00092454"/>
    <w:rsid w:val="000924C6"/>
    <w:rsid w:val="00092D87"/>
    <w:rsid w:val="00092EA0"/>
    <w:rsid w:val="00092F63"/>
    <w:rsid w:val="00092FD0"/>
    <w:rsid w:val="000930D9"/>
    <w:rsid w:val="000936AA"/>
    <w:rsid w:val="0009377F"/>
    <w:rsid w:val="00093ADD"/>
    <w:rsid w:val="00093AEE"/>
    <w:rsid w:val="00093CA4"/>
    <w:rsid w:val="00093EC2"/>
    <w:rsid w:val="00094095"/>
    <w:rsid w:val="000944C8"/>
    <w:rsid w:val="00094A9F"/>
    <w:rsid w:val="00094D5D"/>
    <w:rsid w:val="00095E4E"/>
    <w:rsid w:val="00095F0E"/>
    <w:rsid w:val="000960A7"/>
    <w:rsid w:val="0009652E"/>
    <w:rsid w:val="000967F6"/>
    <w:rsid w:val="0009681F"/>
    <w:rsid w:val="00096CC9"/>
    <w:rsid w:val="0009716B"/>
    <w:rsid w:val="00097251"/>
    <w:rsid w:val="0009750C"/>
    <w:rsid w:val="0009770B"/>
    <w:rsid w:val="0009798C"/>
    <w:rsid w:val="00097BD5"/>
    <w:rsid w:val="00097C36"/>
    <w:rsid w:val="00097C5F"/>
    <w:rsid w:val="00097CCA"/>
    <w:rsid w:val="000A003A"/>
    <w:rsid w:val="000A00DB"/>
    <w:rsid w:val="000A06AB"/>
    <w:rsid w:val="000A06FD"/>
    <w:rsid w:val="000A0740"/>
    <w:rsid w:val="000A0D16"/>
    <w:rsid w:val="000A0E75"/>
    <w:rsid w:val="000A10D6"/>
    <w:rsid w:val="000A1DA4"/>
    <w:rsid w:val="000A2A4C"/>
    <w:rsid w:val="000A2A71"/>
    <w:rsid w:val="000A2B59"/>
    <w:rsid w:val="000A2BEC"/>
    <w:rsid w:val="000A3008"/>
    <w:rsid w:val="000A30F8"/>
    <w:rsid w:val="000A3345"/>
    <w:rsid w:val="000A338E"/>
    <w:rsid w:val="000A3617"/>
    <w:rsid w:val="000A3725"/>
    <w:rsid w:val="000A3838"/>
    <w:rsid w:val="000A3A59"/>
    <w:rsid w:val="000A3DDF"/>
    <w:rsid w:val="000A419C"/>
    <w:rsid w:val="000A4351"/>
    <w:rsid w:val="000A4511"/>
    <w:rsid w:val="000A46E5"/>
    <w:rsid w:val="000A46FF"/>
    <w:rsid w:val="000A4CDE"/>
    <w:rsid w:val="000A4F94"/>
    <w:rsid w:val="000A50D2"/>
    <w:rsid w:val="000A5236"/>
    <w:rsid w:val="000A588B"/>
    <w:rsid w:val="000A6367"/>
    <w:rsid w:val="000A686D"/>
    <w:rsid w:val="000A71FF"/>
    <w:rsid w:val="000A744B"/>
    <w:rsid w:val="000A7593"/>
    <w:rsid w:val="000A75DE"/>
    <w:rsid w:val="000A7634"/>
    <w:rsid w:val="000A7768"/>
    <w:rsid w:val="000A79D9"/>
    <w:rsid w:val="000A7C6C"/>
    <w:rsid w:val="000A7DBE"/>
    <w:rsid w:val="000A7EDF"/>
    <w:rsid w:val="000B045B"/>
    <w:rsid w:val="000B0779"/>
    <w:rsid w:val="000B0CC7"/>
    <w:rsid w:val="000B15D8"/>
    <w:rsid w:val="000B1A94"/>
    <w:rsid w:val="000B1AA5"/>
    <w:rsid w:val="000B1AB5"/>
    <w:rsid w:val="000B1AD8"/>
    <w:rsid w:val="000B1B0F"/>
    <w:rsid w:val="000B1D02"/>
    <w:rsid w:val="000B1E57"/>
    <w:rsid w:val="000B25BE"/>
    <w:rsid w:val="000B2CEF"/>
    <w:rsid w:val="000B2FE3"/>
    <w:rsid w:val="000B3553"/>
    <w:rsid w:val="000B3D06"/>
    <w:rsid w:val="000B41A8"/>
    <w:rsid w:val="000B445C"/>
    <w:rsid w:val="000B497D"/>
    <w:rsid w:val="000B5858"/>
    <w:rsid w:val="000B59EB"/>
    <w:rsid w:val="000B5B3C"/>
    <w:rsid w:val="000B5B43"/>
    <w:rsid w:val="000B5CE4"/>
    <w:rsid w:val="000B6D69"/>
    <w:rsid w:val="000B7008"/>
    <w:rsid w:val="000B719A"/>
    <w:rsid w:val="000B71AD"/>
    <w:rsid w:val="000B75D0"/>
    <w:rsid w:val="000B779C"/>
    <w:rsid w:val="000B7A98"/>
    <w:rsid w:val="000B7E75"/>
    <w:rsid w:val="000B7F79"/>
    <w:rsid w:val="000C0221"/>
    <w:rsid w:val="000C028D"/>
    <w:rsid w:val="000C04C9"/>
    <w:rsid w:val="000C05D6"/>
    <w:rsid w:val="000C08FC"/>
    <w:rsid w:val="000C1051"/>
    <w:rsid w:val="000C1FC7"/>
    <w:rsid w:val="000C2197"/>
    <w:rsid w:val="000C21CF"/>
    <w:rsid w:val="000C2713"/>
    <w:rsid w:val="000C27FB"/>
    <w:rsid w:val="000C2910"/>
    <w:rsid w:val="000C3169"/>
    <w:rsid w:val="000C33AF"/>
    <w:rsid w:val="000C34F8"/>
    <w:rsid w:val="000C3813"/>
    <w:rsid w:val="000C38C4"/>
    <w:rsid w:val="000C3A60"/>
    <w:rsid w:val="000C3B66"/>
    <w:rsid w:val="000C3BB0"/>
    <w:rsid w:val="000C4191"/>
    <w:rsid w:val="000C419E"/>
    <w:rsid w:val="000C42F5"/>
    <w:rsid w:val="000C4335"/>
    <w:rsid w:val="000C461D"/>
    <w:rsid w:val="000C4767"/>
    <w:rsid w:val="000C49E6"/>
    <w:rsid w:val="000C4D04"/>
    <w:rsid w:val="000C508B"/>
    <w:rsid w:val="000C5093"/>
    <w:rsid w:val="000C556D"/>
    <w:rsid w:val="000C5777"/>
    <w:rsid w:val="000C5A49"/>
    <w:rsid w:val="000C6299"/>
    <w:rsid w:val="000C65F6"/>
    <w:rsid w:val="000C6943"/>
    <w:rsid w:val="000C6AEF"/>
    <w:rsid w:val="000C6DD8"/>
    <w:rsid w:val="000C721B"/>
    <w:rsid w:val="000C79DC"/>
    <w:rsid w:val="000C7D82"/>
    <w:rsid w:val="000C7DBB"/>
    <w:rsid w:val="000C7ED7"/>
    <w:rsid w:val="000D03EF"/>
    <w:rsid w:val="000D0503"/>
    <w:rsid w:val="000D0E00"/>
    <w:rsid w:val="000D0E63"/>
    <w:rsid w:val="000D147C"/>
    <w:rsid w:val="000D14A6"/>
    <w:rsid w:val="000D1CE5"/>
    <w:rsid w:val="000D1F0F"/>
    <w:rsid w:val="000D20B1"/>
    <w:rsid w:val="000D23CC"/>
    <w:rsid w:val="000D26C4"/>
    <w:rsid w:val="000D28F9"/>
    <w:rsid w:val="000D2E89"/>
    <w:rsid w:val="000D338B"/>
    <w:rsid w:val="000D3AFA"/>
    <w:rsid w:val="000D3B1C"/>
    <w:rsid w:val="000D3BCD"/>
    <w:rsid w:val="000D3EC9"/>
    <w:rsid w:val="000D45A2"/>
    <w:rsid w:val="000D47B7"/>
    <w:rsid w:val="000D4C7F"/>
    <w:rsid w:val="000D4E06"/>
    <w:rsid w:val="000D50FE"/>
    <w:rsid w:val="000D531B"/>
    <w:rsid w:val="000D5798"/>
    <w:rsid w:val="000D590F"/>
    <w:rsid w:val="000D5ADB"/>
    <w:rsid w:val="000D5B8E"/>
    <w:rsid w:val="000D633C"/>
    <w:rsid w:val="000D6A60"/>
    <w:rsid w:val="000D6E0A"/>
    <w:rsid w:val="000D709F"/>
    <w:rsid w:val="000D7481"/>
    <w:rsid w:val="000D7888"/>
    <w:rsid w:val="000D7D20"/>
    <w:rsid w:val="000D7E06"/>
    <w:rsid w:val="000D7FD1"/>
    <w:rsid w:val="000E0043"/>
    <w:rsid w:val="000E03CA"/>
    <w:rsid w:val="000E0D2D"/>
    <w:rsid w:val="000E11DA"/>
    <w:rsid w:val="000E14A8"/>
    <w:rsid w:val="000E1670"/>
    <w:rsid w:val="000E1DCC"/>
    <w:rsid w:val="000E28F1"/>
    <w:rsid w:val="000E2D0D"/>
    <w:rsid w:val="000E2E0F"/>
    <w:rsid w:val="000E2E57"/>
    <w:rsid w:val="000E30A0"/>
    <w:rsid w:val="000E30FD"/>
    <w:rsid w:val="000E317D"/>
    <w:rsid w:val="000E321E"/>
    <w:rsid w:val="000E3A4C"/>
    <w:rsid w:val="000E404F"/>
    <w:rsid w:val="000E40F3"/>
    <w:rsid w:val="000E41A7"/>
    <w:rsid w:val="000E420B"/>
    <w:rsid w:val="000E469B"/>
    <w:rsid w:val="000E4963"/>
    <w:rsid w:val="000E4EC6"/>
    <w:rsid w:val="000E50D0"/>
    <w:rsid w:val="000E58E6"/>
    <w:rsid w:val="000E5D6F"/>
    <w:rsid w:val="000E5F87"/>
    <w:rsid w:val="000E6446"/>
    <w:rsid w:val="000E66AD"/>
    <w:rsid w:val="000E696B"/>
    <w:rsid w:val="000E73F9"/>
    <w:rsid w:val="000E77CB"/>
    <w:rsid w:val="000E7967"/>
    <w:rsid w:val="000E7E3A"/>
    <w:rsid w:val="000F0377"/>
    <w:rsid w:val="000F0513"/>
    <w:rsid w:val="000F075C"/>
    <w:rsid w:val="000F091E"/>
    <w:rsid w:val="000F0A82"/>
    <w:rsid w:val="000F0C29"/>
    <w:rsid w:val="000F0DAB"/>
    <w:rsid w:val="000F163B"/>
    <w:rsid w:val="000F1A0F"/>
    <w:rsid w:val="000F2114"/>
    <w:rsid w:val="000F2179"/>
    <w:rsid w:val="000F293D"/>
    <w:rsid w:val="000F2AEC"/>
    <w:rsid w:val="000F2FE1"/>
    <w:rsid w:val="000F3412"/>
    <w:rsid w:val="000F4221"/>
    <w:rsid w:val="000F4350"/>
    <w:rsid w:val="000F4379"/>
    <w:rsid w:val="000F45D1"/>
    <w:rsid w:val="000F45D3"/>
    <w:rsid w:val="000F4723"/>
    <w:rsid w:val="000F5755"/>
    <w:rsid w:val="000F5FF5"/>
    <w:rsid w:val="000F6153"/>
    <w:rsid w:val="000F6383"/>
    <w:rsid w:val="000F653D"/>
    <w:rsid w:val="000F7197"/>
    <w:rsid w:val="000F73CB"/>
    <w:rsid w:val="000F7455"/>
    <w:rsid w:val="000F7B76"/>
    <w:rsid w:val="0010009E"/>
    <w:rsid w:val="00100223"/>
    <w:rsid w:val="00100452"/>
    <w:rsid w:val="00100AB4"/>
    <w:rsid w:val="001011E2"/>
    <w:rsid w:val="00101544"/>
    <w:rsid w:val="00101FF2"/>
    <w:rsid w:val="00102027"/>
    <w:rsid w:val="0010217A"/>
    <w:rsid w:val="00103501"/>
    <w:rsid w:val="001035E2"/>
    <w:rsid w:val="0010383B"/>
    <w:rsid w:val="0010385C"/>
    <w:rsid w:val="00103914"/>
    <w:rsid w:val="00104098"/>
    <w:rsid w:val="001043D7"/>
    <w:rsid w:val="00104D89"/>
    <w:rsid w:val="00104EF9"/>
    <w:rsid w:val="001054B6"/>
    <w:rsid w:val="001054EE"/>
    <w:rsid w:val="00105693"/>
    <w:rsid w:val="00105AAC"/>
    <w:rsid w:val="00105EC9"/>
    <w:rsid w:val="00106006"/>
    <w:rsid w:val="00106057"/>
    <w:rsid w:val="00106350"/>
    <w:rsid w:val="0010676F"/>
    <w:rsid w:val="0010704B"/>
    <w:rsid w:val="001072E6"/>
    <w:rsid w:val="0010741F"/>
    <w:rsid w:val="00110811"/>
    <w:rsid w:val="00110868"/>
    <w:rsid w:val="00110C81"/>
    <w:rsid w:val="00110C8A"/>
    <w:rsid w:val="00110DEC"/>
    <w:rsid w:val="00110DFB"/>
    <w:rsid w:val="00111039"/>
    <w:rsid w:val="001112A7"/>
    <w:rsid w:val="0011139F"/>
    <w:rsid w:val="001113AB"/>
    <w:rsid w:val="001115C1"/>
    <w:rsid w:val="00111C1C"/>
    <w:rsid w:val="0011211F"/>
    <w:rsid w:val="00112342"/>
    <w:rsid w:val="001124BD"/>
    <w:rsid w:val="0011291E"/>
    <w:rsid w:val="001129B3"/>
    <w:rsid w:val="00112CB3"/>
    <w:rsid w:val="00113422"/>
    <w:rsid w:val="00113C7C"/>
    <w:rsid w:val="00114427"/>
    <w:rsid w:val="0011482B"/>
    <w:rsid w:val="00114A80"/>
    <w:rsid w:val="00114B9A"/>
    <w:rsid w:val="00114B9F"/>
    <w:rsid w:val="0011522F"/>
    <w:rsid w:val="001152C7"/>
    <w:rsid w:val="001153AC"/>
    <w:rsid w:val="00115804"/>
    <w:rsid w:val="00115D9A"/>
    <w:rsid w:val="00116118"/>
    <w:rsid w:val="001165AA"/>
    <w:rsid w:val="00116B81"/>
    <w:rsid w:val="00116BB4"/>
    <w:rsid w:val="001173A6"/>
    <w:rsid w:val="001177AB"/>
    <w:rsid w:val="001178BB"/>
    <w:rsid w:val="00117A8F"/>
    <w:rsid w:val="00117E4F"/>
    <w:rsid w:val="001201F3"/>
    <w:rsid w:val="00120402"/>
    <w:rsid w:val="001205DA"/>
    <w:rsid w:val="001206FB"/>
    <w:rsid w:val="001207AF"/>
    <w:rsid w:val="00120B4F"/>
    <w:rsid w:val="00121645"/>
    <w:rsid w:val="00121B12"/>
    <w:rsid w:val="00121EB5"/>
    <w:rsid w:val="00121F70"/>
    <w:rsid w:val="001221DE"/>
    <w:rsid w:val="00122398"/>
    <w:rsid w:val="00122AFC"/>
    <w:rsid w:val="00122D34"/>
    <w:rsid w:val="001230C9"/>
    <w:rsid w:val="00123918"/>
    <w:rsid w:val="00123A75"/>
    <w:rsid w:val="0012435E"/>
    <w:rsid w:val="001243EC"/>
    <w:rsid w:val="001245DF"/>
    <w:rsid w:val="00124791"/>
    <w:rsid w:val="0012489D"/>
    <w:rsid w:val="00125317"/>
    <w:rsid w:val="001255B9"/>
    <w:rsid w:val="00125911"/>
    <w:rsid w:val="00125F13"/>
    <w:rsid w:val="00125FB9"/>
    <w:rsid w:val="00126041"/>
    <w:rsid w:val="001267D0"/>
    <w:rsid w:val="00126D73"/>
    <w:rsid w:val="00126FD7"/>
    <w:rsid w:val="00127302"/>
    <w:rsid w:val="00127632"/>
    <w:rsid w:val="001278BC"/>
    <w:rsid w:val="00127B19"/>
    <w:rsid w:val="00130490"/>
    <w:rsid w:val="00130685"/>
    <w:rsid w:val="0013092C"/>
    <w:rsid w:val="00130CB9"/>
    <w:rsid w:val="00130DBE"/>
    <w:rsid w:val="001311C2"/>
    <w:rsid w:val="001316D1"/>
    <w:rsid w:val="0013173C"/>
    <w:rsid w:val="001317E7"/>
    <w:rsid w:val="00131864"/>
    <w:rsid w:val="00131CA6"/>
    <w:rsid w:val="0013223C"/>
    <w:rsid w:val="001322AF"/>
    <w:rsid w:val="0013230C"/>
    <w:rsid w:val="00132611"/>
    <w:rsid w:val="00132646"/>
    <w:rsid w:val="00132CB7"/>
    <w:rsid w:val="00132EBF"/>
    <w:rsid w:val="001336C8"/>
    <w:rsid w:val="0013388A"/>
    <w:rsid w:val="00133A4A"/>
    <w:rsid w:val="00134339"/>
    <w:rsid w:val="00134352"/>
    <w:rsid w:val="00134420"/>
    <w:rsid w:val="001345CA"/>
    <w:rsid w:val="001346C7"/>
    <w:rsid w:val="0013562E"/>
    <w:rsid w:val="001358F0"/>
    <w:rsid w:val="00135FD7"/>
    <w:rsid w:val="001361E8"/>
    <w:rsid w:val="0013631E"/>
    <w:rsid w:val="00136AB9"/>
    <w:rsid w:val="00136B22"/>
    <w:rsid w:val="00136CBF"/>
    <w:rsid w:val="00136F5E"/>
    <w:rsid w:val="001370DD"/>
    <w:rsid w:val="00137811"/>
    <w:rsid w:val="001379BA"/>
    <w:rsid w:val="00137C7E"/>
    <w:rsid w:val="00140436"/>
    <w:rsid w:val="0014053B"/>
    <w:rsid w:val="00140D2F"/>
    <w:rsid w:val="00140E6D"/>
    <w:rsid w:val="00140F08"/>
    <w:rsid w:val="00140FCA"/>
    <w:rsid w:val="001417A2"/>
    <w:rsid w:val="00141981"/>
    <w:rsid w:val="001419BF"/>
    <w:rsid w:val="00141B3A"/>
    <w:rsid w:val="00141CF3"/>
    <w:rsid w:val="00141D53"/>
    <w:rsid w:val="00141FAD"/>
    <w:rsid w:val="0014221E"/>
    <w:rsid w:val="0014246F"/>
    <w:rsid w:val="00142A78"/>
    <w:rsid w:val="00142B9C"/>
    <w:rsid w:val="0014319E"/>
    <w:rsid w:val="001432C2"/>
    <w:rsid w:val="00143A4B"/>
    <w:rsid w:val="00143ABA"/>
    <w:rsid w:val="001443F1"/>
    <w:rsid w:val="00144428"/>
    <w:rsid w:val="001445AB"/>
    <w:rsid w:val="00144CE6"/>
    <w:rsid w:val="00144E86"/>
    <w:rsid w:val="00144EB0"/>
    <w:rsid w:val="00145074"/>
    <w:rsid w:val="00145264"/>
    <w:rsid w:val="001452D9"/>
    <w:rsid w:val="0014596B"/>
    <w:rsid w:val="00145C3B"/>
    <w:rsid w:val="00146041"/>
    <w:rsid w:val="00146939"/>
    <w:rsid w:val="00146D1B"/>
    <w:rsid w:val="0014707A"/>
    <w:rsid w:val="00147192"/>
    <w:rsid w:val="0014770C"/>
    <w:rsid w:val="00147741"/>
    <w:rsid w:val="00147941"/>
    <w:rsid w:val="00147957"/>
    <w:rsid w:val="001503D5"/>
    <w:rsid w:val="00151093"/>
    <w:rsid w:val="001514FC"/>
    <w:rsid w:val="00151609"/>
    <w:rsid w:val="00151C63"/>
    <w:rsid w:val="0015243E"/>
    <w:rsid w:val="001534F8"/>
    <w:rsid w:val="00153562"/>
    <w:rsid w:val="001536E0"/>
    <w:rsid w:val="0015385B"/>
    <w:rsid w:val="00154065"/>
    <w:rsid w:val="00154F28"/>
    <w:rsid w:val="00155515"/>
    <w:rsid w:val="00155615"/>
    <w:rsid w:val="00155806"/>
    <w:rsid w:val="00155B6E"/>
    <w:rsid w:val="00155B6F"/>
    <w:rsid w:val="00155B7C"/>
    <w:rsid w:val="00155BC8"/>
    <w:rsid w:val="00155CCD"/>
    <w:rsid w:val="0015612A"/>
    <w:rsid w:val="0015647A"/>
    <w:rsid w:val="001568C5"/>
    <w:rsid w:val="00156928"/>
    <w:rsid w:val="00156E70"/>
    <w:rsid w:val="001573C5"/>
    <w:rsid w:val="0015750B"/>
    <w:rsid w:val="00157D7D"/>
    <w:rsid w:val="00160057"/>
    <w:rsid w:val="00160758"/>
    <w:rsid w:val="00160808"/>
    <w:rsid w:val="001609AA"/>
    <w:rsid w:val="00160C91"/>
    <w:rsid w:val="00160D53"/>
    <w:rsid w:val="00160FC1"/>
    <w:rsid w:val="0016120C"/>
    <w:rsid w:val="0016166B"/>
    <w:rsid w:val="001616A8"/>
    <w:rsid w:val="001617A8"/>
    <w:rsid w:val="001618B8"/>
    <w:rsid w:val="00161FD1"/>
    <w:rsid w:val="001620EF"/>
    <w:rsid w:val="001621A1"/>
    <w:rsid w:val="00162E9B"/>
    <w:rsid w:val="001633E0"/>
    <w:rsid w:val="00164685"/>
    <w:rsid w:val="00164CCF"/>
    <w:rsid w:val="00165319"/>
    <w:rsid w:val="00165503"/>
    <w:rsid w:val="001656A5"/>
    <w:rsid w:val="00165F75"/>
    <w:rsid w:val="00166004"/>
    <w:rsid w:val="00166C86"/>
    <w:rsid w:val="00166F1C"/>
    <w:rsid w:val="00166FBD"/>
    <w:rsid w:val="00166FEB"/>
    <w:rsid w:val="001672CF"/>
    <w:rsid w:val="00167AFE"/>
    <w:rsid w:val="00170107"/>
    <w:rsid w:val="001701D7"/>
    <w:rsid w:val="001702A1"/>
    <w:rsid w:val="00170575"/>
    <w:rsid w:val="0017063D"/>
    <w:rsid w:val="00170C0A"/>
    <w:rsid w:val="00171473"/>
    <w:rsid w:val="00171F1C"/>
    <w:rsid w:val="001720BA"/>
    <w:rsid w:val="001721A8"/>
    <w:rsid w:val="001721CA"/>
    <w:rsid w:val="0017225C"/>
    <w:rsid w:val="00172B89"/>
    <w:rsid w:val="001731C0"/>
    <w:rsid w:val="00173500"/>
    <w:rsid w:val="00173AAA"/>
    <w:rsid w:val="00173BF1"/>
    <w:rsid w:val="001740BA"/>
    <w:rsid w:val="00174759"/>
    <w:rsid w:val="00174DD5"/>
    <w:rsid w:val="00174FB2"/>
    <w:rsid w:val="0017537F"/>
    <w:rsid w:val="00175492"/>
    <w:rsid w:val="00175A2A"/>
    <w:rsid w:val="00175A55"/>
    <w:rsid w:val="00175A69"/>
    <w:rsid w:val="00175B2B"/>
    <w:rsid w:val="00175B84"/>
    <w:rsid w:val="00175F38"/>
    <w:rsid w:val="00176069"/>
    <w:rsid w:val="00176143"/>
    <w:rsid w:val="00176413"/>
    <w:rsid w:val="00177332"/>
    <w:rsid w:val="001776C6"/>
    <w:rsid w:val="001777D4"/>
    <w:rsid w:val="00177ACD"/>
    <w:rsid w:val="00177D91"/>
    <w:rsid w:val="00177DE7"/>
    <w:rsid w:val="00180496"/>
    <w:rsid w:val="001806F7"/>
    <w:rsid w:val="001807AE"/>
    <w:rsid w:val="00180A5A"/>
    <w:rsid w:val="00180B44"/>
    <w:rsid w:val="001810D7"/>
    <w:rsid w:val="0018115D"/>
    <w:rsid w:val="001814AA"/>
    <w:rsid w:val="00181866"/>
    <w:rsid w:val="001819B9"/>
    <w:rsid w:val="00181A47"/>
    <w:rsid w:val="00181BBF"/>
    <w:rsid w:val="00181E5C"/>
    <w:rsid w:val="00181EFD"/>
    <w:rsid w:val="0018231A"/>
    <w:rsid w:val="0018235A"/>
    <w:rsid w:val="001828F4"/>
    <w:rsid w:val="00182942"/>
    <w:rsid w:val="00182B77"/>
    <w:rsid w:val="00182C5C"/>
    <w:rsid w:val="00182D0D"/>
    <w:rsid w:val="00182E62"/>
    <w:rsid w:val="00182EBC"/>
    <w:rsid w:val="00183AE1"/>
    <w:rsid w:val="00183F35"/>
    <w:rsid w:val="0018401A"/>
    <w:rsid w:val="00184267"/>
    <w:rsid w:val="001844B9"/>
    <w:rsid w:val="0018450D"/>
    <w:rsid w:val="001845D1"/>
    <w:rsid w:val="001846E7"/>
    <w:rsid w:val="00185C02"/>
    <w:rsid w:val="00185F3A"/>
    <w:rsid w:val="00186398"/>
    <w:rsid w:val="001864DA"/>
    <w:rsid w:val="00186B19"/>
    <w:rsid w:val="00186B5B"/>
    <w:rsid w:val="00186DEF"/>
    <w:rsid w:val="001872DA"/>
    <w:rsid w:val="001874E6"/>
    <w:rsid w:val="00187B08"/>
    <w:rsid w:val="00187BE9"/>
    <w:rsid w:val="00187D73"/>
    <w:rsid w:val="00187E6A"/>
    <w:rsid w:val="00190123"/>
    <w:rsid w:val="001901BC"/>
    <w:rsid w:val="00190D46"/>
    <w:rsid w:val="00190D79"/>
    <w:rsid w:val="00190DAD"/>
    <w:rsid w:val="00191489"/>
    <w:rsid w:val="00191BDA"/>
    <w:rsid w:val="001930DE"/>
    <w:rsid w:val="0019322A"/>
    <w:rsid w:val="00193268"/>
    <w:rsid w:val="001932B5"/>
    <w:rsid w:val="001932D4"/>
    <w:rsid w:val="0019370E"/>
    <w:rsid w:val="001937D7"/>
    <w:rsid w:val="0019387A"/>
    <w:rsid w:val="00193CCD"/>
    <w:rsid w:val="0019467E"/>
    <w:rsid w:val="00194738"/>
    <w:rsid w:val="00194927"/>
    <w:rsid w:val="001949F7"/>
    <w:rsid w:val="00194A50"/>
    <w:rsid w:val="00194DBA"/>
    <w:rsid w:val="00194E50"/>
    <w:rsid w:val="00195C94"/>
    <w:rsid w:val="001961F9"/>
    <w:rsid w:val="00197595"/>
    <w:rsid w:val="00197751"/>
    <w:rsid w:val="001A013F"/>
    <w:rsid w:val="001A029E"/>
    <w:rsid w:val="001A05C0"/>
    <w:rsid w:val="001A0E65"/>
    <w:rsid w:val="001A0E7F"/>
    <w:rsid w:val="001A11AA"/>
    <w:rsid w:val="001A11D6"/>
    <w:rsid w:val="001A12D1"/>
    <w:rsid w:val="001A16D1"/>
    <w:rsid w:val="001A18BE"/>
    <w:rsid w:val="001A1A32"/>
    <w:rsid w:val="001A1FFC"/>
    <w:rsid w:val="001A30CD"/>
    <w:rsid w:val="001A3D42"/>
    <w:rsid w:val="001A4250"/>
    <w:rsid w:val="001A4299"/>
    <w:rsid w:val="001A4CF2"/>
    <w:rsid w:val="001A51D8"/>
    <w:rsid w:val="001A59FC"/>
    <w:rsid w:val="001A63EA"/>
    <w:rsid w:val="001A68FD"/>
    <w:rsid w:val="001A6D59"/>
    <w:rsid w:val="001A6F21"/>
    <w:rsid w:val="001A7677"/>
    <w:rsid w:val="001A76A3"/>
    <w:rsid w:val="001A7ABC"/>
    <w:rsid w:val="001A7B71"/>
    <w:rsid w:val="001A7E4B"/>
    <w:rsid w:val="001B04A2"/>
    <w:rsid w:val="001B0AE5"/>
    <w:rsid w:val="001B0C7D"/>
    <w:rsid w:val="001B0D3D"/>
    <w:rsid w:val="001B10B9"/>
    <w:rsid w:val="001B1166"/>
    <w:rsid w:val="001B1450"/>
    <w:rsid w:val="001B1B0B"/>
    <w:rsid w:val="001B200E"/>
    <w:rsid w:val="001B236B"/>
    <w:rsid w:val="001B2DDD"/>
    <w:rsid w:val="001B2FF0"/>
    <w:rsid w:val="001B31F7"/>
    <w:rsid w:val="001B3405"/>
    <w:rsid w:val="001B364D"/>
    <w:rsid w:val="001B3969"/>
    <w:rsid w:val="001B3A10"/>
    <w:rsid w:val="001B404F"/>
    <w:rsid w:val="001B44E7"/>
    <w:rsid w:val="001B4719"/>
    <w:rsid w:val="001B4A64"/>
    <w:rsid w:val="001B50E6"/>
    <w:rsid w:val="001B51B6"/>
    <w:rsid w:val="001B5DD7"/>
    <w:rsid w:val="001B5E83"/>
    <w:rsid w:val="001B618C"/>
    <w:rsid w:val="001B629E"/>
    <w:rsid w:val="001B6A08"/>
    <w:rsid w:val="001B6A34"/>
    <w:rsid w:val="001B6B25"/>
    <w:rsid w:val="001B7059"/>
    <w:rsid w:val="001B72B9"/>
    <w:rsid w:val="001B72F9"/>
    <w:rsid w:val="001B79AA"/>
    <w:rsid w:val="001B7C41"/>
    <w:rsid w:val="001C03C5"/>
    <w:rsid w:val="001C04A9"/>
    <w:rsid w:val="001C04CC"/>
    <w:rsid w:val="001C0922"/>
    <w:rsid w:val="001C0966"/>
    <w:rsid w:val="001C0D5A"/>
    <w:rsid w:val="001C0DD3"/>
    <w:rsid w:val="001C1008"/>
    <w:rsid w:val="001C1E52"/>
    <w:rsid w:val="001C246C"/>
    <w:rsid w:val="001C2773"/>
    <w:rsid w:val="001C329D"/>
    <w:rsid w:val="001C3302"/>
    <w:rsid w:val="001C361A"/>
    <w:rsid w:val="001C36CE"/>
    <w:rsid w:val="001C3B79"/>
    <w:rsid w:val="001C3FDD"/>
    <w:rsid w:val="001C3FEA"/>
    <w:rsid w:val="001C4286"/>
    <w:rsid w:val="001C4386"/>
    <w:rsid w:val="001C4AD0"/>
    <w:rsid w:val="001C4B1B"/>
    <w:rsid w:val="001C4D65"/>
    <w:rsid w:val="001C4DA3"/>
    <w:rsid w:val="001C518D"/>
    <w:rsid w:val="001C51DC"/>
    <w:rsid w:val="001C5301"/>
    <w:rsid w:val="001C5310"/>
    <w:rsid w:val="001C5609"/>
    <w:rsid w:val="001C5678"/>
    <w:rsid w:val="001C57AB"/>
    <w:rsid w:val="001C5A0D"/>
    <w:rsid w:val="001C5A10"/>
    <w:rsid w:val="001C5F2C"/>
    <w:rsid w:val="001C5FA5"/>
    <w:rsid w:val="001C5FED"/>
    <w:rsid w:val="001C6AD1"/>
    <w:rsid w:val="001C6F8A"/>
    <w:rsid w:val="001C7028"/>
    <w:rsid w:val="001C7302"/>
    <w:rsid w:val="001C7453"/>
    <w:rsid w:val="001C77DA"/>
    <w:rsid w:val="001C7832"/>
    <w:rsid w:val="001C796C"/>
    <w:rsid w:val="001C7EAB"/>
    <w:rsid w:val="001D01E3"/>
    <w:rsid w:val="001D036A"/>
    <w:rsid w:val="001D0589"/>
    <w:rsid w:val="001D05EB"/>
    <w:rsid w:val="001D0705"/>
    <w:rsid w:val="001D09F0"/>
    <w:rsid w:val="001D0A56"/>
    <w:rsid w:val="001D0C65"/>
    <w:rsid w:val="001D10B6"/>
    <w:rsid w:val="001D148F"/>
    <w:rsid w:val="001D15AF"/>
    <w:rsid w:val="001D1D27"/>
    <w:rsid w:val="001D2104"/>
    <w:rsid w:val="001D240F"/>
    <w:rsid w:val="001D2851"/>
    <w:rsid w:val="001D2DBC"/>
    <w:rsid w:val="001D2E8F"/>
    <w:rsid w:val="001D3745"/>
    <w:rsid w:val="001D39E8"/>
    <w:rsid w:val="001D3DF1"/>
    <w:rsid w:val="001D408A"/>
    <w:rsid w:val="001D4709"/>
    <w:rsid w:val="001D48B3"/>
    <w:rsid w:val="001D4A6D"/>
    <w:rsid w:val="001D4D65"/>
    <w:rsid w:val="001D5743"/>
    <w:rsid w:val="001D5868"/>
    <w:rsid w:val="001D5B24"/>
    <w:rsid w:val="001D5E2D"/>
    <w:rsid w:val="001D5E61"/>
    <w:rsid w:val="001D5EF2"/>
    <w:rsid w:val="001D5F4F"/>
    <w:rsid w:val="001D603D"/>
    <w:rsid w:val="001D63C6"/>
    <w:rsid w:val="001D6610"/>
    <w:rsid w:val="001D6F25"/>
    <w:rsid w:val="001D7200"/>
    <w:rsid w:val="001D795D"/>
    <w:rsid w:val="001E0C25"/>
    <w:rsid w:val="001E0EA4"/>
    <w:rsid w:val="001E1378"/>
    <w:rsid w:val="001E16E6"/>
    <w:rsid w:val="001E1BD7"/>
    <w:rsid w:val="001E2496"/>
    <w:rsid w:val="001E2724"/>
    <w:rsid w:val="001E27A2"/>
    <w:rsid w:val="001E2891"/>
    <w:rsid w:val="001E35C7"/>
    <w:rsid w:val="001E4305"/>
    <w:rsid w:val="001E4559"/>
    <w:rsid w:val="001E496F"/>
    <w:rsid w:val="001E4BDE"/>
    <w:rsid w:val="001E4DB7"/>
    <w:rsid w:val="001E514A"/>
    <w:rsid w:val="001E54EC"/>
    <w:rsid w:val="001E5A28"/>
    <w:rsid w:val="001E5C4B"/>
    <w:rsid w:val="001E5DB9"/>
    <w:rsid w:val="001E5E31"/>
    <w:rsid w:val="001E60AA"/>
    <w:rsid w:val="001E6163"/>
    <w:rsid w:val="001E620A"/>
    <w:rsid w:val="001E638F"/>
    <w:rsid w:val="001E6472"/>
    <w:rsid w:val="001E65B7"/>
    <w:rsid w:val="001E65CE"/>
    <w:rsid w:val="001E65E2"/>
    <w:rsid w:val="001E69C5"/>
    <w:rsid w:val="001E6BA5"/>
    <w:rsid w:val="001E6E1E"/>
    <w:rsid w:val="001E6F65"/>
    <w:rsid w:val="001E6FAF"/>
    <w:rsid w:val="001E7355"/>
    <w:rsid w:val="001E7722"/>
    <w:rsid w:val="001E7942"/>
    <w:rsid w:val="001E7D39"/>
    <w:rsid w:val="001E7D90"/>
    <w:rsid w:val="001E7DC3"/>
    <w:rsid w:val="001E7F3C"/>
    <w:rsid w:val="001E7F7B"/>
    <w:rsid w:val="001F0387"/>
    <w:rsid w:val="001F038C"/>
    <w:rsid w:val="001F0F00"/>
    <w:rsid w:val="001F1413"/>
    <w:rsid w:val="001F150A"/>
    <w:rsid w:val="001F1633"/>
    <w:rsid w:val="001F196F"/>
    <w:rsid w:val="001F1BDD"/>
    <w:rsid w:val="001F1D23"/>
    <w:rsid w:val="001F2055"/>
    <w:rsid w:val="001F212F"/>
    <w:rsid w:val="001F2429"/>
    <w:rsid w:val="001F260A"/>
    <w:rsid w:val="001F27C5"/>
    <w:rsid w:val="001F2AF2"/>
    <w:rsid w:val="001F2C1D"/>
    <w:rsid w:val="001F30B3"/>
    <w:rsid w:val="001F322A"/>
    <w:rsid w:val="001F38E5"/>
    <w:rsid w:val="001F3BC2"/>
    <w:rsid w:val="001F436B"/>
    <w:rsid w:val="001F43C7"/>
    <w:rsid w:val="001F4724"/>
    <w:rsid w:val="001F495B"/>
    <w:rsid w:val="001F4B74"/>
    <w:rsid w:val="001F4E84"/>
    <w:rsid w:val="001F4FEE"/>
    <w:rsid w:val="001F50B4"/>
    <w:rsid w:val="001F5E94"/>
    <w:rsid w:val="001F617F"/>
    <w:rsid w:val="001F635C"/>
    <w:rsid w:val="001F6855"/>
    <w:rsid w:val="001F6908"/>
    <w:rsid w:val="001F7487"/>
    <w:rsid w:val="001F7729"/>
    <w:rsid w:val="001F775F"/>
    <w:rsid w:val="0020004D"/>
    <w:rsid w:val="002001E4"/>
    <w:rsid w:val="002007F4"/>
    <w:rsid w:val="00200939"/>
    <w:rsid w:val="00200F3A"/>
    <w:rsid w:val="0020114B"/>
    <w:rsid w:val="002012CC"/>
    <w:rsid w:val="00201378"/>
    <w:rsid w:val="0020143B"/>
    <w:rsid w:val="002018EC"/>
    <w:rsid w:val="00201921"/>
    <w:rsid w:val="002022CD"/>
    <w:rsid w:val="002028BD"/>
    <w:rsid w:val="00202BE8"/>
    <w:rsid w:val="00202F98"/>
    <w:rsid w:val="00203170"/>
    <w:rsid w:val="00203219"/>
    <w:rsid w:val="002035B6"/>
    <w:rsid w:val="002035B8"/>
    <w:rsid w:val="00203B9F"/>
    <w:rsid w:val="00203C54"/>
    <w:rsid w:val="00203DDB"/>
    <w:rsid w:val="00203ECA"/>
    <w:rsid w:val="00203FDB"/>
    <w:rsid w:val="00204043"/>
    <w:rsid w:val="00204271"/>
    <w:rsid w:val="002046B0"/>
    <w:rsid w:val="00204BEB"/>
    <w:rsid w:val="00204E19"/>
    <w:rsid w:val="0020503C"/>
    <w:rsid w:val="00205144"/>
    <w:rsid w:val="002055B5"/>
    <w:rsid w:val="002058EB"/>
    <w:rsid w:val="0020590B"/>
    <w:rsid w:val="00205BAF"/>
    <w:rsid w:val="0020633E"/>
    <w:rsid w:val="002063EF"/>
    <w:rsid w:val="00206839"/>
    <w:rsid w:val="00206A40"/>
    <w:rsid w:val="00206D6C"/>
    <w:rsid w:val="00206F29"/>
    <w:rsid w:val="00206FA5"/>
    <w:rsid w:val="002071C5"/>
    <w:rsid w:val="002071DE"/>
    <w:rsid w:val="00207382"/>
    <w:rsid w:val="002073CC"/>
    <w:rsid w:val="00207B40"/>
    <w:rsid w:val="00207EB2"/>
    <w:rsid w:val="00210082"/>
    <w:rsid w:val="00210173"/>
    <w:rsid w:val="00210657"/>
    <w:rsid w:val="00210761"/>
    <w:rsid w:val="00210AA3"/>
    <w:rsid w:val="00210FEF"/>
    <w:rsid w:val="002115E5"/>
    <w:rsid w:val="002118C0"/>
    <w:rsid w:val="00211A12"/>
    <w:rsid w:val="00211A2D"/>
    <w:rsid w:val="00211D5D"/>
    <w:rsid w:val="0021222B"/>
    <w:rsid w:val="00212371"/>
    <w:rsid w:val="002124D8"/>
    <w:rsid w:val="002126F9"/>
    <w:rsid w:val="00212AA5"/>
    <w:rsid w:val="00212F70"/>
    <w:rsid w:val="00213086"/>
    <w:rsid w:val="00213176"/>
    <w:rsid w:val="00213F01"/>
    <w:rsid w:val="002143D0"/>
    <w:rsid w:val="0021462A"/>
    <w:rsid w:val="00214B30"/>
    <w:rsid w:val="00214E6E"/>
    <w:rsid w:val="00214F03"/>
    <w:rsid w:val="00215285"/>
    <w:rsid w:val="002154D5"/>
    <w:rsid w:val="00215800"/>
    <w:rsid w:val="0021585E"/>
    <w:rsid w:val="00215BF5"/>
    <w:rsid w:val="00215DB4"/>
    <w:rsid w:val="00215DB6"/>
    <w:rsid w:val="00215DBF"/>
    <w:rsid w:val="002160C9"/>
    <w:rsid w:val="00216392"/>
    <w:rsid w:val="00217709"/>
    <w:rsid w:val="00217736"/>
    <w:rsid w:val="00217AD1"/>
    <w:rsid w:val="00217C9F"/>
    <w:rsid w:val="00220040"/>
    <w:rsid w:val="002201DB"/>
    <w:rsid w:val="00220222"/>
    <w:rsid w:val="00220518"/>
    <w:rsid w:val="002205DE"/>
    <w:rsid w:val="00220904"/>
    <w:rsid w:val="00221099"/>
    <w:rsid w:val="0022134F"/>
    <w:rsid w:val="00221453"/>
    <w:rsid w:val="002215BF"/>
    <w:rsid w:val="002216CE"/>
    <w:rsid w:val="00221B89"/>
    <w:rsid w:val="00221CB1"/>
    <w:rsid w:val="00221E03"/>
    <w:rsid w:val="00221F4B"/>
    <w:rsid w:val="00222513"/>
    <w:rsid w:val="002225EF"/>
    <w:rsid w:val="00222931"/>
    <w:rsid w:val="00222C55"/>
    <w:rsid w:val="0022384D"/>
    <w:rsid w:val="00223AE4"/>
    <w:rsid w:val="00223B57"/>
    <w:rsid w:val="00224067"/>
    <w:rsid w:val="00224330"/>
    <w:rsid w:val="00224421"/>
    <w:rsid w:val="00224E58"/>
    <w:rsid w:val="0022585A"/>
    <w:rsid w:val="0022588C"/>
    <w:rsid w:val="00225A0C"/>
    <w:rsid w:val="00225F20"/>
    <w:rsid w:val="0022606D"/>
    <w:rsid w:val="002263BF"/>
    <w:rsid w:val="00226564"/>
    <w:rsid w:val="00227667"/>
    <w:rsid w:val="00227711"/>
    <w:rsid w:val="00227FB2"/>
    <w:rsid w:val="00227FB8"/>
    <w:rsid w:val="00230041"/>
    <w:rsid w:val="0023012E"/>
    <w:rsid w:val="0023013A"/>
    <w:rsid w:val="00230251"/>
    <w:rsid w:val="00230412"/>
    <w:rsid w:val="00230457"/>
    <w:rsid w:val="00230939"/>
    <w:rsid w:val="00230999"/>
    <w:rsid w:val="00230B79"/>
    <w:rsid w:val="002313AC"/>
    <w:rsid w:val="00231C32"/>
    <w:rsid w:val="00231CFA"/>
    <w:rsid w:val="0023240A"/>
    <w:rsid w:val="00232D00"/>
    <w:rsid w:val="00233296"/>
    <w:rsid w:val="00233976"/>
    <w:rsid w:val="00233B2F"/>
    <w:rsid w:val="00233D4B"/>
    <w:rsid w:val="00233EEB"/>
    <w:rsid w:val="002340B8"/>
    <w:rsid w:val="002343C3"/>
    <w:rsid w:val="002344AD"/>
    <w:rsid w:val="00234DCC"/>
    <w:rsid w:val="00234E67"/>
    <w:rsid w:val="00234ECE"/>
    <w:rsid w:val="00235392"/>
    <w:rsid w:val="00235D6C"/>
    <w:rsid w:val="00236522"/>
    <w:rsid w:val="00236988"/>
    <w:rsid w:val="00237269"/>
    <w:rsid w:val="00237632"/>
    <w:rsid w:val="00237B36"/>
    <w:rsid w:val="00237F69"/>
    <w:rsid w:val="0024008B"/>
    <w:rsid w:val="0024014C"/>
    <w:rsid w:val="0024028D"/>
    <w:rsid w:val="002406CC"/>
    <w:rsid w:val="00240975"/>
    <w:rsid w:val="00240AD5"/>
    <w:rsid w:val="00240E68"/>
    <w:rsid w:val="00240FA1"/>
    <w:rsid w:val="002412B0"/>
    <w:rsid w:val="0024146C"/>
    <w:rsid w:val="002415B2"/>
    <w:rsid w:val="00241814"/>
    <w:rsid w:val="002418A6"/>
    <w:rsid w:val="00241AAB"/>
    <w:rsid w:val="00241E6F"/>
    <w:rsid w:val="002421AF"/>
    <w:rsid w:val="002424D4"/>
    <w:rsid w:val="00242BC9"/>
    <w:rsid w:val="00242DB5"/>
    <w:rsid w:val="002436A8"/>
    <w:rsid w:val="002439B4"/>
    <w:rsid w:val="0024478A"/>
    <w:rsid w:val="002449D4"/>
    <w:rsid w:val="00244C66"/>
    <w:rsid w:val="00245832"/>
    <w:rsid w:val="00245842"/>
    <w:rsid w:val="00245BBC"/>
    <w:rsid w:val="00245CE3"/>
    <w:rsid w:val="00245E93"/>
    <w:rsid w:val="00246100"/>
    <w:rsid w:val="0024655A"/>
    <w:rsid w:val="0024658F"/>
    <w:rsid w:val="00247284"/>
    <w:rsid w:val="002472A2"/>
    <w:rsid w:val="002474E3"/>
    <w:rsid w:val="0024798F"/>
    <w:rsid w:val="00247A9E"/>
    <w:rsid w:val="00247C03"/>
    <w:rsid w:val="00247C26"/>
    <w:rsid w:val="0025008B"/>
    <w:rsid w:val="002503E9"/>
    <w:rsid w:val="00250410"/>
    <w:rsid w:val="00250A85"/>
    <w:rsid w:val="00251237"/>
    <w:rsid w:val="00251719"/>
    <w:rsid w:val="00251841"/>
    <w:rsid w:val="00251C92"/>
    <w:rsid w:val="00251FED"/>
    <w:rsid w:val="0025240F"/>
    <w:rsid w:val="00252582"/>
    <w:rsid w:val="0025302D"/>
    <w:rsid w:val="002538D7"/>
    <w:rsid w:val="00253F7F"/>
    <w:rsid w:val="00254284"/>
    <w:rsid w:val="00254529"/>
    <w:rsid w:val="00254994"/>
    <w:rsid w:val="00254B56"/>
    <w:rsid w:val="00254C9C"/>
    <w:rsid w:val="00254F73"/>
    <w:rsid w:val="00255146"/>
    <w:rsid w:val="002552BD"/>
    <w:rsid w:val="00255CE6"/>
    <w:rsid w:val="00256781"/>
    <w:rsid w:val="00256DB5"/>
    <w:rsid w:val="00256FE8"/>
    <w:rsid w:val="00257286"/>
    <w:rsid w:val="00257CF0"/>
    <w:rsid w:val="00257F9C"/>
    <w:rsid w:val="00260195"/>
    <w:rsid w:val="00260AF9"/>
    <w:rsid w:val="00260B62"/>
    <w:rsid w:val="00260D0A"/>
    <w:rsid w:val="00260D19"/>
    <w:rsid w:val="00260E5E"/>
    <w:rsid w:val="002615FD"/>
    <w:rsid w:val="00261708"/>
    <w:rsid w:val="00261CCA"/>
    <w:rsid w:val="00261CD7"/>
    <w:rsid w:val="00261F94"/>
    <w:rsid w:val="0026236D"/>
    <w:rsid w:val="00262661"/>
    <w:rsid w:val="0026280D"/>
    <w:rsid w:val="00262994"/>
    <w:rsid w:val="002629C1"/>
    <w:rsid w:val="00262DEA"/>
    <w:rsid w:val="00263370"/>
    <w:rsid w:val="002633B1"/>
    <w:rsid w:val="0026346E"/>
    <w:rsid w:val="00263874"/>
    <w:rsid w:val="00263B26"/>
    <w:rsid w:val="002644F6"/>
    <w:rsid w:val="0026452E"/>
    <w:rsid w:val="0026465E"/>
    <w:rsid w:val="002649AF"/>
    <w:rsid w:val="00264D37"/>
    <w:rsid w:val="00265376"/>
    <w:rsid w:val="002659DC"/>
    <w:rsid w:val="00265F7F"/>
    <w:rsid w:val="0026656A"/>
    <w:rsid w:val="00266D1E"/>
    <w:rsid w:val="00267150"/>
    <w:rsid w:val="002673E8"/>
    <w:rsid w:val="0026754D"/>
    <w:rsid w:val="0026781F"/>
    <w:rsid w:val="00267883"/>
    <w:rsid w:val="00267B12"/>
    <w:rsid w:val="00267F63"/>
    <w:rsid w:val="00270761"/>
    <w:rsid w:val="00270B19"/>
    <w:rsid w:val="00270C68"/>
    <w:rsid w:val="00271757"/>
    <w:rsid w:val="00271822"/>
    <w:rsid w:val="00271AEC"/>
    <w:rsid w:val="00271C72"/>
    <w:rsid w:val="00271E7D"/>
    <w:rsid w:val="00271EF6"/>
    <w:rsid w:val="002721F5"/>
    <w:rsid w:val="002723F2"/>
    <w:rsid w:val="0027249D"/>
    <w:rsid w:val="002729CD"/>
    <w:rsid w:val="00272B2D"/>
    <w:rsid w:val="002736C9"/>
    <w:rsid w:val="00273ABB"/>
    <w:rsid w:val="00274A42"/>
    <w:rsid w:val="00274DDC"/>
    <w:rsid w:val="00274EA8"/>
    <w:rsid w:val="00274F17"/>
    <w:rsid w:val="002751C4"/>
    <w:rsid w:val="002755A9"/>
    <w:rsid w:val="00275CE8"/>
    <w:rsid w:val="00276099"/>
    <w:rsid w:val="00276734"/>
    <w:rsid w:val="00276966"/>
    <w:rsid w:val="002769CD"/>
    <w:rsid w:val="00276E42"/>
    <w:rsid w:val="00276EF9"/>
    <w:rsid w:val="00276FBC"/>
    <w:rsid w:val="0027731F"/>
    <w:rsid w:val="002779CD"/>
    <w:rsid w:val="00277B82"/>
    <w:rsid w:val="00277D91"/>
    <w:rsid w:val="00277F36"/>
    <w:rsid w:val="002803C5"/>
    <w:rsid w:val="00280699"/>
    <w:rsid w:val="00280848"/>
    <w:rsid w:val="00280947"/>
    <w:rsid w:val="00280B98"/>
    <w:rsid w:val="00280E79"/>
    <w:rsid w:val="00280F80"/>
    <w:rsid w:val="0028132A"/>
    <w:rsid w:val="002814BC"/>
    <w:rsid w:val="002815B3"/>
    <w:rsid w:val="0028199F"/>
    <w:rsid w:val="00281AB3"/>
    <w:rsid w:val="00281CEC"/>
    <w:rsid w:val="00281F55"/>
    <w:rsid w:val="00282265"/>
    <w:rsid w:val="00282750"/>
    <w:rsid w:val="00282817"/>
    <w:rsid w:val="00283342"/>
    <w:rsid w:val="00283D96"/>
    <w:rsid w:val="00284649"/>
    <w:rsid w:val="00284B57"/>
    <w:rsid w:val="00285287"/>
    <w:rsid w:val="002856DC"/>
    <w:rsid w:val="002856F4"/>
    <w:rsid w:val="00285714"/>
    <w:rsid w:val="00285992"/>
    <w:rsid w:val="00285BB3"/>
    <w:rsid w:val="00286CA6"/>
    <w:rsid w:val="00286DC6"/>
    <w:rsid w:val="00287169"/>
    <w:rsid w:val="00287180"/>
    <w:rsid w:val="002871EB"/>
    <w:rsid w:val="002872F6"/>
    <w:rsid w:val="002875BB"/>
    <w:rsid w:val="00287939"/>
    <w:rsid w:val="00287AFD"/>
    <w:rsid w:val="00290B91"/>
    <w:rsid w:val="00290E9D"/>
    <w:rsid w:val="002917CC"/>
    <w:rsid w:val="00291C7C"/>
    <w:rsid w:val="00292184"/>
    <w:rsid w:val="002921B8"/>
    <w:rsid w:val="0029223E"/>
    <w:rsid w:val="00292366"/>
    <w:rsid w:val="00292498"/>
    <w:rsid w:val="0029280B"/>
    <w:rsid w:val="00292BC5"/>
    <w:rsid w:val="002934B0"/>
    <w:rsid w:val="0029370E"/>
    <w:rsid w:val="00293E97"/>
    <w:rsid w:val="002940F5"/>
    <w:rsid w:val="0029444E"/>
    <w:rsid w:val="0029474A"/>
    <w:rsid w:val="00294CE3"/>
    <w:rsid w:val="00294CF0"/>
    <w:rsid w:val="00294E78"/>
    <w:rsid w:val="00294FA6"/>
    <w:rsid w:val="0029518C"/>
    <w:rsid w:val="00295635"/>
    <w:rsid w:val="002965D9"/>
    <w:rsid w:val="002969EC"/>
    <w:rsid w:val="00296BA6"/>
    <w:rsid w:val="00296CD8"/>
    <w:rsid w:val="00297295"/>
    <w:rsid w:val="00297969"/>
    <w:rsid w:val="00297A48"/>
    <w:rsid w:val="002A0254"/>
    <w:rsid w:val="002A0549"/>
    <w:rsid w:val="002A078B"/>
    <w:rsid w:val="002A084D"/>
    <w:rsid w:val="002A1B68"/>
    <w:rsid w:val="002A234F"/>
    <w:rsid w:val="002A2756"/>
    <w:rsid w:val="002A282D"/>
    <w:rsid w:val="002A2CF2"/>
    <w:rsid w:val="002A2F61"/>
    <w:rsid w:val="002A34D9"/>
    <w:rsid w:val="002A359D"/>
    <w:rsid w:val="002A39E7"/>
    <w:rsid w:val="002A3EC6"/>
    <w:rsid w:val="002A3F3F"/>
    <w:rsid w:val="002A47A3"/>
    <w:rsid w:val="002A47E8"/>
    <w:rsid w:val="002A4856"/>
    <w:rsid w:val="002A49CB"/>
    <w:rsid w:val="002A4B4E"/>
    <w:rsid w:val="002A4FF6"/>
    <w:rsid w:val="002A54F3"/>
    <w:rsid w:val="002A566F"/>
    <w:rsid w:val="002A6364"/>
    <w:rsid w:val="002A63B5"/>
    <w:rsid w:val="002A650D"/>
    <w:rsid w:val="002A6686"/>
    <w:rsid w:val="002A6C6B"/>
    <w:rsid w:val="002A6E4E"/>
    <w:rsid w:val="002A711F"/>
    <w:rsid w:val="002A729A"/>
    <w:rsid w:val="002A73D0"/>
    <w:rsid w:val="002A7A29"/>
    <w:rsid w:val="002A7BC6"/>
    <w:rsid w:val="002A7F93"/>
    <w:rsid w:val="002B0FDB"/>
    <w:rsid w:val="002B148C"/>
    <w:rsid w:val="002B1590"/>
    <w:rsid w:val="002B1722"/>
    <w:rsid w:val="002B1F5B"/>
    <w:rsid w:val="002B2648"/>
    <w:rsid w:val="002B268E"/>
    <w:rsid w:val="002B2717"/>
    <w:rsid w:val="002B272E"/>
    <w:rsid w:val="002B28AB"/>
    <w:rsid w:val="002B2B29"/>
    <w:rsid w:val="002B2D62"/>
    <w:rsid w:val="002B334E"/>
    <w:rsid w:val="002B339B"/>
    <w:rsid w:val="002B348F"/>
    <w:rsid w:val="002B3683"/>
    <w:rsid w:val="002B3A49"/>
    <w:rsid w:val="002B3E36"/>
    <w:rsid w:val="002B4373"/>
    <w:rsid w:val="002B43EC"/>
    <w:rsid w:val="002B44C9"/>
    <w:rsid w:val="002B4755"/>
    <w:rsid w:val="002B478A"/>
    <w:rsid w:val="002B4A29"/>
    <w:rsid w:val="002B4F1E"/>
    <w:rsid w:val="002B50C3"/>
    <w:rsid w:val="002B5351"/>
    <w:rsid w:val="002B53D4"/>
    <w:rsid w:val="002B56C6"/>
    <w:rsid w:val="002B579C"/>
    <w:rsid w:val="002B5AA8"/>
    <w:rsid w:val="002B5E0C"/>
    <w:rsid w:val="002B5E0E"/>
    <w:rsid w:val="002B5FFC"/>
    <w:rsid w:val="002B6787"/>
    <w:rsid w:val="002B6806"/>
    <w:rsid w:val="002B6E76"/>
    <w:rsid w:val="002B6FAA"/>
    <w:rsid w:val="002B7004"/>
    <w:rsid w:val="002B73F2"/>
    <w:rsid w:val="002B76B0"/>
    <w:rsid w:val="002B7859"/>
    <w:rsid w:val="002B7977"/>
    <w:rsid w:val="002B7D03"/>
    <w:rsid w:val="002C0485"/>
    <w:rsid w:val="002C0511"/>
    <w:rsid w:val="002C0600"/>
    <w:rsid w:val="002C0BB3"/>
    <w:rsid w:val="002C0F58"/>
    <w:rsid w:val="002C0FE9"/>
    <w:rsid w:val="002C10CD"/>
    <w:rsid w:val="002C12F7"/>
    <w:rsid w:val="002C15B2"/>
    <w:rsid w:val="002C17B4"/>
    <w:rsid w:val="002C1806"/>
    <w:rsid w:val="002C18BE"/>
    <w:rsid w:val="002C1E91"/>
    <w:rsid w:val="002C20AB"/>
    <w:rsid w:val="002C25C8"/>
    <w:rsid w:val="002C2901"/>
    <w:rsid w:val="002C30E4"/>
    <w:rsid w:val="002C324F"/>
    <w:rsid w:val="002C352B"/>
    <w:rsid w:val="002C3A43"/>
    <w:rsid w:val="002C440A"/>
    <w:rsid w:val="002C4816"/>
    <w:rsid w:val="002C4984"/>
    <w:rsid w:val="002C4E29"/>
    <w:rsid w:val="002C559A"/>
    <w:rsid w:val="002C59B7"/>
    <w:rsid w:val="002C6211"/>
    <w:rsid w:val="002C6305"/>
    <w:rsid w:val="002C6557"/>
    <w:rsid w:val="002C6952"/>
    <w:rsid w:val="002C6DC3"/>
    <w:rsid w:val="002C6FEC"/>
    <w:rsid w:val="002C701C"/>
    <w:rsid w:val="002C772B"/>
    <w:rsid w:val="002C790A"/>
    <w:rsid w:val="002C7D86"/>
    <w:rsid w:val="002C7EB0"/>
    <w:rsid w:val="002D078D"/>
    <w:rsid w:val="002D082C"/>
    <w:rsid w:val="002D0FDB"/>
    <w:rsid w:val="002D11AE"/>
    <w:rsid w:val="002D177A"/>
    <w:rsid w:val="002D18BD"/>
    <w:rsid w:val="002D1E54"/>
    <w:rsid w:val="002D2589"/>
    <w:rsid w:val="002D29F9"/>
    <w:rsid w:val="002D2D9F"/>
    <w:rsid w:val="002D31FE"/>
    <w:rsid w:val="002D361D"/>
    <w:rsid w:val="002D3EC9"/>
    <w:rsid w:val="002D3F20"/>
    <w:rsid w:val="002D407C"/>
    <w:rsid w:val="002D4442"/>
    <w:rsid w:val="002D45DD"/>
    <w:rsid w:val="002D4673"/>
    <w:rsid w:val="002D47DD"/>
    <w:rsid w:val="002D4B19"/>
    <w:rsid w:val="002D4BC3"/>
    <w:rsid w:val="002D4E28"/>
    <w:rsid w:val="002D51C2"/>
    <w:rsid w:val="002D5505"/>
    <w:rsid w:val="002D5CCE"/>
    <w:rsid w:val="002D5D42"/>
    <w:rsid w:val="002D66D1"/>
    <w:rsid w:val="002D6F05"/>
    <w:rsid w:val="002D73A5"/>
    <w:rsid w:val="002D73F6"/>
    <w:rsid w:val="002D7E86"/>
    <w:rsid w:val="002E05B9"/>
    <w:rsid w:val="002E07E0"/>
    <w:rsid w:val="002E08BB"/>
    <w:rsid w:val="002E0A2A"/>
    <w:rsid w:val="002E0CC5"/>
    <w:rsid w:val="002E10B0"/>
    <w:rsid w:val="002E17AA"/>
    <w:rsid w:val="002E27CA"/>
    <w:rsid w:val="002E2A57"/>
    <w:rsid w:val="002E2ED7"/>
    <w:rsid w:val="002E34E8"/>
    <w:rsid w:val="002E34F1"/>
    <w:rsid w:val="002E3B6C"/>
    <w:rsid w:val="002E3D5C"/>
    <w:rsid w:val="002E3E6A"/>
    <w:rsid w:val="002E3E90"/>
    <w:rsid w:val="002E42BB"/>
    <w:rsid w:val="002E462D"/>
    <w:rsid w:val="002E46F9"/>
    <w:rsid w:val="002E4848"/>
    <w:rsid w:val="002E4E35"/>
    <w:rsid w:val="002E5179"/>
    <w:rsid w:val="002E52AF"/>
    <w:rsid w:val="002E54A2"/>
    <w:rsid w:val="002E54D2"/>
    <w:rsid w:val="002E5595"/>
    <w:rsid w:val="002E5E10"/>
    <w:rsid w:val="002E6080"/>
    <w:rsid w:val="002E6435"/>
    <w:rsid w:val="002E68A0"/>
    <w:rsid w:val="002E6F2A"/>
    <w:rsid w:val="002E70B9"/>
    <w:rsid w:val="002E79EF"/>
    <w:rsid w:val="002E7EFD"/>
    <w:rsid w:val="002F075B"/>
    <w:rsid w:val="002F1436"/>
    <w:rsid w:val="002F171F"/>
    <w:rsid w:val="002F1800"/>
    <w:rsid w:val="002F1987"/>
    <w:rsid w:val="002F1E4B"/>
    <w:rsid w:val="002F1EBB"/>
    <w:rsid w:val="002F1F95"/>
    <w:rsid w:val="002F2109"/>
    <w:rsid w:val="002F2127"/>
    <w:rsid w:val="002F216E"/>
    <w:rsid w:val="002F2861"/>
    <w:rsid w:val="002F31E2"/>
    <w:rsid w:val="002F3488"/>
    <w:rsid w:val="002F38F1"/>
    <w:rsid w:val="002F3A36"/>
    <w:rsid w:val="002F411A"/>
    <w:rsid w:val="002F419F"/>
    <w:rsid w:val="002F460A"/>
    <w:rsid w:val="002F46A6"/>
    <w:rsid w:val="002F4D4A"/>
    <w:rsid w:val="002F4F00"/>
    <w:rsid w:val="002F5209"/>
    <w:rsid w:val="002F5F96"/>
    <w:rsid w:val="002F6047"/>
    <w:rsid w:val="002F6C34"/>
    <w:rsid w:val="002F709D"/>
    <w:rsid w:val="002F730A"/>
    <w:rsid w:val="002F7937"/>
    <w:rsid w:val="002F7C56"/>
    <w:rsid w:val="003000B8"/>
    <w:rsid w:val="003002BF"/>
    <w:rsid w:val="003003D8"/>
    <w:rsid w:val="00300505"/>
    <w:rsid w:val="00300C14"/>
    <w:rsid w:val="0030112E"/>
    <w:rsid w:val="00301693"/>
    <w:rsid w:val="00301714"/>
    <w:rsid w:val="003017AF"/>
    <w:rsid w:val="00301A8B"/>
    <w:rsid w:val="00301CAD"/>
    <w:rsid w:val="00301DB7"/>
    <w:rsid w:val="00301FDE"/>
    <w:rsid w:val="0030206B"/>
    <w:rsid w:val="00302437"/>
    <w:rsid w:val="003024EB"/>
    <w:rsid w:val="00302B61"/>
    <w:rsid w:val="0030303D"/>
    <w:rsid w:val="00303068"/>
    <w:rsid w:val="003037A9"/>
    <w:rsid w:val="00303973"/>
    <w:rsid w:val="003039B5"/>
    <w:rsid w:val="00303F9C"/>
    <w:rsid w:val="00303FCC"/>
    <w:rsid w:val="003040D1"/>
    <w:rsid w:val="003046F6"/>
    <w:rsid w:val="00305196"/>
    <w:rsid w:val="003054B0"/>
    <w:rsid w:val="00305A47"/>
    <w:rsid w:val="00305A7A"/>
    <w:rsid w:val="00306081"/>
    <w:rsid w:val="003064E7"/>
    <w:rsid w:val="00306913"/>
    <w:rsid w:val="00307125"/>
    <w:rsid w:val="00307A38"/>
    <w:rsid w:val="00307E43"/>
    <w:rsid w:val="00310361"/>
    <w:rsid w:val="003105C2"/>
    <w:rsid w:val="003108DD"/>
    <w:rsid w:val="00310B1C"/>
    <w:rsid w:val="00310E7C"/>
    <w:rsid w:val="00311330"/>
    <w:rsid w:val="00311808"/>
    <w:rsid w:val="00311D2F"/>
    <w:rsid w:val="003121B2"/>
    <w:rsid w:val="003122B1"/>
    <w:rsid w:val="00312495"/>
    <w:rsid w:val="00312623"/>
    <w:rsid w:val="003127B0"/>
    <w:rsid w:val="003128B2"/>
    <w:rsid w:val="00312ACA"/>
    <w:rsid w:val="00313286"/>
    <w:rsid w:val="003133C7"/>
    <w:rsid w:val="0031356F"/>
    <w:rsid w:val="00313AD2"/>
    <w:rsid w:val="00313B41"/>
    <w:rsid w:val="00313E2A"/>
    <w:rsid w:val="00314209"/>
    <w:rsid w:val="003142A3"/>
    <w:rsid w:val="003142BF"/>
    <w:rsid w:val="00314895"/>
    <w:rsid w:val="0031492C"/>
    <w:rsid w:val="00314A04"/>
    <w:rsid w:val="003151FF"/>
    <w:rsid w:val="00315AD5"/>
    <w:rsid w:val="00315C00"/>
    <w:rsid w:val="00315D78"/>
    <w:rsid w:val="00315F2D"/>
    <w:rsid w:val="003160D6"/>
    <w:rsid w:val="00316E50"/>
    <w:rsid w:val="003172E1"/>
    <w:rsid w:val="00317454"/>
    <w:rsid w:val="003178F0"/>
    <w:rsid w:val="00317E3A"/>
    <w:rsid w:val="00317EA9"/>
    <w:rsid w:val="00317F26"/>
    <w:rsid w:val="00320544"/>
    <w:rsid w:val="0032062D"/>
    <w:rsid w:val="0032080F"/>
    <w:rsid w:val="00320F50"/>
    <w:rsid w:val="00320FA5"/>
    <w:rsid w:val="00320FCD"/>
    <w:rsid w:val="0032159B"/>
    <w:rsid w:val="00321783"/>
    <w:rsid w:val="003217A6"/>
    <w:rsid w:val="00321B97"/>
    <w:rsid w:val="00321C4A"/>
    <w:rsid w:val="003220D9"/>
    <w:rsid w:val="00322673"/>
    <w:rsid w:val="00322BDC"/>
    <w:rsid w:val="00323A1A"/>
    <w:rsid w:val="00323C81"/>
    <w:rsid w:val="00323D55"/>
    <w:rsid w:val="00324649"/>
    <w:rsid w:val="0032481C"/>
    <w:rsid w:val="00324C45"/>
    <w:rsid w:val="00324DDC"/>
    <w:rsid w:val="00325A40"/>
    <w:rsid w:val="00325B22"/>
    <w:rsid w:val="00325BFC"/>
    <w:rsid w:val="00325D72"/>
    <w:rsid w:val="00326322"/>
    <w:rsid w:val="0032646F"/>
    <w:rsid w:val="00326993"/>
    <w:rsid w:val="00327410"/>
    <w:rsid w:val="0032756F"/>
    <w:rsid w:val="0032770A"/>
    <w:rsid w:val="0032778A"/>
    <w:rsid w:val="003277EC"/>
    <w:rsid w:val="00327C1D"/>
    <w:rsid w:val="00327C53"/>
    <w:rsid w:val="00327DE9"/>
    <w:rsid w:val="00327F33"/>
    <w:rsid w:val="003309DD"/>
    <w:rsid w:val="00330F55"/>
    <w:rsid w:val="00331AA3"/>
    <w:rsid w:val="00331AAE"/>
    <w:rsid w:val="00331DF9"/>
    <w:rsid w:val="003320A4"/>
    <w:rsid w:val="0033238D"/>
    <w:rsid w:val="00332A8D"/>
    <w:rsid w:val="00332DD0"/>
    <w:rsid w:val="00333117"/>
    <w:rsid w:val="0033384B"/>
    <w:rsid w:val="00333C51"/>
    <w:rsid w:val="00334703"/>
    <w:rsid w:val="00334A33"/>
    <w:rsid w:val="00334C04"/>
    <w:rsid w:val="00334CFA"/>
    <w:rsid w:val="00335150"/>
    <w:rsid w:val="003354A9"/>
    <w:rsid w:val="00335883"/>
    <w:rsid w:val="00335915"/>
    <w:rsid w:val="00335A35"/>
    <w:rsid w:val="003369F9"/>
    <w:rsid w:val="003369FD"/>
    <w:rsid w:val="00336FB4"/>
    <w:rsid w:val="0033705C"/>
    <w:rsid w:val="00337075"/>
    <w:rsid w:val="003372A3"/>
    <w:rsid w:val="003372A5"/>
    <w:rsid w:val="00337772"/>
    <w:rsid w:val="00337F7A"/>
    <w:rsid w:val="0034051C"/>
    <w:rsid w:val="003406B8"/>
    <w:rsid w:val="003407E0"/>
    <w:rsid w:val="0034087C"/>
    <w:rsid w:val="00340B8D"/>
    <w:rsid w:val="003413A4"/>
    <w:rsid w:val="00341459"/>
    <w:rsid w:val="0034170D"/>
    <w:rsid w:val="003423E4"/>
    <w:rsid w:val="003426AE"/>
    <w:rsid w:val="00342B90"/>
    <w:rsid w:val="00342EC5"/>
    <w:rsid w:val="003431B7"/>
    <w:rsid w:val="0034369E"/>
    <w:rsid w:val="003436AE"/>
    <w:rsid w:val="00343888"/>
    <w:rsid w:val="00343964"/>
    <w:rsid w:val="00343EE6"/>
    <w:rsid w:val="00344762"/>
    <w:rsid w:val="00344D25"/>
    <w:rsid w:val="003455CA"/>
    <w:rsid w:val="003457C9"/>
    <w:rsid w:val="00345B0B"/>
    <w:rsid w:val="003461B9"/>
    <w:rsid w:val="0034628E"/>
    <w:rsid w:val="00346A98"/>
    <w:rsid w:val="00346ABD"/>
    <w:rsid w:val="00346C84"/>
    <w:rsid w:val="00346D84"/>
    <w:rsid w:val="00346F07"/>
    <w:rsid w:val="00346FDA"/>
    <w:rsid w:val="0034720E"/>
    <w:rsid w:val="003474F8"/>
    <w:rsid w:val="003478EE"/>
    <w:rsid w:val="00347F57"/>
    <w:rsid w:val="00347F95"/>
    <w:rsid w:val="00350269"/>
    <w:rsid w:val="0035050F"/>
    <w:rsid w:val="0035067C"/>
    <w:rsid w:val="003507B6"/>
    <w:rsid w:val="00350C9F"/>
    <w:rsid w:val="00350CA3"/>
    <w:rsid w:val="00350E89"/>
    <w:rsid w:val="00350F55"/>
    <w:rsid w:val="00350FCD"/>
    <w:rsid w:val="00351000"/>
    <w:rsid w:val="003511D5"/>
    <w:rsid w:val="003514FE"/>
    <w:rsid w:val="0035179D"/>
    <w:rsid w:val="0035189F"/>
    <w:rsid w:val="00351AF5"/>
    <w:rsid w:val="00351E6A"/>
    <w:rsid w:val="00352453"/>
    <w:rsid w:val="003525D0"/>
    <w:rsid w:val="003527BA"/>
    <w:rsid w:val="003527F4"/>
    <w:rsid w:val="00352D5C"/>
    <w:rsid w:val="003537F4"/>
    <w:rsid w:val="00353A51"/>
    <w:rsid w:val="00353BF3"/>
    <w:rsid w:val="0035424B"/>
    <w:rsid w:val="00354D78"/>
    <w:rsid w:val="003552C0"/>
    <w:rsid w:val="0035570B"/>
    <w:rsid w:val="00355B71"/>
    <w:rsid w:val="00355CF7"/>
    <w:rsid w:val="00355DA3"/>
    <w:rsid w:val="0035630E"/>
    <w:rsid w:val="003564FC"/>
    <w:rsid w:val="0035651E"/>
    <w:rsid w:val="003572A4"/>
    <w:rsid w:val="003572B8"/>
    <w:rsid w:val="003574B8"/>
    <w:rsid w:val="003577A8"/>
    <w:rsid w:val="0035790F"/>
    <w:rsid w:val="00360959"/>
    <w:rsid w:val="00360A6A"/>
    <w:rsid w:val="00360D1A"/>
    <w:rsid w:val="00361018"/>
    <w:rsid w:val="00361222"/>
    <w:rsid w:val="00361229"/>
    <w:rsid w:val="003616C4"/>
    <w:rsid w:val="003616D1"/>
    <w:rsid w:val="00361771"/>
    <w:rsid w:val="0036178D"/>
    <w:rsid w:val="0036190C"/>
    <w:rsid w:val="00362750"/>
    <w:rsid w:val="0036296F"/>
    <w:rsid w:val="00362D37"/>
    <w:rsid w:val="00363010"/>
    <w:rsid w:val="003631C2"/>
    <w:rsid w:val="00363C7E"/>
    <w:rsid w:val="00363CB0"/>
    <w:rsid w:val="00363E41"/>
    <w:rsid w:val="0036441B"/>
    <w:rsid w:val="00364B54"/>
    <w:rsid w:val="00365481"/>
    <w:rsid w:val="00365824"/>
    <w:rsid w:val="0036583F"/>
    <w:rsid w:val="00365B65"/>
    <w:rsid w:val="00366A1A"/>
    <w:rsid w:val="00366E8E"/>
    <w:rsid w:val="00367268"/>
    <w:rsid w:val="00367AD1"/>
    <w:rsid w:val="00367C0C"/>
    <w:rsid w:val="0037018F"/>
    <w:rsid w:val="003702B2"/>
    <w:rsid w:val="00370675"/>
    <w:rsid w:val="0037070D"/>
    <w:rsid w:val="00370A0D"/>
    <w:rsid w:val="00370B9B"/>
    <w:rsid w:val="00370BD1"/>
    <w:rsid w:val="00370CD1"/>
    <w:rsid w:val="00371300"/>
    <w:rsid w:val="00371512"/>
    <w:rsid w:val="0037193F"/>
    <w:rsid w:val="00371A99"/>
    <w:rsid w:val="00372667"/>
    <w:rsid w:val="00372CCA"/>
    <w:rsid w:val="00373CE9"/>
    <w:rsid w:val="00374023"/>
    <w:rsid w:val="003741FB"/>
    <w:rsid w:val="00374410"/>
    <w:rsid w:val="00374525"/>
    <w:rsid w:val="003748D6"/>
    <w:rsid w:val="00374A44"/>
    <w:rsid w:val="003752E1"/>
    <w:rsid w:val="0037550B"/>
    <w:rsid w:val="003757F0"/>
    <w:rsid w:val="003768EF"/>
    <w:rsid w:val="00376A97"/>
    <w:rsid w:val="00376C72"/>
    <w:rsid w:val="00376E0C"/>
    <w:rsid w:val="00377198"/>
    <w:rsid w:val="0037723B"/>
    <w:rsid w:val="003774CD"/>
    <w:rsid w:val="0037756F"/>
    <w:rsid w:val="00377A35"/>
    <w:rsid w:val="00377D77"/>
    <w:rsid w:val="00377EF5"/>
    <w:rsid w:val="0038000E"/>
    <w:rsid w:val="00380061"/>
    <w:rsid w:val="00380104"/>
    <w:rsid w:val="003802A9"/>
    <w:rsid w:val="0038051B"/>
    <w:rsid w:val="00380722"/>
    <w:rsid w:val="00381094"/>
    <w:rsid w:val="00381576"/>
    <w:rsid w:val="003816CC"/>
    <w:rsid w:val="00381962"/>
    <w:rsid w:val="00381B90"/>
    <w:rsid w:val="00382220"/>
    <w:rsid w:val="00382881"/>
    <w:rsid w:val="003828C3"/>
    <w:rsid w:val="00382D3E"/>
    <w:rsid w:val="00382EAF"/>
    <w:rsid w:val="00382F14"/>
    <w:rsid w:val="00383359"/>
    <w:rsid w:val="0038358D"/>
    <w:rsid w:val="0038386A"/>
    <w:rsid w:val="00383A4B"/>
    <w:rsid w:val="00383B5A"/>
    <w:rsid w:val="00383DCD"/>
    <w:rsid w:val="00383F0C"/>
    <w:rsid w:val="00383F88"/>
    <w:rsid w:val="003841E6"/>
    <w:rsid w:val="003846D5"/>
    <w:rsid w:val="00384721"/>
    <w:rsid w:val="00384FEA"/>
    <w:rsid w:val="00385182"/>
    <w:rsid w:val="00385B68"/>
    <w:rsid w:val="00386050"/>
    <w:rsid w:val="0038618A"/>
    <w:rsid w:val="003862F0"/>
    <w:rsid w:val="003868C6"/>
    <w:rsid w:val="00386927"/>
    <w:rsid w:val="003869A7"/>
    <w:rsid w:val="003869E6"/>
    <w:rsid w:val="00386C22"/>
    <w:rsid w:val="00386EF6"/>
    <w:rsid w:val="003873CE"/>
    <w:rsid w:val="0038740C"/>
    <w:rsid w:val="00387556"/>
    <w:rsid w:val="003877F8"/>
    <w:rsid w:val="00390024"/>
    <w:rsid w:val="0039066D"/>
    <w:rsid w:val="003909F5"/>
    <w:rsid w:val="00390B55"/>
    <w:rsid w:val="00390FA0"/>
    <w:rsid w:val="003912E1"/>
    <w:rsid w:val="003917B1"/>
    <w:rsid w:val="00391884"/>
    <w:rsid w:val="00391ED8"/>
    <w:rsid w:val="00392240"/>
    <w:rsid w:val="003925DD"/>
    <w:rsid w:val="003925EC"/>
    <w:rsid w:val="00392872"/>
    <w:rsid w:val="00392B20"/>
    <w:rsid w:val="0039310E"/>
    <w:rsid w:val="003932C5"/>
    <w:rsid w:val="003936BE"/>
    <w:rsid w:val="003936F5"/>
    <w:rsid w:val="0039439D"/>
    <w:rsid w:val="00394499"/>
    <w:rsid w:val="0039464F"/>
    <w:rsid w:val="003946BF"/>
    <w:rsid w:val="00394825"/>
    <w:rsid w:val="00394964"/>
    <w:rsid w:val="00394A7A"/>
    <w:rsid w:val="00394BB4"/>
    <w:rsid w:val="00394BB5"/>
    <w:rsid w:val="00394C61"/>
    <w:rsid w:val="0039556E"/>
    <w:rsid w:val="00395DAE"/>
    <w:rsid w:val="00395F87"/>
    <w:rsid w:val="00395FBA"/>
    <w:rsid w:val="00396083"/>
    <w:rsid w:val="00396384"/>
    <w:rsid w:val="003963A1"/>
    <w:rsid w:val="003969FA"/>
    <w:rsid w:val="00396E70"/>
    <w:rsid w:val="00397977"/>
    <w:rsid w:val="00397DAE"/>
    <w:rsid w:val="003A0461"/>
    <w:rsid w:val="003A074C"/>
    <w:rsid w:val="003A07B4"/>
    <w:rsid w:val="003A1887"/>
    <w:rsid w:val="003A1C10"/>
    <w:rsid w:val="003A21AF"/>
    <w:rsid w:val="003A234A"/>
    <w:rsid w:val="003A24D4"/>
    <w:rsid w:val="003A25E7"/>
    <w:rsid w:val="003A2AAE"/>
    <w:rsid w:val="003A2DF7"/>
    <w:rsid w:val="003A2E9F"/>
    <w:rsid w:val="003A34F3"/>
    <w:rsid w:val="003A3547"/>
    <w:rsid w:val="003A3778"/>
    <w:rsid w:val="003A3835"/>
    <w:rsid w:val="003A3E47"/>
    <w:rsid w:val="003A490E"/>
    <w:rsid w:val="003A4A93"/>
    <w:rsid w:val="003A4D27"/>
    <w:rsid w:val="003A4EA7"/>
    <w:rsid w:val="003A5303"/>
    <w:rsid w:val="003A5D2B"/>
    <w:rsid w:val="003A5E82"/>
    <w:rsid w:val="003A64E1"/>
    <w:rsid w:val="003A6834"/>
    <w:rsid w:val="003A6D79"/>
    <w:rsid w:val="003A729C"/>
    <w:rsid w:val="003A76D7"/>
    <w:rsid w:val="003A7EAF"/>
    <w:rsid w:val="003A7EEC"/>
    <w:rsid w:val="003B0339"/>
    <w:rsid w:val="003B058A"/>
    <w:rsid w:val="003B0CBC"/>
    <w:rsid w:val="003B1285"/>
    <w:rsid w:val="003B13D2"/>
    <w:rsid w:val="003B15CF"/>
    <w:rsid w:val="003B19B4"/>
    <w:rsid w:val="003B1A29"/>
    <w:rsid w:val="003B1AB2"/>
    <w:rsid w:val="003B1B39"/>
    <w:rsid w:val="003B1CB6"/>
    <w:rsid w:val="003B240E"/>
    <w:rsid w:val="003B2DE1"/>
    <w:rsid w:val="003B2E77"/>
    <w:rsid w:val="003B4058"/>
    <w:rsid w:val="003B4571"/>
    <w:rsid w:val="003B458D"/>
    <w:rsid w:val="003B4592"/>
    <w:rsid w:val="003B4961"/>
    <w:rsid w:val="003B4B7F"/>
    <w:rsid w:val="003B4BF9"/>
    <w:rsid w:val="003B4C48"/>
    <w:rsid w:val="003B4ECE"/>
    <w:rsid w:val="003B5867"/>
    <w:rsid w:val="003B586A"/>
    <w:rsid w:val="003B59C3"/>
    <w:rsid w:val="003B5A91"/>
    <w:rsid w:val="003B6206"/>
    <w:rsid w:val="003B6354"/>
    <w:rsid w:val="003B6A4F"/>
    <w:rsid w:val="003B6B9F"/>
    <w:rsid w:val="003B6F2A"/>
    <w:rsid w:val="003B725D"/>
    <w:rsid w:val="003B73F9"/>
    <w:rsid w:val="003B779E"/>
    <w:rsid w:val="003B7B14"/>
    <w:rsid w:val="003C0117"/>
    <w:rsid w:val="003C0605"/>
    <w:rsid w:val="003C0705"/>
    <w:rsid w:val="003C0C6C"/>
    <w:rsid w:val="003C0C8C"/>
    <w:rsid w:val="003C0EC2"/>
    <w:rsid w:val="003C1036"/>
    <w:rsid w:val="003C1B39"/>
    <w:rsid w:val="003C1CD1"/>
    <w:rsid w:val="003C1DF7"/>
    <w:rsid w:val="003C257B"/>
    <w:rsid w:val="003C25DA"/>
    <w:rsid w:val="003C292D"/>
    <w:rsid w:val="003C2A66"/>
    <w:rsid w:val="003C35BA"/>
    <w:rsid w:val="003C471A"/>
    <w:rsid w:val="003C4E7F"/>
    <w:rsid w:val="003C4F31"/>
    <w:rsid w:val="003C4F37"/>
    <w:rsid w:val="003C522B"/>
    <w:rsid w:val="003C56CB"/>
    <w:rsid w:val="003C5766"/>
    <w:rsid w:val="003C5DC2"/>
    <w:rsid w:val="003C62D8"/>
    <w:rsid w:val="003C63CC"/>
    <w:rsid w:val="003C63F4"/>
    <w:rsid w:val="003C73B9"/>
    <w:rsid w:val="003C7526"/>
    <w:rsid w:val="003C766A"/>
    <w:rsid w:val="003C79E3"/>
    <w:rsid w:val="003C7C8B"/>
    <w:rsid w:val="003D0542"/>
    <w:rsid w:val="003D13D3"/>
    <w:rsid w:val="003D1A95"/>
    <w:rsid w:val="003D1BBE"/>
    <w:rsid w:val="003D1C4C"/>
    <w:rsid w:val="003D2003"/>
    <w:rsid w:val="003D2390"/>
    <w:rsid w:val="003D258D"/>
    <w:rsid w:val="003D26C5"/>
    <w:rsid w:val="003D325A"/>
    <w:rsid w:val="003D36E5"/>
    <w:rsid w:val="003D432C"/>
    <w:rsid w:val="003D4391"/>
    <w:rsid w:val="003D44FA"/>
    <w:rsid w:val="003D45FA"/>
    <w:rsid w:val="003D49C3"/>
    <w:rsid w:val="003D4D81"/>
    <w:rsid w:val="003D53F5"/>
    <w:rsid w:val="003D55E1"/>
    <w:rsid w:val="003D56DB"/>
    <w:rsid w:val="003D57F3"/>
    <w:rsid w:val="003D588C"/>
    <w:rsid w:val="003D604E"/>
    <w:rsid w:val="003D63FA"/>
    <w:rsid w:val="003D6D32"/>
    <w:rsid w:val="003D6FC1"/>
    <w:rsid w:val="003D7050"/>
    <w:rsid w:val="003D7B92"/>
    <w:rsid w:val="003D7D4F"/>
    <w:rsid w:val="003E0941"/>
    <w:rsid w:val="003E0ABB"/>
    <w:rsid w:val="003E0C24"/>
    <w:rsid w:val="003E0D44"/>
    <w:rsid w:val="003E1DD9"/>
    <w:rsid w:val="003E205D"/>
    <w:rsid w:val="003E29DC"/>
    <w:rsid w:val="003E2BC3"/>
    <w:rsid w:val="003E37A8"/>
    <w:rsid w:val="003E3CB6"/>
    <w:rsid w:val="003E3F7D"/>
    <w:rsid w:val="003E3FE0"/>
    <w:rsid w:val="003E406A"/>
    <w:rsid w:val="003E417E"/>
    <w:rsid w:val="003E45BA"/>
    <w:rsid w:val="003E4834"/>
    <w:rsid w:val="003E48DF"/>
    <w:rsid w:val="003E49F2"/>
    <w:rsid w:val="003E4D1C"/>
    <w:rsid w:val="003E4F5B"/>
    <w:rsid w:val="003E5525"/>
    <w:rsid w:val="003E59D0"/>
    <w:rsid w:val="003E5B76"/>
    <w:rsid w:val="003E5D2F"/>
    <w:rsid w:val="003E5F2D"/>
    <w:rsid w:val="003E63FB"/>
    <w:rsid w:val="003E64E5"/>
    <w:rsid w:val="003E6C30"/>
    <w:rsid w:val="003E6F7C"/>
    <w:rsid w:val="003E71EC"/>
    <w:rsid w:val="003E74C1"/>
    <w:rsid w:val="003E7635"/>
    <w:rsid w:val="003E7678"/>
    <w:rsid w:val="003E799A"/>
    <w:rsid w:val="003F025F"/>
    <w:rsid w:val="003F0268"/>
    <w:rsid w:val="003F036A"/>
    <w:rsid w:val="003F04EA"/>
    <w:rsid w:val="003F07E0"/>
    <w:rsid w:val="003F0D1D"/>
    <w:rsid w:val="003F1133"/>
    <w:rsid w:val="003F12A4"/>
    <w:rsid w:val="003F19CE"/>
    <w:rsid w:val="003F2131"/>
    <w:rsid w:val="003F2448"/>
    <w:rsid w:val="003F2B70"/>
    <w:rsid w:val="003F2EF0"/>
    <w:rsid w:val="003F3221"/>
    <w:rsid w:val="003F33CD"/>
    <w:rsid w:val="003F3677"/>
    <w:rsid w:val="003F3B2C"/>
    <w:rsid w:val="003F3B48"/>
    <w:rsid w:val="003F3F4E"/>
    <w:rsid w:val="003F4523"/>
    <w:rsid w:val="003F46D5"/>
    <w:rsid w:val="003F4715"/>
    <w:rsid w:val="003F489F"/>
    <w:rsid w:val="003F49C1"/>
    <w:rsid w:val="003F49CC"/>
    <w:rsid w:val="003F5602"/>
    <w:rsid w:val="003F5BEB"/>
    <w:rsid w:val="003F5E75"/>
    <w:rsid w:val="003F5EA3"/>
    <w:rsid w:val="003F684F"/>
    <w:rsid w:val="003F6CF9"/>
    <w:rsid w:val="003F6D47"/>
    <w:rsid w:val="003F6E67"/>
    <w:rsid w:val="003F7021"/>
    <w:rsid w:val="003F712E"/>
    <w:rsid w:val="003F71DB"/>
    <w:rsid w:val="003F75C9"/>
    <w:rsid w:val="003F7DFE"/>
    <w:rsid w:val="00400210"/>
    <w:rsid w:val="0040039C"/>
    <w:rsid w:val="0040041B"/>
    <w:rsid w:val="0040087C"/>
    <w:rsid w:val="00400903"/>
    <w:rsid w:val="0040093D"/>
    <w:rsid w:val="00400ECC"/>
    <w:rsid w:val="00400F6C"/>
    <w:rsid w:val="004010C1"/>
    <w:rsid w:val="00401107"/>
    <w:rsid w:val="00401199"/>
    <w:rsid w:val="00401509"/>
    <w:rsid w:val="00401817"/>
    <w:rsid w:val="00401ADA"/>
    <w:rsid w:val="00401EC8"/>
    <w:rsid w:val="00401F85"/>
    <w:rsid w:val="00402B86"/>
    <w:rsid w:val="00403087"/>
    <w:rsid w:val="00403282"/>
    <w:rsid w:val="00403460"/>
    <w:rsid w:val="00403A2E"/>
    <w:rsid w:val="00403D97"/>
    <w:rsid w:val="00403E3C"/>
    <w:rsid w:val="00404151"/>
    <w:rsid w:val="00404202"/>
    <w:rsid w:val="0040428D"/>
    <w:rsid w:val="00404579"/>
    <w:rsid w:val="00404630"/>
    <w:rsid w:val="00404656"/>
    <w:rsid w:val="004050D8"/>
    <w:rsid w:val="00405354"/>
    <w:rsid w:val="00405BA7"/>
    <w:rsid w:val="004061A2"/>
    <w:rsid w:val="00406699"/>
    <w:rsid w:val="00406713"/>
    <w:rsid w:val="00406C9E"/>
    <w:rsid w:val="00406CBF"/>
    <w:rsid w:val="00406E22"/>
    <w:rsid w:val="00407209"/>
    <w:rsid w:val="004073B6"/>
    <w:rsid w:val="00407A19"/>
    <w:rsid w:val="00407BF9"/>
    <w:rsid w:val="00407F7C"/>
    <w:rsid w:val="004103A3"/>
    <w:rsid w:val="00410BB7"/>
    <w:rsid w:val="00410C28"/>
    <w:rsid w:val="00410E3E"/>
    <w:rsid w:val="0041104A"/>
    <w:rsid w:val="004111EC"/>
    <w:rsid w:val="0041148F"/>
    <w:rsid w:val="00411910"/>
    <w:rsid w:val="004120F8"/>
    <w:rsid w:val="00412691"/>
    <w:rsid w:val="0041281C"/>
    <w:rsid w:val="004128FC"/>
    <w:rsid w:val="00413181"/>
    <w:rsid w:val="00413403"/>
    <w:rsid w:val="00414324"/>
    <w:rsid w:val="00415665"/>
    <w:rsid w:val="004156DF"/>
    <w:rsid w:val="004156F2"/>
    <w:rsid w:val="004157F0"/>
    <w:rsid w:val="004161F0"/>
    <w:rsid w:val="004166CE"/>
    <w:rsid w:val="004166FA"/>
    <w:rsid w:val="00416815"/>
    <w:rsid w:val="00416AE5"/>
    <w:rsid w:val="00416DCA"/>
    <w:rsid w:val="00416E63"/>
    <w:rsid w:val="004173DD"/>
    <w:rsid w:val="00417AC2"/>
    <w:rsid w:val="00417FEF"/>
    <w:rsid w:val="004202D6"/>
    <w:rsid w:val="00420415"/>
    <w:rsid w:val="00420576"/>
    <w:rsid w:val="00420953"/>
    <w:rsid w:val="00420D09"/>
    <w:rsid w:val="0042109F"/>
    <w:rsid w:val="004213A0"/>
    <w:rsid w:val="00421551"/>
    <w:rsid w:val="004216E4"/>
    <w:rsid w:val="00421AB7"/>
    <w:rsid w:val="00421C4B"/>
    <w:rsid w:val="004221A4"/>
    <w:rsid w:val="00422627"/>
    <w:rsid w:val="00422ABC"/>
    <w:rsid w:val="00422E5A"/>
    <w:rsid w:val="004233FF"/>
    <w:rsid w:val="00423825"/>
    <w:rsid w:val="00423A06"/>
    <w:rsid w:val="00423BF2"/>
    <w:rsid w:val="00423D60"/>
    <w:rsid w:val="0042421B"/>
    <w:rsid w:val="00424500"/>
    <w:rsid w:val="00424564"/>
    <w:rsid w:val="00424D3F"/>
    <w:rsid w:val="00424E05"/>
    <w:rsid w:val="00424EB5"/>
    <w:rsid w:val="00424F2E"/>
    <w:rsid w:val="004250B0"/>
    <w:rsid w:val="00425DDD"/>
    <w:rsid w:val="004266F0"/>
    <w:rsid w:val="00426978"/>
    <w:rsid w:val="00426A1F"/>
    <w:rsid w:val="00426A34"/>
    <w:rsid w:val="00426ADC"/>
    <w:rsid w:val="00426BD2"/>
    <w:rsid w:val="00426C03"/>
    <w:rsid w:val="00426E3D"/>
    <w:rsid w:val="0042752A"/>
    <w:rsid w:val="00427A60"/>
    <w:rsid w:val="00427B4D"/>
    <w:rsid w:val="0043023A"/>
    <w:rsid w:val="0043032F"/>
    <w:rsid w:val="004303C0"/>
    <w:rsid w:val="00430787"/>
    <w:rsid w:val="0043094E"/>
    <w:rsid w:val="00431D52"/>
    <w:rsid w:val="0043223C"/>
    <w:rsid w:val="00432299"/>
    <w:rsid w:val="0043234C"/>
    <w:rsid w:val="0043254E"/>
    <w:rsid w:val="004325D2"/>
    <w:rsid w:val="0043279F"/>
    <w:rsid w:val="00432F5D"/>
    <w:rsid w:val="0043303E"/>
    <w:rsid w:val="0043326F"/>
    <w:rsid w:val="004333BD"/>
    <w:rsid w:val="0043343E"/>
    <w:rsid w:val="004335B6"/>
    <w:rsid w:val="004342EF"/>
    <w:rsid w:val="00434DAC"/>
    <w:rsid w:val="0043526F"/>
    <w:rsid w:val="0043543A"/>
    <w:rsid w:val="004355A8"/>
    <w:rsid w:val="004356D1"/>
    <w:rsid w:val="00435725"/>
    <w:rsid w:val="00435765"/>
    <w:rsid w:val="004359AB"/>
    <w:rsid w:val="00435DF6"/>
    <w:rsid w:val="00435ECA"/>
    <w:rsid w:val="00436315"/>
    <w:rsid w:val="004363C2"/>
    <w:rsid w:val="004364CE"/>
    <w:rsid w:val="004366B5"/>
    <w:rsid w:val="0043691E"/>
    <w:rsid w:val="00436D50"/>
    <w:rsid w:val="00437086"/>
    <w:rsid w:val="00437113"/>
    <w:rsid w:val="00437340"/>
    <w:rsid w:val="0043745B"/>
    <w:rsid w:val="00437E18"/>
    <w:rsid w:val="00437E6B"/>
    <w:rsid w:val="004402DB"/>
    <w:rsid w:val="004403D5"/>
    <w:rsid w:val="00440540"/>
    <w:rsid w:val="0044093F"/>
    <w:rsid w:val="00440954"/>
    <w:rsid w:val="004409BD"/>
    <w:rsid w:val="00440B3E"/>
    <w:rsid w:val="00440DFD"/>
    <w:rsid w:val="00442822"/>
    <w:rsid w:val="0044297D"/>
    <w:rsid w:val="00443006"/>
    <w:rsid w:val="004435F2"/>
    <w:rsid w:val="00443AAC"/>
    <w:rsid w:val="00443B98"/>
    <w:rsid w:val="00443DAC"/>
    <w:rsid w:val="0044459A"/>
    <w:rsid w:val="00444708"/>
    <w:rsid w:val="00444D4A"/>
    <w:rsid w:val="00444EED"/>
    <w:rsid w:val="00444F75"/>
    <w:rsid w:val="00445485"/>
    <w:rsid w:val="00445F06"/>
    <w:rsid w:val="0044627F"/>
    <w:rsid w:val="004464BF"/>
    <w:rsid w:val="00446883"/>
    <w:rsid w:val="004471F1"/>
    <w:rsid w:val="00447279"/>
    <w:rsid w:val="0044767F"/>
    <w:rsid w:val="004477C6"/>
    <w:rsid w:val="00447C9D"/>
    <w:rsid w:val="00450512"/>
    <w:rsid w:val="00450674"/>
    <w:rsid w:val="0045074A"/>
    <w:rsid w:val="004507B1"/>
    <w:rsid w:val="00450B30"/>
    <w:rsid w:val="004511A9"/>
    <w:rsid w:val="00451554"/>
    <w:rsid w:val="004517EF"/>
    <w:rsid w:val="0045191C"/>
    <w:rsid w:val="00451ABE"/>
    <w:rsid w:val="0045223A"/>
    <w:rsid w:val="00452AE8"/>
    <w:rsid w:val="00452D15"/>
    <w:rsid w:val="00452ED0"/>
    <w:rsid w:val="0045309D"/>
    <w:rsid w:val="004531DA"/>
    <w:rsid w:val="0045334B"/>
    <w:rsid w:val="004537D6"/>
    <w:rsid w:val="004539F1"/>
    <w:rsid w:val="00453D82"/>
    <w:rsid w:val="004542A4"/>
    <w:rsid w:val="004544CE"/>
    <w:rsid w:val="00454733"/>
    <w:rsid w:val="00454B87"/>
    <w:rsid w:val="00455B73"/>
    <w:rsid w:val="00455D95"/>
    <w:rsid w:val="00455FB3"/>
    <w:rsid w:val="00456827"/>
    <w:rsid w:val="00456ADE"/>
    <w:rsid w:val="00456E99"/>
    <w:rsid w:val="0045732F"/>
    <w:rsid w:val="00457530"/>
    <w:rsid w:val="00457801"/>
    <w:rsid w:val="004579BE"/>
    <w:rsid w:val="00457D28"/>
    <w:rsid w:val="00457EF6"/>
    <w:rsid w:val="004603FB"/>
    <w:rsid w:val="004607B9"/>
    <w:rsid w:val="00460A45"/>
    <w:rsid w:val="00460AEB"/>
    <w:rsid w:val="00460C18"/>
    <w:rsid w:val="00461131"/>
    <w:rsid w:val="00461134"/>
    <w:rsid w:val="004616AC"/>
    <w:rsid w:val="0046274E"/>
    <w:rsid w:val="004627CE"/>
    <w:rsid w:val="00462B2B"/>
    <w:rsid w:val="00462C76"/>
    <w:rsid w:val="0046317B"/>
    <w:rsid w:val="00463526"/>
    <w:rsid w:val="004635E8"/>
    <w:rsid w:val="004637FC"/>
    <w:rsid w:val="00463B5F"/>
    <w:rsid w:val="00464324"/>
    <w:rsid w:val="00464478"/>
    <w:rsid w:val="00464759"/>
    <w:rsid w:val="0046475C"/>
    <w:rsid w:val="00464900"/>
    <w:rsid w:val="00464E50"/>
    <w:rsid w:val="00464F06"/>
    <w:rsid w:val="00465213"/>
    <w:rsid w:val="004652E7"/>
    <w:rsid w:val="00465C18"/>
    <w:rsid w:val="00465F4E"/>
    <w:rsid w:val="0046624E"/>
    <w:rsid w:val="004665D8"/>
    <w:rsid w:val="00466818"/>
    <w:rsid w:val="00466EA9"/>
    <w:rsid w:val="00467031"/>
    <w:rsid w:val="0046725E"/>
    <w:rsid w:val="0046733F"/>
    <w:rsid w:val="004673BF"/>
    <w:rsid w:val="004679DE"/>
    <w:rsid w:val="004701CF"/>
    <w:rsid w:val="004701F1"/>
    <w:rsid w:val="0047022F"/>
    <w:rsid w:val="00470F07"/>
    <w:rsid w:val="004720D0"/>
    <w:rsid w:val="0047228E"/>
    <w:rsid w:val="0047262F"/>
    <w:rsid w:val="00472AA3"/>
    <w:rsid w:val="00472D04"/>
    <w:rsid w:val="004736BF"/>
    <w:rsid w:val="0047380D"/>
    <w:rsid w:val="00473C13"/>
    <w:rsid w:val="00473FB9"/>
    <w:rsid w:val="004746E6"/>
    <w:rsid w:val="00475021"/>
    <w:rsid w:val="0047550A"/>
    <w:rsid w:val="00475865"/>
    <w:rsid w:val="00475BA5"/>
    <w:rsid w:val="00475C15"/>
    <w:rsid w:val="00475C7A"/>
    <w:rsid w:val="00476002"/>
    <w:rsid w:val="004763E8"/>
    <w:rsid w:val="004765F3"/>
    <w:rsid w:val="00476D2E"/>
    <w:rsid w:val="00477147"/>
    <w:rsid w:val="004775D8"/>
    <w:rsid w:val="0047782E"/>
    <w:rsid w:val="00477A21"/>
    <w:rsid w:val="00477A26"/>
    <w:rsid w:val="0048052E"/>
    <w:rsid w:val="0048080C"/>
    <w:rsid w:val="0048093A"/>
    <w:rsid w:val="0048096B"/>
    <w:rsid w:val="00480A4D"/>
    <w:rsid w:val="00480C12"/>
    <w:rsid w:val="00480D67"/>
    <w:rsid w:val="004811B2"/>
    <w:rsid w:val="00481A41"/>
    <w:rsid w:val="00481AE8"/>
    <w:rsid w:val="00481BE0"/>
    <w:rsid w:val="00481C61"/>
    <w:rsid w:val="00482215"/>
    <w:rsid w:val="00482388"/>
    <w:rsid w:val="00482554"/>
    <w:rsid w:val="00482561"/>
    <w:rsid w:val="004829DF"/>
    <w:rsid w:val="00482BD5"/>
    <w:rsid w:val="00482DC3"/>
    <w:rsid w:val="00482E2E"/>
    <w:rsid w:val="00482F88"/>
    <w:rsid w:val="00483B17"/>
    <w:rsid w:val="00483BE5"/>
    <w:rsid w:val="00483FA0"/>
    <w:rsid w:val="0048410F"/>
    <w:rsid w:val="004841CE"/>
    <w:rsid w:val="004841DF"/>
    <w:rsid w:val="0048443A"/>
    <w:rsid w:val="004845C2"/>
    <w:rsid w:val="00484920"/>
    <w:rsid w:val="00484C56"/>
    <w:rsid w:val="00485164"/>
    <w:rsid w:val="004851ED"/>
    <w:rsid w:val="00485497"/>
    <w:rsid w:val="004856F6"/>
    <w:rsid w:val="00485BD0"/>
    <w:rsid w:val="00486524"/>
    <w:rsid w:val="00486597"/>
    <w:rsid w:val="004865A6"/>
    <w:rsid w:val="00486DB0"/>
    <w:rsid w:val="00487108"/>
    <w:rsid w:val="00487186"/>
    <w:rsid w:val="004878D8"/>
    <w:rsid w:val="00487917"/>
    <w:rsid w:val="004879B0"/>
    <w:rsid w:val="0049047F"/>
    <w:rsid w:val="004904A9"/>
    <w:rsid w:val="00490713"/>
    <w:rsid w:val="00490BE7"/>
    <w:rsid w:val="00491219"/>
    <w:rsid w:val="004915C8"/>
    <w:rsid w:val="00491A76"/>
    <w:rsid w:val="00492547"/>
    <w:rsid w:val="00492817"/>
    <w:rsid w:val="004928E1"/>
    <w:rsid w:val="00492AC2"/>
    <w:rsid w:val="00492C38"/>
    <w:rsid w:val="00492DA5"/>
    <w:rsid w:val="0049328B"/>
    <w:rsid w:val="00493395"/>
    <w:rsid w:val="00493B26"/>
    <w:rsid w:val="00493FB1"/>
    <w:rsid w:val="004940AD"/>
    <w:rsid w:val="00494143"/>
    <w:rsid w:val="00494637"/>
    <w:rsid w:val="00494C40"/>
    <w:rsid w:val="00495602"/>
    <w:rsid w:val="004957B5"/>
    <w:rsid w:val="00495BAC"/>
    <w:rsid w:val="00495D82"/>
    <w:rsid w:val="004961D9"/>
    <w:rsid w:val="0049659E"/>
    <w:rsid w:val="004967FA"/>
    <w:rsid w:val="004969F7"/>
    <w:rsid w:val="00496CE6"/>
    <w:rsid w:val="0049751A"/>
    <w:rsid w:val="00497A43"/>
    <w:rsid w:val="004A01B3"/>
    <w:rsid w:val="004A01FB"/>
    <w:rsid w:val="004A039A"/>
    <w:rsid w:val="004A04E4"/>
    <w:rsid w:val="004A0B4F"/>
    <w:rsid w:val="004A0BE3"/>
    <w:rsid w:val="004A14B8"/>
    <w:rsid w:val="004A1842"/>
    <w:rsid w:val="004A18C5"/>
    <w:rsid w:val="004A1E51"/>
    <w:rsid w:val="004A21F2"/>
    <w:rsid w:val="004A2305"/>
    <w:rsid w:val="004A29CC"/>
    <w:rsid w:val="004A2A52"/>
    <w:rsid w:val="004A2AC9"/>
    <w:rsid w:val="004A2C72"/>
    <w:rsid w:val="004A325A"/>
    <w:rsid w:val="004A3CFE"/>
    <w:rsid w:val="004A3F85"/>
    <w:rsid w:val="004A3F97"/>
    <w:rsid w:val="004A4651"/>
    <w:rsid w:val="004A480C"/>
    <w:rsid w:val="004A4D53"/>
    <w:rsid w:val="004A4E1B"/>
    <w:rsid w:val="004A5438"/>
    <w:rsid w:val="004A56A2"/>
    <w:rsid w:val="004A5A47"/>
    <w:rsid w:val="004A5A8D"/>
    <w:rsid w:val="004A5B27"/>
    <w:rsid w:val="004A5F5C"/>
    <w:rsid w:val="004A6115"/>
    <w:rsid w:val="004A6514"/>
    <w:rsid w:val="004A6649"/>
    <w:rsid w:val="004A6F61"/>
    <w:rsid w:val="004A7119"/>
    <w:rsid w:val="004A71C6"/>
    <w:rsid w:val="004A773B"/>
    <w:rsid w:val="004A7C58"/>
    <w:rsid w:val="004A7DBC"/>
    <w:rsid w:val="004A7DF2"/>
    <w:rsid w:val="004B0432"/>
    <w:rsid w:val="004B080A"/>
    <w:rsid w:val="004B0C53"/>
    <w:rsid w:val="004B0FEA"/>
    <w:rsid w:val="004B1BE4"/>
    <w:rsid w:val="004B1CBD"/>
    <w:rsid w:val="004B1EF6"/>
    <w:rsid w:val="004B203B"/>
    <w:rsid w:val="004B21C7"/>
    <w:rsid w:val="004B2230"/>
    <w:rsid w:val="004B230D"/>
    <w:rsid w:val="004B2514"/>
    <w:rsid w:val="004B26C9"/>
    <w:rsid w:val="004B29F0"/>
    <w:rsid w:val="004B2C1C"/>
    <w:rsid w:val="004B302A"/>
    <w:rsid w:val="004B3323"/>
    <w:rsid w:val="004B38C0"/>
    <w:rsid w:val="004B3952"/>
    <w:rsid w:val="004B3975"/>
    <w:rsid w:val="004B3E52"/>
    <w:rsid w:val="004B3F53"/>
    <w:rsid w:val="004B3FA4"/>
    <w:rsid w:val="004B41F6"/>
    <w:rsid w:val="004B439E"/>
    <w:rsid w:val="004B4774"/>
    <w:rsid w:val="004B4863"/>
    <w:rsid w:val="004B4885"/>
    <w:rsid w:val="004B4A70"/>
    <w:rsid w:val="004B5254"/>
    <w:rsid w:val="004B52C7"/>
    <w:rsid w:val="004B53B1"/>
    <w:rsid w:val="004B541A"/>
    <w:rsid w:val="004B5A4F"/>
    <w:rsid w:val="004B5D4C"/>
    <w:rsid w:val="004B6206"/>
    <w:rsid w:val="004B632E"/>
    <w:rsid w:val="004B6506"/>
    <w:rsid w:val="004B6899"/>
    <w:rsid w:val="004B6DFA"/>
    <w:rsid w:val="004B7038"/>
    <w:rsid w:val="004B70C7"/>
    <w:rsid w:val="004B717C"/>
    <w:rsid w:val="004B7380"/>
    <w:rsid w:val="004B76E3"/>
    <w:rsid w:val="004B779A"/>
    <w:rsid w:val="004B77DB"/>
    <w:rsid w:val="004B78D7"/>
    <w:rsid w:val="004B7C55"/>
    <w:rsid w:val="004C03A7"/>
    <w:rsid w:val="004C0C39"/>
    <w:rsid w:val="004C0F1C"/>
    <w:rsid w:val="004C0FDF"/>
    <w:rsid w:val="004C1244"/>
    <w:rsid w:val="004C15F2"/>
    <w:rsid w:val="004C16F8"/>
    <w:rsid w:val="004C178B"/>
    <w:rsid w:val="004C21A6"/>
    <w:rsid w:val="004C2224"/>
    <w:rsid w:val="004C27CF"/>
    <w:rsid w:val="004C2863"/>
    <w:rsid w:val="004C2A62"/>
    <w:rsid w:val="004C2A8F"/>
    <w:rsid w:val="004C2D23"/>
    <w:rsid w:val="004C31D0"/>
    <w:rsid w:val="004C3465"/>
    <w:rsid w:val="004C3D4E"/>
    <w:rsid w:val="004C3F30"/>
    <w:rsid w:val="004C4A25"/>
    <w:rsid w:val="004C4AAB"/>
    <w:rsid w:val="004C4BAF"/>
    <w:rsid w:val="004C4BB2"/>
    <w:rsid w:val="004C5072"/>
    <w:rsid w:val="004C59D0"/>
    <w:rsid w:val="004C5F26"/>
    <w:rsid w:val="004C5F2E"/>
    <w:rsid w:val="004C6006"/>
    <w:rsid w:val="004C6434"/>
    <w:rsid w:val="004C644F"/>
    <w:rsid w:val="004C6B1E"/>
    <w:rsid w:val="004C6B44"/>
    <w:rsid w:val="004C6C53"/>
    <w:rsid w:val="004C6E02"/>
    <w:rsid w:val="004C7529"/>
    <w:rsid w:val="004C7964"/>
    <w:rsid w:val="004C7F13"/>
    <w:rsid w:val="004D01FB"/>
    <w:rsid w:val="004D024E"/>
    <w:rsid w:val="004D034E"/>
    <w:rsid w:val="004D0AD2"/>
    <w:rsid w:val="004D0B5D"/>
    <w:rsid w:val="004D1053"/>
    <w:rsid w:val="004D1240"/>
    <w:rsid w:val="004D1DFD"/>
    <w:rsid w:val="004D23A8"/>
    <w:rsid w:val="004D283B"/>
    <w:rsid w:val="004D2B23"/>
    <w:rsid w:val="004D2F2F"/>
    <w:rsid w:val="004D2F41"/>
    <w:rsid w:val="004D3248"/>
    <w:rsid w:val="004D354E"/>
    <w:rsid w:val="004D3C7A"/>
    <w:rsid w:val="004D44A2"/>
    <w:rsid w:val="004D4545"/>
    <w:rsid w:val="004D4831"/>
    <w:rsid w:val="004D491D"/>
    <w:rsid w:val="004D597C"/>
    <w:rsid w:val="004D5ED0"/>
    <w:rsid w:val="004D5EE4"/>
    <w:rsid w:val="004D62B1"/>
    <w:rsid w:val="004D6784"/>
    <w:rsid w:val="004D6A3D"/>
    <w:rsid w:val="004D6B0C"/>
    <w:rsid w:val="004D6F2D"/>
    <w:rsid w:val="004D6FE4"/>
    <w:rsid w:val="004D7687"/>
    <w:rsid w:val="004D76FC"/>
    <w:rsid w:val="004D78A0"/>
    <w:rsid w:val="004D7AE3"/>
    <w:rsid w:val="004D7BE1"/>
    <w:rsid w:val="004D7D1B"/>
    <w:rsid w:val="004D7E9C"/>
    <w:rsid w:val="004E0AB8"/>
    <w:rsid w:val="004E0B06"/>
    <w:rsid w:val="004E0B31"/>
    <w:rsid w:val="004E112C"/>
    <w:rsid w:val="004E134E"/>
    <w:rsid w:val="004E15F8"/>
    <w:rsid w:val="004E1B4C"/>
    <w:rsid w:val="004E20E6"/>
    <w:rsid w:val="004E22FB"/>
    <w:rsid w:val="004E24F2"/>
    <w:rsid w:val="004E273F"/>
    <w:rsid w:val="004E2995"/>
    <w:rsid w:val="004E2A1E"/>
    <w:rsid w:val="004E2B82"/>
    <w:rsid w:val="004E2CAD"/>
    <w:rsid w:val="004E31AB"/>
    <w:rsid w:val="004E33D8"/>
    <w:rsid w:val="004E345B"/>
    <w:rsid w:val="004E3943"/>
    <w:rsid w:val="004E3CA3"/>
    <w:rsid w:val="004E3E7D"/>
    <w:rsid w:val="004E41A2"/>
    <w:rsid w:val="004E44E7"/>
    <w:rsid w:val="004E4529"/>
    <w:rsid w:val="004E47C0"/>
    <w:rsid w:val="004E4F95"/>
    <w:rsid w:val="004E5491"/>
    <w:rsid w:val="004E56BE"/>
    <w:rsid w:val="004E5861"/>
    <w:rsid w:val="004E5B2D"/>
    <w:rsid w:val="004E5BD5"/>
    <w:rsid w:val="004E5DDE"/>
    <w:rsid w:val="004E6351"/>
    <w:rsid w:val="004E6636"/>
    <w:rsid w:val="004E66ED"/>
    <w:rsid w:val="004E6867"/>
    <w:rsid w:val="004E69B5"/>
    <w:rsid w:val="004E6F20"/>
    <w:rsid w:val="004E720D"/>
    <w:rsid w:val="004E7666"/>
    <w:rsid w:val="004E7BB8"/>
    <w:rsid w:val="004E7BE8"/>
    <w:rsid w:val="004E7CD6"/>
    <w:rsid w:val="004E7EBB"/>
    <w:rsid w:val="004F0551"/>
    <w:rsid w:val="004F0706"/>
    <w:rsid w:val="004F1470"/>
    <w:rsid w:val="004F1678"/>
    <w:rsid w:val="004F17C5"/>
    <w:rsid w:val="004F1A70"/>
    <w:rsid w:val="004F1DF4"/>
    <w:rsid w:val="004F20E2"/>
    <w:rsid w:val="004F248B"/>
    <w:rsid w:val="004F24A0"/>
    <w:rsid w:val="004F273B"/>
    <w:rsid w:val="004F27C6"/>
    <w:rsid w:val="004F2968"/>
    <w:rsid w:val="004F297B"/>
    <w:rsid w:val="004F2C0F"/>
    <w:rsid w:val="004F2C71"/>
    <w:rsid w:val="004F2DAF"/>
    <w:rsid w:val="004F2DC9"/>
    <w:rsid w:val="004F3300"/>
    <w:rsid w:val="004F3796"/>
    <w:rsid w:val="004F3808"/>
    <w:rsid w:val="004F39EB"/>
    <w:rsid w:val="004F39EC"/>
    <w:rsid w:val="004F3C4D"/>
    <w:rsid w:val="004F43CE"/>
    <w:rsid w:val="004F4770"/>
    <w:rsid w:val="004F4DD1"/>
    <w:rsid w:val="004F4FAB"/>
    <w:rsid w:val="004F5162"/>
    <w:rsid w:val="004F51D2"/>
    <w:rsid w:val="004F568C"/>
    <w:rsid w:val="004F5E2C"/>
    <w:rsid w:val="004F5F35"/>
    <w:rsid w:val="004F63C9"/>
    <w:rsid w:val="004F6412"/>
    <w:rsid w:val="004F6BF8"/>
    <w:rsid w:val="004F702A"/>
    <w:rsid w:val="004F70D3"/>
    <w:rsid w:val="004F7372"/>
    <w:rsid w:val="004F73A6"/>
    <w:rsid w:val="004F75F7"/>
    <w:rsid w:val="004F7A35"/>
    <w:rsid w:val="004F7CE0"/>
    <w:rsid w:val="0050017F"/>
    <w:rsid w:val="005004C5"/>
    <w:rsid w:val="00500564"/>
    <w:rsid w:val="005010EC"/>
    <w:rsid w:val="00501767"/>
    <w:rsid w:val="00501B44"/>
    <w:rsid w:val="00501E51"/>
    <w:rsid w:val="00502667"/>
    <w:rsid w:val="005028C2"/>
    <w:rsid w:val="00503012"/>
    <w:rsid w:val="0050332C"/>
    <w:rsid w:val="0050338D"/>
    <w:rsid w:val="005036C5"/>
    <w:rsid w:val="005040FB"/>
    <w:rsid w:val="00504946"/>
    <w:rsid w:val="00504A7F"/>
    <w:rsid w:val="00504ACB"/>
    <w:rsid w:val="00504B75"/>
    <w:rsid w:val="00504D96"/>
    <w:rsid w:val="00505046"/>
    <w:rsid w:val="0050508B"/>
    <w:rsid w:val="00505261"/>
    <w:rsid w:val="00505A76"/>
    <w:rsid w:val="00505DD9"/>
    <w:rsid w:val="005062BF"/>
    <w:rsid w:val="00506713"/>
    <w:rsid w:val="00506844"/>
    <w:rsid w:val="00506CA4"/>
    <w:rsid w:val="005071B8"/>
    <w:rsid w:val="005072C4"/>
    <w:rsid w:val="0050747B"/>
    <w:rsid w:val="00507B6F"/>
    <w:rsid w:val="00507E62"/>
    <w:rsid w:val="00507F4F"/>
    <w:rsid w:val="0051012D"/>
    <w:rsid w:val="00510471"/>
    <w:rsid w:val="00510BD5"/>
    <w:rsid w:val="005111FF"/>
    <w:rsid w:val="0051132F"/>
    <w:rsid w:val="00511468"/>
    <w:rsid w:val="005114DA"/>
    <w:rsid w:val="005117C0"/>
    <w:rsid w:val="00511B92"/>
    <w:rsid w:val="00511C19"/>
    <w:rsid w:val="00511DD9"/>
    <w:rsid w:val="005122F5"/>
    <w:rsid w:val="00512C38"/>
    <w:rsid w:val="00512C6A"/>
    <w:rsid w:val="00512D78"/>
    <w:rsid w:val="00513091"/>
    <w:rsid w:val="00513126"/>
    <w:rsid w:val="0051317E"/>
    <w:rsid w:val="00513289"/>
    <w:rsid w:val="005133B1"/>
    <w:rsid w:val="0051352F"/>
    <w:rsid w:val="00513A10"/>
    <w:rsid w:val="00513D96"/>
    <w:rsid w:val="005143C3"/>
    <w:rsid w:val="005144BB"/>
    <w:rsid w:val="005144C5"/>
    <w:rsid w:val="0051452A"/>
    <w:rsid w:val="005146B0"/>
    <w:rsid w:val="00514B60"/>
    <w:rsid w:val="00515088"/>
    <w:rsid w:val="005151AA"/>
    <w:rsid w:val="0051546C"/>
    <w:rsid w:val="00515C50"/>
    <w:rsid w:val="00515CF2"/>
    <w:rsid w:val="00515E16"/>
    <w:rsid w:val="00515E66"/>
    <w:rsid w:val="00515E8E"/>
    <w:rsid w:val="00516175"/>
    <w:rsid w:val="00516488"/>
    <w:rsid w:val="00516640"/>
    <w:rsid w:val="005166D3"/>
    <w:rsid w:val="00516876"/>
    <w:rsid w:val="005169C4"/>
    <w:rsid w:val="00516D7A"/>
    <w:rsid w:val="00516E6A"/>
    <w:rsid w:val="00517296"/>
    <w:rsid w:val="00517612"/>
    <w:rsid w:val="00517ABA"/>
    <w:rsid w:val="00517C6E"/>
    <w:rsid w:val="00517F6C"/>
    <w:rsid w:val="00520008"/>
    <w:rsid w:val="00520155"/>
    <w:rsid w:val="005201EC"/>
    <w:rsid w:val="00520583"/>
    <w:rsid w:val="00520AAE"/>
    <w:rsid w:val="00520C22"/>
    <w:rsid w:val="00520D44"/>
    <w:rsid w:val="00521390"/>
    <w:rsid w:val="00521536"/>
    <w:rsid w:val="00521744"/>
    <w:rsid w:val="0052182E"/>
    <w:rsid w:val="0052198F"/>
    <w:rsid w:val="00521A02"/>
    <w:rsid w:val="00521A54"/>
    <w:rsid w:val="00521E3F"/>
    <w:rsid w:val="00521F2D"/>
    <w:rsid w:val="00521FA5"/>
    <w:rsid w:val="005227D5"/>
    <w:rsid w:val="005228C7"/>
    <w:rsid w:val="00522D05"/>
    <w:rsid w:val="00522F9D"/>
    <w:rsid w:val="0052352C"/>
    <w:rsid w:val="0052363F"/>
    <w:rsid w:val="00523679"/>
    <w:rsid w:val="00523B05"/>
    <w:rsid w:val="00523BC2"/>
    <w:rsid w:val="00523D5F"/>
    <w:rsid w:val="00523FE1"/>
    <w:rsid w:val="005241E2"/>
    <w:rsid w:val="00524981"/>
    <w:rsid w:val="00524E8C"/>
    <w:rsid w:val="00525228"/>
    <w:rsid w:val="00525A9B"/>
    <w:rsid w:val="00525CD0"/>
    <w:rsid w:val="0052605F"/>
    <w:rsid w:val="0052623D"/>
    <w:rsid w:val="0052628B"/>
    <w:rsid w:val="00526BE8"/>
    <w:rsid w:val="0052731D"/>
    <w:rsid w:val="00527359"/>
    <w:rsid w:val="00527504"/>
    <w:rsid w:val="005278E4"/>
    <w:rsid w:val="005300A6"/>
    <w:rsid w:val="00530501"/>
    <w:rsid w:val="00530598"/>
    <w:rsid w:val="00530A59"/>
    <w:rsid w:val="00530B0F"/>
    <w:rsid w:val="00530BD6"/>
    <w:rsid w:val="00530F17"/>
    <w:rsid w:val="005311D1"/>
    <w:rsid w:val="005311D7"/>
    <w:rsid w:val="005313AE"/>
    <w:rsid w:val="0053199B"/>
    <w:rsid w:val="00531E43"/>
    <w:rsid w:val="00532065"/>
    <w:rsid w:val="005320CC"/>
    <w:rsid w:val="0053259D"/>
    <w:rsid w:val="00532A78"/>
    <w:rsid w:val="00532A84"/>
    <w:rsid w:val="00532B6D"/>
    <w:rsid w:val="005334BF"/>
    <w:rsid w:val="0053368C"/>
    <w:rsid w:val="00533A23"/>
    <w:rsid w:val="0053411D"/>
    <w:rsid w:val="005344B6"/>
    <w:rsid w:val="005349E4"/>
    <w:rsid w:val="00534AF8"/>
    <w:rsid w:val="00534B2E"/>
    <w:rsid w:val="00535072"/>
    <w:rsid w:val="005352DA"/>
    <w:rsid w:val="00535357"/>
    <w:rsid w:val="005356BD"/>
    <w:rsid w:val="005356D4"/>
    <w:rsid w:val="0053575D"/>
    <w:rsid w:val="005358AC"/>
    <w:rsid w:val="00535AAC"/>
    <w:rsid w:val="00535B84"/>
    <w:rsid w:val="00536913"/>
    <w:rsid w:val="00536E47"/>
    <w:rsid w:val="005372E9"/>
    <w:rsid w:val="00537406"/>
    <w:rsid w:val="00537613"/>
    <w:rsid w:val="0053773B"/>
    <w:rsid w:val="0053785D"/>
    <w:rsid w:val="005379FD"/>
    <w:rsid w:val="00537D7B"/>
    <w:rsid w:val="0054027B"/>
    <w:rsid w:val="00540390"/>
    <w:rsid w:val="00540684"/>
    <w:rsid w:val="00540ADA"/>
    <w:rsid w:val="00540E05"/>
    <w:rsid w:val="0054124E"/>
    <w:rsid w:val="005414C8"/>
    <w:rsid w:val="005418AB"/>
    <w:rsid w:val="005419FB"/>
    <w:rsid w:val="00541A55"/>
    <w:rsid w:val="00541A92"/>
    <w:rsid w:val="00541AFB"/>
    <w:rsid w:val="00541D78"/>
    <w:rsid w:val="00541EE2"/>
    <w:rsid w:val="00542482"/>
    <w:rsid w:val="00542841"/>
    <w:rsid w:val="005429CD"/>
    <w:rsid w:val="00542A7F"/>
    <w:rsid w:val="00542AC4"/>
    <w:rsid w:val="00542AD7"/>
    <w:rsid w:val="00542D04"/>
    <w:rsid w:val="00543176"/>
    <w:rsid w:val="0054335F"/>
    <w:rsid w:val="005434D1"/>
    <w:rsid w:val="00543597"/>
    <w:rsid w:val="0054360E"/>
    <w:rsid w:val="00543AF2"/>
    <w:rsid w:val="00543D0F"/>
    <w:rsid w:val="00543FDF"/>
    <w:rsid w:val="0054433E"/>
    <w:rsid w:val="005446F1"/>
    <w:rsid w:val="0054473B"/>
    <w:rsid w:val="00544B2C"/>
    <w:rsid w:val="00544CBB"/>
    <w:rsid w:val="005454CD"/>
    <w:rsid w:val="00545762"/>
    <w:rsid w:val="005458F1"/>
    <w:rsid w:val="005459DA"/>
    <w:rsid w:val="00545A27"/>
    <w:rsid w:val="005464B8"/>
    <w:rsid w:val="00546A47"/>
    <w:rsid w:val="00547842"/>
    <w:rsid w:val="00547CD1"/>
    <w:rsid w:val="00547CD6"/>
    <w:rsid w:val="005504B9"/>
    <w:rsid w:val="0055084F"/>
    <w:rsid w:val="00550BFA"/>
    <w:rsid w:val="005516FF"/>
    <w:rsid w:val="0055170A"/>
    <w:rsid w:val="005517D7"/>
    <w:rsid w:val="005518DE"/>
    <w:rsid w:val="005519B8"/>
    <w:rsid w:val="00551A2D"/>
    <w:rsid w:val="00551BA2"/>
    <w:rsid w:val="0055203B"/>
    <w:rsid w:val="00552BB5"/>
    <w:rsid w:val="00552DD2"/>
    <w:rsid w:val="00553088"/>
    <w:rsid w:val="0055364B"/>
    <w:rsid w:val="005536B1"/>
    <w:rsid w:val="00553F46"/>
    <w:rsid w:val="005540BF"/>
    <w:rsid w:val="00554719"/>
    <w:rsid w:val="00554756"/>
    <w:rsid w:val="0055482D"/>
    <w:rsid w:val="005549C6"/>
    <w:rsid w:val="00555093"/>
    <w:rsid w:val="00555983"/>
    <w:rsid w:val="00555D3C"/>
    <w:rsid w:val="005560BD"/>
    <w:rsid w:val="0055625E"/>
    <w:rsid w:val="00556809"/>
    <w:rsid w:val="00557269"/>
    <w:rsid w:val="00557567"/>
    <w:rsid w:val="0055759A"/>
    <w:rsid w:val="0055765D"/>
    <w:rsid w:val="005600D5"/>
    <w:rsid w:val="00560257"/>
    <w:rsid w:val="00560C54"/>
    <w:rsid w:val="00561243"/>
    <w:rsid w:val="0056159E"/>
    <w:rsid w:val="00561AE9"/>
    <w:rsid w:val="005620C4"/>
    <w:rsid w:val="00562203"/>
    <w:rsid w:val="005624D5"/>
    <w:rsid w:val="005624FE"/>
    <w:rsid w:val="0056274E"/>
    <w:rsid w:val="005627FB"/>
    <w:rsid w:val="00562B94"/>
    <w:rsid w:val="00563D30"/>
    <w:rsid w:val="0056403C"/>
    <w:rsid w:val="00564151"/>
    <w:rsid w:val="00564242"/>
    <w:rsid w:val="00564579"/>
    <w:rsid w:val="00564966"/>
    <w:rsid w:val="005649C6"/>
    <w:rsid w:val="00564EB1"/>
    <w:rsid w:val="00565A14"/>
    <w:rsid w:val="00565BCD"/>
    <w:rsid w:val="00566142"/>
    <w:rsid w:val="00566AC7"/>
    <w:rsid w:val="00566CCB"/>
    <w:rsid w:val="00566CD7"/>
    <w:rsid w:val="00567F54"/>
    <w:rsid w:val="00570566"/>
    <w:rsid w:val="00570665"/>
    <w:rsid w:val="00570840"/>
    <w:rsid w:val="0057098B"/>
    <w:rsid w:val="00570A64"/>
    <w:rsid w:val="00570F44"/>
    <w:rsid w:val="00571015"/>
    <w:rsid w:val="0057124B"/>
    <w:rsid w:val="005714AB"/>
    <w:rsid w:val="00571884"/>
    <w:rsid w:val="00571893"/>
    <w:rsid w:val="00572DD7"/>
    <w:rsid w:val="00572E37"/>
    <w:rsid w:val="00573130"/>
    <w:rsid w:val="00573288"/>
    <w:rsid w:val="00573525"/>
    <w:rsid w:val="00573576"/>
    <w:rsid w:val="005735CF"/>
    <w:rsid w:val="005749E7"/>
    <w:rsid w:val="00574B74"/>
    <w:rsid w:val="00574DCD"/>
    <w:rsid w:val="0057516E"/>
    <w:rsid w:val="0057528B"/>
    <w:rsid w:val="005753AB"/>
    <w:rsid w:val="00575500"/>
    <w:rsid w:val="00575902"/>
    <w:rsid w:val="00575A32"/>
    <w:rsid w:val="00575E20"/>
    <w:rsid w:val="00575F58"/>
    <w:rsid w:val="00576386"/>
    <w:rsid w:val="0057651F"/>
    <w:rsid w:val="00576820"/>
    <w:rsid w:val="005768F9"/>
    <w:rsid w:val="005769D1"/>
    <w:rsid w:val="005771A4"/>
    <w:rsid w:val="005771E0"/>
    <w:rsid w:val="00577381"/>
    <w:rsid w:val="005778E0"/>
    <w:rsid w:val="0058076B"/>
    <w:rsid w:val="005809FE"/>
    <w:rsid w:val="00580D7F"/>
    <w:rsid w:val="00580E15"/>
    <w:rsid w:val="005815B3"/>
    <w:rsid w:val="00581833"/>
    <w:rsid w:val="00581ECD"/>
    <w:rsid w:val="00582016"/>
    <w:rsid w:val="0058243C"/>
    <w:rsid w:val="00582536"/>
    <w:rsid w:val="005832D5"/>
    <w:rsid w:val="00583357"/>
    <w:rsid w:val="00583A11"/>
    <w:rsid w:val="00583EE1"/>
    <w:rsid w:val="005843A9"/>
    <w:rsid w:val="00584588"/>
    <w:rsid w:val="0058496A"/>
    <w:rsid w:val="00584C69"/>
    <w:rsid w:val="00584FF1"/>
    <w:rsid w:val="00585687"/>
    <w:rsid w:val="00585705"/>
    <w:rsid w:val="005865A7"/>
    <w:rsid w:val="00586E10"/>
    <w:rsid w:val="00587052"/>
    <w:rsid w:val="005872E3"/>
    <w:rsid w:val="005873F3"/>
    <w:rsid w:val="00587D67"/>
    <w:rsid w:val="00587E80"/>
    <w:rsid w:val="00590060"/>
    <w:rsid w:val="00590086"/>
    <w:rsid w:val="00590603"/>
    <w:rsid w:val="00590684"/>
    <w:rsid w:val="0059091C"/>
    <w:rsid w:val="00590C55"/>
    <w:rsid w:val="00590D74"/>
    <w:rsid w:val="00591089"/>
    <w:rsid w:val="00591389"/>
    <w:rsid w:val="0059139B"/>
    <w:rsid w:val="0059140D"/>
    <w:rsid w:val="0059148B"/>
    <w:rsid w:val="005915D0"/>
    <w:rsid w:val="00591F89"/>
    <w:rsid w:val="00592464"/>
    <w:rsid w:val="005929FC"/>
    <w:rsid w:val="00592E71"/>
    <w:rsid w:val="005931F2"/>
    <w:rsid w:val="00593234"/>
    <w:rsid w:val="0059343D"/>
    <w:rsid w:val="00593478"/>
    <w:rsid w:val="005935AD"/>
    <w:rsid w:val="00593787"/>
    <w:rsid w:val="00593FD5"/>
    <w:rsid w:val="00594197"/>
    <w:rsid w:val="005946FB"/>
    <w:rsid w:val="0059486C"/>
    <w:rsid w:val="00594B0F"/>
    <w:rsid w:val="00594B86"/>
    <w:rsid w:val="00594BE1"/>
    <w:rsid w:val="00595AD7"/>
    <w:rsid w:val="00595B82"/>
    <w:rsid w:val="00596028"/>
    <w:rsid w:val="0059615C"/>
    <w:rsid w:val="00596609"/>
    <w:rsid w:val="00596918"/>
    <w:rsid w:val="00596A50"/>
    <w:rsid w:val="0059714E"/>
    <w:rsid w:val="00597928"/>
    <w:rsid w:val="00597A38"/>
    <w:rsid w:val="00597F93"/>
    <w:rsid w:val="005A089A"/>
    <w:rsid w:val="005A0BB2"/>
    <w:rsid w:val="005A0EF4"/>
    <w:rsid w:val="005A1473"/>
    <w:rsid w:val="005A1CD5"/>
    <w:rsid w:val="005A1D4E"/>
    <w:rsid w:val="005A2518"/>
    <w:rsid w:val="005A29A7"/>
    <w:rsid w:val="005A2B24"/>
    <w:rsid w:val="005A2B95"/>
    <w:rsid w:val="005A2FE0"/>
    <w:rsid w:val="005A318D"/>
    <w:rsid w:val="005A31B1"/>
    <w:rsid w:val="005A3362"/>
    <w:rsid w:val="005A34ED"/>
    <w:rsid w:val="005A3769"/>
    <w:rsid w:val="005A3ABB"/>
    <w:rsid w:val="005A4243"/>
    <w:rsid w:val="005A4348"/>
    <w:rsid w:val="005A46CF"/>
    <w:rsid w:val="005A4900"/>
    <w:rsid w:val="005A4CA4"/>
    <w:rsid w:val="005A4CE1"/>
    <w:rsid w:val="005A546F"/>
    <w:rsid w:val="005A566C"/>
    <w:rsid w:val="005A58B0"/>
    <w:rsid w:val="005A5AEF"/>
    <w:rsid w:val="005A5B55"/>
    <w:rsid w:val="005A5E16"/>
    <w:rsid w:val="005A5F51"/>
    <w:rsid w:val="005A607A"/>
    <w:rsid w:val="005A646D"/>
    <w:rsid w:val="005A6666"/>
    <w:rsid w:val="005A66B3"/>
    <w:rsid w:val="005A6B32"/>
    <w:rsid w:val="005A74DF"/>
    <w:rsid w:val="005A7B70"/>
    <w:rsid w:val="005A7CF5"/>
    <w:rsid w:val="005B0012"/>
    <w:rsid w:val="005B00FC"/>
    <w:rsid w:val="005B01EE"/>
    <w:rsid w:val="005B03CF"/>
    <w:rsid w:val="005B05C3"/>
    <w:rsid w:val="005B081A"/>
    <w:rsid w:val="005B0BF4"/>
    <w:rsid w:val="005B10A1"/>
    <w:rsid w:val="005B12F1"/>
    <w:rsid w:val="005B176C"/>
    <w:rsid w:val="005B1880"/>
    <w:rsid w:val="005B1B12"/>
    <w:rsid w:val="005B1CB2"/>
    <w:rsid w:val="005B2787"/>
    <w:rsid w:val="005B2E71"/>
    <w:rsid w:val="005B3C32"/>
    <w:rsid w:val="005B41C3"/>
    <w:rsid w:val="005B4436"/>
    <w:rsid w:val="005B45AF"/>
    <w:rsid w:val="005B45FE"/>
    <w:rsid w:val="005B4C1E"/>
    <w:rsid w:val="005B4DA9"/>
    <w:rsid w:val="005B5114"/>
    <w:rsid w:val="005B5473"/>
    <w:rsid w:val="005B55C5"/>
    <w:rsid w:val="005B57AC"/>
    <w:rsid w:val="005B597D"/>
    <w:rsid w:val="005B5ED9"/>
    <w:rsid w:val="005B680A"/>
    <w:rsid w:val="005B6825"/>
    <w:rsid w:val="005B69B5"/>
    <w:rsid w:val="005B6DAC"/>
    <w:rsid w:val="005B72C8"/>
    <w:rsid w:val="005C0795"/>
    <w:rsid w:val="005C0B4F"/>
    <w:rsid w:val="005C0E12"/>
    <w:rsid w:val="005C0ECE"/>
    <w:rsid w:val="005C1447"/>
    <w:rsid w:val="005C15AC"/>
    <w:rsid w:val="005C16FB"/>
    <w:rsid w:val="005C1917"/>
    <w:rsid w:val="005C1DD7"/>
    <w:rsid w:val="005C1EFC"/>
    <w:rsid w:val="005C205C"/>
    <w:rsid w:val="005C2536"/>
    <w:rsid w:val="005C25CC"/>
    <w:rsid w:val="005C2835"/>
    <w:rsid w:val="005C29C8"/>
    <w:rsid w:val="005C2AF6"/>
    <w:rsid w:val="005C309C"/>
    <w:rsid w:val="005C3585"/>
    <w:rsid w:val="005C37AC"/>
    <w:rsid w:val="005C38D8"/>
    <w:rsid w:val="005C3D94"/>
    <w:rsid w:val="005C4559"/>
    <w:rsid w:val="005C47D6"/>
    <w:rsid w:val="005C4909"/>
    <w:rsid w:val="005C63D4"/>
    <w:rsid w:val="005C66A7"/>
    <w:rsid w:val="005C677C"/>
    <w:rsid w:val="005C6A10"/>
    <w:rsid w:val="005C6CD3"/>
    <w:rsid w:val="005C7B23"/>
    <w:rsid w:val="005C7D8F"/>
    <w:rsid w:val="005D0113"/>
    <w:rsid w:val="005D015C"/>
    <w:rsid w:val="005D0262"/>
    <w:rsid w:val="005D071B"/>
    <w:rsid w:val="005D0BEA"/>
    <w:rsid w:val="005D1117"/>
    <w:rsid w:val="005D1184"/>
    <w:rsid w:val="005D17EF"/>
    <w:rsid w:val="005D1808"/>
    <w:rsid w:val="005D2B3A"/>
    <w:rsid w:val="005D33A0"/>
    <w:rsid w:val="005D35EE"/>
    <w:rsid w:val="005D3B4F"/>
    <w:rsid w:val="005D3C31"/>
    <w:rsid w:val="005D43B2"/>
    <w:rsid w:val="005D4624"/>
    <w:rsid w:val="005D4949"/>
    <w:rsid w:val="005D49DD"/>
    <w:rsid w:val="005D4F21"/>
    <w:rsid w:val="005D4F8F"/>
    <w:rsid w:val="005D512A"/>
    <w:rsid w:val="005D53F1"/>
    <w:rsid w:val="005D5566"/>
    <w:rsid w:val="005D57D1"/>
    <w:rsid w:val="005D59C5"/>
    <w:rsid w:val="005D5DB0"/>
    <w:rsid w:val="005D5ED1"/>
    <w:rsid w:val="005D5F0B"/>
    <w:rsid w:val="005D60B8"/>
    <w:rsid w:val="005D60FB"/>
    <w:rsid w:val="005D6793"/>
    <w:rsid w:val="005D6AE1"/>
    <w:rsid w:val="005D6B8F"/>
    <w:rsid w:val="005D6E26"/>
    <w:rsid w:val="005D7023"/>
    <w:rsid w:val="005D714B"/>
    <w:rsid w:val="005D7812"/>
    <w:rsid w:val="005D7967"/>
    <w:rsid w:val="005D7FE1"/>
    <w:rsid w:val="005E000E"/>
    <w:rsid w:val="005E0026"/>
    <w:rsid w:val="005E030F"/>
    <w:rsid w:val="005E03C3"/>
    <w:rsid w:val="005E0A4A"/>
    <w:rsid w:val="005E0BA9"/>
    <w:rsid w:val="005E0C12"/>
    <w:rsid w:val="005E13C2"/>
    <w:rsid w:val="005E15B6"/>
    <w:rsid w:val="005E1D3C"/>
    <w:rsid w:val="005E20F2"/>
    <w:rsid w:val="005E2389"/>
    <w:rsid w:val="005E23FE"/>
    <w:rsid w:val="005E31E9"/>
    <w:rsid w:val="005E33FF"/>
    <w:rsid w:val="005E34BA"/>
    <w:rsid w:val="005E3545"/>
    <w:rsid w:val="005E35B3"/>
    <w:rsid w:val="005E383F"/>
    <w:rsid w:val="005E3950"/>
    <w:rsid w:val="005E3D08"/>
    <w:rsid w:val="005E408C"/>
    <w:rsid w:val="005E409C"/>
    <w:rsid w:val="005E4286"/>
    <w:rsid w:val="005E5374"/>
    <w:rsid w:val="005E5C2A"/>
    <w:rsid w:val="005E5D6F"/>
    <w:rsid w:val="005E5E44"/>
    <w:rsid w:val="005E5EEE"/>
    <w:rsid w:val="005E624E"/>
    <w:rsid w:val="005E63F6"/>
    <w:rsid w:val="005E65D6"/>
    <w:rsid w:val="005E6DA3"/>
    <w:rsid w:val="005E6F0D"/>
    <w:rsid w:val="005E76E8"/>
    <w:rsid w:val="005E7A97"/>
    <w:rsid w:val="005E7B61"/>
    <w:rsid w:val="005F022E"/>
    <w:rsid w:val="005F092F"/>
    <w:rsid w:val="005F0966"/>
    <w:rsid w:val="005F0C0B"/>
    <w:rsid w:val="005F0EA8"/>
    <w:rsid w:val="005F1026"/>
    <w:rsid w:val="005F1619"/>
    <w:rsid w:val="005F18F2"/>
    <w:rsid w:val="005F1CD1"/>
    <w:rsid w:val="005F2226"/>
    <w:rsid w:val="005F223B"/>
    <w:rsid w:val="005F26EE"/>
    <w:rsid w:val="005F26F3"/>
    <w:rsid w:val="005F27BE"/>
    <w:rsid w:val="005F2DEA"/>
    <w:rsid w:val="005F2F6B"/>
    <w:rsid w:val="005F3277"/>
    <w:rsid w:val="005F395F"/>
    <w:rsid w:val="005F4200"/>
    <w:rsid w:val="005F443E"/>
    <w:rsid w:val="005F4741"/>
    <w:rsid w:val="005F53FB"/>
    <w:rsid w:val="005F58AE"/>
    <w:rsid w:val="005F59F7"/>
    <w:rsid w:val="005F6010"/>
    <w:rsid w:val="005F622C"/>
    <w:rsid w:val="005F6512"/>
    <w:rsid w:val="005F6537"/>
    <w:rsid w:val="005F67C2"/>
    <w:rsid w:val="005F6CBF"/>
    <w:rsid w:val="005F70BB"/>
    <w:rsid w:val="005F753A"/>
    <w:rsid w:val="005F7CE1"/>
    <w:rsid w:val="0060029F"/>
    <w:rsid w:val="006007DF"/>
    <w:rsid w:val="00600C6C"/>
    <w:rsid w:val="00600EF3"/>
    <w:rsid w:val="00601C0F"/>
    <w:rsid w:val="00602161"/>
    <w:rsid w:val="00602D28"/>
    <w:rsid w:val="006038B0"/>
    <w:rsid w:val="006038E3"/>
    <w:rsid w:val="00603B7D"/>
    <w:rsid w:val="00603EDA"/>
    <w:rsid w:val="006046CE"/>
    <w:rsid w:val="00604701"/>
    <w:rsid w:val="006053B1"/>
    <w:rsid w:val="00605B35"/>
    <w:rsid w:val="0060601F"/>
    <w:rsid w:val="006060DD"/>
    <w:rsid w:val="006066A2"/>
    <w:rsid w:val="00607C89"/>
    <w:rsid w:val="00607EAA"/>
    <w:rsid w:val="00607FCC"/>
    <w:rsid w:val="006107B6"/>
    <w:rsid w:val="0061137F"/>
    <w:rsid w:val="006115D3"/>
    <w:rsid w:val="00611821"/>
    <w:rsid w:val="00611976"/>
    <w:rsid w:val="00611DA4"/>
    <w:rsid w:val="0061227A"/>
    <w:rsid w:val="00612531"/>
    <w:rsid w:val="00612C6D"/>
    <w:rsid w:val="00613276"/>
    <w:rsid w:val="0061393F"/>
    <w:rsid w:val="0061482C"/>
    <w:rsid w:val="00614C08"/>
    <w:rsid w:val="00614DE8"/>
    <w:rsid w:val="00614E09"/>
    <w:rsid w:val="00614E4E"/>
    <w:rsid w:val="0061501B"/>
    <w:rsid w:val="006158B1"/>
    <w:rsid w:val="00615ED6"/>
    <w:rsid w:val="00615F5B"/>
    <w:rsid w:val="00616486"/>
    <w:rsid w:val="00616683"/>
    <w:rsid w:val="00616A9C"/>
    <w:rsid w:val="00616DCA"/>
    <w:rsid w:val="00616F96"/>
    <w:rsid w:val="00616FF7"/>
    <w:rsid w:val="00617204"/>
    <w:rsid w:val="0061756B"/>
    <w:rsid w:val="006178E2"/>
    <w:rsid w:val="00617CF5"/>
    <w:rsid w:val="00617FCE"/>
    <w:rsid w:val="0062034A"/>
    <w:rsid w:val="006204EF"/>
    <w:rsid w:val="006211B8"/>
    <w:rsid w:val="0062159A"/>
    <w:rsid w:val="006216EB"/>
    <w:rsid w:val="00621990"/>
    <w:rsid w:val="00621FE1"/>
    <w:rsid w:val="00622301"/>
    <w:rsid w:val="006226C2"/>
    <w:rsid w:val="00622B7C"/>
    <w:rsid w:val="00622FFA"/>
    <w:rsid w:val="00623D18"/>
    <w:rsid w:val="00624252"/>
    <w:rsid w:val="006242E2"/>
    <w:rsid w:val="006245D5"/>
    <w:rsid w:val="006245F2"/>
    <w:rsid w:val="00624877"/>
    <w:rsid w:val="00624A09"/>
    <w:rsid w:val="006253C7"/>
    <w:rsid w:val="0062546D"/>
    <w:rsid w:val="0062598D"/>
    <w:rsid w:val="00625C1A"/>
    <w:rsid w:val="00625E92"/>
    <w:rsid w:val="00625F94"/>
    <w:rsid w:val="00625FCB"/>
    <w:rsid w:val="006260DD"/>
    <w:rsid w:val="00626AF7"/>
    <w:rsid w:val="00627637"/>
    <w:rsid w:val="00627748"/>
    <w:rsid w:val="006301DC"/>
    <w:rsid w:val="0063055D"/>
    <w:rsid w:val="00630BA8"/>
    <w:rsid w:val="00630C41"/>
    <w:rsid w:val="00630F5C"/>
    <w:rsid w:val="00631164"/>
    <w:rsid w:val="00631738"/>
    <w:rsid w:val="0063198A"/>
    <w:rsid w:val="00632ABF"/>
    <w:rsid w:val="00632B20"/>
    <w:rsid w:val="0063318F"/>
    <w:rsid w:val="00633212"/>
    <w:rsid w:val="006332B9"/>
    <w:rsid w:val="00633751"/>
    <w:rsid w:val="0063384D"/>
    <w:rsid w:val="00633E9E"/>
    <w:rsid w:val="00634323"/>
    <w:rsid w:val="006346D3"/>
    <w:rsid w:val="0063541A"/>
    <w:rsid w:val="006356C9"/>
    <w:rsid w:val="00635B3F"/>
    <w:rsid w:val="00635EE9"/>
    <w:rsid w:val="006364B8"/>
    <w:rsid w:val="006365CF"/>
    <w:rsid w:val="006368E9"/>
    <w:rsid w:val="006369DB"/>
    <w:rsid w:val="00636AFB"/>
    <w:rsid w:val="00636D21"/>
    <w:rsid w:val="00636DE0"/>
    <w:rsid w:val="00637D2F"/>
    <w:rsid w:val="00637D68"/>
    <w:rsid w:val="00637E60"/>
    <w:rsid w:val="00640355"/>
    <w:rsid w:val="006407A9"/>
    <w:rsid w:val="00640B60"/>
    <w:rsid w:val="00640BA6"/>
    <w:rsid w:val="00640E2E"/>
    <w:rsid w:val="0064123C"/>
    <w:rsid w:val="006412D3"/>
    <w:rsid w:val="0064130E"/>
    <w:rsid w:val="00641962"/>
    <w:rsid w:val="00641D44"/>
    <w:rsid w:val="00641DB3"/>
    <w:rsid w:val="00641EBE"/>
    <w:rsid w:val="00642816"/>
    <w:rsid w:val="0064283C"/>
    <w:rsid w:val="00642D71"/>
    <w:rsid w:val="00643128"/>
    <w:rsid w:val="00643206"/>
    <w:rsid w:val="00643948"/>
    <w:rsid w:val="006443DD"/>
    <w:rsid w:val="00644437"/>
    <w:rsid w:val="006446FC"/>
    <w:rsid w:val="00644B24"/>
    <w:rsid w:val="00644B46"/>
    <w:rsid w:val="00644EBD"/>
    <w:rsid w:val="0064555D"/>
    <w:rsid w:val="00645741"/>
    <w:rsid w:val="006457AB"/>
    <w:rsid w:val="00645AD5"/>
    <w:rsid w:val="00646359"/>
    <w:rsid w:val="00646625"/>
    <w:rsid w:val="006466D9"/>
    <w:rsid w:val="00646C3E"/>
    <w:rsid w:val="00646D58"/>
    <w:rsid w:val="00646E28"/>
    <w:rsid w:val="00647227"/>
    <w:rsid w:val="006475F6"/>
    <w:rsid w:val="006476B6"/>
    <w:rsid w:val="00647781"/>
    <w:rsid w:val="00647AA4"/>
    <w:rsid w:val="00650434"/>
    <w:rsid w:val="006506CA"/>
    <w:rsid w:val="00650C49"/>
    <w:rsid w:val="00650F1F"/>
    <w:rsid w:val="006511D4"/>
    <w:rsid w:val="00651891"/>
    <w:rsid w:val="00651D45"/>
    <w:rsid w:val="006524E9"/>
    <w:rsid w:val="00653110"/>
    <w:rsid w:val="0065341C"/>
    <w:rsid w:val="006534E8"/>
    <w:rsid w:val="0065365D"/>
    <w:rsid w:val="006538BD"/>
    <w:rsid w:val="006541F9"/>
    <w:rsid w:val="00654359"/>
    <w:rsid w:val="006544B6"/>
    <w:rsid w:val="00654639"/>
    <w:rsid w:val="006546FD"/>
    <w:rsid w:val="00654D64"/>
    <w:rsid w:val="006551A5"/>
    <w:rsid w:val="006554F1"/>
    <w:rsid w:val="00655645"/>
    <w:rsid w:val="00655833"/>
    <w:rsid w:val="00655AC6"/>
    <w:rsid w:val="00655B89"/>
    <w:rsid w:val="006562A8"/>
    <w:rsid w:val="00656C5D"/>
    <w:rsid w:val="006571A1"/>
    <w:rsid w:val="00657706"/>
    <w:rsid w:val="006577ED"/>
    <w:rsid w:val="00657B6A"/>
    <w:rsid w:val="00657CE1"/>
    <w:rsid w:val="0066094E"/>
    <w:rsid w:val="0066156D"/>
    <w:rsid w:val="006616F8"/>
    <w:rsid w:val="0066171B"/>
    <w:rsid w:val="00661A55"/>
    <w:rsid w:val="0066216D"/>
    <w:rsid w:val="00662A21"/>
    <w:rsid w:val="0066346E"/>
    <w:rsid w:val="0066351C"/>
    <w:rsid w:val="00663754"/>
    <w:rsid w:val="00663A24"/>
    <w:rsid w:val="00663FD9"/>
    <w:rsid w:val="0066408E"/>
    <w:rsid w:val="0066438E"/>
    <w:rsid w:val="006643D4"/>
    <w:rsid w:val="00664494"/>
    <w:rsid w:val="00664C73"/>
    <w:rsid w:val="00665029"/>
    <w:rsid w:val="00665040"/>
    <w:rsid w:val="0066516B"/>
    <w:rsid w:val="006651C0"/>
    <w:rsid w:val="00665C41"/>
    <w:rsid w:val="00666A28"/>
    <w:rsid w:val="00666B5F"/>
    <w:rsid w:val="0066710C"/>
    <w:rsid w:val="00667F1E"/>
    <w:rsid w:val="00667FAC"/>
    <w:rsid w:val="00670CF5"/>
    <w:rsid w:val="00671590"/>
    <w:rsid w:val="006715BB"/>
    <w:rsid w:val="00671B72"/>
    <w:rsid w:val="006726BD"/>
    <w:rsid w:val="00673470"/>
    <w:rsid w:val="00673685"/>
    <w:rsid w:val="00673854"/>
    <w:rsid w:val="006740F7"/>
    <w:rsid w:val="006743D0"/>
    <w:rsid w:val="00674799"/>
    <w:rsid w:val="0067490D"/>
    <w:rsid w:val="00675568"/>
    <w:rsid w:val="00675E8A"/>
    <w:rsid w:val="00675E98"/>
    <w:rsid w:val="00676723"/>
    <w:rsid w:val="00676784"/>
    <w:rsid w:val="0067687A"/>
    <w:rsid w:val="00676C18"/>
    <w:rsid w:val="00676F6E"/>
    <w:rsid w:val="00676FE1"/>
    <w:rsid w:val="006775B6"/>
    <w:rsid w:val="006777B5"/>
    <w:rsid w:val="006777C8"/>
    <w:rsid w:val="0067790E"/>
    <w:rsid w:val="00677983"/>
    <w:rsid w:val="00677A99"/>
    <w:rsid w:val="0068087A"/>
    <w:rsid w:val="00680DC0"/>
    <w:rsid w:val="006812C2"/>
    <w:rsid w:val="00681DC6"/>
    <w:rsid w:val="0068217E"/>
    <w:rsid w:val="00682935"/>
    <w:rsid w:val="00682A99"/>
    <w:rsid w:val="00682B16"/>
    <w:rsid w:val="00682B68"/>
    <w:rsid w:val="00682FAC"/>
    <w:rsid w:val="00683639"/>
    <w:rsid w:val="00683A7E"/>
    <w:rsid w:val="00683D4F"/>
    <w:rsid w:val="006841A5"/>
    <w:rsid w:val="00684407"/>
    <w:rsid w:val="0068471A"/>
    <w:rsid w:val="00684AF4"/>
    <w:rsid w:val="0068501A"/>
    <w:rsid w:val="006852E7"/>
    <w:rsid w:val="00685F6A"/>
    <w:rsid w:val="0068612A"/>
    <w:rsid w:val="006862FD"/>
    <w:rsid w:val="006865AD"/>
    <w:rsid w:val="006867D8"/>
    <w:rsid w:val="006868A6"/>
    <w:rsid w:val="00686BAC"/>
    <w:rsid w:val="00686D24"/>
    <w:rsid w:val="00687665"/>
    <w:rsid w:val="00687C23"/>
    <w:rsid w:val="00690146"/>
    <w:rsid w:val="00690417"/>
    <w:rsid w:val="00690581"/>
    <w:rsid w:val="006905BB"/>
    <w:rsid w:val="00690610"/>
    <w:rsid w:val="00690E22"/>
    <w:rsid w:val="006911F1"/>
    <w:rsid w:val="00691379"/>
    <w:rsid w:val="00691B07"/>
    <w:rsid w:val="00691B08"/>
    <w:rsid w:val="006923EC"/>
    <w:rsid w:val="0069258F"/>
    <w:rsid w:val="00692AB0"/>
    <w:rsid w:val="00692E11"/>
    <w:rsid w:val="0069335D"/>
    <w:rsid w:val="00693909"/>
    <w:rsid w:val="0069395D"/>
    <w:rsid w:val="006945B9"/>
    <w:rsid w:val="00694810"/>
    <w:rsid w:val="006949BB"/>
    <w:rsid w:val="00694A55"/>
    <w:rsid w:val="00694BEA"/>
    <w:rsid w:val="00694D39"/>
    <w:rsid w:val="00694FA9"/>
    <w:rsid w:val="0069500E"/>
    <w:rsid w:val="006953D5"/>
    <w:rsid w:val="0069560D"/>
    <w:rsid w:val="00695651"/>
    <w:rsid w:val="00695C97"/>
    <w:rsid w:val="00695E81"/>
    <w:rsid w:val="00695F77"/>
    <w:rsid w:val="006967D4"/>
    <w:rsid w:val="006969AE"/>
    <w:rsid w:val="006969D7"/>
    <w:rsid w:val="00696E8D"/>
    <w:rsid w:val="006971AD"/>
    <w:rsid w:val="006A0253"/>
    <w:rsid w:val="006A038E"/>
    <w:rsid w:val="006A08E5"/>
    <w:rsid w:val="006A09DE"/>
    <w:rsid w:val="006A122F"/>
    <w:rsid w:val="006A1445"/>
    <w:rsid w:val="006A1557"/>
    <w:rsid w:val="006A1766"/>
    <w:rsid w:val="006A1885"/>
    <w:rsid w:val="006A2AD9"/>
    <w:rsid w:val="006A2C0D"/>
    <w:rsid w:val="006A32B9"/>
    <w:rsid w:val="006A373F"/>
    <w:rsid w:val="006A391D"/>
    <w:rsid w:val="006A3C53"/>
    <w:rsid w:val="006A422D"/>
    <w:rsid w:val="006A4462"/>
    <w:rsid w:val="006A4655"/>
    <w:rsid w:val="006A52A6"/>
    <w:rsid w:val="006A538B"/>
    <w:rsid w:val="006A54F7"/>
    <w:rsid w:val="006A5F53"/>
    <w:rsid w:val="006A66F6"/>
    <w:rsid w:val="006A69F5"/>
    <w:rsid w:val="006A6AD4"/>
    <w:rsid w:val="006A6C39"/>
    <w:rsid w:val="006A6D71"/>
    <w:rsid w:val="006A6EC5"/>
    <w:rsid w:val="006A6F40"/>
    <w:rsid w:val="006A708E"/>
    <w:rsid w:val="006A722D"/>
    <w:rsid w:val="006A74B6"/>
    <w:rsid w:val="006A75F0"/>
    <w:rsid w:val="006A78B9"/>
    <w:rsid w:val="006A798A"/>
    <w:rsid w:val="006A7ED5"/>
    <w:rsid w:val="006A7F15"/>
    <w:rsid w:val="006B0391"/>
    <w:rsid w:val="006B0500"/>
    <w:rsid w:val="006B0748"/>
    <w:rsid w:val="006B081D"/>
    <w:rsid w:val="006B0921"/>
    <w:rsid w:val="006B0DC3"/>
    <w:rsid w:val="006B0F2F"/>
    <w:rsid w:val="006B1069"/>
    <w:rsid w:val="006B1306"/>
    <w:rsid w:val="006B145B"/>
    <w:rsid w:val="006B1668"/>
    <w:rsid w:val="006B1C51"/>
    <w:rsid w:val="006B1CFD"/>
    <w:rsid w:val="006B2214"/>
    <w:rsid w:val="006B2270"/>
    <w:rsid w:val="006B24C4"/>
    <w:rsid w:val="006B2F3F"/>
    <w:rsid w:val="006B36A3"/>
    <w:rsid w:val="006B3C34"/>
    <w:rsid w:val="006B3E9D"/>
    <w:rsid w:val="006B3F8B"/>
    <w:rsid w:val="006B4F3F"/>
    <w:rsid w:val="006B4FCB"/>
    <w:rsid w:val="006B51C0"/>
    <w:rsid w:val="006B566A"/>
    <w:rsid w:val="006B5ACD"/>
    <w:rsid w:val="006B5BD6"/>
    <w:rsid w:val="006B63CA"/>
    <w:rsid w:val="006B651E"/>
    <w:rsid w:val="006B6C9E"/>
    <w:rsid w:val="006B7567"/>
    <w:rsid w:val="006B7F1E"/>
    <w:rsid w:val="006C0323"/>
    <w:rsid w:val="006C08FD"/>
    <w:rsid w:val="006C0C82"/>
    <w:rsid w:val="006C0EEC"/>
    <w:rsid w:val="006C0FE7"/>
    <w:rsid w:val="006C1319"/>
    <w:rsid w:val="006C1650"/>
    <w:rsid w:val="006C1C11"/>
    <w:rsid w:val="006C21B8"/>
    <w:rsid w:val="006C2508"/>
    <w:rsid w:val="006C2A47"/>
    <w:rsid w:val="006C2C22"/>
    <w:rsid w:val="006C2CBF"/>
    <w:rsid w:val="006C3314"/>
    <w:rsid w:val="006C37A4"/>
    <w:rsid w:val="006C3E6E"/>
    <w:rsid w:val="006C40FD"/>
    <w:rsid w:val="006C41D2"/>
    <w:rsid w:val="006C429D"/>
    <w:rsid w:val="006C4567"/>
    <w:rsid w:val="006C534A"/>
    <w:rsid w:val="006C5625"/>
    <w:rsid w:val="006C573D"/>
    <w:rsid w:val="006C5830"/>
    <w:rsid w:val="006C583B"/>
    <w:rsid w:val="006C5BEE"/>
    <w:rsid w:val="006C5C0E"/>
    <w:rsid w:val="006C5CA2"/>
    <w:rsid w:val="006C5E8B"/>
    <w:rsid w:val="006C60E7"/>
    <w:rsid w:val="006C6633"/>
    <w:rsid w:val="006C6774"/>
    <w:rsid w:val="006C6BED"/>
    <w:rsid w:val="006C7318"/>
    <w:rsid w:val="006C7510"/>
    <w:rsid w:val="006C7E45"/>
    <w:rsid w:val="006D049F"/>
    <w:rsid w:val="006D07D6"/>
    <w:rsid w:val="006D0A74"/>
    <w:rsid w:val="006D0DFB"/>
    <w:rsid w:val="006D1862"/>
    <w:rsid w:val="006D2722"/>
    <w:rsid w:val="006D2948"/>
    <w:rsid w:val="006D29EF"/>
    <w:rsid w:val="006D2A7D"/>
    <w:rsid w:val="006D2D7F"/>
    <w:rsid w:val="006D3292"/>
    <w:rsid w:val="006D3491"/>
    <w:rsid w:val="006D34FE"/>
    <w:rsid w:val="006D3967"/>
    <w:rsid w:val="006D3A12"/>
    <w:rsid w:val="006D3EDF"/>
    <w:rsid w:val="006D3F6A"/>
    <w:rsid w:val="006D4216"/>
    <w:rsid w:val="006D423F"/>
    <w:rsid w:val="006D454C"/>
    <w:rsid w:val="006D4605"/>
    <w:rsid w:val="006D5003"/>
    <w:rsid w:val="006D5BC4"/>
    <w:rsid w:val="006D60AD"/>
    <w:rsid w:val="006D63F1"/>
    <w:rsid w:val="006D65CA"/>
    <w:rsid w:val="006D66B7"/>
    <w:rsid w:val="006D7109"/>
    <w:rsid w:val="006D713B"/>
    <w:rsid w:val="006D763C"/>
    <w:rsid w:val="006E1032"/>
    <w:rsid w:val="006E1474"/>
    <w:rsid w:val="006E1E12"/>
    <w:rsid w:val="006E1EE7"/>
    <w:rsid w:val="006E2245"/>
    <w:rsid w:val="006E234A"/>
    <w:rsid w:val="006E29B1"/>
    <w:rsid w:val="006E2D69"/>
    <w:rsid w:val="006E2E3E"/>
    <w:rsid w:val="006E3E89"/>
    <w:rsid w:val="006E3FAB"/>
    <w:rsid w:val="006E449F"/>
    <w:rsid w:val="006E46A2"/>
    <w:rsid w:val="006E4BBF"/>
    <w:rsid w:val="006E54CE"/>
    <w:rsid w:val="006E5738"/>
    <w:rsid w:val="006E595D"/>
    <w:rsid w:val="006E596D"/>
    <w:rsid w:val="006E5A40"/>
    <w:rsid w:val="006E5B69"/>
    <w:rsid w:val="006E6604"/>
    <w:rsid w:val="006E68BE"/>
    <w:rsid w:val="006E6A10"/>
    <w:rsid w:val="006E6A34"/>
    <w:rsid w:val="006E6B7F"/>
    <w:rsid w:val="006E6CF4"/>
    <w:rsid w:val="006E7CF4"/>
    <w:rsid w:val="006F08C1"/>
    <w:rsid w:val="006F0DBC"/>
    <w:rsid w:val="006F10D5"/>
    <w:rsid w:val="006F1206"/>
    <w:rsid w:val="006F13A7"/>
    <w:rsid w:val="006F1596"/>
    <w:rsid w:val="006F1774"/>
    <w:rsid w:val="006F1C7C"/>
    <w:rsid w:val="006F1F29"/>
    <w:rsid w:val="006F20FF"/>
    <w:rsid w:val="006F21B6"/>
    <w:rsid w:val="006F2468"/>
    <w:rsid w:val="006F2972"/>
    <w:rsid w:val="006F2D36"/>
    <w:rsid w:val="006F3F1C"/>
    <w:rsid w:val="006F4047"/>
    <w:rsid w:val="006F404C"/>
    <w:rsid w:val="006F4109"/>
    <w:rsid w:val="006F4233"/>
    <w:rsid w:val="006F445D"/>
    <w:rsid w:val="006F4E8D"/>
    <w:rsid w:val="006F5279"/>
    <w:rsid w:val="006F58A3"/>
    <w:rsid w:val="006F639B"/>
    <w:rsid w:val="006F69D5"/>
    <w:rsid w:val="006F6E91"/>
    <w:rsid w:val="006F76DF"/>
    <w:rsid w:val="006F7718"/>
    <w:rsid w:val="006F7AAB"/>
    <w:rsid w:val="006F7CAF"/>
    <w:rsid w:val="00700258"/>
    <w:rsid w:val="007003C2"/>
    <w:rsid w:val="00700681"/>
    <w:rsid w:val="00700AD5"/>
    <w:rsid w:val="00700B81"/>
    <w:rsid w:val="00701530"/>
    <w:rsid w:val="007015EA"/>
    <w:rsid w:val="007017B4"/>
    <w:rsid w:val="00701B7E"/>
    <w:rsid w:val="00701DF3"/>
    <w:rsid w:val="00702058"/>
    <w:rsid w:val="0070221F"/>
    <w:rsid w:val="007023F2"/>
    <w:rsid w:val="00702634"/>
    <w:rsid w:val="00702B7B"/>
    <w:rsid w:val="00702EA7"/>
    <w:rsid w:val="00702F0A"/>
    <w:rsid w:val="00702FC8"/>
    <w:rsid w:val="007030FF"/>
    <w:rsid w:val="00703286"/>
    <w:rsid w:val="007037A8"/>
    <w:rsid w:val="00703A1F"/>
    <w:rsid w:val="00703DA5"/>
    <w:rsid w:val="00703EE6"/>
    <w:rsid w:val="007045B8"/>
    <w:rsid w:val="00704FAE"/>
    <w:rsid w:val="007052CD"/>
    <w:rsid w:val="007057DC"/>
    <w:rsid w:val="007058E4"/>
    <w:rsid w:val="00705EC4"/>
    <w:rsid w:val="007061FB"/>
    <w:rsid w:val="00706213"/>
    <w:rsid w:val="0070689D"/>
    <w:rsid w:val="00706A36"/>
    <w:rsid w:val="00706D35"/>
    <w:rsid w:val="00706EFE"/>
    <w:rsid w:val="00707300"/>
    <w:rsid w:val="007074A3"/>
    <w:rsid w:val="0070787B"/>
    <w:rsid w:val="0070796D"/>
    <w:rsid w:val="0070799B"/>
    <w:rsid w:val="007101E9"/>
    <w:rsid w:val="0071046B"/>
    <w:rsid w:val="007105C7"/>
    <w:rsid w:val="007109C5"/>
    <w:rsid w:val="00710D3F"/>
    <w:rsid w:val="00711422"/>
    <w:rsid w:val="007114AC"/>
    <w:rsid w:val="00711CBA"/>
    <w:rsid w:val="00711EF9"/>
    <w:rsid w:val="0071234F"/>
    <w:rsid w:val="00712632"/>
    <w:rsid w:val="00712791"/>
    <w:rsid w:val="00712B00"/>
    <w:rsid w:val="00713105"/>
    <w:rsid w:val="0071356A"/>
    <w:rsid w:val="007136AB"/>
    <w:rsid w:val="0071486C"/>
    <w:rsid w:val="007159FE"/>
    <w:rsid w:val="00715E96"/>
    <w:rsid w:val="00715F46"/>
    <w:rsid w:val="007162E9"/>
    <w:rsid w:val="007164E8"/>
    <w:rsid w:val="00716B04"/>
    <w:rsid w:val="00716D9D"/>
    <w:rsid w:val="007172EA"/>
    <w:rsid w:val="007174C9"/>
    <w:rsid w:val="00717843"/>
    <w:rsid w:val="00717B59"/>
    <w:rsid w:val="007206DB"/>
    <w:rsid w:val="00720A21"/>
    <w:rsid w:val="00720A51"/>
    <w:rsid w:val="00721443"/>
    <w:rsid w:val="00721484"/>
    <w:rsid w:val="00721B83"/>
    <w:rsid w:val="00721BD1"/>
    <w:rsid w:val="00721D7B"/>
    <w:rsid w:val="00721F88"/>
    <w:rsid w:val="0072204F"/>
    <w:rsid w:val="00722660"/>
    <w:rsid w:val="007228B2"/>
    <w:rsid w:val="007228C1"/>
    <w:rsid w:val="007228F6"/>
    <w:rsid w:val="00722A68"/>
    <w:rsid w:val="00722C75"/>
    <w:rsid w:val="00722DD5"/>
    <w:rsid w:val="0072313B"/>
    <w:rsid w:val="007231DA"/>
    <w:rsid w:val="00723442"/>
    <w:rsid w:val="00723935"/>
    <w:rsid w:val="00723A8F"/>
    <w:rsid w:val="00723BD8"/>
    <w:rsid w:val="00724291"/>
    <w:rsid w:val="00724E3F"/>
    <w:rsid w:val="00724EB8"/>
    <w:rsid w:val="00725259"/>
    <w:rsid w:val="00725399"/>
    <w:rsid w:val="007257FA"/>
    <w:rsid w:val="00725867"/>
    <w:rsid w:val="00725DCA"/>
    <w:rsid w:val="00726980"/>
    <w:rsid w:val="00726C8B"/>
    <w:rsid w:val="00726CDB"/>
    <w:rsid w:val="00726D15"/>
    <w:rsid w:val="007271DB"/>
    <w:rsid w:val="00727311"/>
    <w:rsid w:val="007273D7"/>
    <w:rsid w:val="007277DC"/>
    <w:rsid w:val="007301C8"/>
    <w:rsid w:val="0073029A"/>
    <w:rsid w:val="00730446"/>
    <w:rsid w:val="00730B36"/>
    <w:rsid w:val="00730C32"/>
    <w:rsid w:val="00730D59"/>
    <w:rsid w:val="00730EBC"/>
    <w:rsid w:val="00730F1B"/>
    <w:rsid w:val="007313B0"/>
    <w:rsid w:val="00731693"/>
    <w:rsid w:val="00731B1D"/>
    <w:rsid w:val="00731B65"/>
    <w:rsid w:val="00731F48"/>
    <w:rsid w:val="00732738"/>
    <w:rsid w:val="00732741"/>
    <w:rsid w:val="00732BF2"/>
    <w:rsid w:val="00732D56"/>
    <w:rsid w:val="00733041"/>
    <w:rsid w:val="007337C8"/>
    <w:rsid w:val="00733F6D"/>
    <w:rsid w:val="0073480D"/>
    <w:rsid w:val="0073491A"/>
    <w:rsid w:val="007354B0"/>
    <w:rsid w:val="00735558"/>
    <w:rsid w:val="00735703"/>
    <w:rsid w:val="00735754"/>
    <w:rsid w:val="007358CD"/>
    <w:rsid w:val="00735954"/>
    <w:rsid w:val="00735C9E"/>
    <w:rsid w:val="0073628B"/>
    <w:rsid w:val="00736294"/>
    <w:rsid w:val="00736514"/>
    <w:rsid w:val="007366F6"/>
    <w:rsid w:val="0073683B"/>
    <w:rsid w:val="0073696E"/>
    <w:rsid w:val="00736B8A"/>
    <w:rsid w:val="0073771F"/>
    <w:rsid w:val="00737A53"/>
    <w:rsid w:val="00737DB7"/>
    <w:rsid w:val="00737EFB"/>
    <w:rsid w:val="00737F4A"/>
    <w:rsid w:val="00737F9C"/>
    <w:rsid w:val="00740E96"/>
    <w:rsid w:val="00740EA5"/>
    <w:rsid w:val="007410B6"/>
    <w:rsid w:val="007411AF"/>
    <w:rsid w:val="007411E0"/>
    <w:rsid w:val="0074182A"/>
    <w:rsid w:val="0074194D"/>
    <w:rsid w:val="00741E25"/>
    <w:rsid w:val="00742013"/>
    <w:rsid w:val="00742217"/>
    <w:rsid w:val="00742301"/>
    <w:rsid w:val="00742BC4"/>
    <w:rsid w:val="00742E3C"/>
    <w:rsid w:val="0074317A"/>
    <w:rsid w:val="0074332B"/>
    <w:rsid w:val="0074397C"/>
    <w:rsid w:val="0074401B"/>
    <w:rsid w:val="00744320"/>
    <w:rsid w:val="0074440A"/>
    <w:rsid w:val="007446B2"/>
    <w:rsid w:val="00744B62"/>
    <w:rsid w:val="00744C62"/>
    <w:rsid w:val="00744D56"/>
    <w:rsid w:val="007451E8"/>
    <w:rsid w:val="00745C42"/>
    <w:rsid w:val="0074682E"/>
    <w:rsid w:val="00747176"/>
    <w:rsid w:val="00747384"/>
    <w:rsid w:val="0074774B"/>
    <w:rsid w:val="00747A6C"/>
    <w:rsid w:val="00747DEA"/>
    <w:rsid w:val="007503FE"/>
    <w:rsid w:val="00750585"/>
    <w:rsid w:val="007505F1"/>
    <w:rsid w:val="00750614"/>
    <w:rsid w:val="007508C1"/>
    <w:rsid w:val="00750A83"/>
    <w:rsid w:val="00750B60"/>
    <w:rsid w:val="00751745"/>
    <w:rsid w:val="00751A2C"/>
    <w:rsid w:val="00751E43"/>
    <w:rsid w:val="007522B6"/>
    <w:rsid w:val="00752571"/>
    <w:rsid w:val="00752C56"/>
    <w:rsid w:val="00752DE9"/>
    <w:rsid w:val="0075314C"/>
    <w:rsid w:val="00753263"/>
    <w:rsid w:val="00753306"/>
    <w:rsid w:val="00753A8B"/>
    <w:rsid w:val="007544DA"/>
    <w:rsid w:val="00754725"/>
    <w:rsid w:val="00754927"/>
    <w:rsid w:val="007549DF"/>
    <w:rsid w:val="00754B6F"/>
    <w:rsid w:val="00754C1D"/>
    <w:rsid w:val="00754D6A"/>
    <w:rsid w:val="007554B3"/>
    <w:rsid w:val="00755976"/>
    <w:rsid w:val="00755FBA"/>
    <w:rsid w:val="007567AA"/>
    <w:rsid w:val="00756B92"/>
    <w:rsid w:val="00756C52"/>
    <w:rsid w:val="00756E82"/>
    <w:rsid w:val="00757498"/>
    <w:rsid w:val="00757DCB"/>
    <w:rsid w:val="007608CA"/>
    <w:rsid w:val="0076094A"/>
    <w:rsid w:val="007609AF"/>
    <w:rsid w:val="00760AED"/>
    <w:rsid w:val="00760C8B"/>
    <w:rsid w:val="00760DF5"/>
    <w:rsid w:val="00760E1C"/>
    <w:rsid w:val="00761064"/>
    <w:rsid w:val="00761167"/>
    <w:rsid w:val="007614D3"/>
    <w:rsid w:val="0076180E"/>
    <w:rsid w:val="00761BC3"/>
    <w:rsid w:val="00761D04"/>
    <w:rsid w:val="00761F99"/>
    <w:rsid w:val="007629F7"/>
    <w:rsid w:val="00762B94"/>
    <w:rsid w:val="00762CD0"/>
    <w:rsid w:val="00762F78"/>
    <w:rsid w:val="007631E1"/>
    <w:rsid w:val="0076331D"/>
    <w:rsid w:val="00763573"/>
    <w:rsid w:val="007637E7"/>
    <w:rsid w:val="007638E7"/>
    <w:rsid w:val="00763BA6"/>
    <w:rsid w:val="00763BFB"/>
    <w:rsid w:val="00763C2D"/>
    <w:rsid w:val="00764104"/>
    <w:rsid w:val="0076431D"/>
    <w:rsid w:val="0076464C"/>
    <w:rsid w:val="00764654"/>
    <w:rsid w:val="007646A6"/>
    <w:rsid w:val="00764FDE"/>
    <w:rsid w:val="00765A18"/>
    <w:rsid w:val="00765D3F"/>
    <w:rsid w:val="00765DC6"/>
    <w:rsid w:val="00766173"/>
    <w:rsid w:val="00766B30"/>
    <w:rsid w:val="00766DAE"/>
    <w:rsid w:val="00767994"/>
    <w:rsid w:val="00767EA1"/>
    <w:rsid w:val="00767EFE"/>
    <w:rsid w:val="007706BA"/>
    <w:rsid w:val="007706D2"/>
    <w:rsid w:val="007709D1"/>
    <w:rsid w:val="00770B48"/>
    <w:rsid w:val="00770E19"/>
    <w:rsid w:val="00770FB9"/>
    <w:rsid w:val="007710C9"/>
    <w:rsid w:val="0077113C"/>
    <w:rsid w:val="007712C6"/>
    <w:rsid w:val="0077140E"/>
    <w:rsid w:val="007714BE"/>
    <w:rsid w:val="00771525"/>
    <w:rsid w:val="00771C0B"/>
    <w:rsid w:val="00771EA1"/>
    <w:rsid w:val="00772437"/>
    <w:rsid w:val="00772775"/>
    <w:rsid w:val="007728F0"/>
    <w:rsid w:val="007729DC"/>
    <w:rsid w:val="00773152"/>
    <w:rsid w:val="007736A5"/>
    <w:rsid w:val="007736E9"/>
    <w:rsid w:val="00773E4F"/>
    <w:rsid w:val="007740D7"/>
    <w:rsid w:val="0077418C"/>
    <w:rsid w:val="0077482A"/>
    <w:rsid w:val="00774EAD"/>
    <w:rsid w:val="00774ED4"/>
    <w:rsid w:val="00774EF3"/>
    <w:rsid w:val="0077564B"/>
    <w:rsid w:val="00775758"/>
    <w:rsid w:val="00775EE3"/>
    <w:rsid w:val="00775EE4"/>
    <w:rsid w:val="0077671D"/>
    <w:rsid w:val="00776776"/>
    <w:rsid w:val="007769A5"/>
    <w:rsid w:val="00776DAE"/>
    <w:rsid w:val="00776DF8"/>
    <w:rsid w:val="007771BB"/>
    <w:rsid w:val="00777330"/>
    <w:rsid w:val="00777D9C"/>
    <w:rsid w:val="00777E78"/>
    <w:rsid w:val="00777FC6"/>
    <w:rsid w:val="007802DE"/>
    <w:rsid w:val="007807D0"/>
    <w:rsid w:val="00780D6D"/>
    <w:rsid w:val="00781089"/>
    <w:rsid w:val="007810A4"/>
    <w:rsid w:val="00781120"/>
    <w:rsid w:val="0078125A"/>
    <w:rsid w:val="007817A9"/>
    <w:rsid w:val="00781D2F"/>
    <w:rsid w:val="00781E74"/>
    <w:rsid w:val="00782733"/>
    <w:rsid w:val="00782B33"/>
    <w:rsid w:val="00783300"/>
    <w:rsid w:val="00783802"/>
    <w:rsid w:val="00783EB6"/>
    <w:rsid w:val="007842C7"/>
    <w:rsid w:val="00784F2B"/>
    <w:rsid w:val="00784FB9"/>
    <w:rsid w:val="00785153"/>
    <w:rsid w:val="00785475"/>
    <w:rsid w:val="00785A48"/>
    <w:rsid w:val="00785B7C"/>
    <w:rsid w:val="007861CA"/>
    <w:rsid w:val="00786532"/>
    <w:rsid w:val="00786F8C"/>
    <w:rsid w:val="007870B3"/>
    <w:rsid w:val="0078799E"/>
    <w:rsid w:val="0079025F"/>
    <w:rsid w:val="00790480"/>
    <w:rsid w:val="0079053E"/>
    <w:rsid w:val="007909B6"/>
    <w:rsid w:val="00790A75"/>
    <w:rsid w:val="00790B42"/>
    <w:rsid w:val="00790C7B"/>
    <w:rsid w:val="00790C8D"/>
    <w:rsid w:val="007912B2"/>
    <w:rsid w:val="007912DC"/>
    <w:rsid w:val="00791599"/>
    <w:rsid w:val="0079194A"/>
    <w:rsid w:val="00791FAA"/>
    <w:rsid w:val="00792C2F"/>
    <w:rsid w:val="00792C87"/>
    <w:rsid w:val="00792DFF"/>
    <w:rsid w:val="00793403"/>
    <w:rsid w:val="00793499"/>
    <w:rsid w:val="00793A85"/>
    <w:rsid w:val="00793CE0"/>
    <w:rsid w:val="00793DA0"/>
    <w:rsid w:val="00794126"/>
    <w:rsid w:val="007943E9"/>
    <w:rsid w:val="007944A6"/>
    <w:rsid w:val="00794B79"/>
    <w:rsid w:val="00794BF9"/>
    <w:rsid w:val="00795356"/>
    <w:rsid w:val="00795666"/>
    <w:rsid w:val="00795ECA"/>
    <w:rsid w:val="00796048"/>
    <w:rsid w:val="00796184"/>
    <w:rsid w:val="007965B5"/>
    <w:rsid w:val="007976CD"/>
    <w:rsid w:val="007978D3"/>
    <w:rsid w:val="00797E8E"/>
    <w:rsid w:val="007A023E"/>
    <w:rsid w:val="007A0758"/>
    <w:rsid w:val="007A0AD8"/>
    <w:rsid w:val="007A14ED"/>
    <w:rsid w:val="007A156C"/>
    <w:rsid w:val="007A15B9"/>
    <w:rsid w:val="007A1844"/>
    <w:rsid w:val="007A1BE5"/>
    <w:rsid w:val="007A1D6B"/>
    <w:rsid w:val="007A22F0"/>
    <w:rsid w:val="007A28FD"/>
    <w:rsid w:val="007A2D6E"/>
    <w:rsid w:val="007A3107"/>
    <w:rsid w:val="007A32EA"/>
    <w:rsid w:val="007A3DEA"/>
    <w:rsid w:val="007A3E04"/>
    <w:rsid w:val="007A4237"/>
    <w:rsid w:val="007A4405"/>
    <w:rsid w:val="007A48F4"/>
    <w:rsid w:val="007A4CED"/>
    <w:rsid w:val="007A54B5"/>
    <w:rsid w:val="007A5DDE"/>
    <w:rsid w:val="007A61FA"/>
    <w:rsid w:val="007A627E"/>
    <w:rsid w:val="007A6F0E"/>
    <w:rsid w:val="007A705D"/>
    <w:rsid w:val="007A707D"/>
    <w:rsid w:val="007A7095"/>
    <w:rsid w:val="007A72E8"/>
    <w:rsid w:val="007A735A"/>
    <w:rsid w:val="007A75BC"/>
    <w:rsid w:val="007A781A"/>
    <w:rsid w:val="007A7B4A"/>
    <w:rsid w:val="007A7D20"/>
    <w:rsid w:val="007B05FF"/>
    <w:rsid w:val="007B06CF"/>
    <w:rsid w:val="007B07AE"/>
    <w:rsid w:val="007B0893"/>
    <w:rsid w:val="007B0A22"/>
    <w:rsid w:val="007B0E48"/>
    <w:rsid w:val="007B0EE4"/>
    <w:rsid w:val="007B1160"/>
    <w:rsid w:val="007B1BBB"/>
    <w:rsid w:val="007B1EEB"/>
    <w:rsid w:val="007B2274"/>
    <w:rsid w:val="007B242D"/>
    <w:rsid w:val="007B2547"/>
    <w:rsid w:val="007B2773"/>
    <w:rsid w:val="007B28E5"/>
    <w:rsid w:val="007B2D43"/>
    <w:rsid w:val="007B34EC"/>
    <w:rsid w:val="007B4017"/>
    <w:rsid w:val="007B4191"/>
    <w:rsid w:val="007B4321"/>
    <w:rsid w:val="007B43C0"/>
    <w:rsid w:val="007B44E9"/>
    <w:rsid w:val="007B46FE"/>
    <w:rsid w:val="007B4D54"/>
    <w:rsid w:val="007B560D"/>
    <w:rsid w:val="007B56DD"/>
    <w:rsid w:val="007B5E98"/>
    <w:rsid w:val="007B5F1E"/>
    <w:rsid w:val="007B602B"/>
    <w:rsid w:val="007B6665"/>
    <w:rsid w:val="007B689E"/>
    <w:rsid w:val="007B750E"/>
    <w:rsid w:val="007B783F"/>
    <w:rsid w:val="007B7E44"/>
    <w:rsid w:val="007B7E53"/>
    <w:rsid w:val="007C0547"/>
    <w:rsid w:val="007C094C"/>
    <w:rsid w:val="007C1055"/>
    <w:rsid w:val="007C1585"/>
    <w:rsid w:val="007C1995"/>
    <w:rsid w:val="007C1A8B"/>
    <w:rsid w:val="007C1A9F"/>
    <w:rsid w:val="007C20EB"/>
    <w:rsid w:val="007C239C"/>
    <w:rsid w:val="007C282E"/>
    <w:rsid w:val="007C2969"/>
    <w:rsid w:val="007C2A68"/>
    <w:rsid w:val="007C2AB4"/>
    <w:rsid w:val="007C3082"/>
    <w:rsid w:val="007C313D"/>
    <w:rsid w:val="007C3153"/>
    <w:rsid w:val="007C3200"/>
    <w:rsid w:val="007C360B"/>
    <w:rsid w:val="007C360E"/>
    <w:rsid w:val="007C38D4"/>
    <w:rsid w:val="007C3AE8"/>
    <w:rsid w:val="007C3EFB"/>
    <w:rsid w:val="007C4014"/>
    <w:rsid w:val="007C428A"/>
    <w:rsid w:val="007C46AE"/>
    <w:rsid w:val="007C4748"/>
    <w:rsid w:val="007C481D"/>
    <w:rsid w:val="007C48E6"/>
    <w:rsid w:val="007C4F22"/>
    <w:rsid w:val="007C5E14"/>
    <w:rsid w:val="007C63EB"/>
    <w:rsid w:val="007C6444"/>
    <w:rsid w:val="007C6DFE"/>
    <w:rsid w:val="007C6F3A"/>
    <w:rsid w:val="007C72FC"/>
    <w:rsid w:val="007C7755"/>
    <w:rsid w:val="007D0249"/>
    <w:rsid w:val="007D024B"/>
    <w:rsid w:val="007D0260"/>
    <w:rsid w:val="007D04CE"/>
    <w:rsid w:val="007D06B7"/>
    <w:rsid w:val="007D06EA"/>
    <w:rsid w:val="007D0842"/>
    <w:rsid w:val="007D0C0B"/>
    <w:rsid w:val="007D0D31"/>
    <w:rsid w:val="007D11CB"/>
    <w:rsid w:val="007D122C"/>
    <w:rsid w:val="007D1C3E"/>
    <w:rsid w:val="007D1F27"/>
    <w:rsid w:val="007D2201"/>
    <w:rsid w:val="007D226E"/>
    <w:rsid w:val="007D2373"/>
    <w:rsid w:val="007D248C"/>
    <w:rsid w:val="007D2785"/>
    <w:rsid w:val="007D2BAB"/>
    <w:rsid w:val="007D3236"/>
    <w:rsid w:val="007D33CB"/>
    <w:rsid w:val="007D34E1"/>
    <w:rsid w:val="007D37DD"/>
    <w:rsid w:val="007D3921"/>
    <w:rsid w:val="007D3B68"/>
    <w:rsid w:val="007D3C3A"/>
    <w:rsid w:val="007D3F17"/>
    <w:rsid w:val="007D4472"/>
    <w:rsid w:val="007D49EF"/>
    <w:rsid w:val="007D4BC1"/>
    <w:rsid w:val="007D4FCE"/>
    <w:rsid w:val="007D5254"/>
    <w:rsid w:val="007D5A8B"/>
    <w:rsid w:val="007D6242"/>
    <w:rsid w:val="007D67F7"/>
    <w:rsid w:val="007D75B9"/>
    <w:rsid w:val="007D7861"/>
    <w:rsid w:val="007D78B3"/>
    <w:rsid w:val="007D7AE5"/>
    <w:rsid w:val="007D7C21"/>
    <w:rsid w:val="007D7E59"/>
    <w:rsid w:val="007D7F3B"/>
    <w:rsid w:val="007E0F9F"/>
    <w:rsid w:val="007E183F"/>
    <w:rsid w:val="007E2387"/>
    <w:rsid w:val="007E2455"/>
    <w:rsid w:val="007E27B4"/>
    <w:rsid w:val="007E2EB3"/>
    <w:rsid w:val="007E3086"/>
    <w:rsid w:val="007E3173"/>
    <w:rsid w:val="007E33BB"/>
    <w:rsid w:val="007E3B88"/>
    <w:rsid w:val="007E3BF9"/>
    <w:rsid w:val="007E4065"/>
    <w:rsid w:val="007E417C"/>
    <w:rsid w:val="007E4526"/>
    <w:rsid w:val="007E4A11"/>
    <w:rsid w:val="007E4BE4"/>
    <w:rsid w:val="007E52E4"/>
    <w:rsid w:val="007E58E3"/>
    <w:rsid w:val="007E5AAE"/>
    <w:rsid w:val="007E5AEF"/>
    <w:rsid w:val="007E6017"/>
    <w:rsid w:val="007E6271"/>
    <w:rsid w:val="007E682E"/>
    <w:rsid w:val="007E70BD"/>
    <w:rsid w:val="007E73EA"/>
    <w:rsid w:val="007E779E"/>
    <w:rsid w:val="007E785F"/>
    <w:rsid w:val="007E79EA"/>
    <w:rsid w:val="007F0165"/>
    <w:rsid w:val="007F0223"/>
    <w:rsid w:val="007F0287"/>
    <w:rsid w:val="007F03D6"/>
    <w:rsid w:val="007F071A"/>
    <w:rsid w:val="007F171C"/>
    <w:rsid w:val="007F1DCD"/>
    <w:rsid w:val="007F21B7"/>
    <w:rsid w:val="007F25AC"/>
    <w:rsid w:val="007F26DB"/>
    <w:rsid w:val="007F2756"/>
    <w:rsid w:val="007F2BEB"/>
    <w:rsid w:val="007F2C9E"/>
    <w:rsid w:val="007F2D94"/>
    <w:rsid w:val="007F339D"/>
    <w:rsid w:val="007F33C9"/>
    <w:rsid w:val="007F34C9"/>
    <w:rsid w:val="007F34E5"/>
    <w:rsid w:val="007F3781"/>
    <w:rsid w:val="007F442C"/>
    <w:rsid w:val="007F47D0"/>
    <w:rsid w:val="007F48D8"/>
    <w:rsid w:val="007F4927"/>
    <w:rsid w:val="007F4DD5"/>
    <w:rsid w:val="007F4F9F"/>
    <w:rsid w:val="007F50C1"/>
    <w:rsid w:val="007F50E2"/>
    <w:rsid w:val="007F54F3"/>
    <w:rsid w:val="007F595A"/>
    <w:rsid w:val="007F5AC8"/>
    <w:rsid w:val="007F5C1D"/>
    <w:rsid w:val="007F6B48"/>
    <w:rsid w:val="007F6B7B"/>
    <w:rsid w:val="007F77F3"/>
    <w:rsid w:val="007F796D"/>
    <w:rsid w:val="007F7C0E"/>
    <w:rsid w:val="007F7D48"/>
    <w:rsid w:val="007F7E18"/>
    <w:rsid w:val="0080023F"/>
    <w:rsid w:val="00800278"/>
    <w:rsid w:val="00800591"/>
    <w:rsid w:val="00800F0D"/>
    <w:rsid w:val="008014FA"/>
    <w:rsid w:val="0080157B"/>
    <w:rsid w:val="00802C50"/>
    <w:rsid w:val="00802DD1"/>
    <w:rsid w:val="008039E4"/>
    <w:rsid w:val="0080407B"/>
    <w:rsid w:val="00804113"/>
    <w:rsid w:val="00804246"/>
    <w:rsid w:val="00804340"/>
    <w:rsid w:val="008044E6"/>
    <w:rsid w:val="008044EB"/>
    <w:rsid w:val="008045DD"/>
    <w:rsid w:val="00804C29"/>
    <w:rsid w:val="00804D08"/>
    <w:rsid w:val="008052E5"/>
    <w:rsid w:val="0080582E"/>
    <w:rsid w:val="00805C32"/>
    <w:rsid w:val="00805C7A"/>
    <w:rsid w:val="00805ED6"/>
    <w:rsid w:val="00806129"/>
    <w:rsid w:val="00806201"/>
    <w:rsid w:val="008063FE"/>
    <w:rsid w:val="00806748"/>
    <w:rsid w:val="0080675C"/>
    <w:rsid w:val="00807393"/>
    <w:rsid w:val="00807794"/>
    <w:rsid w:val="00807922"/>
    <w:rsid w:val="0081032F"/>
    <w:rsid w:val="00810706"/>
    <w:rsid w:val="0081074F"/>
    <w:rsid w:val="00810AD9"/>
    <w:rsid w:val="00810E8A"/>
    <w:rsid w:val="00811B41"/>
    <w:rsid w:val="00811C01"/>
    <w:rsid w:val="00811E61"/>
    <w:rsid w:val="0081216D"/>
    <w:rsid w:val="00812945"/>
    <w:rsid w:val="0081346A"/>
    <w:rsid w:val="00813D75"/>
    <w:rsid w:val="0081476A"/>
    <w:rsid w:val="008148AA"/>
    <w:rsid w:val="00814C88"/>
    <w:rsid w:val="008152B6"/>
    <w:rsid w:val="0081540D"/>
    <w:rsid w:val="008156AB"/>
    <w:rsid w:val="00815BD9"/>
    <w:rsid w:val="00815C43"/>
    <w:rsid w:val="00815DE1"/>
    <w:rsid w:val="0081603E"/>
    <w:rsid w:val="0081625B"/>
    <w:rsid w:val="008163AA"/>
    <w:rsid w:val="0081642F"/>
    <w:rsid w:val="00816693"/>
    <w:rsid w:val="0081676A"/>
    <w:rsid w:val="00816C88"/>
    <w:rsid w:val="00817032"/>
    <w:rsid w:val="0081725A"/>
    <w:rsid w:val="008175CF"/>
    <w:rsid w:val="00817DA5"/>
    <w:rsid w:val="00820609"/>
    <w:rsid w:val="00820B28"/>
    <w:rsid w:val="00820C54"/>
    <w:rsid w:val="008215DA"/>
    <w:rsid w:val="008221A5"/>
    <w:rsid w:val="0082248D"/>
    <w:rsid w:val="0082272A"/>
    <w:rsid w:val="00822E62"/>
    <w:rsid w:val="008232AE"/>
    <w:rsid w:val="00823761"/>
    <w:rsid w:val="0082387C"/>
    <w:rsid w:val="0082395E"/>
    <w:rsid w:val="008242B3"/>
    <w:rsid w:val="00824860"/>
    <w:rsid w:val="00824C58"/>
    <w:rsid w:val="00824FE3"/>
    <w:rsid w:val="008253B0"/>
    <w:rsid w:val="00825774"/>
    <w:rsid w:val="00825918"/>
    <w:rsid w:val="0082607C"/>
    <w:rsid w:val="0082613C"/>
    <w:rsid w:val="0082640E"/>
    <w:rsid w:val="00826527"/>
    <w:rsid w:val="00826A88"/>
    <w:rsid w:val="00826DE5"/>
    <w:rsid w:val="00827487"/>
    <w:rsid w:val="00827823"/>
    <w:rsid w:val="00827855"/>
    <w:rsid w:val="00827C5B"/>
    <w:rsid w:val="00827CEA"/>
    <w:rsid w:val="00830384"/>
    <w:rsid w:val="0083053A"/>
    <w:rsid w:val="008305AB"/>
    <w:rsid w:val="00830994"/>
    <w:rsid w:val="00830DA6"/>
    <w:rsid w:val="00831656"/>
    <w:rsid w:val="0083194F"/>
    <w:rsid w:val="00831986"/>
    <w:rsid w:val="00831A88"/>
    <w:rsid w:val="00831BB7"/>
    <w:rsid w:val="00831E30"/>
    <w:rsid w:val="00832239"/>
    <w:rsid w:val="008324F1"/>
    <w:rsid w:val="00832534"/>
    <w:rsid w:val="008325C9"/>
    <w:rsid w:val="00832B6B"/>
    <w:rsid w:val="00832F8F"/>
    <w:rsid w:val="00833517"/>
    <w:rsid w:val="00833835"/>
    <w:rsid w:val="00833ADA"/>
    <w:rsid w:val="00833C98"/>
    <w:rsid w:val="008343C9"/>
    <w:rsid w:val="00834775"/>
    <w:rsid w:val="00834AE3"/>
    <w:rsid w:val="00834F10"/>
    <w:rsid w:val="00835098"/>
    <w:rsid w:val="008356DB"/>
    <w:rsid w:val="00835964"/>
    <w:rsid w:val="0083596D"/>
    <w:rsid w:val="008367CF"/>
    <w:rsid w:val="00836986"/>
    <w:rsid w:val="00836A6E"/>
    <w:rsid w:val="00836F33"/>
    <w:rsid w:val="00837074"/>
    <w:rsid w:val="00837098"/>
    <w:rsid w:val="008370B9"/>
    <w:rsid w:val="0083740B"/>
    <w:rsid w:val="008375AF"/>
    <w:rsid w:val="00837814"/>
    <w:rsid w:val="00837E18"/>
    <w:rsid w:val="00840A39"/>
    <w:rsid w:val="008414A2"/>
    <w:rsid w:val="00841C48"/>
    <w:rsid w:val="00841E12"/>
    <w:rsid w:val="008421CF"/>
    <w:rsid w:val="0084261E"/>
    <w:rsid w:val="00842A7D"/>
    <w:rsid w:val="00843333"/>
    <w:rsid w:val="008433A5"/>
    <w:rsid w:val="00843B31"/>
    <w:rsid w:val="00843D3D"/>
    <w:rsid w:val="00843E55"/>
    <w:rsid w:val="0084404F"/>
    <w:rsid w:val="008440FF"/>
    <w:rsid w:val="008442C4"/>
    <w:rsid w:val="00844490"/>
    <w:rsid w:val="00844960"/>
    <w:rsid w:val="00844B26"/>
    <w:rsid w:val="00844FE2"/>
    <w:rsid w:val="008451F9"/>
    <w:rsid w:val="0084581C"/>
    <w:rsid w:val="00845909"/>
    <w:rsid w:val="0084596F"/>
    <w:rsid w:val="008459E1"/>
    <w:rsid w:val="00845A16"/>
    <w:rsid w:val="00845AF3"/>
    <w:rsid w:val="00845C2B"/>
    <w:rsid w:val="00845C5B"/>
    <w:rsid w:val="00845CED"/>
    <w:rsid w:val="008468CA"/>
    <w:rsid w:val="00846D3E"/>
    <w:rsid w:val="008475A7"/>
    <w:rsid w:val="00847B19"/>
    <w:rsid w:val="00850C03"/>
    <w:rsid w:val="00850C1C"/>
    <w:rsid w:val="00850E3D"/>
    <w:rsid w:val="008512C5"/>
    <w:rsid w:val="00851395"/>
    <w:rsid w:val="008513F3"/>
    <w:rsid w:val="0085162A"/>
    <w:rsid w:val="00851778"/>
    <w:rsid w:val="00851965"/>
    <w:rsid w:val="00851AFC"/>
    <w:rsid w:val="00851D46"/>
    <w:rsid w:val="00851E28"/>
    <w:rsid w:val="00851F9C"/>
    <w:rsid w:val="008527D2"/>
    <w:rsid w:val="0085299F"/>
    <w:rsid w:val="00852C2E"/>
    <w:rsid w:val="00852E29"/>
    <w:rsid w:val="008535A8"/>
    <w:rsid w:val="008536BC"/>
    <w:rsid w:val="008539A6"/>
    <w:rsid w:val="00853B17"/>
    <w:rsid w:val="00853F23"/>
    <w:rsid w:val="00854094"/>
    <w:rsid w:val="0085426A"/>
    <w:rsid w:val="008546C5"/>
    <w:rsid w:val="00854771"/>
    <w:rsid w:val="008548F8"/>
    <w:rsid w:val="008548FD"/>
    <w:rsid w:val="00854A1B"/>
    <w:rsid w:val="00854E5D"/>
    <w:rsid w:val="00855899"/>
    <w:rsid w:val="00855A5B"/>
    <w:rsid w:val="00855ADE"/>
    <w:rsid w:val="00855C14"/>
    <w:rsid w:val="00855F99"/>
    <w:rsid w:val="00856169"/>
    <w:rsid w:val="008562E8"/>
    <w:rsid w:val="00856602"/>
    <w:rsid w:val="00856938"/>
    <w:rsid w:val="008569CA"/>
    <w:rsid w:val="00856A87"/>
    <w:rsid w:val="00856E74"/>
    <w:rsid w:val="00857215"/>
    <w:rsid w:val="008574F2"/>
    <w:rsid w:val="00857849"/>
    <w:rsid w:val="0085792E"/>
    <w:rsid w:val="00857DF1"/>
    <w:rsid w:val="00857E55"/>
    <w:rsid w:val="00860077"/>
    <w:rsid w:val="008605B2"/>
    <w:rsid w:val="00860C03"/>
    <w:rsid w:val="00860CD0"/>
    <w:rsid w:val="0086101A"/>
    <w:rsid w:val="008612E3"/>
    <w:rsid w:val="00861D35"/>
    <w:rsid w:val="008620D7"/>
    <w:rsid w:val="008620F9"/>
    <w:rsid w:val="0086261D"/>
    <w:rsid w:val="008628F6"/>
    <w:rsid w:val="00862C7C"/>
    <w:rsid w:val="00863018"/>
    <w:rsid w:val="0086347D"/>
    <w:rsid w:val="00863A9D"/>
    <w:rsid w:val="00864539"/>
    <w:rsid w:val="008645A5"/>
    <w:rsid w:val="00865073"/>
    <w:rsid w:val="00865A4C"/>
    <w:rsid w:val="008668DA"/>
    <w:rsid w:val="008669BC"/>
    <w:rsid w:val="00866A01"/>
    <w:rsid w:val="00867248"/>
    <w:rsid w:val="008672F5"/>
    <w:rsid w:val="0086731C"/>
    <w:rsid w:val="00867392"/>
    <w:rsid w:val="0086797B"/>
    <w:rsid w:val="00867F35"/>
    <w:rsid w:val="0087049A"/>
    <w:rsid w:val="00870873"/>
    <w:rsid w:val="00870A61"/>
    <w:rsid w:val="008712D8"/>
    <w:rsid w:val="008716F0"/>
    <w:rsid w:val="008719DC"/>
    <w:rsid w:val="00871B5D"/>
    <w:rsid w:val="008721DA"/>
    <w:rsid w:val="008724A5"/>
    <w:rsid w:val="00872BE0"/>
    <w:rsid w:val="00872CE6"/>
    <w:rsid w:val="008730F4"/>
    <w:rsid w:val="00873611"/>
    <w:rsid w:val="00873BD6"/>
    <w:rsid w:val="00873CCB"/>
    <w:rsid w:val="00873E00"/>
    <w:rsid w:val="008740F1"/>
    <w:rsid w:val="00874306"/>
    <w:rsid w:val="008745ED"/>
    <w:rsid w:val="008745FE"/>
    <w:rsid w:val="00874C05"/>
    <w:rsid w:val="00875261"/>
    <w:rsid w:val="0087541C"/>
    <w:rsid w:val="00875774"/>
    <w:rsid w:val="0087609C"/>
    <w:rsid w:val="008760C5"/>
    <w:rsid w:val="008762DF"/>
    <w:rsid w:val="00876E40"/>
    <w:rsid w:val="00876E56"/>
    <w:rsid w:val="00877C3E"/>
    <w:rsid w:val="00877C8C"/>
    <w:rsid w:val="008800F1"/>
    <w:rsid w:val="0088017C"/>
    <w:rsid w:val="0088031F"/>
    <w:rsid w:val="00880452"/>
    <w:rsid w:val="008804C5"/>
    <w:rsid w:val="00880632"/>
    <w:rsid w:val="00880E70"/>
    <w:rsid w:val="008818EC"/>
    <w:rsid w:val="0088196A"/>
    <w:rsid w:val="00881BE7"/>
    <w:rsid w:val="00881E17"/>
    <w:rsid w:val="00881F02"/>
    <w:rsid w:val="00881F16"/>
    <w:rsid w:val="00882044"/>
    <w:rsid w:val="0088208E"/>
    <w:rsid w:val="00882777"/>
    <w:rsid w:val="008828AC"/>
    <w:rsid w:val="00882984"/>
    <w:rsid w:val="00882E3E"/>
    <w:rsid w:val="00882F53"/>
    <w:rsid w:val="008834DE"/>
    <w:rsid w:val="008836F0"/>
    <w:rsid w:val="008838DC"/>
    <w:rsid w:val="0088403D"/>
    <w:rsid w:val="0088409D"/>
    <w:rsid w:val="008840FC"/>
    <w:rsid w:val="008844DF"/>
    <w:rsid w:val="008849C3"/>
    <w:rsid w:val="00884CDB"/>
    <w:rsid w:val="008851B9"/>
    <w:rsid w:val="0088588F"/>
    <w:rsid w:val="00885BF8"/>
    <w:rsid w:val="00886126"/>
    <w:rsid w:val="0088664D"/>
    <w:rsid w:val="00886F79"/>
    <w:rsid w:val="00887070"/>
    <w:rsid w:val="00887296"/>
    <w:rsid w:val="008873FD"/>
    <w:rsid w:val="00887BE8"/>
    <w:rsid w:val="00887E5C"/>
    <w:rsid w:val="00887E8B"/>
    <w:rsid w:val="00887EE7"/>
    <w:rsid w:val="008908AA"/>
    <w:rsid w:val="008914CE"/>
    <w:rsid w:val="00891C24"/>
    <w:rsid w:val="00892453"/>
    <w:rsid w:val="008924D3"/>
    <w:rsid w:val="008926E0"/>
    <w:rsid w:val="008928C4"/>
    <w:rsid w:val="00893246"/>
    <w:rsid w:val="00893793"/>
    <w:rsid w:val="008939AC"/>
    <w:rsid w:val="00893B9C"/>
    <w:rsid w:val="00893F73"/>
    <w:rsid w:val="00893FBB"/>
    <w:rsid w:val="0089486B"/>
    <w:rsid w:val="0089548A"/>
    <w:rsid w:val="00895757"/>
    <w:rsid w:val="0089580E"/>
    <w:rsid w:val="0089593D"/>
    <w:rsid w:val="00895A85"/>
    <w:rsid w:val="008963AD"/>
    <w:rsid w:val="00896675"/>
    <w:rsid w:val="00896725"/>
    <w:rsid w:val="00896F35"/>
    <w:rsid w:val="00896FFC"/>
    <w:rsid w:val="00897BD4"/>
    <w:rsid w:val="00897E7A"/>
    <w:rsid w:val="008A018E"/>
    <w:rsid w:val="008A09D4"/>
    <w:rsid w:val="008A0CC3"/>
    <w:rsid w:val="008A10C4"/>
    <w:rsid w:val="008A1168"/>
    <w:rsid w:val="008A11C0"/>
    <w:rsid w:val="008A1390"/>
    <w:rsid w:val="008A14C5"/>
    <w:rsid w:val="008A14FD"/>
    <w:rsid w:val="008A15C7"/>
    <w:rsid w:val="008A1615"/>
    <w:rsid w:val="008A1EE3"/>
    <w:rsid w:val="008A24FB"/>
    <w:rsid w:val="008A2975"/>
    <w:rsid w:val="008A3177"/>
    <w:rsid w:val="008A35A3"/>
    <w:rsid w:val="008A3B02"/>
    <w:rsid w:val="008A3F91"/>
    <w:rsid w:val="008A466D"/>
    <w:rsid w:val="008A50E9"/>
    <w:rsid w:val="008A52D6"/>
    <w:rsid w:val="008A5321"/>
    <w:rsid w:val="008A5BAC"/>
    <w:rsid w:val="008A5E53"/>
    <w:rsid w:val="008A6005"/>
    <w:rsid w:val="008A6106"/>
    <w:rsid w:val="008A6786"/>
    <w:rsid w:val="008A6DF2"/>
    <w:rsid w:val="008A71CE"/>
    <w:rsid w:val="008A7221"/>
    <w:rsid w:val="008A7A40"/>
    <w:rsid w:val="008A7D88"/>
    <w:rsid w:val="008B008D"/>
    <w:rsid w:val="008B010F"/>
    <w:rsid w:val="008B1140"/>
    <w:rsid w:val="008B15EE"/>
    <w:rsid w:val="008B2187"/>
    <w:rsid w:val="008B2533"/>
    <w:rsid w:val="008B2827"/>
    <w:rsid w:val="008B29F0"/>
    <w:rsid w:val="008B2C6A"/>
    <w:rsid w:val="008B2CC1"/>
    <w:rsid w:val="008B2D24"/>
    <w:rsid w:val="008B321C"/>
    <w:rsid w:val="008B3320"/>
    <w:rsid w:val="008B3330"/>
    <w:rsid w:val="008B333B"/>
    <w:rsid w:val="008B34CF"/>
    <w:rsid w:val="008B35EA"/>
    <w:rsid w:val="008B398F"/>
    <w:rsid w:val="008B3DC1"/>
    <w:rsid w:val="008B3DFD"/>
    <w:rsid w:val="008B3E42"/>
    <w:rsid w:val="008B3F78"/>
    <w:rsid w:val="008B41DB"/>
    <w:rsid w:val="008B4437"/>
    <w:rsid w:val="008B4576"/>
    <w:rsid w:val="008B47DB"/>
    <w:rsid w:val="008B499D"/>
    <w:rsid w:val="008B4A4C"/>
    <w:rsid w:val="008B57C9"/>
    <w:rsid w:val="008B59D8"/>
    <w:rsid w:val="008B5B28"/>
    <w:rsid w:val="008B5BD1"/>
    <w:rsid w:val="008B5E62"/>
    <w:rsid w:val="008B6385"/>
    <w:rsid w:val="008B66DB"/>
    <w:rsid w:val="008B6763"/>
    <w:rsid w:val="008B6AEF"/>
    <w:rsid w:val="008B6BBC"/>
    <w:rsid w:val="008B6DF5"/>
    <w:rsid w:val="008B7491"/>
    <w:rsid w:val="008B750E"/>
    <w:rsid w:val="008B7A69"/>
    <w:rsid w:val="008B7E22"/>
    <w:rsid w:val="008C0302"/>
    <w:rsid w:val="008C0FDA"/>
    <w:rsid w:val="008C12BE"/>
    <w:rsid w:val="008C17CD"/>
    <w:rsid w:val="008C1CF5"/>
    <w:rsid w:val="008C1E12"/>
    <w:rsid w:val="008C1E8A"/>
    <w:rsid w:val="008C23D9"/>
    <w:rsid w:val="008C2684"/>
    <w:rsid w:val="008C2CD9"/>
    <w:rsid w:val="008C36FD"/>
    <w:rsid w:val="008C3768"/>
    <w:rsid w:val="008C37C0"/>
    <w:rsid w:val="008C3D18"/>
    <w:rsid w:val="008C424D"/>
    <w:rsid w:val="008C4624"/>
    <w:rsid w:val="008C4BCA"/>
    <w:rsid w:val="008C4D35"/>
    <w:rsid w:val="008C55C4"/>
    <w:rsid w:val="008C5BDF"/>
    <w:rsid w:val="008C5C9C"/>
    <w:rsid w:val="008C602B"/>
    <w:rsid w:val="008C6401"/>
    <w:rsid w:val="008C6649"/>
    <w:rsid w:val="008C6DBE"/>
    <w:rsid w:val="008C6FA9"/>
    <w:rsid w:val="008C7A08"/>
    <w:rsid w:val="008C7BB3"/>
    <w:rsid w:val="008C7C7F"/>
    <w:rsid w:val="008D098C"/>
    <w:rsid w:val="008D0A0E"/>
    <w:rsid w:val="008D1098"/>
    <w:rsid w:val="008D1177"/>
    <w:rsid w:val="008D1604"/>
    <w:rsid w:val="008D23B3"/>
    <w:rsid w:val="008D2569"/>
    <w:rsid w:val="008D2665"/>
    <w:rsid w:val="008D2904"/>
    <w:rsid w:val="008D2AAB"/>
    <w:rsid w:val="008D2B78"/>
    <w:rsid w:val="008D2E2C"/>
    <w:rsid w:val="008D3454"/>
    <w:rsid w:val="008D38B8"/>
    <w:rsid w:val="008D3B96"/>
    <w:rsid w:val="008D4375"/>
    <w:rsid w:val="008D443B"/>
    <w:rsid w:val="008D45E8"/>
    <w:rsid w:val="008D4725"/>
    <w:rsid w:val="008D4818"/>
    <w:rsid w:val="008D49CE"/>
    <w:rsid w:val="008D4B61"/>
    <w:rsid w:val="008D4BC4"/>
    <w:rsid w:val="008D4D84"/>
    <w:rsid w:val="008D50B5"/>
    <w:rsid w:val="008D55B6"/>
    <w:rsid w:val="008D56F0"/>
    <w:rsid w:val="008D5727"/>
    <w:rsid w:val="008D59A3"/>
    <w:rsid w:val="008D5C1E"/>
    <w:rsid w:val="008D5DD4"/>
    <w:rsid w:val="008D5E8C"/>
    <w:rsid w:val="008D5EAB"/>
    <w:rsid w:val="008D610E"/>
    <w:rsid w:val="008D630B"/>
    <w:rsid w:val="008D64B5"/>
    <w:rsid w:val="008D749F"/>
    <w:rsid w:val="008D76ED"/>
    <w:rsid w:val="008D7E61"/>
    <w:rsid w:val="008E09FF"/>
    <w:rsid w:val="008E0B31"/>
    <w:rsid w:val="008E0D99"/>
    <w:rsid w:val="008E10E5"/>
    <w:rsid w:val="008E153E"/>
    <w:rsid w:val="008E180D"/>
    <w:rsid w:val="008E1A89"/>
    <w:rsid w:val="008E1EAF"/>
    <w:rsid w:val="008E2118"/>
    <w:rsid w:val="008E214D"/>
    <w:rsid w:val="008E22E4"/>
    <w:rsid w:val="008E23D7"/>
    <w:rsid w:val="008E247A"/>
    <w:rsid w:val="008E2694"/>
    <w:rsid w:val="008E2A2D"/>
    <w:rsid w:val="008E2AAB"/>
    <w:rsid w:val="008E331B"/>
    <w:rsid w:val="008E3389"/>
    <w:rsid w:val="008E36FE"/>
    <w:rsid w:val="008E3733"/>
    <w:rsid w:val="008E3ABB"/>
    <w:rsid w:val="008E3B1C"/>
    <w:rsid w:val="008E3ED4"/>
    <w:rsid w:val="008E457B"/>
    <w:rsid w:val="008E48AF"/>
    <w:rsid w:val="008E4B23"/>
    <w:rsid w:val="008E56DC"/>
    <w:rsid w:val="008E5E6A"/>
    <w:rsid w:val="008E5F63"/>
    <w:rsid w:val="008E5FEC"/>
    <w:rsid w:val="008E669A"/>
    <w:rsid w:val="008E68EF"/>
    <w:rsid w:val="008E714D"/>
    <w:rsid w:val="008E7154"/>
    <w:rsid w:val="008E71DE"/>
    <w:rsid w:val="008E7F38"/>
    <w:rsid w:val="008F06BA"/>
    <w:rsid w:val="008F0856"/>
    <w:rsid w:val="008F0AFD"/>
    <w:rsid w:val="008F0B39"/>
    <w:rsid w:val="008F0B9C"/>
    <w:rsid w:val="008F13B1"/>
    <w:rsid w:val="008F15EB"/>
    <w:rsid w:val="008F1C13"/>
    <w:rsid w:val="008F231B"/>
    <w:rsid w:val="008F2354"/>
    <w:rsid w:val="008F2911"/>
    <w:rsid w:val="008F2934"/>
    <w:rsid w:val="008F2A25"/>
    <w:rsid w:val="008F2EAE"/>
    <w:rsid w:val="008F3422"/>
    <w:rsid w:val="008F3801"/>
    <w:rsid w:val="008F3ABC"/>
    <w:rsid w:val="008F3DC6"/>
    <w:rsid w:val="008F4422"/>
    <w:rsid w:val="008F4870"/>
    <w:rsid w:val="008F531B"/>
    <w:rsid w:val="008F59B9"/>
    <w:rsid w:val="008F5D29"/>
    <w:rsid w:val="008F5EF0"/>
    <w:rsid w:val="008F6215"/>
    <w:rsid w:val="008F6538"/>
    <w:rsid w:val="008F6DE0"/>
    <w:rsid w:val="008F6EE9"/>
    <w:rsid w:val="008F71D9"/>
    <w:rsid w:val="008F748A"/>
    <w:rsid w:val="008F7F01"/>
    <w:rsid w:val="0090057C"/>
    <w:rsid w:val="009009BB"/>
    <w:rsid w:val="00900DFD"/>
    <w:rsid w:val="00900F98"/>
    <w:rsid w:val="00901050"/>
    <w:rsid w:val="009010D2"/>
    <w:rsid w:val="009014F1"/>
    <w:rsid w:val="00901DD1"/>
    <w:rsid w:val="009027B0"/>
    <w:rsid w:val="00902A43"/>
    <w:rsid w:val="00903047"/>
    <w:rsid w:val="00903424"/>
    <w:rsid w:val="009042FC"/>
    <w:rsid w:val="0090487D"/>
    <w:rsid w:val="009049FF"/>
    <w:rsid w:val="00904E2B"/>
    <w:rsid w:val="00904EDD"/>
    <w:rsid w:val="009050D4"/>
    <w:rsid w:val="00905211"/>
    <w:rsid w:val="0090577E"/>
    <w:rsid w:val="009057C6"/>
    <w:rsid w:val="00905BE4"/>
    <w:rsid w:val="00905CC6"/>
    <w:rsid w:val="00905CD9"/>
    <w:rsid w:val="00905D9D"/>
    <w:rsid w:val="009065E3"/>
    <w:rsid w:val="0090711F"/>
    <w:rsid w:val="0090741A"/>
    <w:rsid w:val="00907479"/>
    <w:rsid w:val="00907620"/>
    <w:rsid w:val="00907F40"/>
    <w:rsid w:val="00910288"/>
    <w:rsid w:val="00910328"/>
    <w:rsid w:val="00910368"/>
    <w:rsid w:val="00910373"/>
    <w:rsid w:val="00910477"/>
    <w:rsid w:val="0091062E"/>
    <w:rsid w:val="0091095C"/>
    <w:rsid w:val="00910C49"/>
    <w:rsid w:val="009110B6"/>
    <w:rsid w:val="00911A8F"/>
    <w:rsid w:val="00911B4A"/>
    <w:rsid w:val="00911E48"/>
    <w:rsid w:val="009122E5"/>
    <w:rsid w:val="009122F4"/>
    <w:rsid w:val="009128ED"/>
    <w:rsid w:val="00912C75"/>
    <w:rsid w:val="00912CEF"/>
    <w:rsid w:val="009131EC"/>
    <w:rsid w:val="0091350F"/>
    <w:rsid w:val="009137EF"/>
    <w:rsid w:val="00913DEF"/>
    <w:rsid w:val="0091461B"/>
    <w:rsid w:val="00914844"/>
    <w:rsid w:val="0091493F"/>
    <w:rsid w:val="00914EC0"/>
    <w:rsid w:val="0091542A"/>
    <w:rsid w:val="009154D0"/>
    <w:rsid w:val="009156D3"/>
    <w:rsid w:val="00915AC5"/>
    <w:rsid w:val="00915AD3"/>
    <w:rsid w:val="00915BFA"/>
    <w:rsid w:val="00915F8A"/>
    <w:rsid w:val="00916013"/>
    <w:rsid w:val="00916021"/>
    <w:rsid w:val="00916200"/>
    <w:rsid w:val="00916A32"/>
    <w:rsid w:val="00916BA7"/>
    <w:rsid w:val="00916C4B"/>
    <w:rsid w:val="009172AA"/>
    <w:rsid w:val="009172C0"/>
    <w:rsid w:val="009173A2"/>
    <w:rsid w:val="009174C8"/>
    <w:rsid w:val="00917AC8"/>
    <w:rsid w:val="009203FE"/>
    <w:rsid w:val="00920816"/>
    <w:rsid w:val="00920A9B"/>
    <w:rsid w:val="00920C7D"/>
    <w:rsid w:val="00920E92"/>
    <w:rsid w:val="00920F3A"/>
    <w:rsid w:val="009214DD"/>
    <w:rsid w:val="00921711"/>
    <w:rsid w:val="00921B23"/>
    <w:rsid w:val="00921D2C"/>
    <w:rsid w:val="00921E00"/>
    <w:rsid w:val="00921EBB"/>
    <w:rsid w:val="00922131"/>
    <w:rsid w:val="00922369"/>
    <w:rsid w:val="00922479"/>
    <w:rsid w:val="00922523"/>
    <w:rsid w:val="009226C4"/>
    <w:rsid w:val="0092288A"/>
    <w:rsid w:val="0092297E"/>
    <w:rsid w:val="00922B62"/>
    <w:rsid w:val="00922BA2"/>
    <w:rsid w:val="00922E32"/>
    <w:rsid w:val="00923258"/>
    <w:rsid w:val="0092343E"/>
    <w:rsid w:val="0092349D"/>
    <w:rsid w:val="00923659"/>
    <w:rsid w:val="00923967"/>
    <w:rsid w:val="00923C4B"/>
    <w:rsid w:val="00923F4B"/>
    <w:rsid w:val="00924609"/>
    <w:rsid w:val="009246F6"/>
    <w:rsid w:val="0092538C"/>
    <w:rsid w:val="0092539C"/>
    <w:rsid w:val="00925484"/>
    <w:rsid w:val="00925810"/>
    <w:rsid w:val="00925BEE"/>
    <w:rsid w:val="00925E9E"/>
    <w:rsid w:val="00925EB2"/>
    <w:rsid w:val="0092600A"/>
    <w:rsid w:val="00926DF9"/>
    <w:rsid w:val="00927640"/>
    <w:rsid w:val="00927727"/>
    <w:rsid w:val="0093014B"/>
    <w:rsid w:val="009301CB"/>
    <w:rsid w:val="0093038E"/>
    <w:rsid w:val="0093069E"/>
    <w:rsid w:val="00930994"/>
    <w:rsid w:val="00930C6B"/>
    <w:rsid w:val="00931114"/>
    <w:rsid w:val="00931555"/>
    <w:rsid w:val="009317DD"/>
    <w:rsid w:val="009317E4"/>
    <w:rsid w:val="00931C87"/>
    <w:rsid w:val="00931CA2"/>
    <w:rsid w:val="00931EB5"/>
    <w:rsid w:val="00932050"/>
    <w:rsid w:val="009320FC"/>
    <w:rsid w:val="009328AA"/>
    <w:rsid w:val="00932C8B"/>
    <w:rsid w:val="00932ED7"/>
    <w:rsid w:val="00933167"/>
    <w:rsid w:val="0093348C"/>
    <w:rsid w:val="009339A2"/>
    <w:rsid w:val="00933D20"/>
    <w:rsid w:val="00934775"/>
    <w:rsid w:val="00934992"/>
    <w:rsid w:val="00934D83"/>
    <w:rsid w:val="00935178"/>
    <w:rsid w:val="0093547E"/>
    <w:rsid w:val="009362B3"/>
    <w:rsid w:val="0093635E"/>
    <w:rsid w:val="009369A3"/>
    <w:rsid w:val="00937045"/>
    <w:rsid w:val="00937056"/>
    <w:rsid w:val="00937210"/>
    <w:rsid w:val="00937217"/>
    <w:rsid w:val="0093733A"/>
    <w:rsid w:val="00937379"/>
    <w:rsid w:val="00937713"/>
    <w:rsid w:val="009377A4"/>
    <w:rsid w:val="009379C8"/>
    <w:rsid w:val="00937FC1"/>
    <w:rsid w:val="00940A38"/>
    <w:rsid w:val="00940ACC"/>
    <w:rsid w:val="00940C9F"/>
    <w:rsid w:val="00940D4F"/>
    <w:rsid w:val="00940EDB"/>
    <w:rsid w:val="00940F6A"/>
    <w:rsid w:val="00940F8E"/>
    <w:rsid w:val="00941066"/>
    <w:rsid w:val="00941128"/>
    <w:rsid w:val="009411CE"/>
    <w:rsid w:val="009417AE"/>
    <w:rsid w:val="00941C8B"/>
    <w:rsid w:val="00942190"/>
    <w:rsid w:val="009422A6"/>
    <w:rsid w:val="009423BB"/>
    <w:rsid w:val="009423D5"/>
    <w:rsid w:val="00942574"/>
    <w:rsid w:val="009426BA"/>
    <w:rsid w:val="00942C29"/>
    <w:rsid w:val="00942C8A"/>
    <w:rsid w:val="00942CE1"/>
    <w:rsid w:val="00942EE7"/>
    <w:rsid w:val="009431AD"/>
    <w:rsid w:val="009432CC"/>
    <w:rsid w:val="009433C1"/>
    <w:rsid w:val="00943DA6"/>
    <w:rsid w:val="0094436B"/>
    <w:rsid w:val="00944430"/>
    <w:rsid w:val="00944626"/>
    <w:rsid w:val="009454FD"/>
    <w:rsid w:val="0094588D"/>
    <w:rsid w:val="00945EDF"/>
    <w:rsid w:val="00946666"/>
    <w:rsid w:val="00946A54"/>
    <w:rsid w:val="00946DE7"/>
    <w:rsid w:val="00946F0E"/>
    <w:rsid w:val="00947898"/>
    <w:rsid w:val="009501DF"/>
    <w:rsid w:val="00950946"/>
    <w:rsid w:val="00950A5B"/>
    <w:rsid w:val="00950B58"/>
    <w:rsid w:val="00950C16"/>
    <w:rsid w:val="00950F4D"/>
    <w:rsid w:val="009512E7"/>
    <w:rsid w:val="00951EF8"/>
    <w:rsid w:val="009522B3"/>
    <w:rsid w:val="00952517"/>
    <w:rsid w:val="00952A95"/>
    <w:rsid w:val="00952C8A"/>
    <w:rsid w:val="00952EDE"/>
    <w:rsid w:val="00953182"/>
    <w:rsid w:val="0095352B"/>
    <w:rsid w:val="00953572"/>
    <w:rsid w:val="00953BEA"/>
    <w:rsid w:val="009540FB"/>
    <w:rsid w:val="009541F1"/>
    <w:rsid w:val="00954392"/>
    <w:rsid w:val="009544E3"/>
    <w:rsid w:val="0095450A"/>
    <w:rsid w:val="00954D30"/>
    <w:rsid w:val="00954D40"/>
    <w:rsid w:val="00954E96"/>
    <w:rsid w:val="009553D4"/>
    <w:rsid w:val="009556A9"/>
    <w:rsid w:val="00955BBE"/>
    <w:rsid w:val="00956115"/>
    <w:rsid w:val="009565C3"/>
    <w:rsid w:val="00956A7B"/>
    <w:rsid w:val="00956BD0"/>
    <w:rsid w:val="00957177"/>
    <w:rsid w:val="00957507"/>
    <w:rsid w:val="0095780B"/>
    <w:rsid w:val="00957961"/>
    <w:rsid w:val="00957D47"/>
    <w:rsid w:val="00957DDC"/>
    <w:rsid w:val="00957F95"/>
    <w:rsid w:val="0096053D"/>
    <w:rsid w:val="00960AA7"/>
    <w:rsid w:val="00960D3A"/>
    <w:rsid w:val="00960D8A"/>
    <w:rsid w:val="00961212"/>
    <w:rsid w:val="009613F6"/>
    <w:rsid w:val="0096154D"/>
    <w:rsid w:val="00961F57"/>
    <w:rsid w:val="0096269F"/>
    <w:rsid w:val="009629A3"/>
    <w:rsid w:val="00962E3C"/>
    <w:rsid w:val="00962E76"/>
    <w:rsid w:val="0096316C"/>
    <w:rsid w:val="009633C8"/>
    <w:rsid w:val="00963740"/>
    <w:rsid w:val="00963762"/>
    <w:rsid w:val="00963CDE"/>
    <w:rsid w:val="00964800"/>
    <w:rsid w:val="00964E79"/>
    <w:rsid w:val="00965110"/>
    <w:rsid w:val="0096518E"/>
    <w:rsid w:val="00965722"/>
    <w:rsid w:val="00965A17"/>
    <w:rsid w:val="0096614C"/>
    <w:rsid w:val="00966262"/>
    <w:rsid w:val="00966644"/>
    <w:rsid w:val="00966C73"/>
    <w:rsid w:val="00967036"/>
    <w:rsid w:val="009672CF"/>
    <w:rsid w:val="009675C6"/>
    <w:rsid w:val="00967717"/>
    <w:rsid w:val="0096777C"/>
    <w:rsid w:val="00967B6D"/>
    <w:rsid w:val="009702F5"/>
    <w:rsid w:val="0097060B"/>
    <w:rsid w:val="009708DC"/>
    <w:rsid w:val="00970D0F"/>
    <w:rsid w:val="009710A8"/>
    <w:rsid w:val="00971F2F"/>
    <w:rsid w:val="00971F97"/>
    <w:rsid w:val="00972310"/>
    <w:rsid w:val="00972713"/>
    <w:rsid w:val="00972AD3"/>
    <w:rsid w:val="00972C91"/>
    <w:rsid w:val="009739D2"/>
    <w:rsid w:val="00973B6F"/>
    <w:rsid w:val="009740E9"/>
    <w:rsid w:val="00974294"/>
    <w:rsid w:val="0097455A"/>
    <w:rsid w:val="00974726"/>
    <w:rsid w:val="00974831"/>
    <w:rsid w:val="00974905"/>
    <w:rsid w:val="009749C8"/>
    <w:rsid w:val="00974A92"/>
    <w:rsid w:val="00974DA7"/>
    <w:rsid w:val="00975252"/>
    <w:rsid w:val="009754E2"/>
    <w:rsid w:val="009755EF"/>
    <w:rsid w:val="0097586D"/>
    <w:rsid w:val="009762D2"/>
    <w:rsid w:val="00976848"/>
    <w:rsid w:val="00976E3B"/>
    <w:rsid w:val="00977D80"/>
    <w:rsid w:val="0098009F"/>
    <w:rsid w:val="009800B0"/>
    <w:rsid w:val="0098026F"/>
    <w:rsid w:val="0098053F"/>
    <w:rsid w:val="00980575"/>
    <w:rsid w:val="00980823"/>
    <w:rsid w:val="009809F7"/>
    <w:rsid w:val="00981145"/>
    <w:rsid w:val="0098163E"/>
    <w:rsid w:val="0098166B"/>
    <w:rsid w:val="009817B0"/>
    <w:rsid w:val="009819D3"/>
    <w:rsid w:val="00981E87"/>
    <w:rsid w:val="009820E0"/>
    <w:rsid w:val="009822AC"/>
    <w:rsid w:val="0098254B"/>
    <w:rsid w:val="0098262E"/>
    <w:rsid w:val="00982880"/>
    <w:rsid w:val="00982F81"/>
    <w:rsid w:val="00982FAC"/>
    <w:rsid w:val="00983F39"/>
    <w:rsid w:val="00984136"/>
    <w:rsid w:val="00984BAA"/>
    <w:rsid w:val="00984C57"/>
    <w:rsid w:val="00984EAC"/>
    <w:rsid w:val="00986081"/>
    <w:rsid w:val="00986305"/>
    <w:rsid w:val="00986548"/>
    <w:rsid w:val="00986809"/>
    <w:rsid w:val="0098684A"/>
    <w:rsid w:val="0098693B"/>
    <w:rsid w:val="0098696F"/>
    <w:rsid w:val="00986A29"/>
    <w:rsid w:val="00986BB8"/>
    <w:rsid w:val="00986CF1"/>
    <w:rsid w:val="009872C9"/>
    <w:rsid w:val="00987888"/>
    <w:rsid w:val="00987C53"/>
    <w:rsid w:val="00987D91"/>
    <w:rsid w:val="00987DFC"/>
    <w:rsid w:val="00990716"/>
    <w:rsid w:val="00990BD6"/>
    <w:rsid w:val="00990FB4"/>
    <w:rsid w:val="009917DD"/>
    <w:rsid w:val="00991A58"/>
    <w:rsid w:val="00991ADD"/>
    <w:rsid w:val="00991BF8"/>
    <w:rsid w:val="00991DE5"/>
    <w:rsid w:val="009924DE"/>
    <w:rsid w:val="00992620"/>
    <w:rsid w:val="0099266F"/>
    <w:rsid w:val="00992732"/>
    <w:rsid w:val="00992F75"/>
    <w:rsid w:val="009930D1"/>
    <w:rsid w:val="009930E7"/>
    <w:rsid w:val="00993B48"/>
    <w:rsid w:val="00993E58"/>
    <w:rsid w:val="00994784"/>
    <w:rsid w:val="00995262"/>
    <w:rsid w:val="00995304"/>
    <w:rsid w:val="00995359"/>
    <w:rsid w:val="00995398"/>
    <w:rsid w:val="0099560F"/>
    <w:rsid w:val="0099573E"/>
    <w:rsid w:val="00995BFE"/>
    <w:rsid w:val="009961B4"/>
    <w:rsid w:val="009964CA"/>
    <w:rsid w:val="00996577"/>
    <w:rsid w:val="009965C0"/>
    <w:rsid w:val="0099699D"/>
    <w:rsid w:val="00996A51"/>
    <w:rsid w:val="009971BF"/>
    <w:rsid w:val="009971EF"/>
    <w:rsid w:val="00997233"/>
    <w:rsid w:val="00997557"/>
    <w:rsid w:val="009975EE"/>
    <w:rsid w:val="009A014D"/>
    <w:rsid w:val="009A0336"/>
    <w:rsid w:val="009A0545"/>
    <w:rsid w:val="009A0814"/>
    <w:rsid w:val="009A08B0"/>
    <w:rsid w:val="009A0957"/>
    <w:rsid w:val="009A0F4D"/>
    <w:rsid w:val="009A1198"/>
    <w:rsid w:val="009A139F"/>
    <w:rsid w:val="009A1767"/>
    <w:rsid w:val="009A1A68"/>
    <w:rsid w:val="009A23E3"/>
    <w:rsid w:val="009A26B1"/>
    <w:rsid w:val="009A27D5"/>
    <w:rsid w:val="009A2A52"/>
    <w:rsid w:val="009A2D25"/>
    <w:rsid w:val="009A2D5D"/>
    <w:rsid w:val="009A30D7"/>
    <w:rsid w:val="009A3871"/>
    <w:rsid w:val="009A38F5"/>
    <w:rsid w:val="009A3C1F"/>
    <w:rsid w:val="009A3F59"/>
    <w:rsid w:val="009A4E15"/>
    <w:rsid w:val="009A5154"/>
    <w:rsid w:val="009A53FE"/>
    <w:rsid w:val="009A566C"/>
    <w:rsid w:val="009A664F"/>
    <w:rsid w:val="009A6719"/>
    <w:rsid w:val="009A67AD"/>
    <w:rsid w:val="009A775F"/>
    <w:rsid w:val="009A78A2"/>
    <w:rsid w:val="009A7924"/>
    <w:rsid w:val="009A7B6C"/>
    <w:rsid w:val="009B007D"/>
    <w:rsid w:val="009B04D1"/>
    <w:rsid w:val="009B05C6"/>
    <w:rsid w:val="009B065B"/>
    <w:rsid w:val="009B09B5"/>
    <w:rsid w:val="009B0CAD"/>
    <w:rsid w:val="009B1363"/>
    <w:rsid w:val="009B1852"/>
    <w:rsid w:val="009B196D"/>
    <w:rsid w:val="009B1BD0"/>
    <w:rsid w:val="009B1F49"/>
    <w:rsid w:val="009B208D"/>
    <w:rsid w:val="009B23F4"/>
    <w:rsid w:val="009B29CE"/>
    <w:rsid w:val="009B2B36"/>
    <w:rsid w:val="009B2BAF"/>
    <w:rsid w:val="009B2E74"/>
    <w:rsid w:val="009B3177"/>
    <w:rsid w:val="009B33A0"/>
    <w:rsid w:val="009B34C4"/>
    <w:rsid w:val="009B3D4C"/>
    <w:rsid w:val="009B4039"/>
    <w:rsid w:val="009B459B"/>
    <w:rsid w:val="009B4E9D"/>
    <w:rsid w:val="009B5104"/>
    <w:rsid w:val="009B52B2"/>
    <w:rsid w:val="009B591D"/>
    <w:rsid w:val="009B5AB3"/>
    <w:rsid w:val="009B5AC4"/>
    <w:rsid w:val="009B64C3"/>
    <w:rsid w:val="009B6814"/>
    <w:rsid w:val="009B687D"/>
    <w:rsid w:val="009B6B55"/>
    <w:rsid w:val="009B6E48"/>
    <w:rsid w:val="009B6EF2"/>
    <w:rsid w:val="009B70F2"/>
    <w:rsid w:val="009B7509"/>
    <w:rsid w:val="009B7717"/>
    <w:rsid w:val="009B7D84"/>
    <w:rsid w:val="009B7E05"/>
    <w:rsid w:val="009B7E41"/>
    <w:rsid w:val="009C0344"/>
    <w:rsid w:val="009C0674"/>
    <w:rsid w:val="009C092C"/>
    <w:rsid w:val="009C0C65"/>
    <w:rsid w:val="009C1266"/>
    <w:rsid w:val="009C12EB"/>
    <w:rsid w:val="009C1347"/>
    <w:rsid w:val="009C14A6"/>
    <w:rsid w:val="009C14B3"/>
    <w:rsid w:val="009C1EA6"/>
    <w:rsid w:val="009C1F24"/>
    <w:rsid w:val="009C271B"/>
    <w:rsid w:val="009C30ED"/>
    <w:rsid w:val="009C31BF"/>
    <w:rsid w:val="009C3619"/>
    <w:rsid w:val="009C40FC"/>
    <w:rsid w:val="009C416A"/>
    <w:rsid w:val="009C41B2"/>
    <w:rsid w:val="009C47FE"/>
    <w:rsid w:val="009C4AB4"/>
    <w:rsid w:val="009C4C39"/>
    <w:rsid w:val="009C5418"/>
    <w:rsid w:val="009C5804"/>
    <w:rsid w:val="009C59E8"/>
    <w:rsid w:val="009C5C04"/>
    <w:rsid w:val="009C5C9C"/>
    <w:rsid w:val="009C613A"/>
    <w:rsid w:val="009C656B"/>
    <w:rsid w:val="009C7047"/>
    <w:rsid w:val="009C7077"/>
    <w:rsid w:val="009C7480"/>
    <w:rsid w:val="009C74C4"/>
    <w:rsid w:val="009C7CDD"/>
    <w:rsid w:val="009C7DE6"/>
    <w:rsid w:val="009D013D"/>
    <w:rsid w:val="009D07BB"/>
    <w:rsid w:val="009D0DE9"/>
    <w:rsid w:val="009D1302"/>
    <w:rsid w:val="009D1DAC"/>
    <w:rsid w:val="009D2080"/>
    <w:rsid w:val="009D2429"/>
    <w:rsid w:val="009D24B2"/>
    <w:rsid w:val="009D27B7"/>
    <w:rsid w:val="009D28BA"/>
    <w:rsid w:val="009D2D2A"/>
    <w:rsid w:val="009D2D7A"/>
    <w:rsid w:val="009D310D"/>
    <w:rsid w:val="009D33A7"/>
    <w:rsid w:val="009D374D"/>
    <w:rsid w:val="009D3909"/>
    <w:rsid w:val="009D3F4A"/>
    <w:rsid w:val="009D3FCD"/>
    <w:rsid w:val="009D4390"/>
    <w:rsid w:val="009D4512"/>
    <w:rsid w:val="009D4845"/>
    <w:rsid w:val="009D4C53"/>
    <w:rsid w:val="009D5318"/>
    <w:rsid w:val="009D5851"/>
    <w:rsid w:val="009D58EC"/>
    <w:rsid w:val="009D59DD"/>
    <w:rsid w:val="009D5AF3"/>
    <w:rsid w:val="009D5B37"/>
    <w:rsid w:val="009D5B9E"/>
    <w:rsid w:val="009D5BB9"/>
    <w:rsid w:val="009D5F45"/>
    <w:rsid w:val="009D6171"/>
    <w:rsid w:val="009D6497"/>
    <w:rsid w:val="009D6626"/>
    <w:rsid w:val="009D6708"/>
    <w:rsid w:val="009D6CF1"/>
    <w:rsid w:val="009D6D12"/>
    <w:rsid w:val="009D77B7"/>
    <w:rsid w:val="009D7B48"/>
    <w:rsid w:val="009D7D84"/>
    <w:rsid w:val="009E0277"/>
    <w:rsid w:val="009E0907"/>
    <w:rsid w:val="009E195D"/>
    <w:rsid w:val="009E1D0E"/>
    <w:rsid w:val="009E20E1"/>
    <w:rsid w:val="009E21E3"/>
    <w:rsid w:val="009E2215"/>
    <w:rsid w:val="009E26E5"/>
    <w:rsid w:val="009E2E1F"/>
    <w:rsid w:val="009E3774"/>
    <w:rsid w:val="009E3998"/>
    <w:rsid w:val="009E3C9A"/>
    <w:rsid w:val="009E3E71"/>
    <w:rsid w:val="009E3EA0"/>
    <w:rsid w:val="009E4715"/>
    <w:rsid w:val="009E475A"/>
    <w:rsid w:val="009E4A57"/>
    <w:rsid w:val="009E4C1F"/>
    <w:rsid w:val="009E5063"/>
    <w:rsid w:val="009E518B"/>
    <w:rsid w:val="009E5C0C"/>
    <w:rsid w:val="009E6B2F"/>
    <w:rsid w:val="009E6D00"/>
    <w:rsid w:val="009E6E8D"/>
    <w:rsid w:val="009E6E93"/>
    <w:rsid w:val="009E748F"/>
    <w:rsid w:val="009E7812"/>
    <w:rsid w:val="009E7D96"/>
    <w:rsid w:val="009E7E7F"/>
    <w:rsid w:val="009F0340"/>
    <w:rsid w:val="009F06CA"/>
    <w:rsid w:val="009F0CCB"/>
    <w:rsid w:val="009F0ED9"/>
    <w:rsid w:val="009F12EA"/>
    <w:rsid w:val="009F13B3"/>
    <w:rsid w:val="009F174E"/>
    <w:rsid w:val="009F1989"/>
    <w:rsid w:val="009F19BA"/>
    <w:rsid w:val="009F1AF4"/>
    <w:rsid w:val="009F1D7D"/>
    <w:rsid w:val="009F2041"/>
    <w:rsid w:val="009F219F"/>
    <w:rsid w:val="009F221D"/>
    <w:rsid w:val="009F23B1"/>
    <w:rsid w:val="009F2C5A"/>
    <w:rsid w:val="009F3471"/>
    <w:rsid w:val="009F34B3"/>
    <w:rsid w:val="009F3DC1"/>
    <w:rsid w:val="009F3FC8"/>
    <w:rsid w:val="009F4074"/>
    <w:rsid w:val="009F4095"/>
    <w:rsid w:val="009F40D1"/>
    <w:rsid w:val="009F4532"/>
    <w:rsid w:val="009F4AE4"/>
    <w:rsid w:val="009F5154"/>
    <w:rsid w:val="009F527B"/>
    <w:rsid w:val="009F5496"/>
    <w:rsid w:val="009F572E"/>
    <w:rsid w:val="009F5DB3"/>
    <w:rsid w:val="009F5FB9"/>
    <w:rsid w:val="009F6024"/>
    <w:rsid w:val="009F68A4"/>
    <w:rsid w:val="009F6A10"/>
    <w:rsid w:val="009F76AF"/>
    <w:rsid w:val="009F77B0"/>
    <w:rsid w:val="009F7CB3"/>
    <w:rsid w:val="009F7DAB"/>
    <w:rsid w:val="00A004ED"/>
    <w:rsid w:val="00A00874"/>
    <w:rsid w:val="00A0124A"/>
    <w:rsid w:val="00A0143A"/>
    <w:rsid w:val="00A015DC"/>
    <w:rsid w:val="00A015F5"/>
    <w:rsid w:val="00A01768"/>
    <w:rsid w:val="00A01A85"/>
    <w:rsid w:val="00A01BBB"/>
    <w:rsid w:val="00A01D41"/>
    <w:rsid w:val="00A0237D"/>
    <w:rsid w:val="00A028EB"/>
    <w:rsid w:val="00A02A0B"/>
    <w:rsid w:val="00A02BB0"/>
    <w:rsid w:val="00A02D95"/>
    <w:rsid w:val="00A0342A"/>
    <w:rsid w:val="00A0354C"/>
    <w:rsid w:val="00A03681"/>
    <w:rsid w:val="00A03718"/>
    <w:rsid w:val="00A03A8B"/>
    <w:rsid w:val="00A03ECD"/>
    <w:rsid w:val="00A041A0"/>
    <w:rsid w:val="00A043A0"/>
    <w:rsid w:val="00A044C1"/>
    <w:rsid w:val="00A04A27"/>
    <w:rsid w:val="00A04A9E"/>
    <w:rsid w:val="00A04B15"/>
    <w:rsid w:val="00A04CAA"/>
    <w:rsid w:val="00A05267"/>
    <w:rsid w:val="00A05384"/>
    <w:rsid w:val="00A059EC"/>
    <w:rsid w:val="00A05C25"/>
    <w:rsid w:val="00A062DA"/>
    <w:rsid w:val="00A064C9"/>
    <w:rsid w:val="00A06565"/>
    <w:rsid w:val="00A0657C"/>
    <w:rsid w:val="00A06C41"/>
    <w:rsid w:val="00A07025"/>
    <w:rsid w:val="00A0755E"/>
    <w:rsid w:val="00A0781F"/>
    <w:rsid w:val="00A07F78"/>
    <w:rsid w:val="00A102C5"/>
    <w:rsid w:val="00A106C4"/>
    <w:rsid w:val="00A107EF"/>
    <w:rsid w:val="00A10E37"/>
    <w:rsid w:val="00A10F8D"/>
    <w:rsid w:val="00A110C8"/>
    <w:rsid w:val="00A11AD8"/>
    <w:rsid w:val="00A11DBF"/>
    <w:rsid w:val="00A11E82"/>
    <w:rsid w:val="00A11EC0"/>
    <w:rsid w:val="00A1284E"/>
    <w:rsid w:val="00A12CAF"/>
    <w:rsid w:val="00A13244"/>
    <w:rsid w:val="00A13319"/>
    <w:rsid w:val="00A13354"/>
    <w:rsid w:val="00A136F2"/>
    <w:rsid w:val="00A13906"/>
    <w:rsid w:val="00A13A47"/>
    <w:rsid w:val="00A14048"/>
    <w:rsid w:val="00A14113"/>
    <w:rsid w:val="00A1412E"/>
    <w:rsid w:val="00A14301"/>
    <w:rsid w:val="00A14334"/>
    <w:rsid w:val="00A14613"/>
    <w:rsid w:val="00A153A8"/>
    <w:rsid w:val="00A15813"/>
    <w:rsid w:val="00A15944"/>
    <w:rsid w:val="00A15A60"/>
    <w:rsid w:val="00A15B35"/>
    <w:rsid w:val="00A15BC9"/>
    <w:rsid w:val="00A15D27"/>
    <w:rsid w:val="00A167D7"/>
    <w:rsid w:val="00A16807"/>
    <w:rsid w:val="00A16878"/>
    <w:rsid w:val="00A16931"/>
    <w:rsid w:val="00A16EC3"/>
    <w:rsid w:val="00A17499"/>
    <w:rsid w:val="00A1756D"/>
    <w:rsid w:val="00A2036D"/>
    <w:rsid w:val="00A207CB"/>
    <w:rsid w:val="00A207E0"/>
    <w:rsid w:val="00A20D4F"/>
    <w:rsid w:val="00A211F1"/>
    <w:rsid w:val="00A2142A"/>
    <w:rsid w:val="00A214B9"/>
    <w:rsid w:val="00A2154C"/>
    <w:rsid w:val="00A21AD2"/>
    <w:rsid w:val="00A220D5"/>
    <w:rsid w:val="00A22438"/>
    <w:rsid w:val="00A2255C"/>
    <w:rsid w:val="00A22ECF"/>
    <w:rsid w:val="00A2325F"/>
    <w:rsid w:val="00A233F8"/>
    <w:rsid w:val="00A23D32"/>
    <w:rsid w:val="00A23FBC"/>
    <w:rsid w:val="00A24252"/>
    <w:rsid w:val="00A24B0D"/>
    <w:rsid w:val="00A2541C"/>
    <w:rsid w:val="00A254AC"/>
    <w:rsid w:val="00A25622"/>
    <w:rsid w:val="00A25BDC"/>
    <w:rsid w:val="00A25CA7"/>
    <w:rsid w:val="00A25CF8"/>
    <w:rsid w:val="00A266CC"/>
    <w:rsid w:val="00A2676B"/>
    <w:rsid w:val="00A268FB"/>
    <w:rsid w:val="00A26DBE"/>
    <w:rsid w:val="00A26E4E"/>
    <w:rsid w:val="00A270AD"/>
    <w:rsid w:val="00A27630"/>
    <w:rsid w:val="00A276C8"/>
    <w:rsid w:val="00A27999"/>
    <w:rsid w:val="00A30223"/>
    <w:rsid w:val="00A3036E"/>
    <w:rsid w:val="00A30820"/>
    <w:rsid w:val="00A3112C"/>
    <w:rsid w:val="00A3113C"/>
    <w:rsid w:val="00A31A11"/>
    <w:rsid w:val="00A31C02"/>
    <w:rsid w:val="00A31FC4"/>
    <w:rsid w:val="00A32206"/>
    <w:rsid w:val="00A32E85"/>
    <w:rsid w:val="00A33047"/>
    <w:rsid w:val="00A33176"/>
    <w:rsid w:val="00A33542"/>
    <w:rsid w:val="00A3373F"/>
    <w:rsid w:val="00A33B21"/>
    <w:rsid w:val="00A343C7"/>
    <w:rsid w:val="00A344E0"/>
    <w:rsid w:val="00A34567"/>
    <w:rsid w:val="00A345B4"/>
    <w:rsid w:val="00A34EAF"/>
    <w:rsid w:val="00A35216"/>
    <w:rsid w:val="00A35400"/>
    <w:rsid w:val="00A3568D"/>
    <w:rsid w:val="00A35726"/>
    <w:rsid w:val="00A3586E"/>
    <w:rsid w:val="00A35BCF"/>
    <w:rsid w:val="00A35DB9"/>
    <w:rsid w:val="00A35FC6"/>
    <w:rsid w:val="00A3631D"/>
    <w:rsid w:val="00A367F3"/>
    <w:rsid w:val="00A36B2D"/>
    <w:rsid w:val="00A36F68"/>
    <w:rsid w:val="00A37016"/>
    <w:rsid w:val="00A371F9"/>
    <w:rsid w:val="00A373A2"/>
    <w:rsid w:val="00A379B7"/>
    <w:rsid w:val="00A37D08"/>
    <w:rsid w:val="00A4025C"/>
    <w:rsid w:val="00A403A5"/>
    <w:rsid w:val="00A4049B"/>
    <w:rsid w:val="00A40842"/>
    <w:rsid w:val="00A4160A"/>
    <w:rsid w:val="00A41A74"/>
    <w:rsid w:val="00A41EF6"/>
    <w:rsid w:val="00A41F79"/>
    <w:rsid w:val="00A42905"/>
    <w:rsid w:val="00A43959"/>
    <w:rsid w:val="00A439A5"/>
    <w:rsid w:val="00A4404B"/>
    <w:rsid w:val="00A44249"/>
    <w:rsid w:val="00A44461"/>
    <w:rsid w:val="00A4451E"/>
    <w:rsid w:val="00A447D8"/>
    <w:rsid w:val="00A447F0"/>
    <w:rsid w:val="00A45280"/>
    <w:rsid w:val="00A452F2"/>
    <w:rsid w:val="00A45A55"/>
    <w:rsid w:val="00A45CA3"/>
    <w:rsid w:val="00A46717"/>
    <w:rsid w:val="00A46797"/>
    <w:rsid w:val="00A46804"/>
    <w:rsid w:val="00A46A62"/>
    <w:rsid w:val="00A46CF6"/>
    <w:rsid w:val="00A46D77"/>
    <w:rsid w:val="00A47183"/>
    <w:rsid w:val="00A4756D"/>
    <w:rsid w:val="00A47BD0"/>
    <w:rsid w:val="00A47C72"/>
    <w:rsid w:val="00A47CBC"/>
    <w:rsid w:val="00A47E4E"/>
    <w:rsid w:val="00A508F2"/>
    <w:rsid w:val="00A509C4"/>
    <w:rsid w:val="00A509DB"/>
    <w:rsid w:val="00A50DCF"/>
    <w:rsid w:val="00A51756"/>
    <w:rsid w:val="00A5189D"/>
    <w:rsid w:val="00A526F8"/>
    <w:rsid w:val="00A529D3"/>
    <w:rsid w:val="00A52AB4"/>
    <w:rsid w:val="00A52C6F"/>
    <w:rsid w:val="00A52E6A"/>
    <w:rsid w:val="00A530F2"/>
    <w:rsid w:val="00A539EC"/>
    <w:rsid w:val="00A53C13"/>
    <w:rsid w:val="00A53DBA"/>
    <w:rsid w:val="00A53E3C"/>
    <w:rsid w:val="00A53EA4"/>
    <w:rsid w:val="00A543EA"/>
    <w:rsid w:val="00A54E01"/>
    <w:rsid w:val="00A54F26"/>
    <w:rsid w:val="00A555EA"/>
    <w:rsid w:val="00A556C5"/>
    <w:rsid w:val="00A556CD"/>
    <w:rsid w:val="00A559D4"/>
    <w:rsid w:val="00A55B11"/>
    <w:rsid w:val="00A55E8F"/>
    <w:rsid w:val="00A55F95"/>
    <w:rsid w:val="00A5616D"/>
    <w:rsid w:val="00A56E55"/>
    <w:rsid w:val="00A574CA"/>
    <w:rsid w:val="00A57AF2"/>
    <w:rsid w:val="00A57D5F"/>
    <w:rsid w:val="00A57E08"/>
    <w:rsid w:val="00A57FDF"/>
    <w:rsid w:val="00A60406"/>
    <w:rsid w:val="00A6080D"/>
    <w:rsid w:val="00A60B4A"/>
    <w:rsid w:val="00A60DD2"/>
    <w:rsid w:val="00A60E8A"/>
    <w:rsid w:val="00A61AC1"/>
    <w:rsid w:val="00A61F5A"/>
    <w:rsid w:val="00A62024"/>
    <w:rsid w:val="00A62046"/>
    <w:rsid w:val="00A62246"/>
    <w:rsid w:val="00A62B34"/>
    <w:rsid w:val="00A62C1D"/>
    <w:rsid w:val="00A63852"/>
    <w:rsid w:val="00A64041"/>
    <w:rsid w:val="00A644BE"/>
    <w:rsid w:val="00A64C8C"/>
    <w:rsid w:val="00A65600"/>
    <w:rsid w:val="00A6596F"/>
    <w:rsid w:val="00A65B84"/>
    <w:rsid w:val="00A66105"/>
    <w:rsid w:val="00A66553"/>
    <w:rsid w:val="00A668AA"/>
    <w:rsid w:val="00A66BA3"/>
    <w:rsid w:val="00A66DDE"/>
    <w:rsid w:val="00A67C73"/>
    <w:rsid w:val="00A67C7D"/>
    <w:rsid w:val="00A67F29"/>
    <w:rsid w:val="00A70180"/>
    <w:rsid w:val="00A703BE"/>
    <w:rsid w:val="00A70529"/>
    <w:rsid w:val="00A707B5"/>
    <w:rsid w:val="00A7096E"/>
    <w:rsid w:val="00A716EF"/>
    <w:rsid w:val="00A721AB"/>
    <w:rsid w:val="00A723A7"/>
    <w:rsid w:val="00A7269A"/>
    <w:rsid w:val="00A7289B"/>
    <w:rsid w:val="00A72A80"/>
    <w:rsid w:val="00A72AAF"/>
    <w:rsid w:val="00A72BA1"/>
    <w:rsid w:val="00A72F0D"/>
    <w:rsid w:val="00A730FA"/>
    <w:rsid w:val="00A73679"/>
    <w:rsid w:val="00A73743"/>
    <w:rsid w:val="00A737AB"/>
    <w:rsid w:val="00A741F7"/>
    <w:rsid w:val="00A74244"/>
    <w:rsid w:val="00A744B5"/>
    <w:rsid w:val="00A74AFB"/>
    <w:rsid w:val="00A74B33"/>
    <w:rsid w:val="00A74E05"/>
    <w:rsid w:val="00A74F2F"/>
    <w:rsid w:val="00A7575C"/>
    <w:rsid w:val="00A75868"/>
    <w:rsid w:val="00A75ADD"/>
    <w:rsid w:val="00A75B08"/>
    <w:rsid w:val="00A75CA8"/>
    <w:rsid w:val="00A769FE"/>
    <w:rsid w:val="00A76B87"/>
    <w:rsid w:val="00A76EB1"/>
    <w:rsid w:val="00A7741D"/>
    <w:rsid w:val="00A77428"/>
    <w:rsid w:val="00A774E8"/>
    <w:rsid w:val="00A805DF"/>
    <w:rsid w:val="00A807FE"/>
    <w:rsid w:val="00A80C27"/>
    <w:rsid w:val="00A80E97"/>
    <w:rsid w:val="00A81575"/>
    <w:rsid w:val="00A81B9E"/>
    <w:rsid w:val="00A81CBF"/>
    <w:rsid w:val="00A81DCC"/>
    <w:rsid w:val="00A82368"/>
    <w:rsid w:val="00A8243D"/>
    <w:rsid w:val="00A829D0"/>
    <w:rsid w:val="00A831E4"/>
    <w:rsid w:val="00A83ABC"/>
    <w:rsid w:val="00A83EF3"/>
    <w:rsid w:val="00A85243"/>
    <w:rsid w:val="00A8527C"/>
    <w:rsid w:val="00A85E00"/>
    <w:rsid w:val="00A85E73"/>
    <w:rsid w:val="00A85F59"/>
    <w:rsid w:val="00A8633D"/>
    <w:rsid w:val="00A86384"/>
    <w:rsid w:val="00A8652F"/>
    <w:rsid w:val="00A865E0"/>
    <w:rsid w:val="00A865E9"/>
    <w:rsid w:val="00A867BD"/>
    <w:rsid w:val="00A8689F"/>
    <w:rsid w:val="00A874F4"/>
    <w:rsid w:val="00A874FE"/>
    <w:rsid w:val="00A87EFF"/>
    <w:rsid w:val="00A900ED"/>
    <w:rsid w:val="00A901B7"/>
    <w:rsid w:val="00A90210"/>
    <w:rsid w:val="00A9036F"/>
    <w:rsid w:val="00A906DE"/>
    <w:rsid w:val="00A90CC7"/>
    <w:rsid w:val="00A91E21"/>
    <w:rsid w:val="00A91F21"/>
    <w:rsid w:val="00A92919"/>
    <w:rsid w:val="00A92DF7"/>
    <w:rsid w:val="00A9377F"/>
    <w:rsid w:val="00A93AB4"/>
    <w:rsid w:val="00A93CEA"/>
    <w:rsid w:val="00A93D96"/>
    <w:rsid w:val="00A93DBE"/>
    <w:rsid w:val="00A944C6"/>
    <w:rsid w:val="00A94AD6"/>
    <w:rsid w:val="00A94F9B"/>
    <w:rsid w:val="00A952CC"/>
    <w:rsid w:val="00A9549F"/>
    <w:rsid w:val="00A95809"/>
    <w:rsid w:val="00A95CF8"/>
    <w:rsid w:val="00A968C3"/>
    <w:rsid w:val="00A96D63"/>
    <w:rsid w:val="00A96F0B"/>
    <w:rsid w:val="00A972FE"/>
    <w:rsid w:val="00A9769C"/>
    <w:rsid w:val="00AA0074"/>
    <w:rsid w:val="00AA0078"/>
    <w:rsid w:val="00AA024E"/>
    <w:rsid w:val="00AA055D"/>
    <w:rsid w:val="00AA122E"/>
    <w:rsid w:val="00AA12D0"/>
    <w:rsid w:val="00AA13C6"/>
    <w:rsid w:val="00AA15C7"/>
    <w:rsid w:val="00AA15F3"/>
    <w:rsid w:val="00AA1ACC"/>
    <w:rsid w:val="00AA21DD"/>
    <w:rsid w:val="00AA224E"/>
    <w:rsid w:val="00AA24F8"/>
    <w:rsid w:val="00AA2569"/>
    <w:rsid w:val="00AA2763"/>
    <w:rsid w:val="00AA3205"/>
    <w:rsid w:val="00AA39BD"/>
    <w:rsid w:val="00AA3D3C"/>
    <w:rsid w:val="00AA4150"/>
    <w:rsid w:val="00AA481D"/>
    <w:rsid w:val="00AA486D"/>
    <w:rsid w:val="00AA4A9F"/>
    <w:rsid w:val="00AA50E1"/>
    <w:rsid w:val="00AA5132"/>
    <w:rsid w:val="00AA5208"/>
    <w:rsid w:val="00AA56AF"/>
    <w:rsid w:val="00AA5980"/>
    <w:rsid w:val="00AA5F3D"/>
    <w:rsid w:val="00AA654B"/>
    <w:rsid w:val="00AA6B99"/>
    <w:rsid w:val="00AA6DB0"/>
    <w:rsid w:val="00AA7329"/>
    <w:rsid w:val="00AA74ED"/>
    <w:rsid w:val="00AA7572"/>
    <w:rsid w:val="00AA79A4"/>
    <w:rsid w:val="00AA7B57"/>
    <w:rsid w:val="00AA7F9C"/>
    <w:rsid w:val="00AB0398"/>
    <w:rsid w:val="00AB08B7"/>
    <w:rsid w:val="00AB097F"/>
    <w:rsid w:val="00AB0B2F"/>
    <w:rsid w:val="00AB17F5"/>
    <w:rsid w:val="00AB18A9"/>
    <w:rsid w:val="00AB1B21"/>
    <w:rsid w:val="00AB1EE8"/>
    <w:rsid w:val="00AB1F20"/>
    <w:rsid w:val="00AB2870"/>
    <w:rsid w:val="00AB2DDD"/>
    <w:rsid w:val="00AB3041"/>
    <w:rsid w:val="00AB31FF"/>
    <w:rsid w:val="00AB3C14"/>
    <w:rsid w:val="00AB3F20"/>
    <w:rsid w:val="00AB4626"/>
    <w:rsid w:val="00AB46DF"/>
    <w:rsid w:val="00AB4C35"/>
    <w:rsid w:val="00AB4CDD"/>
    <w:rsid w:val="00AB4F18"/>
    <w:rsid w:val="00AB4F31"/>
    <w:rsid w:val="00AB5584"/>
    <w:rsid w:val="00AB5A0B"/>
    <w:rsid w:val="00AB5E1C"/>
    <w:rsid w:val="00AB643C"/>
    <w:rsid w:val="00AB6647"/>
    <w:rsid w:val="00AB670B"/>
    <w:rsid w:val="00AB72EB"/>
    <w:rsid w:val="00AB746A"/>
    <w:rsid w:val="00AB747F"/>
    <w:rsid w:val="00AB764C"/>
    <w:rsid w:val="00AB7ABB"/>
    <w:rsid w:val="00AC0202"/>
    <w:rsid w:val="00AC11DC"/>
    <w:rsid w:val="00AC12BF"/>
    <w:rsid w:val="00AC207B"/>
    <w:rsid w:val="00AC2098"/>
    <w:rsid w:val="00AC264C"/>
    <w:rsid w:val="00AC2689"/>
    <w:rsid w:val="00AC28AC"/>
    <w:rsid w:val="00AC2DD1"/>
    <w:rsid w:val="00AC2DE9"/>
    <w:rsid w:val="00AC2F27"/>
    <w:rsid w:val="00AC30FD"/>
    <w:rsid w:val="00AC312F"/>
    <w:rsid w:val="00AC32FC"/>
    <w:rsid w:val="00AC3B61"/>
    <w:rsid w:val="00AC3D9B"/>
    <w:rsid w:val="00AC3DA8"/>
    <w:rsid w:val="00AC4094"/>
    <w:rsid w:val="00AC42CB"/>
    <w:rsid w:val="00AC47CC"/>
    <w:rsid w:val="00AC48DE"/>
    <w:rsid w:val="00AC4951"/>
    <w:rsid w:val="00AC4CEF"/>
    <w:rsid w:val="00AC54ED"/>
    <w:rsid w:val="00AC54F7"/>
    <w:rsid w:val="00AC59A4"/>
    <w:rsid w:val="00AC5B08"/>
    <w:rsid w:val="00AC5BB2"/>
    <w:rsid w:val="00AC5D8C"/>
    <w:rsid w:val="00AC6509"/>
    <w:rsid w:val="00AC70C3"/>
    <w:rsid w:val="00AC777B"/>
    <w:rsid w:val="00AC78C3"/>
    <w:rsid w:val="00AC7B60"/>
    <w:rsid w:val="00AC7F97"/>
    <w:rsid w:val="00AD0016"/>
    <w:rsid w:val="00AD01AC"/>
    <w:rsid w:val="00AD09B0"/>
    <w:rsid w:val="00AD0C3E"/>
    <w:rsid w:val="00AD12E4"/>
    <w:rsid w:val="00AD156B"/>
    <w:rsid w:val="00AD177E"/>
    <w:rsid w:val="00AD279E"/>
    <w:rsid w:val="00AD2957"/>
    <w:rsid w:val="00AD2989"/>
    <w:rsid w:val="00AD2A53"/>
    <w:rsid w:val="00AD3315"/>
    <w:rsid w:val="00AD368C"/>
    <w:rsid w:val="00AD3B62"/>
    <w:rsid w:val="00AD3F55"/>
    <w:rsid w:val="00AD4BDC"/>
    <w:rsid w:val="00AD587D"/>
    <w:rsid w:val="00AD59E9"/>
    <w:rsid w:val="00AD5D3B"/>
    <w:rsid w:val="00AD5DF2"/>
    <w:rsid w:val="00AD623C"/>
    <w:rsid w:val="00AD6BB3"/>
    <w:rsid w:val="00AD7050"/>
    <w:rsid w:val="00AD7A2B"/>
    <w:rsid w:val="00AE07D3"/>
    <w:rsid w:val="00AE09DE"/>
    <w:rsid w:val="00AE0D8E"/>
    <w:rsid w:val="00AE0F47"/>
    <w:rsid w:val="00AE15F4"/>
    <w:rsid w:val="00AE17D3"/>
    <w:rsid w:val="00AE1A29"/>
    <w:rsid w:val="00AE1E68"/>
    <w:rsid w:val="00AE2197"/>
    <w:rsid w:val="00AE293D"/>
    <w:rsid w:val="00AE2C22"/>
    <w:rsid w:val="00AE2D71"/>
    <w:rsid w:val="00AE3037"/>
    <w:rsid w:val="00AE37B1"/>
    <w:rsid w:val="00AE3A39"/>
    <w:rsid w:val="00AE40C8"/>
    <w:rsid w:val="00AE458A"/>
    <w:rsid w:val="00AE4640"/>
    <w:rsid w:val="00AE46EC"/>
    <w:rsid w:val="00AE52B2"/>
    <w:rsid w:val="00AE55A4"/>
    <w:rsid w:val="00AE5829"/>
    <w:rsid w:val="00AE5A63"/>
    <w:rsid w:val="00AE604A"/>
    <w:rsid w:val="00AE6091"/>
    <w:rsid w:val="00AE6147"/>
    <w:rsid w:val="00AE673A"/>
    <w:rsid w:val="00AE67D9"/>
    <w:rsid w:val="00AE756A"/>
    <w:rsid w:val="00AE77A8"/>
    <w:rsid w:val="00AF0194"/>
    <w:rsid w:val="00AF03B4"/>
    <w:rsid w:val="00AF077F"/>
    <w:rsid w:val="00AF07C8"/>
    <w:rsid w:val="00AF0A4C"/>
    <w:rsid w:val="00AF0B71"/>
    <w:rsid w:val="00AF11B8"/>
    <w:rsid w:val="00AF13C2"/>
    <w:rsid w:val="00AF1A9F"/>
    <w:rsid w:val="00AF1B64"/>
    <w:rsid w:val="00AF1E18"/>
    <w:rsid w:val="00AF2065"/>
    <w:rsid w:val="00AF2091"/>
    <w:rsid w:val="00AF254C"/>
    <w:rsid w:val="00AF27DA"/>
    <w:rsid w:val="00AF2A29"/>
    <w:rsid w:val="00AF343D"/>
    <w:rsid w:val="00AF3803"/>
    <w:rsid w:val="00AF3841"/>
    <w:rsid w:val="00AF3A50"/>
    <w:rsid w:val="00AF3D1A"/>
    <w:rsid w:val="00AF430D"/>
    <w:rsid w:val="00AF444E"/>
    <w:rsid w:val="00AF4851"/>
    <w:rsid w:val="00AF4E14"/>
    <w:rsid w:val="00AF5050"/>
    <w:rsid w:val="00AF51E2"/>
    <w:rsid w:val="00AF529D"/>
    <w:rsid w:val="00AF5329"/>
    <w:rsid w:val="00AF5B09"/>
    <w:rsid w:val="00AF5C86"/>
    <w:rsid w:val="00AF5CBB"/>
    <w:rsid w:val="00AF5CC5"/>
    <w:rsid w:val="00AF5E3F"/>
    <w:rsid w:val="00AF5FD0"/>
    <w:rsid w:val="00AF5FEC"/>
    <w:rsid w:val="00AF6636"/>
    <w:rsid w:val="00AF669C"/>
    <w:rsid w:val="00AF6796"/>
    <w:rsid w:val="00AF6E54"/>
    <w:rsid w:val="00AF735A"/>
    <w:rsid w:val="00AF73A9"/>
    <w:rsid w:val="00AF7409"/>
    <w:rsid w:val="00B00346"/>
    <w:rsid w:val="00B004FD"/>
    <w:rsid w:val="00B005E9"/>
    <w:rsid w:val="00B00711"/>
    <w:rsid w:val="00B00EAE"/>
    <w:rsid w:val="00B010C3"/>
    <w:rsid w:val="00B012F4"/>
    <w:rsid w:val="00B01E42"/>
    <w:rsid w:val="00B0224B"/>
    <w:rsid w:val="00B027C2"/>
    <w:rsid w:val="00B02B54"/>
    <w:rsid w:val="00B02BAB"/>
    <w:rsid w:val="00B02BBE"/>
    <w:rsid w:val="00B0370D"/>
    <w:rsid w:val="00B038DB"/>
    <w:rsid w:val="00B0391F"/>
    <w:rsid w:val="00B03D6D"/>
    <w:rsid w:val="00B03FEE"/>
    <w:rsid w:val="00B04291"/>
    <w:rsid w:val="00B0450B"/>
    <w:rsid w:val="00B05467"/>
    <w:rsid w:val="00B054AF"/>
    <w:rsid w:val="00B054F9"/>
    <w:rsid w:val="00B05644"/>
    <w:rsid w:val="00B05768"/>
    <w:rsid w:val="00B058D7"/>
    <w:rsid w:val="00B058F9"/>
    <w:rsid w:val="00B05CBE"/>
    <w:rsid w:val="00B05E4F"/>
    <w:rsid w:val="00B061E9"/>
    <w:rsid w:val="00B06B03"/>
    <w:rsid w:val="00B06BA4"/>
    <w:rsid w:val="00B06E91"/>
    <w:rsid w:val="00B06F47"/>
    <w:rsid w:val="00B07042"/>
    <w:rsid w:val="00B070A1"/>
    <w:rsid w:val="00B073F7"/>
    <w:rsid w:val="00B0755A"/>
    <w:rsid w:val="00B07878"/>
    <w:rsid w:val="00B07CC5"/>
    <w:rsid w:val="00B07E98"/>
    <w:rsid w:val="00B100C3"/>
    <w:rsid w:val="00B10831"/>
    <w:rsid w:val="00B11320"/>
    <w:rsid w:val="00B113C7"/>
    <w:rsid w:val="00B118C0"/>
    <w:rsid w:val="00B119D2"/>
    <w:rsid w:val="00B11AC4"/>
    <w:rsid w:val="00B11C55"/>
    <w:rsid w:val="00B11C85"/>
    <w:rsid w:val="00B1240B"/>
    <w:rsid w:val="00B12AA1"/>
    <w:rsid w:val="00B12AFE"/>
    <w:rsid w:val="00B13282"/>
    <w:rsid w:val="00B13488"/>
    <w:rsid w:val="00B134BD"/>
    <w:rsid w:val="00B139E6"/>
    <w:rsid w:val="00B13BBC"/>
    <w:rsid w:val="00B13CDF"/>
    <w:rsid w:val="00B142BF"/>
    <w:rsid w:val="00B142C9"/>
    <w:rsid w:val="00B14311"/>
    <w:rsid w:val="00B14691"/>
    <w:rsid w:val="00B150CE"/>
    <w:rsid w:val="00B15115"/>
    <w:rsid w:val="00B15C49"/>
    <w:rsid w:val="00B166DD"/>
    <w:rsid w:val="00B16BB3"/>
    <w:rsid w:val="00B16F54"/>
    <w:rsid w:val="00B17A7C"/>
    <w:rsid w:val="00B201A2"/>
    <w:rsid w:val="00B201D9"/>
    <w:rsid w:val="00B20B61"/>
    <w:rsid w:val="00B20DDD"/>
    <w:rsid w:val="00B214A7"/>
    <w:rsid w:val="00B219D6"/>
    <w:rsid w:val="00B21ED2"/>
    <w:rsid w:val="00B222E5"/>
    <w:rsid w:val="00B2273B"/>
    <w:rsid w:val="00B22910"/>
    <w:rsid w:val="00B22AD0"/>
    <w:rsid w:val="00B22B08"/>
    <w:rsid w:val="00B22C92"/>
    <w:rsid w:val="00B23089"/>
    <w:rsid w:val="00B234D4"/>
    <w:rsid w:val="00B2355B"/>
    <w:rsid w:val="00B237B9"/>
    <w:rsid w:val="00B23889"/>
    <w:rsid w:val="00B238DC"/>
    <w:rsid w:val="00B23924"/>
    <w:rsid w:val="00B2496C"/>
    <w:rsid w:val="00B24C6A"/>
    <w:rsid w:val="00B25082"/>
    <w:rsid w:val="00B25249"/>
    <w:rsid w:val="00B25656"/>
    <w:rsid w:val="00B25AC2"/>
    <w:rsid w:val="00B2636E"/>
    <w:rsid w:val="00B26458"/>
    <w:rsid w:val="00B2654F"/>
    <w:rsid w:val="00B26BAE"/>
    <w:rsid w:val="00B26BB4"/>
    <w:rsid w:val="00B2722F"/>
    <w:rsid w:val="00B2786B"/>
    <w:rsid w:val="00B27882"/>
    <w:rsid w:val="00B278AD"/>
    <w:rsid w:val="00B27962"/>
    <w:rsid w:val="00B3061B"/>
    <w:rsid w:val="00B30B0A"/>
    <w:rsid w:val="00B312BA"/>
    <w:rsid w:val="00B3178D"/>
    <w:rsid w:val="00B320F0"/>
    <w:rsid w:val="00B32135"/>
    <w:rsid w:val="00B3218F"/>
    <w:rsid w:val="00B32410"/>
    <w:rsid w:val="00B3286E"/>
    <w:rsid w:val="00B32BFD"/>
    <w:rsid w:val="00B338CB"/>
    <w:rsid w:val="00B342CB"/>
    <w:rsid w:val="00B347A4"/>
    <w:rsid w:val="00B34C0B"/>
    <w:rsid w:val="00B35228"/>
    <w:rsid w:val="00B35A09"/>
    <w:rsid w:val="00B35DCA"/>
    <w:rsid w:val="00B35E75"/>
    <w:rsid w:val="00B35E90"/>
    <w:rsid w:val="00B360EA"/>
    <w:rsid w:val="00B36449"/>
    <w:rsid w:val="00B36521"/>
    <w:rsid w:val="00B36E23"/>
    <w:rsid w:val="00B373EB"/>
    <w:rsid w:val="00B37E26"/>
    <w:rsid w:val="00B404E9"/>
    <w:rsid w:val="00B40741"/>
    <w:rsid w:val="00B40898"/>
    <w:rsid w:val="00B40C5B"/>
    <w:rsid w:val="00B41F23"/>
    <w:rsid w:val="00B42384"/>
    <w:rsid w:val="00B4267D"/>
    <w:rsid w:val="00B42A1C"/>
    <w:rsid w:val="00B43102"/>
    <w:rsid w:val="00B4378F"/>
    <w:rsid w:val="00B43C25"/>
    <w:rsid w:val="00B43F7A"/>
    <w:rsid w:val="00B441A6"/>
    <w:rsid w:val="00B441E4"/>
    <w:rsid w:val="00B44281"/>
    <w:rsid w:val="00B44B44"/>
    <w:rsid w:val="00B4541B"/>
    <w:rsid w:val="00B456B5"/>
    <w:rsid w:val="00B4580C"/>
    <w:rsid w:val="00B45994"/>
    <w:rsid w:val="00B46416"/>
    <w:rsid w:val="00B47087"/>
    <w:rsid w:val="00B47486"/>
    <w:rsid w:val="00B479E6"/>
    <w:rsid w:val="00B47A17"/>
    <w:rsid w:val="00B51104"/>
    <w:rsid w:val="00B51341"/>
    <w:rsid w:val="00B5144A"/>
    <w:rsid w:val="00B5150A"/>
    <w:rsid w:val="00B51769"/>
    <w:rsid w:val="00B52569"/>
    <w:rsid w:val="00B5280D"/>
    <w:rsid w:val="00B52B33"/>
    <w:rsid w:val="00B52B52"/>
    <w:rsid w:val="00B5326B"/>
    <w:rsid w:val="00B534F2"/>
    <w:rsid w:val="00B534FD"/>
    <w:rsid w:val="00B5372A"/>
    <w:rsid w:val="00B53786"/>
    <w:rsid w:val="00B5389D"/>
    <w:rsid w:val="00B53D6F"/>
    <w:rsid w:val="00B53F31"/>
    <w:rsid w:val="00B54144"/>
    <w:rsid w:val="00B54930"/>
    <w:rsid w:val="00B54A8E"/>
    <w:rsid w:val="00B54EAA"/>
    <w:rsid w:val="00B55419"/>
    <w:rsid w:val="00B55470"/>
    <w:rsid w:val="00B5593E"/>
    <w:rsid w:val="00B55A6C"/>
    <w:rsid w:val="00B55D36"/>
    <w:rsid w:val="00B560D8"/>
    <w:rsid w:val="00B56571"/>
    <w:rsid w:val="00B56FEA"/>
    <w:rsid w:val="00B5764B"/>
    <w:rsid w:val="00B57BB5"/>
    <w:rsid w:val="00B6026E"/>
    <w:rsid w:val="00B60743"/>
    <w:rsid w:val="00B60A0E"/>
    <w:rsid w:val="00B6130D"/>
    <w:rsid w:val="00B61AF7"/>
    <w:rsid w:val="00B62465"/>
    <w:rsid w:val="00B624E9"/>
    <w:rsid w:val="00B626F2"/>
    <w:rsid w:val="00B630D4"/>
    <w:rsid w:val="00B63339"/>
    <w:rsid w:val="00B635EF"/>
    <w:rsid w:val="00B637E5"/>
    <w:rsid w:val="00B63E8C"/>
    <w:rsid w:val="00B64170"/>
    <w:rsid w:val="00B64A18"/>
    <w:rsid w:val="00B64F01"/>
    <w:rsid w:val="00B6500E"/>
    <w:rsid w:val="00B651D0"/>
    <w:rsid w:val="00B652F6"/>
    <w:rsid w:val="00B65795"/>
    <w:rsid w:val="00B658DB"/>
    <w:rsid w:val="00B659D8"/>
    <w:rsid w:val="00B65C8E"/>
    <w:rsid w:val="00B65E7B"/>
    <w:rsid w:val="00B65FD8"/>
    <w:rsid w:val="00B6624A"/>
    <w:rsid w:val="00B6626D"/>
    <w:rsid w:val="00B66528"/>
    <w:rsid w:val="00B66561"/>
    <w:rsid w:val="00B66CCE"/>
    <w:rsid w:val="00B66CFA"/>
    <w:rsid w:val="00B66D8F"/>
    <w:rsid w:val="00B66D9C"/>
    <w:rsid w:val="00B66DB1"/>
    <w:rsid w:val="00B66FE7"/>
    <w:rsid w:val="00B673C0"/>
    <w:rsid w:val="00B67502"/>
    <w:rsid w:val="00B67596"/>
    <w:rsid w:val="00B67700"/>
    <w:rsid w:val="00B6780C"/>
    <w:rsid w:val="00B67B36"/>
    <w:rsid w:val="00B67E5D"/>
    <w:rsid w:val="00B67E85"/>
    <w:rsid w:val="00B70106"/>
    <w:rsid w:val="00B70429"/>
    <w:rsid w:val="00B71313"/>
    <w:rsid w:val="00B713B4"/>
    <w:rsid w:val="00B7141E"/>
    <w:rsid w:val="00B7143D"/>
    <w:rsid w:val="00B71D93"/>
    <w:rsid w:val="00B72834"/>
    <w:rsid w:val="00B72D9A"/>
    <w:rsid w:val="00B72E06"/>
    <w:rsid w:val="00B7373C"/>
    <w:rsid w:val="00B7388B"/>
    <w:rsid w:val="00B7391E"/>
    <w:rsid w:val="00B73B7B"/>
    <w:rsid w:val="00B73D9F"/>
    <w:rsid w:val="00B73ECA"/>
    <w:rsid w:val="00B74236"/>
    <w:rsid w:val="00B74419"/>
    <w:rsid w:val="00B744FB"/>
    <w:rsid w:val="00B749B4"/>
    <w:rsid w:val="00B74D97"/>
    <w:rsid w:val="00B74DAD"/>
    <w:rsid w:val="00B74DE2"/>
    <w:rsid w:val="00B74E04"/>
    <w:rsid w:val="00B756BC"/>
    <w:rsid w:val="00B75937"/>
    <w:rsid w:val="00B75942"/>
    <w:rsid w:val="00B75A63"/>
    <w:rsid w:val="00B75A6A"/>
    <w:rsid w:val="00B75AF8"/>
    <w:rsid w:val="00B75BD8"/>
    <w:rsid w:val="00B76057"/>
    <w:rsid w:val="00B7618B"/>
    <w:rsid w:val="00B766B1"/>
    <w:rsid w:val="00B769FD"/>
    <w:rsid w:val="00B76B8B"/>
    <w:rsid w:val="00B76D09"/>
    <w:rsid w:val="00B76EE0"/>
    <w:rsid w:val="00B76F43"/>
    <w:rsid w:val="00B77369"/>
    <w:rsid w:val="00B77581"/>
    <w:rsid w:val="00B80118"/>
    <w:rsid w:val="00B801DE"/>
    <w:rsid w:val="00B80356"/>
    <w:rsid w:val="00B8040F"/>
    <w:rsid w:val="00B80A68"/>
    <w:rsid w:val="00B80C4E"/>
    <w:rsid w:val="00B80D13"/>
    <w:rsid w:val="00B810BB"/>
    <w:rsid w:val="00B8125C"/>
    <w:rsid w:val="00B817A6"/>
    <w:rsid w:val="00B81933"/>
    <w:rsid w:val="00B82295"/>
    <w:rsid w:val="00B824E8"/>
    <w:rsid w:val="00B824EE"/>
    <w:rsid w:val="00B82C01"/>
    <w:rsid w:val="00B82C8F"/>
    <w:rsid w:val="00B82CDA"/>
    <w:rsid w:val="00B837EE"/>
    <w:rsid w:val="00B83A5A"/>
    <w:rsid w:val="00B83C83"/>
    <w:rsid w:val="00B83C84"/>
    <w:rsid w:val="00B83CD5"/>
    <w:rsid w:val="00B83E2B"/>
    <w:rsid w:val="00B840A2"/>
    <w:rsid w:val="00B84184"/>
    <w:rsid w:val="00B84741"/>
    <w:rsid w:val="00B847D4"/>
    <w:rsid w:val="00B850AC"/>
    <w:rsid w:val="00B850F4"/>
    <w:rsid w:val="00B8575A"/>
    <w:rsid w:val="00B85A91"/>
    <w:rsid w:val="00B8629F"/>
    <w:rsid w:val="00B86B84"/>
    <w:rsid w:val="00B86B8B"/>
    <w:rsid w:val="00B86C48"/>
    <w:rsid w:val="00B86F5B"/>
    <w:rsid w:val="00B86F70"/>
    <w:rsid w:val="00B87126"/>
    <w:rsid w:val="00B87763"/>
    <w:rsid w:val="00B879F7"/>
    <w:rsid w:val="00B87B00"/>
    <w:rsid w:val="00B87EB1"/>
    <w:rsid w:val="00B90302"/>
    <w:rsid w:val="00B905D3"/>
    <w:rsid w:val="00B90BC2"/>
    <w:rsid w:val="00B9132B"/>
    <w:rsid w:val="00B91486"/>
    <w:rsid w:val="00B91B58"/>
    <w:rsid w:val="00B91F9E"/>
    <w:rsid w:val="00B9296C"/>
    <w:rsid w:val="00B92C2D"/>
    <w:rsid w:val="00B92F2E"/>
    <w:rsid w:val="00B93122"/>
    <w:rsid w:val="00B932BB"/>
    <w:rsid w:val="00B93461"/>
    <w:rsid w:val="00B9397B"/>
    <w:rsid w:val="00B9426F"/>
    <w:rsid w:val="00B947D2"/>
    <w:rsid w:val="00B948EE"/>
    <w:rsid w:val="00B949D9"/>
    <w:rsid w:val="00B94A1C"/>
    <w:rsid w:val="00B94A46"/>
    <w:rsid w:val="00B94A4E"/>
    <w:rsid w:val="00B94A58"/>
    <w:rsid w:val="00B94B85"/>
    <w:rsid w:val="00B94C96"/>
    <w:rsid w:val="00B94D2E"/>
    <w:rsid w:val="00B94E86"/>
    <w:rsid w:val="00B95420"/>
    <w:rsid w:val="00B9546B"/>
    <w:rsid w:val="00B9596F"/>
    <w:rsid w:val="00B95F93"/>
    <w:rsid w:val="00B9631F"/>
    <w:rsid w:val="00B96A5B"/>
    <w:rsid w:val="00B96A78"/>
    <w:rsid w:val="00B96B08"/>
    <w:rsid w:val="00B9760D"/>
    <w:rsid w:val="00B976ED"/>
    <w:rsid w:val="00B97D3C"/>
    <w:rsid w:val="00BA005A"/>
    <w:rsid w:val="00BA0BEC"/>
    <w:rsid w:val="00BA0C28"/>
    <w:rsid w:val="00BA2AD3"/>
    <w:rsid w:val="00BA2E44"/>
    <w:rsid w:val="00BA3629"/>
    <w:rsid w:val="00BA407C"/>
    <w:rsid w:val="00BA4E76"/>
    <w:rsid w:val="00BA5938"/>
    <w:rsid w:val="00BA5E26"/>
    <w:rsid w:val="00BA5EDE"/>
    <w:rsid w:val="00BA61D9"/>
    <w:rsid w:val="00BA62BD"/>
    <w:rsid w:val="00BA6B84"/>
    <w:rsid w:val="00BA6D4B"/>
    <w:rsid w:val="00BA6D5D"/>
    <w:rsid w:val="00BA7006"/>
    <w:rsid w:val="00BA72AF"/>
    <w:rsid w:val="00BA7892"/>
    <w:rsid w:val="00BA7FBC"/>
    <w:rsid w:val="00BB0AE8"/>
    <w:rsid w:val="00BB0BC1"/>
    <w:rsid w:val="00BB0DBE"/>
    <w:rsid w:val="00BB0F08"/>
    <w:rsid w:val="00BB162A"/>
    <w:rsid w:val="00BB1C55"/>
    <w:rsid w:val="00BB1CA4"/>
    <w:rsid w:val="00BB1E53"/>
    <w:rsid w:val="00BB1F80"/>
    <w:rsid w:val="00BB2288"/>
    <w:rsid w:val="00BB2825"/>
    <w:rsid w:val="00BB2DCE"/>
    <w:rsid w:val="00BB3049"/>
    <w:rsid w:val="00BB3439"/>
    <w:rsid w:val="00BB3687"/>
    <w:rsid w:val="00BB371B"/>
    <w:rsid w:val="00BB3AAC"/>
    <w:rsid w:val="00BB3AEC"/>
    <w:rsid w:val="00BB3C68"/>
    <w:rsid w:val="00BB4404"/>
    <w:rsid w:val="00BB4419"/>
    <w:rsid w:val="00BB4907"/>
    <w:rsid w:val="00BB4D62"/>
    <w:rsid w:val="00BB4DC5"/>
    <w:rsid w:val="00BB4EE1"/>
    <w:rsid w:val="00BB5543"/>
    <w:rsid w:val="00BB562E"/>
    <w:rsid w:val="00BB599C"/>
    <w:rsid w:val="00BB5C1B"/>
    <w:rsid w:val="00BB5F8F"/>
    <w:rsid w:val="00BB601E"/>
    <w:rsid w:val="00BB613A"/>
    <w:rsid w:val="00BB635C"/>
    <w:rsid w:val="00BB6640"/>
    <w:rsid w:val="00BB6E7A"/>
    <w:rsid w:val="00BB6EBB"/>
    <w:rsid w:val="00BB710D"/>
    <w:rsid w:val="00BB72C8"/>
    <w:rsid w:val="00BB7D96"/>
    <w:rsid w:val="00BB7E75"/>
    <w:rsid w:val="00BC00FB"/>
    <w:rsid w:val="00BC0951"/>
    <w:rsid w:val="00BC0C1A"/>
    <w:rsid w:val="00BC12C9"/>
    <w:rsid w:val="00BC1715"/>
    <w:rsid w:val="00BC2741"/>
    <w:rsid w:val="00BC2797"/>
    <w:rsid w:val="00BC2E8B"/>
    <w:rsid w:val="00BC34D2"/>
    <w:rsid w:val="00BC3551"/>
    <w:rsid w:val="00BC3872"/>
    <w:rsid w:val="00BC436A"/>
    <w:rsid w:val="00BC5089"/>
    <w:rsid w:val="00BC521E"/>
    <w:rsid w:val="00BC53A1"/>
    <w:rsid w:val="00BC5495"/>
    <w:rsid w:val="00BC5702"/>
    <w:rsid w:val="00BC5B16"/>
    <w:rsid w:val="00BC5D5E"/>
    <w:rsid w:val="00BC6087"/>
    <w:rsid w:val="00BC6372"/>
    <w:rsid w:val="00BC6BC7"/>
    <w:rsid w:val="00BC6C60"/>
    <w:rsid w:val="00BC6D60"/>
    <w:rsid w:val="00BC79CE"/>
    <w:rsid w:val="00BD03F2"/>
    <w:rsid w:val="00BD0459"/>
    <w:rsid w:val="00BD080B"/>
    <w:rsid w:val="00BD0CCE"/>
    <w:rsid w:val="00BD0D83"/>
    <w:rsid w:val="00BD0EDF"/>
    <w:rsid w:val="00BD10FD"/>
    <w:rsid w:val="00BD14A4"/>
    <w:rsid w:val="00BD1870"/>
    <w:rsid w:val="00BD20FE"/>
    <w:rsid w:val="00BD2124"/>
    <w:rsid w:val="00BD241F"/>
    <w:rsid w:val="00BD2809"/>
    <w:rsid w:val="00BD32FF"/>
    <w:rsid w:val="00BD34AA"/>
    <w:rsid w:val="00BD3814"/>
    <w:rsid w:val="00BD389D"/>
    <w:rsid w:val="00BD3C28"/>
    <w:rsid w:val="00BD4410"/>
    <w:rsid w:val="00BD4C2E"/>
    <w:rsid w:val="00BD4F27"/>
    <w:rsid w:val="00BD6194"/>
    <w:rsid w:val="00BD642A"/>
    <w:rsid w:val="00BD6DA5"/>
    <w:rsid w:val="00BD6DD3"/>
    <w:rsid w:val="00BD6DF1"/>
    <w:rsid w:val="00BD7527"/>
    <w:rsid w:val="00BD77CA"/>
    <w:rsid w:val="00BD7C1F"/>
    <w:rsid w:val="00BD7C42"/>
    <w:rsid w:val="00BD7DC5"/>
    <w:rsid w:val="00BD7F77"/>
    <w:rsid w:val="00BE05F8"/>
    <w:rsid w:val="00BE0DAE"/>
    <w:rsid w:val="00BE12BC"/>
    <w:rsid w:val="00BE12DC"/>
    <w:rsid w:val="00BE1376"/>
    <w:rsid w:val="00BE1512"/>
    <w:rsid w:val="00BE181D"/>
    <w:rsid w:val="00BE191D"/>
    <w:rsid w:val="00BE19EE"/>
    <w:rsid w:val="00BE1D9F"/>
    <w:rsid w:val="00BE1E4F"/>
    <w:rsid w:val="00BE28AA"/>
    <w:rsid w:val="00BE30EC"/>
    <w:rsid w:val="00BE3512"/>
    <w:rsid w:val="00BE35F3"/>
    <w:rsid w:val="00BE360B"/>
    <w:rsid w:val="00BE4057"/>
    <w:rsid w:val="00BE42E3"/>
    <w:rsid w:val="00BE4500"/>
    <w:rsid w:val="00BE4C21"/>
    <w:rsid w:val="00BE4C7B"/>
    <w:rsid w:val="00BE5E98"/>
    <w:rsid w:val="00BE5F52"/>
    <w:rsid w:val="00BE602A"/>
    <w:rsid w:val="00BE6547"/>
    <w:rsid w:val="00BE67D3"/>
    <w:rsid w:val="00BE6838"/>
    <w:rsid w:val="00BE6B13"/>
    <w:rsid w:val="00BE6BB0"/>
    <w:rsid w:val="00BE70C1"/>
    <w:rsid w:val="00BE72BD"/>
    <w:rsid w:val="00BE75A3"/>
    <w:rsid w:val="00BE774D"/>
    <w:rsid w:val="00BE776F"/>
    <w:rsid w:val="00BE7A73"/>
    <w:rsid w:val="00BE7D0D"/>
    <w:rsid w:val="00BE7E99"/>
    <w:rsid w:val="00BF01A6"/>
    <w:rsid w:val="00BF051F"/>
    <w:rsid w:val="00BF0669"/>
    <w:rsid w:val="00BF0748"/>
    <w:rsid w:val="00BF0A66"/>
    <w:rsid w:val="00BF0AE3"/>
    <w:rsid w:val="00BF0B19"/>
    <w:rsid w:val="00BF0E75"/>
    <w:rsid w:val="00BF256D"/>
    <w:rsid w:val="00BF27A3"/>
    <w:rsid w:val="00BF2BF6"/>
    <w:rsid w:val="00BF2E93"/>
    <w:rsid w:val="00BF2FA9"/>
    <w:rsid w:val="00BF2FE4"/>
    <w:rsid w:val="00BF3061"/>
    <w:rsid w:val="00BF3092"/>
    <w:rsid w:val="00BF3237"/>
    <w:rsid w:val="00BF3D71"/>
    <w:rsid w:val="00BF3F51"/>
    <w:rsid w:val="00BF454B"/>
    <w:rsid w:val="00BF47BB"/>
    <w:rsid w:val="00BF4BC6"/>
    <w:rsid w:val="00BF4EEE"/>
    <w:rsid w:val="00BF5757"/>
    <w:rsid w:val="00BF595A"/>
    <w:rsid w:val="00BF5C64"/>
    <w:rsid w:val="00BF5FC8"/>
    <w:rsid w:val="00BF62B7"/>
    <w:rsid w:val="00BF645E"/>
    <w:rsid w:val="00BF67C6"/>
    <w:rsid w:val="00BF680B"/>
    <w:rsid w:val="00BF74ED"/>
    <w:rsid w:val="00BF7510"/>
    <w:rsid w:val="00BF778C"/>
    <w:rsid w:val="00BF7954"/>
    <w:rsid w:val="00BF7B94"/>
    <w:rsid w:val="00BF7C9A"/>
    <w:rsid w:val="00BF7DD1"/>
    <w:rsid w:val="00BF7E4F"/>
    <w:rsid w:val="00C0030D"/>
    <w:rsid w:val="00C0045E"/>
    <w:rsid w:val="00C004CD"/>
    <w:rsid w:val="00C005F2"/>
    <w:rsid w:val="00C00E54"/>
    <w:rsid w:val="00C0105D"/>
    <w:rsid w:val="00C0158C"/>
    <w:rsid w:val="00C016F7"/>
    <w:rsid w:val="00C01949"/>
    <w:rsid w:val="00C01B1A"/>
    <w:rsid w:val="00C01BAB"/>
    <w:rsid w:val="00C022CE"/>
    <w:rsid w:val="00C0237B"/>
    <w:rsid w:val="00C02487"/>
    <w:rsid w:val="00C02B10"/>
    <w:rsid w:val="00C02B93"/>
    <w:rsid w:val="00C02BD0"/>
    <w:rsid w:val="00C02ECD"/>
    <w:rsid w:val="00C031AA"/>
    <w:rsid w:val="00C0344D"/>
    <w:rsid w:val="00C036C8"/>
    <w:rsid w:val="00C03750"/>
    <w:rsid w:val="00C0449B"/>
    <w:rsid w:val="00C0497D"/>
    <w:rsid w:val="00C04BA4"/>
    <w:rsid w:val="00C04C2E"/>
    <w:rsid w:val="00C04C3F"/>
    <w:rsid w:val="00C04ED9"/>
    <w:rsid w:val="00C04FDC"/>
    <w:rsid w:val="00C05024"/>
    <w:rsid w:val="00C05D56"/>
    <w:rsid w:val="00C05DFE"/>
    <w:rsid w:val="00C05E1D"/>
    <w:rsid w:val="00C06113"/>
    <w:rsid w:val="00C068A8"/>
    <w:rsid w:val="00C068E3"/>
    <w:rsid w:val="00C06C3B"/>
    <w:rsid w:val="00C076D0"/>
    <w:rsid w:val="00C07895"/>
    <w:rsid w:val="00C07A25"/>
    <w:rsid w:val="00C07D7D"/>
    <w:rsid w:val="00C1030F"/>
    <w:rsid w:val="00C1040C"/>
    <w:rsid w:val="00C104CA"/>
    <w:rsid w:val="00C109EE"/>
    <w:rsid w:val="00C10BEE"/>
    <w:rsid w:val="00C10C8E"/>
    <w:rsid w:val="00C115D0"/>
    <w:rsid w:val="00C1167C"/>
    <w:rsid w:val="00C11855"/>
    <w:rsid w:val="00C119FD"/>
    <w:rsid w:val="00C11C15"/>
    <w:rsid w:val="00C11CC5"/>
    <w:rsid w:val="00C11F75"/>
    <w:rsid w:val="00C121E4"/>
    <w:rsid w:val="00C12442"/>
    <w:rsid w:val="00C12762"/>
    <w:rsid w:val="00C12805"/>
    <w:rsid w:val="00C12845"/>
    <w:rsid w:val="00C129F7"/>
    <w:rsid w:val="00C12B01"/>
    <w:rsid w:val="00C132FA"/>
    <w:rsid w:val="00C136BC"/>
    <w:rsid w:val="00C13A59"/>
    <w:rsid w:val="00C13A5E"/>
    <w:rsid w:val="00C13FBA"/>
    <w:rsid w:val="00C14663"/>
    <w:rsid w:val="00C14712"/>
    <w:rsid w:val="00C14988"/>
    <w:rsid w:val="00C155A2"/>
    <w:rsid w:val="00C15ACA"/>
    <w:rsid w:val="00C16B11"/>
    <w:rsid w:val="00C17180"/>
    <w:rsid w:val="00C172AE"/>
    <w:rsid w:val="00C173EE"/>
    <w:rsid w:val="00C17FD0"/>
    <w:rsid w:val="00C200F3"/>
    <w:rsid w:val="00C20455"/>
    <w:rsid w:val="00C205FF"/>
    <w:rsid w:val="00C2079F"/>
    <w:rsid w:val="00C20C2D"/>
    <w:rsid w:val="00C20DED"/>
    <w:rsid w:val="00C20EB4"/>
    <w:rsid w:val="00C21B96"/>
    <w:rsid w:val="00C21D4B"/>
    <w:rsid w:val="00C227C4"/>
    <w:rsid w:val="00C22FC0"/>
    <w:rsid w:val="00C23FA1"/>
    <w:rsid w:val="00C23FB9"/>
    <w:rsid w:val="00C2417C"/>
    <w:rsid w:val="00C242DC"/>
    <w:rsid w:val="00C243FB"/>
    <w:rsid w:val="00C2506E"/>
    <w:rsid w:val="00C255AF"/>
    <w:rsid w:val="00C2568F"/>
    <w:rsid w:val="00C256F7"/>
    <w:rsid w:val="00C25AF8"/>
    <w:rsid w:val="00C26160"/>
    <w:rsid w:val="00C26381"/>
    <w:rsid w:val="00C26544"/>
    <w:rsid w:val="00C27209"/>
    <w:rsid w:val="00C27316"/>
    <w:rsid w:val="00C2792E"/>
    <w:rsid w:val="00C27A33"/>
    <w:rsid w:val="00C27B58"/>
    <w:rsid w:val="00C27DF1"/>
    <w:rsid w:val="00C3014F"/>
    <w:rsid w:val="00C307A5"/>
    <w:rsid w:val="00C30C74"/>
    <w:rsid w:val="00C30DD6"/>
    <w:rsid w:val="00C30EC0"/>
    <w:rsid w:val="00C3126E"/>
    <w:rsid w:val="00C3198E"/>
    <w:rsid w:val="00C31A58"/>
    <w:rsid w:val="00C31AF3"/>
    <w:rsid w:val="00C31F53"/>
    <w:rsid w:val="00C324DC"/>
    <w:rsid w:val="00C32925"/>
    <w:rsid w:val="00C33497"/>
    <w:rsid w:val="00C33E8D"/>
    <w:rsid w:val="00C341A7"/>
    <w:rsid w:val="00C341D8"/>
    <w:rsid w:val="00C345EE"/>
    <w:rsid w:val="00C3460F"/>
    <w:rsid w:val="00C348D1"/>
    <w:rsid w:val="00C34A3C"/>
    <w:rsid w:val="00C34FE5"/>
    <w:rsid w:val="00C35047"/>
    <w:rsid w:val="00C357A0"/>
    <w:rsid w:val="00C3585F"/>
    <w:rsid w:val="00C35B87"/>
    <w:rsid w:val="00C35CF8"/>
    <w:rsid w:val="00C360B4"/>
    <w:rsid w:val="00C36711"/>
    <w:rsid w:val="00C36C9E"/>
    <w:rsid w:val="00C370F4"/>
    <w:rsid w:val="00C379C6"/>
    <w:rsid w:val="00C37B19"/>
    <w:rsid w:val="00C37F57"/>
    <w:rsid w:val="00C40036"/>
    <w:rsid w:val="00C40560"/>
    <w:rsid w:val="00C40694"/>
    <w:rsid w:val="00C406A7"/>
    <w:rsid w:val="00C4078C"/>
    <w:rsid w:val="00C40B2E"/>
    <w:rsid w:val="00C40CF1"/>
    <w:rsid w:val="00C40F97"/>
    <w:rsid w:val="00C416B5"/>
    <w:rsid w:val="00C418B6"/>
    <w:rsid w:val="00C4199E"/>
    <w:rsid w:val="00C42754"/>
    <w:rsid w:val="00C42820"/>
    <w:rsid w:val="00C42E6C"/>
    <w:rsid w:val="00C43B4E"/>
    <w:rsid w:val="00C44122"/>
    <w:rsid w:val="00C447F7"/>
    <w:rsid w:val="00C44899"/>
    <w:rsid w:val="00C44F05"/>
    <w:rsid w:val="00C44F96"/>
    <w:rsid w:val="00C4512A"/>
    <w:rsid w:val="00C4536F"/>
    <w:rsid w:val="00C4540A"/>
    <w:rsid w:val="00C46045"/>
    <w:rsid w:val="00C46317"/>
    <w:rsid w:val="00C466FF"/>
    <w:rsid w:val="00C467FF"/>
    <w:rsid w:val="00C469A5"/>
    <w:rsid w:val="00C4725A"/>
    <w:rsid w:val="00C4737C"/>
    <w:rsid w:val="00C47B95"/>
    <w:rsid w:val="00C47EDD"/>
    <w:rsid w:val="00C47FFD"/>
    <w:rsid w:val="00C50060"/>
    <w:rsid w:val="00C50413"/>
    <w:rsid w:val="00C50CE3"/>
    <w:rsid w:val="00C50D7C"/>
    <w:rsid w:val="00C50DCF"/>
    <w:rsid w:val="00C50F18"/>
    <w:rsid w:val="00C51086"/>
    <w:rsid w:val="00C5169F"/>
    <w:rsid w:val="00C517DB"/>
    <w:rsid w:val="00C5201A"/>
    <w:rsid w:val="00C52033"/>
    <w:rsid w:val="00C520F4"/>
    <w:rsid w:val="00C526EF"/>
    <w:rsid w:val="00C5292D"/>
    <w:rsid w:val="00C52F62"/>
    <w:rsid w:val="00C53099"/>
    <w:rsid w:val="00C53335"/>
    <w:rsid w:val="00C539CD"/>
    <w:rsid w:val="00C53B60"/>
    <w:rsid w:val="00C53F8B"/>
    <w:rsid w:val="00C540CD"/>
    <w:rsid w:val="00C541F4"/>
    <w:rsid w:val="00C5424B"/>
    <w:rsid w:val="00C54311"/>
    <w:rsid w:val="00C5456B"/>
    <w:rsid w:val="00C545F3"/>
    <w:rsid w:val="00C546EC"/>
    <w:rsid w:val="00C547D7"/>
    <w:rsid w:val="00C548D5"/>
    <w:rsid w:val="00C549E6"/>
    <w:rsid w:val="00C54CE5"/>
    <w:rsid w:val="00C54F72"/>
    <w:rsid w:val="00C55DB7"/>
    <w:rsid w:val="00C5621C"/>
    <w:rsid w:val="00C5639E"/>
    <w:rsid w:val="00C5651A"/>
    <w:rsid w:val="00C5653C"/>
    <w:rsid w:val="00C56882"/>
    <w:rsid w:val="00C56A12"/>
    <w:rsid w:val="00C56BA1"/>
    <w:rsid w:val="00C56CB6"/>
    <w:rsid w:val="00C56DCE"/>
    <w:rsid w:val="00C56FF7"/>
    <w:rsid w:val="00C570F2"/>
    <w:rsid w:val="00C571B5"/>
    <w:rsid w:val="00C57C73"/>
    <w:rsid w:val="00C57F3C"/>
    <w:rsid w:val="00C60268"/>
    <w:rsid w:val="00C604FD"/>
    <w:rsid w:val="00C60B54"/>
    <w:rsid w:val="00C60BBE"/>
    <w:rsid w:val="00C60FCB"/>
    <w:rsid w:val="00C61079"/>
    <w:rsid w:val="00C611FC"/>
    <w:rsid w:val="00C622D5"/>
    <w:rsid w:val="00C622EA"/>
    <w:rsid w:val="00C62487"/>
    <w:rsid w:val="00C625F3"/>
    <w:rsid w:val="00C62608"/>
    <w:rsid w:val="00C62787"/>
    <w:rsid w:val="00C62796"/>
    <w:rsid w:val="00C628CD"/>
    <w:rsid w:val="00C63128"/>
    <w:rsid w:val="00C63181"/>
    <w:rsid w:val="00C6328A"/>
    <w:rsid w:val="00C63321"/>
    <w:rsid w:val="00C6367E"/>
    <w:rsid w:val="00C63906"/>
    <w:rsid w:val="00C63C0B"/>
    <w:rsid w:val="00C64539"/>
    <w:rsid w:val="00C64C71"/>
    <w:rsid w:val="00C65516"/>
    <w:rsid w:val="00C65B41"/>
    <w:rsid w:val="00C6664C"/>
    <w:rsid w:val="00C666B5"/>
    <w:rsid w:val="00C679D7"/>
    <w:rsid w:val="00C70239"/>
    <w:rsid w:val="00C706AE"/>
    <w:rsid w:val="00C70CE8"/>
    <w:rsid w:val="00C70E0F"/>
    <w:rsid w:val="00C729E3"/>
    <w:rsid w:val="00C72B8F"/>
    <w:rsid w:val="00C72CF2"/>
    <w:rsid w:val="00C72D05"/>
    <w:rsid w:val="00C732DA"/>
    <w:rsid w:val="00C737D0"/>
    <w:rsid w:val="00C739D1"/>
    <w:rsid w:val="00C744F9"/>
    <w:rsid w:val="00C751A3"/>
    <w:rsid w:val="00C75516"/>
    <w:rsid w:val="00C75BE7"/>
    <w:rsid w:val="00C7601D"/>
    <w:rsid w:val="00C76299"/>
    <w:rsid w:val="00C76586"/>
    <w:rsid w:val="00C76EB5"/>
    <w:rsid w:val="00C7769B"/>
    <w:rsid w:val="00C778C1"/>
    <w:rsid w:val="00C77931"/>
    <w:rsid w:val="00C808C1"/>
    <w:rsid w:val="00C80989"/>
    <w:rsid w:val="00C80B48"/>
    <w:rsid w:val="00C80CE6"/>
    <w:rsid w:val="00C82208"/>
    <w:rsid w:val="00C824BA"/>
    <w:rsid w:val="00C825FB"/>
    <w:rsid w:val="00C8295E"/>
    <w:rsid w:val="00C82C2F"/>
    <w:rsid w:val="00C82E0F"/>
    <w:rsid w:val="00C82EE4"/>
    <w:rsid w:val="00C82F70"/>
    <w:rsid w:val="00C83387"/>
    <w:rsid w:val="00C833B7"/>
    <w:rsid w:val="00C839F1"/>
    <w:rsid w:val="00C839F2"/>
    <w:rsid w:val="00C83D2E"/>
    <w:rsid w:val="00C83F84"/>
    <w:rsid w:val="00C8405C"/>
    <w:rsid w:val="00C8417E"/>
    <w:rsid w:val="00C843DE"/>
    <w:rsid w:val="00C84550"/>
    <w:rsid w:val="00C8468C"/>
    <w:rsid w:val="00C84717"/>
    <w:rsid w:val="00C84724"/>
    <w:rsid w:val="00C84B2D"/>
    <w:rsid w:val="00C8500E"/>
    <w:rsid w:val="00C8518E"/>
    <w:rsid w:val="00C8522D"/>
    <w:rsid w:val="00C8524D"/>
    <w:rsid w:val="00C852BA"/>
    <w:rsid w:val="00C853FD"/>
    <w:rsid w:val="00C85803"/>
    <w:rsid w:val="00C86B2F"/>
    <w:rsid w:val="00C86BE0"/>
    <w:rsid w:val="00C86DA6"/>
    <w:rsid w:val="00C87447"/>
    <w:rsid w:val="00C8744A"/>
    <w:rsid w:val="00C877AD"/>
    <w:rsid w:val="00C909B9"/>
    <w:rsid w:val="00C90A21"/>
    <w:rsid w:val="00C90BBF"/>
    <w:rsid w:val="00C90CEF"/>
    <w:rsid w:val="00C910EE"/>
    <w:rsid w:val="00C9119D"/>
    <w:rsid w:val="00C911AD"/>
    <w:rsid w:val="00C91812"/>
    <w:rsid w:val="00C91EF1"/>
    <w:rsid w:val="00C91F60"/>
    <w:rsid w:val="00C91FB7"/>
    <w:rsid w:val="00C9257E"/>
    <w:rsid w:val="00C92586"/>
    <w:rsid w:val="00C92604"/>
    <w:rsid w:val="00C92737"/>
    <w:rsid w:val="00C92824"/>
    <w:rsid w:val="00C92901"/>
    <w:rsid w:val="00C92F89"/>
    <w:rsid w:val="00C92FC4"/>
    <w:rsid w:val="00C9346D"/>
    <w:rsid w:val="00C934C6"/>
    <w:rsid w:val="00C93502"/>
    <w:rsid w:val="00C93639"/>
    <w:rsid w:val="00C93644"/>
    <w:rsid w:val="00C93909"/>
    <w:rsid w:val="00C93AF9"/>
    <w:rsid w:val="00C93BB3"/>
    <w:rsid w:val="00C93BDD"/>
    <w:rsid w:val="00C93F2C"/>
    <w:rsid w:val="00C93FD0"/>
    <w:rsid w:val="00C94569"/>
    <w:rsid w:val="00C947A1"/>
    <w:rsid w:val="00C94A38"/>
    <w:rsid w:val="00C94AF4"/>
    <w:rsid w:val="00C94CB9"/>
    <w:rsid w:val="00C94E2C"/>
    <w:rsid w:val="00C94FD3"/>
    <w:rsid w:val="00C950DB"/>
    <w:rsid w:val="00C951B1"/>
    <w:rsid w:val="00C954CE"/>
    <w:rsid w:val="00C957CB"/>
    <w:rsid w:val="00C95A6D"/>
    <w:rsid w:val="00C960AC"/>
    <w:rsid w:val="00C96259"/>
    <w:rsid w:val="00C9635D"/>
    <w:rsid w:val="00C96986"/>
    <w:rsid w:val="00C96AEF"/>
    <w:rsid w:val="00C96E13"/>
    <w:rsid w:val="00C97457"/>
    <w:rsid w:val="00C978AE"/>
    <w:rsid w:val="00C978FD"/>
    <w:rsid w:val="00C97983"/>
    <w:rsid w:val="00C97BC7"/>
    <w:rsid w:val="00C97D81"/>
    <w:rsid w:val="00C97DD0"/>
    <w:rsid w:val="00CA01CE"/>
    <w:rsid w:val="00CA06FD"/>
    <w:rsid w:val="00CA0884"/>
    <w:rsid w:val="00CA0BB8"/>
    <w:rsid w:val="00CA0C05"/>
    <w:rsid w:val="00CA0D80"/>
    <w:rsid w:val="00CA0F4D"/>
    <w:rsid w:val="00CA10ED"/>
    <w:rsid w:val="00CA13D6"/>
    <w:rsid w:val="00CA1497"/>
    <w:rsid w:val="00CA15E0"/>
    <w:rsid w:val="00CA1692"/>
    <w:rsid w:val="00CA1EB3"/>
    <w:rsid w:val="00CA21FA"/>
    <w:rsid w:val="00CA26D5"/>
    <w:rsid w:val="00CA283A"/>
    <w:rsid w:val="00CA290A"/>
    <w:rsid w:val="00CA2ADD"/>
    <w:rsid w:val="00CA2B53"/>
    <w:rsid w:val="00CA2B5B"/>
    <w:rsid w:val="00CA2C45"/>
    <w:rsid w:val="00CA2C68"/>
    <w:rsid w:val="00CA3231"/>
    <w:rsid w:val="00CA332F"/>
    <w:rsid w:val="00CA35B9"/>
    <w:rsid w:val="00CA3A8D"/>
    <w:rsid w:val="00CA3C4C"/>
    <w:rsid w:val="00CA3E90"/>
    <w:rsid w:val="00CA3FB6"/>
    <w:rsid w:val="00CA42B4"/>
    <w:rsid w:val="00CA42CC"/>
    <w:rsid w:val="00CA4476"/>
    <w:rsid w:val="00CA44AA"/>
    <w:rsid w:val="00CA46F4"/>
    <w:rsid w:val="00CA49D6"/>
    <w:rsid w:val="00CA5017"/>
    <w:rsid w:val="00CA520D"/>
    <w:rsid w:val="00CA53A3"/>
    <w:rsid w:val="00CA56B4"/>
    <w:rsid w:val="00CA5A19"/>
    <w:rsid w:val="00CA5F55"/>
    <w:rsid w:val="00CA6034"/>
    <w:rsid w:val="00CA70D6"/>
    <w:rsid w:val="00CA72B5"/>
    <w:rsid w:val="00CA733E"/>
    <w:rsid w:val="00CA798A"/>
    <w:rsid w:val="00CA7A2C"/>
    <w:rsid w:val="00CA7A96"/>
    <w:rsid w:val="00CA7A9C"/>
    <w:rsid w:val="00CA7CE7"/>
    <w:rsid w:val="00CB0034"/>
    <w:rsid w:val="00CB0626"/>
    <w:rsid w:val="00CB0AB6"/>
    <w:rsid w:val="00CB10DF"/>
    <w:rsid w:val="00CB1E76"/>
    <w:rsid w:val="00CB1EEF"/>
    <w:rsid w:val="00CB21FA"/>
    <w:rsid w:val="00CB29A1"/>
    <w:rsid w:val="00CB39D2"/>
    <w:rsid w:val="00CB3D82"/>
    <w:rsid w:val="00CB4381"/>
    <w:rsid w:val="00CB44BB"/>
    <w:rsid w:val="00CB4B3B"/>
    <w:rsid w:val="00CB4BF7"/>
    <w:rsid w:val="00CB4F6C"/>
    <w:rsid w:val="00CB51FB"/>
    <w:rsid w:val="00CB60D8"/>
    <w:rsid w:val="00CB624D"/>
    <w:rsid w:val="00CB6481"/>
    <w:rsid w:val="00CB679C"/>
    <w:rsid w:val="00CB6EFF"/>
    <w:rsid w:val="00CB7055"/>
    <w:rsid w:val="00CB70D7"/>
    <w:rsid w:val="00CB7520"/>
    <w:rsid w:val="00CB776E"/>
    <w:rsid w:val="00CB7DB6"/>
    <w:rsid w:val="00CB7DBE"/>
    <w:rsid w:val="00CB7E2D"/>
    <w:rsid w:val="00CC0101"/>
    <w:rsid w:val="00CC0558"/>
    <w:rsid w:val="00CC06EA"/>
    <w:rsid w:val="00CC0800"/>
    <w:rsid w:val="00CC09F4"/>
    <w:rsid w:val="00CC0D68"/>
    <w:rsid w:val="00CC1499"/>
    <w:rsid w:val="00CC14F8"/>
    <w:rsid w:val="00CC15EC"/>
    <w:rsid w:val="00CC172C"/>
    <w:rsid w:val="00CC1C49"/>
    <w:rsid w:val="00CC1F55"/>
    <w:rsid w:val="00CC200F"/>
    <w:rsid w:val="00CC21C2"/>
    <w:rsid w:val="00CC24F3"/>
    <w:rsid w:val="00CC2745"/>
    <w:rsid w:val="00CC299F"/>
    <w:rsid w:val="00CC3925"/>
    <w:rsid w:val="00CC39D8"/>
    <w:rsid w:val="00CC4320"/>
    <w:rsid w:val="00CC4737"/>
    <w:rsid w:val="00CC4ADE"/>
    <w:rsid w:val="00CC561B"/>
    <w:rsid w:val="00CC5B70"/>
    <w:rsid w:val="00CC5D79"/>
    <w:rsid w:val="00CC5F85"/>
    <w:rsid w:val="00CC6531"/>
    <w:rsid w:val="00CC67D2"/>
    <w:rsid w:val="00CC69E1"/>
    <w:rsid w:val="00CC6A45"/>
    <w:rsid w:val="00CC6AFF"/>
    <w:rsid w:val="00CC711A"/>
    <w:rsid w:val="00CC78F9"/>
    <w:rsid w:val="00CC7B1F"/>
    <w:rsid w:val="00CC7CAF"/>
    <w:rsid w:val="00CC7E85"/>
    <w:rsid w:val="00CC7F39"/>
    <w:rsid w:val="00CC7FFC"/>
    <w:rsid w:val="00CD0116"/>
    <w:rsid w:val="00CD09D1"/>
    <w:rsid w:val="00CD1070"/>
    <w:rsid w:val="00CD1635"/>
    <w:rsid w:val="00CD2054"/>
    <w:rsid w:val="00CD2214"/>
    <w:rsid w:val="00CD22ED"/>
    <w:rsid w:val="00CD231B"/>
    <w:rsid w:val="00CD2F4C"/>
    <w:rsid w:val="00CD3659"/>
    <w:rsid w:val="00CD3662"/>
    <w:rsid w:val="00CD40C5"/>
    <w:rsid w:val="00CD461A"/>
    <w:rsid w:val="00CD4796"/>
    <w:rsid w:val="00CD5BF9"/>
    <w:rsid w:val="00CD6F93"/>
    <w:rsid w:val="00CD70BE"/>
    <w:rsid w:val="00CD739E"/>
    <w:rsid w:val="00CD73EA"/>
    <w:rsid w:val="00CD754A"/>
    <w:rsid w:val="00CD79E6"/>
    <w:rsid w:val="00CE0240"/>
    <w:rsid w:val="00CE02B2"/>
    <w:rsid w:val="00CE035A"/>
    <w:rsid w:val="00CE05C3"/>
    <w:rsid w:val="00CE0887"/>
    <w:rsid w:val="00CE0925"/>
    <w:rsid w:val="00CE09D8"/>
    <w:rsid w:val="00CE0C2D"/>
    <w:rsid w:val="00CE0D52"/>
    <w:rsid w:val="00CE0F63"/>
    <w:rsid w:val="00CE1995"/>
    <w:rsid w:val="00CE21C5"/>
    <w:rsid w:val="00CE22F1"/>
    <w:rsid w:val="00CE2312"/>
    <w:rsid w:val="00CE24CC"/>
    <w:rsid w:val="00CE26AE"/>
    <w:rsid w:val="00CE2795"/>
    <w:rsid w:val="00CE28C7"/>
    <w:rsid w:val="00CE2AB6"/>
    <w:rsid w:val="00CE2AC0"/>
    <w:rsid w:val="00CE2E46"/>
    <w:rsid w:val="00CE2F4C"/>
    <w:rsid w:val="00CE3152"/>
    <w:rsid w:val="00CE372E"/>
    <w:rsid w:val="00CE3741"/>
    <w:rsid w:val="00CE3755"/>
    <w:rsid w:val="00CE3E94"/>
    <w:rsid w:val="00CE4097"/>
    <w:rsid w:val="00CE43D6"/>
    <w:rsid w:val="00CE49F3"/>
    <w:rsid w:val="00CE4CED"/>
    <w:rsid w:val="00CE50CD"/>
    <w:rsid w:val="00CE5184"/>
    <w:rsid w:val="00CE5369"/>
    <w:rsid w:val="00CE53A3"/>
    <w:rsid w:val="00CE56D5"/>
    <w:rsid w:val="00CE62CE"/>
    <w:rsid w:val="00CE64C0"/>
    <w:rsid w:val="00CE6721"/>
    <w:rsid w:val="00CE6C9F"/>
    <w:rsid w:val="00CE7233"/>
    <w:rsid w:val="00CE742D"/>
    <w:rsid w:val="00CE7D12"/>
    <w:rsid w:val="00CF014E"/>
    <w:rsid w:val="00CF09DE"/>
    <w:rsid w:val="00CF0BC9"/>
    <w:rsid w:val="00CF0D6E"/>
    <w:rsid w:val="00CF1194"/>
    <w:rsid w:val="00CF13A4"/>
    <w:rsid w:val="00CF14C9"/>
    <w:rsid w:val="00CF183B"/>
    <w:rsid w:val="00CF1BF1"/>
    <w:rsid w:val="00CF31D3"/>
    <w:rsid w:val="00CF32B4"/>
    <w:rsid w:val="00CF391C"/>
    <w:rsid w:val="00CF3ABA"/>
    <w:rsid w:val="00CF3CC8"/>
    <w:rsid w:val="00CF3DF4"/>
    <w:rsid w:val="00CF43CD"/>
    <w:rsid w:val="00CF4614"/>
    <w:rsid w:val="00CF4BBA"/>
    <w:rsid w:val="00CF578E"/>
    <w:rsid w:val="00CF5B5C"/>
    <w:rsid w:val="00CF5E13"/>
    <w:rsid w:val="00CF5EE8"/>
    <w:rsid w:val="00CF6137"/>
    <w:rsid w:val="00CF6782"/>
    <w:rsid w:val="00CF6A10"/>
    <w:rsid w:val="00CF6C16"/>
    <w:rsid w:val="00CF6F97"/>
    <w:rsid w:val="00CF7A08"/>
    <w:rsid w:val="00CF7C12"/>
    <w:rsid w:val="00CF7E5A"/>
    <w:rsid w:val="00CF7FDA"/>
    <w:rsid w:val="00D0012D"/>
    <w:rsid w:val="00D00261"/>
    <w:rsid w:val="00D00E50"/>
    <w:rsid w:val="00D01249"/>
    <w:rsid w:val="00D017A3"/>
    <w:rsid w:val="00D019F5"/>
    <w:rsid w:val="00D019FE"/>
    <w:rsid w:val="00D01A6A"/>
    <w:rsid w:val="00D01E99"/>
    <w:rsid w:val="00D021C3"/>
    <w:rsid w:val="00D02432"/>
    <w:rsid w:val="00D029B6"/>
    <w:rsid w:val="00D034E3"/>
    <w:rsid w:val="00D03ED9"/>
    <w:rsid w:val="00D04869"/>
    <w:rsid w:val="00D05088"/>
    <w:rsid w:val="00D05358"/>
    <w:rsid w:val="00D057A5"/>
    <w:rsid w:val="00D05801"/>
    <w:rsid w:val="00D059B2"/>
    <w:rsid w:val="00D05B44"/>
    <w:rsid w:val="00D05B7B"/>
    <w:rsid w:val="00D05D3F"/>
    <w:rsid w:val="00D05E6E"/>
    <w:rsid w:val="00D06173"/>
    <w:rsid w:val="00D06545"/>
    <w:rsid w:val="00D06D55"/>
    <w:rsid w:val="00D06F68"/>
    <w:rsid w:val="00D0721D"/>
    <w:rsid w:val="00D07296"/>
    <w:rsid w:val="00D07928"/>
    <w:rsid w:val="00D07B3B"/>
    <w:rsid w:val="00D07B71"/>
    <w:rsid w:val="00D07F97"/>
    <w:rsid w:val="00D10713"/>
    <w:rsid w:val="00D10CC9"/>
    <w:rsid w:val="00D10DCF"/>
    <w:rsid w:val="00D10DD4"/>
    <w:rsid w:val="00D118E8"/>
    <w:rsid w:val="00D11C2D"/>
    <w:rsid w:val="00D12DE1"/>
    <w:rsid w:val="00D12F47"/>
    <w:rsid w:val="00D130E3"/>
    <w:rsid w:val="00D1359F"/>
    <w:rsid w:val="00D1382A"/>
    <w:rsid w:val="00D13863"/>
    <w:rsid w:val="00D14371"/>
    <w:rsid w:val="00D143D0"/>
    <w:rsid w:val="00D1451F"/>
    <w:rsid w:val="00D147B7"/>
    <w:rsid w:val="00D147C0"/>
    <w:rsid w:val="00D14904"/>
    <w:rsid w:val="00D14DB2"/>
    <w:rsid w:val="00D15092"/>
    <w:rsid w:val="00D150B2"/>
    <w:rsid w:val="00D15240"/>
    <w:rsid w:val="00D154CA"/>
    <w:rsid w:val="00D157F9"/>
    <w:rsid w:val="00D15FFD"/>
    <w:rsid w:val="00D161CF"/>
    <w:rsid w:val="00D16A60"/>
    <w:rsid w:val="00D16C78"/>
    <w:rsid w:val="00D16CD0"/>
    <w:rsid w:val="00D17591"/>
    <w:rsid w:val="00D17F48"/>
    <w:rsid w:val="00D2028F"/>
    <w:rsid w:val="00D2074C"/>
    <w:rsid w:val="00D207EC"/>
    <w:rsid w:val="00D20882"/>
    <w:rsid w:val="00D20F3A"/>
    <w:rsid w:val="00D212B7"/>
    <w:rsid w:val="00D21303"/>
    <w:rsid w:val="00D219B7"/>
    <w:rsid w:val="00D21E5D"/>
    <w:rsid w:val="00D221B7"/>
    <w:rsid w:val="00D2224B"/>
    <w:rsid w:val="00D2235C"/>
    <w:rsid w:val="00D22514"/>
    <w:rsid w:val="00D2273B"/>
    <w:rsid w:val="00D22757"/>
    <w:rsid w:val="00D229EC"/>
    <w:rsid w:val="00D22C3E"/>
    <w:rsid w:val="00D2347D"/>
    <w:rsid w:val="00D23505"/>
    <w:rsid w:val="00D239FF"/>
    <w:rsid w:val="00D23E32"/>
    <w:rsid w:val="00D2415E"/>
    <w:rsid w:val="00D241A8"/>
    <w:rsid w:val="00D242B0"/>
    <w:rsid w:val="00D2471F"/>
    <w:rsid w:val="00D24724"/>
    <w:rsid w:val="00D2477B"/>
    <w:rsid w:val="00D24E0E"/>
    <w:rsid w:val="00D251EE"/>
    <w:rsid w:val="00D2582A"/>
    <w:rsid w:val="00D2589D"/>
    <w:rsid w:val="00D25944"/>
    <w:rsid w:val="00D25C48"/>
    <w:rsid w:val="00D25EAC"/>
    <w:rsid w:val="00D26312"/>
    <w:rsid w:val="00D26913"/>
    <w:rsid w:val="00D277E4"/>
    <w:rsid w:val="00D27EA1"/>
    <w:rsid w:val="00D30229"/>
    <w:rsid w:val="00D30647"/>
    <w:rsid w:val="00D30AC2"/>
    <w:rsid w:val="00D30E7B"/>
    <w:rsid w:val="00D31061"/>
    <w:rsid w:val="00D3170B"/>
    <w:rsid w:val="00D31B03"/>
    <w:rsid w:val="00D31D33"/>
    <w:rsid w:val="00D31EF9"/>
    <w:rsid w:val="00D31F0C"/>
    <w:rsid w:val="00D32379"/>
    <w:rsid w:val="00D32A79"/>
    <w:rsid w:val="00D3303D"/>
    <w:rsid w:val="00D33895"/>
    <w:rsid w:val="00D339D2"/>
    <w:rsid w:val="00D33C54"/>
    <w:rsid w:val="00D3426E"/>
    <w:rsid w:val="00D34936"/>
    <w:rsid w:val="00D349F5"/>
    <w:rsid w:val="00D34C4B"/>
    <w:rsid w:val="00D34FA3"/>
    <w:rsid w:val="00D352C4"/>
    <w:rsid w:val="00D35744"/>
    <w:rsid w:val="00D357BA"/>
    <w:rsid w:val="00D3594A"/>
    <w:rsid w:val="00D35C12"/>
    <w:rsid w:val="00D35EC6"/>
    <w:rsid w:val="00D36003"/>
    <w:rsid w:val="00D36ACF"/>
    <w:rsid w:val="00D36B1E"/>
    <w:rsid w:val="00D36B8E"/>
    <w:rsid w:val="00D36F73"/>
    <w:rsid w:val="00D36FC2"/>
    <w:rsid w:val="00D37242"/>
    <w:rsid w:val="00D3756E"/>
    <w:rsid w:val="00D3764F"/>
    <w:rsid w:val="00D37F87"/>
    <w:rsid w:val="00D4005B"/>
    <w:rsid w:val="00D40362"/>
    <w:rsid w:val="00D40B53"/>
    <w:rsid w:val="00D41017"/>
    <w:rsid w:val="00D4131E"/>
    <w:rsid w:val="00D413EA"/>
    <w:rsid w:val="00D4164A"/>
    <w:rsid w:val="00D41F7D"/>
    <w:rsid w:val="00D41FB8"/>
    <w:rsid w:val="00D42292"/>
    <w:rsid w:val="00D4241C"/>
    <w:rsid w:val="00D42916"/>
    <w:rsid w:val="00D42AA1"/>
    <w:rsid w:val="00D4303E"/>
    <w:rsid w:val="00D4322C"/>
    <w:rsid w:val="00D43651"/>
    <w:rsid w:val="00D439CE"/>
    <w:rsid w:val="00D43C99"/>
    <w:rsid w:val="00D44685"/>
    <w:rsid w:val="00D44A06"/>
    <w:rsid w:val="00D44BE7"/>
    <w:rsid w:val="00D44DD7"/>
    <w:rsid w:val="00D45077"/>
    <w:rsid w:val="00D45970"/>
    <w:rsid w:val="00D45A91"/>
    <w:rsid w:val="00D45C33"/>
    <w:rsid w:val="00D46003"/>
    <w:rsid w:val="00D461AA"/>
    <w:rsid w:val="00D4785F"/>
    <w:rsid w:val="00D478C3"/>
    <w:rsid w:val="00D47FF3"/>
    <w:rsid w:val="00D5003F"/>
    <w:rsid w:val="00D50424"/>
    <w:rsid w:val="00D50747"/>
    <w:rsid w:val="00D50994"/>
    <w:rsid w:val="00D50DAF"/>
    <w:rsid w:val="00D50DC2"/>
    <w:rsid w:val="00D50F17"/>
    <w:rsid w:val="00D51813"/>
    <w:rsid w:val="00D5192E"/>
    <w:rsid w:val="00D51976"/>
    <w:rsid w:val="00D51FB7"/>
    <w:rsid w:val="00D5224F"/>
    <w:rsid w:val="00D522C2"/>
    <w:rsid w:val="00D5249E"/>
    <w:rsid w:val="00D52CAF"/>
    <w:rsid w:val="00D53091"/>
    <w:rsid w:val="00D5389C"/>
    <w:rsid w:val="00D53956"/>
    <w:rsid w:val="00D53AB3"/>
    <w:rsid w:val="00D53CCB"/>
    <w:rsid w:val="00D53FBF"/>
    <w:rsid w:val="00D542E9"/>
    <w:rsid w:val="00D54964"/>
    <w:rsid w:val="00D54D24"/>
    <w:rsid w:val="00D54EC3"/>
    <w:rsid w:val="00D55879"/>
    <w:rsid w:val="00D55A3B"/>
    <w:rsid w:val="00D55BA6"/>
    <w:rsid w:val="00D55C58"/>
    <w:rsid w:val="00D56170"/>
    <w:rsid w:val="00D5635B"/>
    <w:rsid w:val="00D564E4"/>
    <w:rsid w:val="00D56E9A"/>
    <w:rsid w:val="00D56F1D"/>
    <w:rsid w:val="00D57204"/>
    <w:rsid w:val="00D5745F"/>
    <w:rsid w:val="00D5750F"/>
    <w:rsid w:val="00D577C5"/>
    <w:rsid w:val="00D57CBC"/>
    <w:rsid w:val="00D60846"/>
    <w:rsid w:val="00D60894"/>
    <w:rsid w:val="00D6097D"/>
    <w:rsid w:val="00D609E8"/>
    <w:rsid w:val="00D60B68"/>
    <w:rsid w:val="00D60F91"/>
    <w:rsid w:val="00D61E62"/>
    <w:rsid w:val="00D62789"/>
    <w:rsid w:val="00D62D05"/>
    <w:rsid w:val="00D6324C"/>
    <w:rsid w:val="00D6356B"/>
    <w:rsid w:val="00D636D4"/>
    <w:rsid w:val="00D637F7"/>
    <w:rsid w:val="00D639B0"/>
    <w:rsid w:val="00D63F9A"/>
    <w:rsid w:val="00D64070"/>
    <w:rsid w:val="00D6417D"/>
    <w:rsid w:val="00D64ADD"/>
    <w:rsid w:val="00D64D25"/>
    <w:rsid w:val="00D64F6C"/>
    <w:rsid w:val="00D65371"/>
    <w:rsid w:val="00D653E2"/>
    <w:rsid w:val="00D6546E"/>
    <w:rsid w:val="00D65D4E"/>
    <w:rsid w:val="00D66DD3"/>
    <w:rsid w:val="00D670AC"/>
    <w:rsid w:val="00D672C7"/>
    <w:rsid w:val="00D67336"/>
    <w:rsid w:val="00D67A2B"/>
    <w:rsid w:val="00D7023B"/>
    <w:rsid w:val="00D7026B"/>
    <w:rsid w:val="00D70F8F"/>
    <w:rsid w:val="00D71B4A"/>
    <w:rsid w:val="00D71EA3"/>
    <w:rsid w:val="00D71F52"/>
    <w:rsid w:val="00D72576"/>
    <w:rsid w:val="00D726DB"/>
    <w:rsid w:val="00D72977"/>
    <w:rsid w:val="00D72BDD"/>
    <w:rsid w:val="00D72EEC"/>
    <w:rsid w:val="00D72F45"/>
    <w:rsid w:val="00D735F1"/>
    <w:rsid w:val="00D73B57"/>
    <w:rsid w:val="00D73C88"/>
    <w:rsid w:val="00D73E2A"/>
    <w:rsid w:val="00D7434C"/>
    <w:rsid w:val="00D748CA"/>
    <w:rsid w:val="00D74902"/>
    <w:rsid w:val="00D74FD9"/>
    <w:rsid w:val="00D75172"/>
    <w:rsid w:val="00D75FE7"/>
    <w:rsid w:val="00D76127"/>
    <w:rsid w:val="00D76183"/>
    <w:rsid w:val="00D76384"/>
    <w:rsid w:val="00D76C0A"/>
    <w:rsid w:val="00D76DA7"/>
    <w:rsid w:val="00D76FC2"/>
    <w:rsid w:val="00D77661"/>
    <w:rsid w:val="00D77DC4"/>
    <w:rsid w:val="00D8002F"/>
    <w:rsid w:val="00D802AF"/>
    <w:rsid w:val="00D804A6"/>
    <w:rsid w:val="00D804F8"/>
    <w:rsid w:val="00D80A08"/>
    <w:rsid w:val="00D81041"/>
    <w:rsid w:val="00D8107F"/>
    <w:rsid w:val="00D81266"/>
    <w:rsid w:val="00D816C7"/>
    <w:rsid w:val="00D81868"/>
    <w:rsid w:val="00D81932"/>
    <w:rsid w:val="00D819C4"/>
    <w:rsid w:val="00D81C17"/>
    <w:rsid w:val="00D81C61"/>
    <w:rsid w:val="00D81CA3"/>
    <w:rsid w:val="00D81D45"/>
    <w:rsid w:val="00D82725"/>
    <w:rsid w:val="00D8351B"/>
    <w:rsid w:val="00D837D4"/>
    <w:rsid w:val="00D83A81"/>
    <w:rsid w:val="00D83CBD"/>
    <w:rsid w:val="00D83F9C"/>
    <w:rsid w:val="00D8404B"/>
    <w:rsid w:val="00D84743"/>
    <w:rsid w:val="00D84919"/>
    <w:rsid w:val="00D84F65"/>
    <w:rsid w:val="00D850A7"/>
    <w:rsid w:val="00D85110"/>
    <w:rsid w:val="00D851B0"/>
    <w:rsid w:val="00D858C2"/>
    <w:rsid w:val="00D85A5C"/>
    <w:rsid w:val="00D85AE9"/>
    <w:rsid w:val="00D85D01"/>
    <w:rsid w:val="00D85FDD"/>
    <w:rsid w:val="00D86389"/>
    <w:rsid w:val="00D866F1"/>
    <w:rsid w:val="00D8695B"/>
    <w:rsid w:val="00D86DDF"/>
    <w:rsid w:val="00D870C4"/>
    <w:rsid w:val="00D872E1"/>
    <w:rsid w:val="00D875B0"/>
    <w:rsid w:val="00D87653"/>
    <w:rsid w:val="00D90640"/>
    <w:rsid w:val="00D90C82"/>
    <w:rsid w:val="00D90D7D"/>
    <w:rsid w:val="00D90EB3"/>
    <w:rsid w:val="00D91761"/>
    <w:rsid w:val="00D91E9B"/>
    <w:rsid w:val="00D9200F"/>
    <w:rsid w:val="00D92CAF"/>
    <w:rsid w:val="00D933E2"/>
    <w:rsid w:val="00D93974"/>
    <w:rsid w:val="00D939A1"/>
    <w:rsid w:val="00D93B9B"/>
    <w:rsid w:val="00D93CF2"/>
    <w:rsid w:val="00D93EDB"/>
    <w:rsid w:val="00D941B7"/>
    <w:rsid w:val="00D947A2"/>
    <w:rsid w:val="00D94AA9"/>
    <w:rsid w:val="00D94C67"/>
    <w:rsid w:val="00D94F22"/>
    <w:rsid w:val="00D94F53"/>
    <w:rsid w:val="00D9505C"/>
    <w:rsid w:val="00D950A8"/>
    <w:rsid w:val="00D95130"/>
    <w:rsid w:val="00D955EF"/>
    <w:rsid w:val="00D95BA0"/>
    <w:rsid w:val="00D95C73"/>
    <w:rsid w:val="00D95E59"/>
    <w:rsid w:val="00D96191"/>
    <w:rsid w:val="00D9657B"/>
    <w:rsid w:val="00D966C1"/>
    <w:rsid w:val="00D96D9C"/>
    <w:rsid w:val="00D972C2"/>
    <w:rsid w:val="00D977E1"/>
    <w:rsid w:val="00D97846"/>
    <w:rsid w:val="00DA026F"/>
    <w:rsid w:val="00DA02DB"/>
    <w:rsid w:val="00DA03E8"/>
    <w:rsid w:val="00DA1156"/>
    <w:rsid w:val="00DA12BB"/>
    <w:rsid w:val="00DA1338"/>
    <w:rsid w:val="00DA1631"/>
    <w:rsid w:val="00DA1A6F"/>
    <w:rsid w:val="00DA1D8F"/>
    <w:rsid w:val="00DA21F0"/>
    <w:rsid w:val="00DA2422"/>
    <w:rsid w:val="00DA2984"/>
    <w:rsid w:val="00DA2AF9"/>
    <w:rsid w:val="00DA2D12"/>
    <w:rsid w:val="00DA2F71"/>
    <w:rsid w:val="00DA31DF"/>
    <w:rsid w:val="00DA31F1"/>
    <w:rsid w:val="00DA3C47"/>
    <w:rsid w:val="00DA3D6D"/>
    <w:rsid w:val="00DA3FD2"/>
    <w:rsid w:val="00DA400D"/>
    <w:rsid w:val="00DA4254"/>
    <w:rsid w:val="00DA48EE"/>
    <w:rsid w:val="00DA5CBD"/>
    <w:rsid w:val="00DA5FA9"/>
    <w:rsid w:val="00DA6178"/>
    <w:rsid w:val="00DA641F"/>
    <w:rsid w:val="00DA6E2A"/>
    <w:rsid w:val="00DA7643"/>
    <w:rsid w:val="00DA7C66"/>
    <w:rsid w:val="00DA7DF4"/>
    <w:rsid w:val="00DA7E38"/>
    <w:rsid w:val="00DB075F"/>
    <w:rsid w:val="00DB0D61"/>
    <w:rsid w:val="00DB1091"/>
    <w:rsid w:val="00DB16AD"/>
    <w:rsid w:val="00DB1B93"/>
    <w:rsid w:val="00DB277B"/>
    <w:rsid w:val="00DB2D6E"/>
    <w:rsid w:val="00DB2EF8"/>
    <w:rsid w:val="00DB33F4"/>
    <w:rsid w:val="00DB3BC2"/>
    <w:rsid w:val="00DB4057"/>
    <w:rsid w:val="00DB4506"/>
    <w:rsid w:val="00DB46BF"/>
    <w:rsid w:val="00DB4997"/>
    <w:rsid w:val="00DB4BE9"/>
    <w:rsid w:val="00DB4D05"/>
    <w:rsid w:val="00DB4E4D"/>
    <w:rsid w:val="00DB4F84"/>
    <w:rsid w:val="00DB56DC"/>
    <w:rsid w:val="00DB57F3"/>
    <w:rsid w:val="00DB58BB"/>
    <w:rsid w:val="00DB5D9A"/>
    <w:rsid w:val="00DB62FC"/>
    <w:rsid w:val="00DB640B"/>
    <w:rsid w:val="00DB6735"/>
    <w:rsid w:val="00DB6940"/>
    <w:rsid w:val="00DB6CAE"/>
    <w:rsid w:val="00DB6E38"/>
    <w:rsid w:val="00DB702D"/>
    <w:rsid w:val="00DB731F"/>
    <w:rsid w:val="00DB7A91"/>
    <w:rsid w:val="00DB7CB9"/>
    <w:rsid w:val="00DC046C"/>
    <w:rsid w:val="00DC092A"/>
    <w:rsid w:val="00DC16ED"/>
    <w:rsid w:val="00DC187F"/>
    <w:rsid w:val="00DC1B92"/>
    <w:rsid w:val="00DC2003"/>
    <w:rsid w:val="00DC2266"/>
    <w:rsid w:val="00DC22E6"/>
    <w:rsid w:val="00DC233D"/>
    <w:rsid w:val="00DC2C30"/>
    <w:rsid w:val="00DC2DB5"/>
    <w:rsid w:val="00DC32CB"/>
    <w:rsid w:val="00DC339D"/>
    <w:rsid w:val="00DC396E"/>
    <w:rsid w:val="00DC3A6D"/>
    <w:rsid w:val="00DC40EF"/>
    <w:rsid w:val="00DC4196"/>
    <w:rsid w:val="00DC420C"/>
    <w:rsid w:val="00DC44FC"/>
    <w:rsid w:val="00DC46D6"/>
    <w:rsid w:val="00DC5199"/>
    <w:rsid w:val="00DC599E"/>
    <w:rsid w:val="00DC5A52"/>
    <w:rsid w:val="00DC6099"/>
    <w:rsid w:val="00DC6195"/>
    <w:rsid w:val="00DC66B0"/>
    <w:rsid w:val="00DC671B"/>
    <w:rsid w:val="00DC67A2"/>
    <w:rsid w:val="00DC6B5B"/>
    <w:rsid w:val="00DC6E1F"/>
    <w:rsid w:val="00DC73BE"/>
    <w:rsid w:val="00DC790B"/>
    <w:rsid w:val="00DC7A04"/>
    <w:rsid w:val="00DC7D98"/>
    <w:rsid w:val="00DC7F9B"/>
    <w:rsid w:val="00DD00C5"/>
    <w:rsid w:val="00DD01C2"/>
    <w:rsid w:val="00DD03EA"/>
    <w:rsid w:val="00DD0BDA"/>
    <w:rsid w:val="00DD0BFF"/>
    <w:rsid w:val="00DD0E41"/>
    <w:rsid w:val="00DD10BA"/>
    <w:rsid w:val="00DD1366"/>
    <w:rsid w:val="00DD13DA"/>
    <w:rsid w:val="00DD15B2"/>
    <w:rsid w:val="00DD1721"/>
    <w:rsid w:val="00DD1A2A"/>
    <w:rsid w:val="00DD1DC3"/>
    <w:rsid w:val="00DD1E9F"/>
    <w:rsid w:val="00DD2262"/>
    <w:rsid w:val="00DD2E18"/>
    <w:rsid w:val="00DD3105"/>
    <w:rsid w:val="00DD328B"/>
    <w:rsid w:val="00DD3E58"/>
    <w:rsid w:val="00DD499E"/>
    <w:rsid w:val="00DD4EF3"/>
    <w:rsid w:val="00DD53D2"/>
    <w:rsid w:val="00DD58A9"/>
    <w:rsid w:val="00DD5DA1"/>
    <w:rsid w:val="00DD6EC5"/>
    <w:rsid w:val="00DD7721"/>
    <w:rsid w:val="00DD7730"/>
    <w:rsid w:val="00DD7759"/>
    <w:rsid w:val="00DD7EF5"/>
    <w:rsid w:val="00DD7F30"/>
    <w:rsid w:val="00DE020E"/>
    <w:rsid w:val="00DE0D15"/>
    <w:rsid w:val="00DE0FE7"/>
    <w:rsid w:val="00DE1E08"/>
    <w:rsid w:val="00DE2177"/>
    <w:rsid w:val="00DE2B4D"/>
    <w:rsid w:val="00DE2CE5"/>
    <w:rsid w:val="00DE2F4D"/>
    <w:rsid w:val="00DE3257"/>
    <w:rsid w:val="00DE3B93"/>
    <w:rsid w:val="00DE4655"/>
    <w:rsid w:val="00DE532E"/>
    <w:rsid w:val="00DE53AB"/>
    <w:rsid w:val="00DE5C45"/>
    <w:rsid w:val="00DE5C82"/>
    <w:rsid w:val="00DE5D2A"/>
    <w:rsid w:val="00DE6314"/>
    <w:rsid w:val="00DE6317"/>
    <w:rsid w:val="00DE6454"/>
    <w:rsid w:val="00DE6722"/>
    <w:rsid w:val="00DE79D1"/>
    <w:rsid w:val="00DE7E79"/>
    <w:rsid w:val="00DF0090"/>
    <w:rsid w:val="00DF073D"/>
    <w:rsid w:val="00DF0785"/>
    <w:rsid w:val="00DF09E7"/>
    <w:rsid w:val="00DF0AB8"/>
    <w:rsid w:val="00DF0B20"/>
    <w:rsid w:val="00DF0ECE"/>
    <w:rsid w:val="00DF17ED"/>
    <w:rsid w:val="00DF1824"/>
    <w:rsid w:val="00DF1AE0"/>
    <w:rsid w:val="00DF2207"/>
    <w:rsid w:val="00DF2257"/>
    <w:rsid w:val="00DF2C78"/>
    <w:rsid w:val="00DF2D3E"/>
    <w:rsid w:val="00DF30F7"/>
    <w:rsid w:val="00DF331C"/>
    <w:rsid w:val="00DF3E8E"/>
    <w:rsid w:val="00DF4152"/>
    <w:rsid w:val="00DF4698"/>
    <w:rsid w:val="00DF49FD"/>
    <w:rsid w:val="00DF4B62"/>
    <w:rsid w:val="00DF517C"/>
    <w:rsid w:val="00DF583D"/>
    <w:rsid w:val="00DF5E91"/>
    <w:rsid w:val="00DF6072"/>
    <w:rsid w:val="00DF661F"/>
    <w:rsid w:val="00DF6966"/>
    <w:rsid w:val="00DF6D2D"/>
    <w:rsid w:val="00DF6DBF"/>
    <w:rsid w:val="00DF6F80"/>
    <w:rsid w:val="00DF7005"/>
    <w:rsid w:val="00DF704E"/>
    <w:rsid w:val="00DF78A8"/>
    <w:rsid w:val="00DF78B9"/>
    <w:rsid w:val="00DF7A32"/>
    <w:rsid w:val="00DF7B00"/>
    <w:rsid w:val="00DF7F81"/>
    <w:rsid w:val="00E00057"/>
    <w:rsid w:val="00E0024C"/>
    <w:rsid w:val="00E003AA"/>
    <w:rsid w:val="00E00829"/>
    <w:rsid w:val="00E0141A"/>
    <w:rsid w:val="00E0162E"/>
    <w:rsid w:val="00E0234C"/>
    <w:rsid w:val="00E023BE"/>
    <w:rsid w:val="00E03C07"/>
    <w:rsid w:val="00E0407F"/>
    <w:rsid w:val="00E040B7"/>
    <w:rsid w:val="00E041C2"/>
    <w:rsid w:val="00E0453C"/>
    <w:rsid w:val="00E048C3"/>
    <w:rsid w:val="00E0516B"/>
    <w:rsid w:val="00E054AF"/>
    <w:rsid w:val="00E0592A"/>
    <w:rsid w:val="00E060F6"/>
    <w:rsid w:val="00E06855"/>
    <w:rsid w:val="00E06C00"/>
    <w:rsid w:val="00E06DBB"/>
    <w:rsid w:val="00E06DC7"/>
    <w:rsid w:val="00E06EFA"/>
    <w:rsid w:val="00E070B6"/>
    <w:rsid w:val="00E07322"/>
    <w:rsid w:val="00E074F9"/>
    <w:rsid w:val="00E0758E"/>
    <w:rsid w:val="00E0766E"/>
    <w:rsid w:val="00E077D4"/>
    <w:rsid w:val="00E07C29"/>
    <w:rsid w:val="00E07D26"/>
    <w:rsid w:val="00E07F43"/>
    <w:rsid w:val="00E1036C"/>
    <w:rsid w:val="00E1077D"/>
    <w:rsid w:val="00E107E5"/>
    <w:rsid w:val="00E10934"/>
    <w:rsid w:val="00E10BF0"/>
    <w:rsid w:val="00E11274"/>
    <w:rsid w:val="00E119C1"/>
    <w:rsid w:val="00E11B59"/>
    <w:rsid w:val="00E11BD7"/>
    <w:rsid w:val="00E11C74"/>
    <w:rsid w:val="00E11F40"/>
    <w:rsid w:val="00E124C6"/>
    <w:rsid w:val="00E1259C"/>
    <w:rsid w:val="00E12EA8"/>
    <w:rsid w:val="00E134C4"/>
    <w:rsid w:val="00E13B59"/>
    <w:rsid w:val="00E14653"/>
    <w:rsid w:val="00E149E1"/>
    <w:rsid w:val="00E15157"/>
    <w:rsid w:val="00E15551"/>
    <w:rsid w:val="00E15761"/>
    <w:rsid w:val="00E159C8"/>
    <w:rsid w:val="00E159E3"/>
    <w:rsid w:val="00E15E7C"/>
    <w:rsid w:val="00E15F49"/>
    <w:rsid w:val="00E161C6"/>
    <w:rsid w:val="00E1667F"/>
    <w:rsid w:val="00E16B03"/>
    <w:rsid w:val="00E16F16"/>
    <w:rsid w:val="00E17142"/>
    <w:rsid w:val="00E175BD"/>
    <w:rsid w:val="00E17DD4"/>
    <w:rsid w:val="00E17DDA"/>
    <w:rsid w:val="00E20F73"/>
    <w:rsid w:val="00E20FAA"/>
    <w:rsid w:val="00E21023"/>
    <w:rsid w:val="00E21129"/>
    <w:rsid w:val="00E2113B"/>
    <w:rsid w:val="00E217A1"/>
    <w:rsid w:val="00E21E7B"/>
    <w:rsid w:val="00E22336"/>
    <w:rsid w:val="00E224EE"/>
    <w:rsid w:val="00E22A50"/>
    <w:rsid w:val="00E22CC2"/>
    <w:rsid w:val="00E22EAB"/>
    <w:rsid w:val="00E22F37"/>
    <w:rsid w:val="00E23383"/>
    <w:rsid w:val="00E2351F"/>
    <w:rsid w:val="00E24DE3"/>
    <w:rsid w:val="00E2530E"/>
    <w:rsid w:val="00E259B4"/>
    <w:rsid w:val="00E26221"/>
    <w:rsid w:val="00E268CC"/>
    <w:rsid w:val="00E26A9D"/>
    <w:rsid w:val="00E26B14"/>
    <w:rsid w:val="00E2736E"/>
    <w:rsid w:val="00E27504"/>
    <w:rsid w:val="00E27EC8"/>
    <w:rsid w:val="00E3050A"/>
    <w:rsid w:val="00E305C7"/>
    <w:rsid w:val="00E3075B"/>
    <w:rsid w:val="00E30C12"/>
    <w:rsid w:val="00E30E31"/>
    <w:rsid w:val="00E3113F"/>
    <w:rsid w:val="00E311AF"/>
    <w:rsid w:val="00E31688"/>
    <w:rsid w:val="00E31CE8"/>
    <w:rsid w:val="00E31E72"/>
    <w:rsid w:val="00E32031"/>
    <w:rsid w:val="00E3236A"/>
    <w:rsid w:val="00E32720"/>
    <w:rsid w:val="00E32934"/>
    <w:rsid w:val="00E32A81"/>
    <w:rsid w:val="00E32F64"/>
    <w:rsid w:val="00E3311E"/>
    <w:rsid w:val="00E335C7"/>
    <w:rsid w:val="00E335D8"/>
    <w:rsid w:val="00E33707"/>
    <w:rsid w:val="00E33B0A"/>
    <w:rsid w:val="00E33BE0"/>
    <w:rsid w:val="00E33C15"/>
    <w:rsid w:val="00E33F42"/>
    <w:rsid w:val="00E3414A"/>
    <w:rsid w:val="00E342AF"/>
    <w:rsid w:val="00E345D0"/>
    <w:rsid w:val="00E34C0A"/>
    <w:rsid w:val="00E34D46"/>
    <w:rsid w:val="00E35037"/>
    <w:rsid w:val="00E352DC"/>
    <w:rsid w:val="00E355FB"/>
    <w:rsid w:val="00E35EBE"/>
    <w:rsid w:val="00E361F8"/>
    <w:rsid w:val="00E36817"/>
    <w:rsid w:val="00E36B7D"/>
    <w:rsid w:val="00E36F52"/>
    <w:rsid w:val="00E36FF3"/>
    <w:rsid w:val="00E3742B"/>
    <w:rsid w:val="00E37D18"/>
    <w:rsid w:val="00E37E95"/>
    <w:rsid w:val="00E4023B"/>
    <w:rsid w:val="00E40415"/>
    <w:rsid w:val="00E40789"/>
    <w:rsid w:val="00E40E10"/>
    <w:rsid w:val="00E4133F"/>
    <w:rsid w:val="00E41584"/>
    <w:rsid w:val="00E41777"/>
    <w:rsid w:val="00E41ACB"/>
    <w:rsid w:val="00E41CD8"/>
    <w:rsid w:val="00E41E70"/>
    <w:rsid w:val="00E4257B"/>
    <w:rsid w:val="00E430F5"/>
    <w:rsid w:val="00E43137"/>
    <w:rsid w:val="00E43396"/>
    <w:rsid w:val="00E434F6"/>
    <w:rsid w:val="00E43741"/>
    <w:rsid w:val="00E437C8"/>
    <w:rsid w:val="00E439A3"/>
    <w:rsid w:val="00E43AEF"/>
    <w:rsid w:val="00E43D52"/>
    <w:rsid w:val="00E43E24"/>
    <w:rsid w:val="00E44073"/>
    <w:rsid w:val="00E44DDE"/>
    <w:rsid w:val="00E44F85"/>
    <w:rsid w:val="00E45012"/>
    <w:rsid w:val="00E45465"/>
    <w:rsid w:val="00E4551B"/>
    <w:rsid w:val="00E45776"/>
    <w:rsid w:val="00E45F82"/>
    <w:rsid w:val="00E46154"/>
    <w:rsid w:val="00E46771"/>
    <w:rsid w:val="00E476E5"/>
    <w:rsid w:val="00E47C24"/>
    <w:rsid w:val="00E5037C"/>
    <w:rsid w:val="00E503A5"/>
    <w:rsid w:val="00E504B9"/>
    <w:rsid w:val="00E507CB"/>
    <w:rsid w:val="00E50B3C"/>
    <w:rsid w:val="00E50B8C"/>
    <w:rsid w:val="00E50FBB"/>
    <w:rsid w:val="00E51CB9"/>
    <w:rsid w:val="00E5245A"/>
    <w:rsid w:val="00E52AF5"/>
    <w:rsid w:val="00E52DB2"/>
    <w:rsid w:val="00E5325B"/>
    <w:rsid w:val="00E53A75"/>
    <w:rsid w:val="00E53C4B"/>
    <w:rsid w:val="00E5480C"/>
    <w:rsid w:val="00E54AF1"/>
    <w:rsid w:val="00E5507A"/>
    <w:rsid w:val="00E55475"/>
    <w:rsid w:val="00E557A0"/>
    <w:rsid w:val="00E559C1"/>
    <w:rsid w:val="00E568F3"/>
    <w:rsid w:val="00E56BE4"/>
    <w:rsid w:val="00E56D3A"/>
    <w:rsid w:val="00E57671"/>
    <w:rsid w:val="00E576A5"/>
    <w:rsid w:val="00E57A86"/>
    <w:rsid w:val="00E57AB6"/>
    <w:rsid w:val="00E57B5C"/>
    <w:rsid w:val="00E57BBE"/>
    <w:rsid w:val="00E57C83"/>
    <w:rsid w:val="00E6013C"/>
    <w:rsid w:val="00E6076B"/>
    <w:rsid w:val="00E60B45"/>
    <w:rsid w:val="00E60FDA"/>
    <w:rsid w:val="00E61202"/>
    <w:rsid w:val="00E6195C"/>
    <w:rsid w:val="00E61CE1"/>
    <w:rsid w:val="00E620DC"/>
    <w:rsid w:val="00E62383"/>
    <w:rsid w:val="00E626C0"/>
    <w:rsid w:val="00E6270E"/>
    <w:rsid w:val="00E627BF"/>
    <w:rsid w:val="00E62A91"/>
    <w:rsid w:val="00E62DE8"/>
    <w:rsid w:val="00E62FE5"/>
    <w:rsid w:val="00E633EC"/>
    <w:rsid w:val="00E6384E"/>
    <w:rsid w:val="00E6390C"/>
    <w:rsid w:val="00E63CA9"/>
    <w:rsid w:val="00E63EE8"/>
    <w:rsid w:val="00E6422D"/>
    <w:rsid w:val="00E643E5"/>
    <w:rsid w:val="00E64752"/>
    <w:rsid w:val="00E648B2"/>
    <w:rsid w:val="00E64E8B"/>
    <w:rsid w:val="00E65071"/>
    <w:rsid w:val="00E65379"/>
    <w:rsid w:val="00E654C1"/>
    <w:rsid w:val="00E654E3"/>
    <w:rsid w:val="00E655A0"/>
    <w:rsid w:val="00E655C8"/>
    <w:rsid w:val="00E658D0"/>
    <w:rsid w:val="00E6608B"/>
    <w:rsid w:val="00E666BE"/>
    <w:rsid w:val="00E66C60"/>
    <w:rsid w:val="00E66EF2"/>
    <w:rsid w:val="00E671D4"/>
    <w:rsid w:val="00E673E2"/>
    <w:rsid w:val="00E67DF9"/>
    <w:rsid w:val="00E701AD"/>
    <w:rsid w:val="00E703F6"/>
    <w:rsid w:val="00E707D6"/>
    <w:rsid w:val="00E7182B"/>
    <w:rsid w:val="00E71871"/>
    <w:rsid w:val="00E71B47"/>
    <w:rsid w:val="00E71FCC"/>
    <w:rsid w:val="00E72383"/>
    <w:rsid w:val="00E727BC"/>
    <w:rsid w:val="00E72BB7"/>
    <w:rsid w:val="00E732BB"/>
    <w:rsid w:val="00E735DC"/>
    <w:rsid w:val="00E7379C"/>
    <w:rsid w:val="00E73C73"/>
    <w:rsid w:val="00E73F23"/>
    <w:rsid w:val="00E7411B"/>
    <w:rsid w:val="00E748C2"/>
    <w:rsid w:val="00E748C9"/>
    <w:rsid w:val="00E7536D"/>
    <w:rsid w:val="00E75392"/>
    <w:rsid w:val="00E7570C"/>
    <w:rsid w:val="00E75BD4"/>
    <w:rsid w:val="00E7659C"/>
    <w:rsid w:val="00E76792"/>
    <w:rsid w:val="00E76B4E"/>
    <w:rsid w:val="00E77475"/>
    <w:rsid w:val="00E77881"/>
    <w:rsid w:val="00E803B4"/>
    <w:rsid w:val="00E8041A"/>
    <w:rsid w:val="00E80900"/>
    <w:rsid w:val="00E8129C"/>
    <w:rsid w:val="00E8190D"/>
    <w:rsid w:val="00E81CC9"/>
    <w:rsid w:val="00E81F32"/>
    <w:rsid w:val="00E823E8"/>
    <w:rsid w:val="00E82544"/>
    <w:rsid w:val="00E82979"/>
    <w:rsid w:val="00E82E87"/>
    <w:rsid w:val="00E83158"/>
    <w:rsid w:val="00E832CF"/>
    <w:rsid w:val="00E8388B"/>
    <w:rsid w:val="00E83AD4"/>
    <w:rsid w:val="00E83D88"/>
    <w:rsid w:val="00E840D1"/>
    <w:rsid w:val="00E845A3"/>
    <w:rsid w:val="00E84618"/>
    <w:rsid w:val="00E84DB8"/>
    <w:rsid w:val="00E8515E"/>
    <w:rsid w:val="00E8517E"/>
    <w:rsid w:val="00E8541F"/>
    <w:rsid w:val="00E854AB"/>
    <w:rsid w:val="00E855D1"/>
    <w:rsid w:val="00E865E2"/>
    <w:rsid w:val="00E86CAC"/>
    <w:rsid w:val="00E86DD6"/>
    <w:rsid w:val="00E871E6"/>
    <w:rsid w:val="00E8738A"/>
    <w:rsid w:val="00E87D06"/>
    <w:rsid w:val="00E90197"/>
    <w:rsid w:val="00E90C32"/>
    <w:rsid w:val="00E9110A"/>
    <w:rsid w:val="00E9148A"/>
    <w:rsid w:val="00E917E4"/>
    <w:rsid w:val="00E92049"/>
    <w:rsid w:val="00E921AC"/>
    <w:rsid w:val="00E92461"/>
    <w:rsid w:val="00E9252C"/>
    <w:rsid w:val="00E927AF"/>
    <w:rsid w:val="00E92ADB"/>
    <w:rsid w:val="00E92B5F"/>
    <w:rsid w:val="00E92C0B"/>
    <w:rsid w:val="00E92FBA"/>
    <w:rsid w:val="00E93038"/>
    <w:rsid w:val="00E93104"/>
    <w:rsid w:val="00E93310"/>
    <w:rsid w:val="00E938E1"/>
    <w:rsid w:val="00E9396C"/>
    <w:rsid w:val="00E93EA7"/>
    <w:rsid w:val="00E944AF"/>
    <w:rsid w:val="00E9459D"/>
    <w:rsid w:val="00E94767"/>
    <w:rsid w:val="00E94CE4"/>
    <w:rsid w:val="00E94E32"/>
    <w:rsid w:val="00E94F74"/>
    <w:rsid w:val="00E94FBD"/>
    <w:rsid w:val="00E95027"/>
    <w:rsid w:val="00E95A49"/>
    <w:rsid w:val="00E95C34"/>
    <w:rsid w:val="00E962EF"/>
    <w:rsid w:val="00E96CA2"/>
    <w:rsid w:val="00E96D15"/>
    <w:rsid w:val="00E96E00"/>
    <w:rsid w:val="00E97207"/>
    <w:rsid w:val="00E973D7"/>
    <w:rsid w:val="00E9772F"/>
    <w:rsid w:val="00E979C2"/>
    <w:rsid w:val="00EA033E"/>
    <w:rsid w:val="00EA0A5A"/>
    <w:rsid w:val="00EA0BD3"/>
    <w:rsid w:val="00EA0C40"/>
    <w:rsid w:val="00EA11FF"/>
    <w:rsid w:val="00EA124F"/>
    <w:rsid w:val="00EA17FF"/>
    <w:rsid w:val="00EA1907"/>
    <w:rsid w:val="00EA1BFF"/>
    <w:rsid w:val="00EA1CCA"/>
    <w:rsid w:val="00EA20BE"/>
    <w:rsid w:val="00EA224A"/>
    <w:rsid w:val="00EA2308"/>
    <w:rsid w:val="00EA24B3"/>
    <w:rsid w:val="00EA30BE"/>
    <w:rsid w:val="00EA377B"/>
    <w:rsid w:val="00EA390F"/>
    <w:rsid w:val="00EA3FC5"/>
    <w:rsid w:val="00EA4049"/>
    <w:rsid w:val="00EA4687"/>
    <w:rsid w:val="00EA48B0"/>
    <w:rsid w:val="00EA49F9"/>
    <w:rsid w:val="00EA4B38"/>
    <w:rsid w:val="00EA4B57"/>
    <w:rsid w:val="00EA4B61"/>
    <w:rsid w:val="00EA4DD7"/>
    <w:rsid w:val="00EA4E85"/>
    <w:rsid w:val="00EA6833"/>
    <w:rsid w:val="00EA6CA0"/>
    <w:rsid w:val="00EA6F11"/>
    <w:rsid w:val="00EA702F"/>
    <w:rsid w:val="00EA769E"/>
    <w:rsid w:val="00EA7A20"/>
    <w:rsid w:val="00EA7BAB"/>
    <w:rsid w:val="00EA7C95"/>
    <w:rsid w:val="00EA7D85"/>
    <w:rsid w:val="00EB008A"/>
    <w:rsid w:val="00EB02F0"/>
    <w:rsid w:val="00EB03AC"/>
    <w:rsid w:val="00EB0529"/>
    <w:rsid w:val="00EB05FB"/>
    <w:rsid w:val="00EB05FF"/>
    <w:rsid w:val="00EB0640"/>
    <w:rsid w:val="00EB0751"/>
    <w:rsid w:val="00EB0870"/>
    <w:rsid w:val="00EB08D8"/>
    <w:rsid w:val="00EB139A"/>
    <w:rsid w:val="00EB1DC4"/>
    <w:rsid w:val="00EB1F17"/>
    <w:rsid w:val="00EB24CA"/>
    <w:rsid w:val="00EB29A4"/>
    <w:rsid w:val="00EB2AA4"/>
    <w:rsid w:val="00EB2CB9"/>
    <w:rsid w:val="00EB2E53"/>
    <w:rsid w:val="00EB3168"/>
    <w:rsid w:val="00EB318B"/>
    <w:rsid w:val="00EB31DE"/>
    <w:rsid w:val="00EB337B"/>
    <w:rsid w:val="00EB4152"/>
    <w:rsid w:val="00EB4689"/>
    <w:rsid w:val="00EB5103"/>
    <w:rsid w:val="00EB577E"/>
    <w:rsid w:val="00EB59FD"/>
    <w:rsid w:val="00EB5E54"/>
    <w:rsid w:val="00EB603E"/>
    <w:rsid w:val="00EB6A1F"/>
    <w:rsid w:val="00EB6D8B"/>
    <w:rsid w:val="00EB718F"/>
    <w:rsid w:val="00EB719C"/>
    <w:rsid w:val="00EB7A84"/>
    <w:rsid w:val="00EB7D12"/>
    <w:rsid w:val="00EC0323"/>
    <w:rsid w:val="00EC0F6E"/>
    <w:rsid w:val="00EC1E6B"/>
    <w:rsid w:val="00EC1E8E"/>
    <w:rsid w:val="00EC23FA"/>
    <w:rsid w:val="00EC24AD"/>
    <w:rsid w:val="00EC292E"/>
    <w:rsid w:val="00EC2B16"/>
    <w:rsid w:val="00EC4C70"/>
    <w:rsid w:val="00EC4FBC"/>
    <w:rsid w:val="00EC529B"/>
    <w:rsid w:val="00EC586C"/>
    <w:rsid w:val="00EC5E11"/>
    <w:rsid w:val="00EC5EF2"/>
    <w:rsid w:val="00EC65BF"/>
    <w:rsid w:val="00EC70CB"/>
    <w:rsid w:val="00EC73F8"/>
    <w:rsid w:val="00EC78CA"/>
    <w:rsid w:val="00EC7CD0"/>
    <w:rsid w:val="00ED066A"/>
    <w:rsid w:val="00ED07A8"/>
    <w:rsid w:val="00ED0CD1"/>
    <w:rsid w:val="00ED1149"/>
    <w:rsid w:val="00ED1271"/>
    <w:rsid w:val="00ED1898"/>
    <w:rsid w:val="00ED1AB4"/>
    <w:rsid w:val="00ED1AC8"/>
    <w:rsid w:val="00ED1B5A"/>
    <w:rsid w:val="00ED1D75"/>
    <w:rsid w:val="00ED24FB"/>
    <w:rsid w:val="00ED27E0"/>
    <w:rsid w:val="00ED2CBD"/>
    <w:rsid w:val="00ED2E5F"/>
    <w:rsid w:val="00ED3761"/>
    <w:rsid w:val="00ED38F7"/>
    <w:rsid w:val="00ED4356"/>
    <w:rsid w:val="00ED444A"/>
    <w:rsid w:val="00ED4480"/>
    <w:rsid w:val="00ED47FA"/>
    <w:rsid w:val="00ED4EDA"/>
    <w:rsid w:val="00ED5097"/>
    <w:rsid w:val="00ED516F"/>
    <w:rsid w:val="00ED531D"/>
    <w:rsid w:val="00ED5801"/>
    <w:rsid w:val="00ED5A89"/>
    <w:rsid w:val="00ED6578"/>
    <w:rsid w:val="00ED6846"/>
    <w:rsid w:val="00ED6D37"/>
    <w:rsid w:val="00ED6EF1"/>
    <w:rsid w:val="00ED736E"/>
    <w:rsid w:val="00ED7534"/>
    <w:rsid w:val="00ED7717"/>
    <w:rsid w:val="00ED79A0"/>
    <w:rsid w:val="00ED7BE0"/>
    <w:rsid w:val="00EE05A1"/>
    <w:rsid w:val="00EE0807"/>
    <w:rsid w:val="00EE0ACE"/>
    <w:rsid w:val="00EE1409"/>
    <w:rsid w:val="00EE1C99"/>
    <w:rsid w:val="00EE1D4C"/>
    <w:rsid w:val="00EE210D"/>
    <w:rsid w:val="00EE2756"/>
    <w:rsid w:val="00EE279D"/>
    <w:rsid w:val="00EE2AC3"/>
    <w:rsid w:val="00EE2C79"/>
    <w:rsid w:val="00EE2FF0"/>
    <w:rsid w:val="00EE3543"/>
    <w:rsid w:val="00EE37C1"/>
    <w:rsid w:val="00EE38B0"/>
    <w:rsid w:val="00EE39BD"/>
    <w:rsid w:val="00EE3B8E"/>
    <w:rsid w:val="00EE3E2F"/>
    <w:rsid w:val="00EE4062"/>
    <w:rsid w:val="00EE4232"/>
    <w:rsid w:val="00EE4404"/>
    <w:rsid w:val="00EE44DA"/>
    <w:rsid w:val="00EE47CC"/>
    <w:rsid w:val="00EE4826"/>
    <w:rsid w:val="00EE4905"/>
    <w:rsid w:val="00EE4A99"/>
    <w:rsid w:val="00EE4DA6"/>
    <w:rsid w:val="00EE5474"/>
    <w:rsid w:val="00EE61F4"/>
    <w:rsid w:val="00EE6293"/>
    <w:rsid w:val="00EE6A5D"/>
    <w:rsid w:val="00EE6D00"/>
    <w:rsid w:val="00EE6D76"/>
    <w:rsid w:val="00EE6D7F"/>
    <w:rsid w:val="00EE6F47"/>
    <w:rsid w:val="00EE7009"/>
    <w:rsid w:val="00EE7118"/>
    <w:rsid w:val="00EE7217"/>
    <w:rsid w:val="00EE743E"/>
    <w:rsid w:val="00EE7743"/>
    <w:rsid w:val="00EE77FB"/>
    <w:rsid w:val="00EF032B"/>
    <w:rsid w:val="00EF0368"/>
    <w:rsid w:val="00EF0376"/>
    <w:rsid w:val="00EF03C4"/>
    <w:rsid w:val="00EF05A6"/>
    <w:rsid w:val="00EF09DD"/>
    <w:rsid w:val="00EF0B31"/>
    <w:rsid w:val="00EF0EB6"/>
    <w:rsid w:val="00EF143C"/>
    <w:rsid w:val="00EF16AD"/>
    <w:rsid w:val="00EF2401"/>
    <w:rsid w:val="00EF25F1"/>
    <w:rsid w:val="00EF2A5F"/>
    <w:rsid w:val="00EF2C97"/>
    <w:rsid w:val="00EF2DAC"/>
    <w:rsid w:val="00EF2F34"/>
    <w:rsid w:val="00EF322C"/>
    <w:rsid w:val="00EF32CF"/>
    <w:rsid w:val="00EF35A8"/>
    <w:rsid w:val="00EF37AE"/>
    <w:rsid w:val="00EF3CEC"/>
    <w:rsid w:val="00EF44EF"/>
    <w:rsid w:val="00EF487E"/>
    <w:rsid w:val="00EF49CA"/>
    <w:rsid w:val="00EF4FC7"/>
    <w:rsid w:val="00EF54D9"/>
    <w:rsid w:val="00EF588B"/>
    <w:rsid w:val="00EF60F1"/>
    <w:rsid w:val="00EF61F4"/>
    <w:rsid w:val="00EF697D"/>
    <w:rsid w:val="00EF6B5D"/>
    <w:rsid w:val="00EF75BF"/>
    <w:rsid w:val="00EF75C2"/>
    <w:rsid w:val="00EF78E7"/>
    <w:rsid w:val="00EF79EE"/>
    <w:rsid w:val="00EF7AD4"/>
    <w:rsid w:val="00EF7BD1"/>
    <w:rsid w:val="00F006A7"/>
    <w:rsid w:val="00F00D67"/>
    <w:rsid w:val="00F01295"/>
    <w:rsid w:val="00F012F9"/>
    <w:rsid w:val="00F0130D"/>
    <w:rsid w:val="00F013B9"/>
    <w:rsid w:val="00F01C59"/>
    <w:rsid w:val="00F01E2B"/>
    <w:rsid w:val="00F01FD1"/>
    <w:rsid w:val="00F02086"/>
    <w:rsid w:val="00F02144"/>
    <w:rsid w:val="00F02700"/>
    <w:rsid w:val="00F029F6"/>
    <w:rsid w:val="00F029FF"/>
    <w:rsid w:val="00F03259"/>
    <w:rsid w:val="00F032E2"/>
    <w:rsid w:val="00F0335D"/>
    <w:rsid w:val="00F0337A"/>
    <w:rsid w:val="00F035B3"/>
    <w:rsid w:val="00F0364D"/>
    <w:rsid w:val="00F03A2A"/>
    <w:rsid w:val="00F03F01"/>
    <w:rsid w:val="00F04134"/>
    <w:rsid w:val="00F04234"/>
    <w:rsid w:val="00F04236"/>
    <w:rsid w:val="00F042F5"/>
    <w:rsid w:val="00F04A9D"/>
    <w:rsid w:val="00F04AAD"/>
    <w:rsid w:val="00F056C1"/>
    <w:rsid w:val="00F05CF4"/>
    <w:rsid w:val="00F0606C"/>
    <w:rsid w:val="00F06394"/>
    <w:rsid w:val="00F06561"/>
    <w:rsid w:val="00F066AF"/>
    <w:rsid w:val="00F06773"/>
    <w:rsid w:val="00F068B0"/>
    <w:rsid w:val="00F06EFD"/>
    <w:rsid w:val="00F0710F"/>
    <w:rsid w:val="00F0769C"/>
    <w:rsid w:val="00F0791A"/>
    <w:rsid w:val="00F0798F"/>
    <w:rsid w:val="00F07B88"/>
    <w:rsid w:val="00F07F0C"/>
    <w:rsid w:val="00F101C6"/>
    <w:rsid w:val="00F10810"/>
    <w:rsid w:val="00F10E5E"/>
    <w:rsid w:val="00F10E7D"/>
    <w:rsid w:val="00F1132F"/>
    <w:rsid w:val="00F116C7"/>
    <w:rsid w:val="00F1195E"/>
    <w:rsid w:val="00F1197B"/>
    <w:rsid w:val="00F11DFC"/>
    <w:rsid w:val="00F11EC7"/>
    <w:rsid w:val="00F1395D"/>
    <w:rsid w:val="00F13ACA"/>
    <w:rsid w:val="00F13BB1"/>
    <w:rsid w:val="00F145E6"/>
    <w:rsid w:val="00F14684"/>
    <w:rsid w:val="00F1478F"/>
    <w:rsid w:val="00F14875"/>
    <w:rsid w:val="00F14A71"/>
    <w:rsid w:val="00F14B27"/>
    <w:rsid w:val="00F14C07"/>
    <w:rsid w:val="00F14D3A"/>
    <w:rsid w:val="00F153D9"/>
    <w:rsid w:val="00F159DE"/>
    <w:rsid w:val="00F15AFA"/>
    <w:rsid w:val="00F15F6F"/>
    <w:rsid w:val="00F165B5"/>
    <w:rsid w:val="00F17208"/>
    <w:rsid w:val="00F1736B"/>
    <w:rsid w:val="00F17562"/>
    <w:rsid w:val="00F17BB1"/>
    <w:rsid w:val="00F17CE7"/>
    <w:rsid w:val="00F200AC"/>
    <w:rsid w:val="00F20548"/>
    <w:rsid w:val="00F2057D"/>
    <w:rsid w:val="00F2078E"/>
    <w:rsid w:val="00F207E8"/>
    <w:rsid w:val="00F210F9"/>
    <w:rsid w:val="00F21130"/>
    <w:rsid w:val="00F213FC"/>
    <w:rsid w:val="00F2146D"/>
    <w:rsid w:val="00F219A4"/>
    <w:rsid w:val="00F21BBE"/>
    <w:rsid w:val="00F21F44"/>
    <w:rsid w:val="00F22479"/>
    <w:rsid w:val="00F227A2"/>
    <w:rsid w:val="00F22CD2"/>
    <w:rsid w:val="00F22E05"/>
    <w:rsid w:val="00F23169"/>
    <w:rsid w:val="00F232A2"/>
    <w:rsid w:val="00F236F0"/>
    <w:rsid w:val="00F23797"/>
    <w:rsid w:val="00F2391E"/>
    <w:rsid w:val="00F23B19"/>
    <w:rsid w:val="00F2411D"/>
    <w:rsid w:val="00F24252"/>
    <w:rsid w:val="00F24602"/>
    <w:rsid w:val="00F2479A"/>
    <w:rsid w:val="00F253D1"/>
    <w:rsid w:val="00F2557C"/>
    <w:rsid w:val="00F25B9C"/>
    <w:rsid w:val="00F264D3"/>
    <w:rsid w:val="00F26713"/>
    <w:rsid w:val="00F268CB"/>
    <w:rsid w:val="00F26B7E"/>
    <w:rsid w:val="00F26C1F"/>
    <w:rsid w:val="00F26DDD"/>
    <w:rsid w:val="00F26F5E"/>
    <w:rsid w:val="00F27172"/>
    <w:rsid w:val="00F27BDC"/>
    <w:rsid w:val="00F27E2D"/>
    <w:rsid w:val="00F306FB"/>
    <w:rsid w:val="00F31045"/>
    <w:rsid w:val="00F31568"/>
    <w:rsid w:val="00F31859"/>
    <w:rsid w:val="00F31915"/>
    <w:rsid w:val="00F31B55"/>
    <w:rsid w:val="00F31DD4"/>
    <w:rsid w:val="00F32711"/>
    <w:rsid w:val="00F32B0D"/>
    <w:rsid w:val="00F32DF9"/>
    <w:rsid w:val="00F333C0"/>
    <w:rsid w:val="00F33DA2"/>
    <w:rsid w:val="00F33E02"/>
    <w:rsid w:val="00F34891"/>
    <w:rsid w:val="00F34A14"/>
    <w:rsid w:val="00F34EAB"/>
    <w:rsid w:val="00F354D0"/>
    <w:rsid w:val="00F35B0F"/>
    <w:rsid w:val="00F36E40"/>
    <w:rsid w:val="00F3709A"/>
    <w:rsid w:val="00F370DA"/>
    <w:rsid w:val="00F37AD0"/>
    <w:rsid w:val="00F37EFF"/>
    <w:rsid w:val="00F4065F"/>
    <w:rsid w:val="00F40686"/>
    <w:rsid w:val="00F413A4"/>
    <w:rsid w:val="00F4149A"/>
    <w:rsid w:val="00F41A08"/>
    <w:rsid w:val="00F41A65"/>
    <w:rsid w:val="00F41AB9"/>
    <w:rsid w:val="00F41B6F"/>
    <w:rsid w:val="00F41B9E"/>
    <w:rsid w:val="00F41D47"/>
    <w:rsid w:val="00F41DD3"/>
    <w:rsid w:val="00F42316"/>
    <w:rsid w:val="00F423D0"/>
    <w:rsid w:val="00F4251E"/>
    <w:rsid w:val="00F4280C"/>
    <w:rsid w:val="00F42DD5"/>
    <w:rsid w:val="00F42DF6"/>
    <w:rsid w:val="00F42FD4"/>
    <w:rsid w:val="00F43038"/>
    <w:rsid w:val="00F43A08"/>
    <w:rsid w:val="00F43DA2"/>
    <w:rsid w:val="00F44314"/>
    <w:rsid w:val="00F444F9"/>
    <w:rsid w:val="00F445F9"/>
    <w:rsid w:val="00F44656"/>
    <w:rsid w:val="00F446CE"/>
    <w:rsid w:val="00F44AC6"/>
    <w:rsid w:val="00F44B82"/>
    <w:rsid w:val="00F45456"/>
    <w:rsid w:val="00F4608D"/>
    <w:rsid w:val="00F4619A"/>
    <w:rsid w:val="00F46343"/>
    <w:rsid w:val="00F4635E"/>
    <w:rsid w:val="00F4680E"/>
    <w:rsid w:val="00F46E22"/>
    <w:rsid w:val="00F47370"/>
    <w:rsid w:val="00F47417"/>
    <w:rsid w:val="00F47485"/>
    <w:rsid w:val="00F479BB"/>
    <w:rsid w:val="00F5006C"/>
    <w:rsid w:val="00F503C9"/>
    <w:rsid w:val="00F50649"/>
    <w:rsid w:val="00F5069D"/>
    <w:rsid w:val="00F50EA5"/>
    <w:rsid w:val="00F5109F"/>
    <w:rsid w:val="00F51410"/>
    <w:rsid w:val="00F51560"/>
    <w:rsid w:val="00F515E7"/>
    <w:rsid w:val="00F51690"/>
    <w:rsid w:val="00F51872"/>
    <w:rsid w:val="00F518F4"/>
    <w:rsid w:val="00F51EEE"/>
    <w:rsid w:val="00F51FEF"/>
    <w:rsid w:val="00F52069"/>
    <w:rsid w:val="00F523CA"/>
    <w:rsid w:val="00F52CD6"/>
    <w:rsid w:val="00F52FCA"/>
    <w:rsid w:val="00F530C9"/>
    <w:rsid w:val="00F53327"/>
    <w:rsid w:val="00F5351A"/>
    <w:rsid w:val="00F5388F"/>
    <w:rsid w:val="00F53EF3"/>
    <w:rsid w:val="00F54478"/>
    <w:rsid w:val="00F546B2"/>
    <w:rsid w:val="00F547FB"/>
    <w:rsid w:val="00F54AF5"/>
    <w:rsid w:val="00F54ED6"/>
    <w:rsid w:val="00F551D9"/>
    <w:rsid w:val="00F55580"/>
    <w:rsid w:val="00F556F6"/>
    <w:rsid w:val="00F55B7F"/>
    <w:rsid w:val="00F560FE"/>
    <w:rsid w:val="00F561C1"/>
    <w:rsid w:val="00F56953"/>
    <w:rsid w:val="00F56E96"/>
    <w:rsid w:val="00F573B4"/>
    <w:rsid w:val="00F575DB"/>
    <w:rsid w:val="00F576FB"/>
    <w:rsid w:val="00F57ACF"/>
    <w:rsid w:val="00F6087E"/>
    <w:rsid w:val="00F60A62"/>
    <w:rsid w:val="00F61059"/>
    <w:rsid w:val="00F614E1"/>
    <w:rsid w:val="00F615E9"/>
    <w:rsid w:val="00F61871"/>
    <w:rsid w:val="00F61B35"/>
    <w:rsid w:val="00F61C6B"/>
    <w:rsid w:val="00F622DD"/>
    <w:rsid w:val="00F62803"/>
    <w:rsid w:val="00F62943"/>
    <w:rsid w:val="00F62C13"/>
    <w:rsid w:val="00F62E87"/>
    <w:rsid w:val="00F63417"/>
    <w:rsid w:val="00F63847"/>
    <w:rsid w:val="00F6392F"/>
    <w:rsid w:val="00F64052"/>
    <w:rsid w:val="00F64559"/>
    <w:rsid w:val="00F6457F"/>
    <w:rsid w:val="00F64CE5"/>
    <w:rsid w:val="00F64CEF"/>
    <w:rsid w:val="00F651C0"/>
    <w:rsid w:val="00F652B3"/>
    <w:rsid w:val="00F65314"/>
    <w:rsid w:val="00F65C85"/>
    <w:rsid w:val="00F6623C"/>
    <w:rsid w:val="00F6640A"/>
    <w:rsid w:val="00F668EF"/>
    <w:rsid w:val="00F67A6B"/>
    <w:rsid w:val="00F67E63"/>
    <w:rsid w:val="00F67E67"/>
    <w:rsid w:val="00F700B6"/>
    <w:rsid w:val="00F700C3"/>
    <w:rsid w:val="00F70142"/>
    <w:rsid w:val="00F70955"/>
    <w:rsid w:val="00F70CB6"/>
    <w:rsid w:val="00F70F48"/>
    <w:rsid w:val="00F715EF"/>
    <w:rsid w:val="00F7165E"/>
    <w:rsid w:val="00F71A60"/>
    <w:rsid w:val="00F71CE1"/>
    <w:rsid w:val="00F72169"/>
    <w:rsid w:val="00F72203"/>
    <w:rsid w:val="00F722E9"/>
    <w:rsid w:val="00F72424"/>
    <w:rsid w:val="00F72A41"/>
    <w:rsid w:val="00F73028"/>
    <w:rsid w:val="00F73913"/>
    <w:rsid w:val="00F73CA6"/>
    <w:rsid w:val="00F73CDD"/>
    <w:rsid w:val="00F742E0"/>
    <w:rsid w:val="00F74EC8"/>
    <w:rsid w:val="00F74F87"/>
    <w:rsid w:val="00F751A7"/>
    <w:rsid w:val="00F7578C"/>
    <w:rsid w:val="00F75956"/>
    <w:rsid w:val="00F767C1"/>
    <w:rsid w:val="00F76DCA"/>
    <w:rsid w:val="00F77831"/>
    <w:rsid w:val="00F77FA7"/>
    <w:rsid w:val="00F8090D"/>
    <w:rsid w:val="00F80C55"/>
    <w:rsid w:val="00F80D17"/>
    <w:rsid w:val="00F80E35"/>
    <w:rsid w:val="00F81084"/>
    <w:rsid w:val="00F8119D"/>
    <w:rsid w:val="00F812CC"/>
    <w:rsid w:val="00F814B7"/>
    <w:rsid w:val="00F819F8"/>
    <w:rsid w:val="00F81B20"/>
    <w:rsid w:val="00F81FC4"/>
    <w:rsid w:val="00F822A4"/>
    <w:rsid w:val="00F82602"/>
    <w:rsid w:val="00F826DA"/>
    <w:rsid w:val="00F8281D"/>
    <w:rsid w:val="00F82A96"/>
    <w:rsid w:val="00F82D96"/>
    <w:rsid w:val="00F83645"/>
    <w:rsid w:val="00F83656"/>
    <w:rsid w:val="00F8452E"/>
    <w:rsid w:val="00F847FC"/>
    <w:rsid w:val="00F84CF7"/>
    <w:rsid w:val="00F84CFD"/>
    <w:rsid w:val="00F84FD2"/>
    <w:rsid w:val="00F8523C"/>
    <w:rsid w:val="00F855F9"/>
    <w:rsid w:val="00F856B7"/>
    <w:rsid w:val="00F85C94"/>
    <w:rsid w:val="00F86291"/>
    <w:rsid w:val="00F862FD"/>
    <w:rsid w:val="00F86734"/>
    <w:rsid w:val="00F868E4"/>
    <w:rsid w:val="00F86DB7"/>
    <w:rsid w:val="00F8713F"/>
    <w:rsid w:val="00F8755D"/>
    <w:rsid w:val="00F876F4"/>
    <w:rsid w:val="00F87BBB"/>
    <w:rsid w:val="00F87E9B"/>
    <w:rsid w:val="00F901BF"/>
    <w:rsid w:val="00F9037F"/>
    <w:rsid w:val="00F904E3"/>
    <w:rsid w:val="00F90A66"/>
    <w:rsid w:val="00F90C0F"/>
    <w:rsid w:val="00F90D8C"/>
    <w:rsid w:val="00F91C0D"/>
    <w:rsid w:val="00F91FCD"/>
    <w:rsid w:val="00F9218B"/>
    <w:rsid w:val="00F927DC"/>
    <w:rsid w:val="00F9308C"/>
    <w:rsid w:val="00F933FD"/>
    <w:rsid w:val="00F936C0"/>
    <w:rsid w:val="00F93FC3"/>
    <w:rsid w:val="00F94D1F"/>
    <w:rsid w:val="00F96129"/>
    <w:rsid w:val="00F96298"/>
    <w:rsid w:val="00F9662B"/>
    <w:rsid w:val="00F96908"/>
    <w:rsid w:val="00F96E44"/>
    <w:rsid w:val="00F96F22"/>
    <w:rsid w:val="00F96F77"/>
    <w:rsid w:val="00F96FF5"/>
    <w:rsid w:val="00F975C8"/>
    <w:rsid w:val="00F978A0"/>
    <w:rsid w:val="00F978C0"/>
    <w:rsid w:val="00F97C2B"/>
    <w:rsid w:val="00F97D8C"/>
    <w:rsid w:val="00FA0769"/>
    <w:rsid w:val="00FA0791"/>
    <w:rsid w:val="00FA094D"/>
    <w:rsid w:val="00FA0DD9"/>
    <w:rsid w:val="00FA1371"/>
    <w:rsid w:val="00FA19B6"/>
    <w:rsid w:val="00FA1DCB"/>
    <w:rsid w:val="00FA1E29"/>
    <w:rsid w:val="00FA22A2"/>
    <w:rsid w:val="00FA237C"/>
    <w:rsid w:val="00FA29D5"/>
    <w:rsid w:val="00FA2CAC"/>
    <w:rsid w:val="00FA2DA3"/>
    <w:rsid w:val="00FA2F8E"/>
    <w:rsid w:val="00FA30A8"/>
    <w:rsid w:val="00FA355C"/>
    <w:rsid w:val="00FA3941"/>
    <w:rsid w:val="00FA3964"/>
    <w:rsid w:val="00FA3D08"/>
    <w:rsid w:val="00FA4257"/>
    <w:rsid w:val="00FA429A"/>
    <w:rsid w:val="00FA4E21"/>
    <w:rsid w:val="00FA53DD"/>
    <w:rsid w:val="00FA56CD"/>
    <w:rsid w:val="00FA5F95"/>
    <w:rsid w:val="00FA5FCC"/>
    <w:rsid w:val="00FA6525"/>
    <w:rsid w:val="00FA664F"/>
    <w:rsid w:val="00FA667F"/>
    <w:rsid w:val="00FA67B6"/>
    <w:rsid w:val="00FA690A"/>
    <w:rsid w:val="00FA6E91"/>
    <w:rsid w:val="00FA72C1"/>
    <w:rsid w:val="00FA7396"/>
    <w:rsid w:val="00FB04FA"/>
    <w:rsid w:val="00FB07B1"/>
    <w:rsid w:val="00FB08C2"/>
    <w:rsid w:val="00FB0F13"/>
    <w:rsid w:val="00FB1584"/>
    <w:rsid w:val="00FB1811"/>
    <w:rsid w:val="00FB199F"/>
    <w:rsid w:val="00FB1A6D"/>
    <w:rsid w:val="00FB2165"/>
    <w:rsid w:val="00FB228F"/>
    <w:rsid w:val="00FB25A9"/>
    <w:rsid w:val="00FB304E"/>
    <w:rsid w:val="00FB334B"/>
    <w:rsid w:val="00FB34AA"/>
    <w:rsid w:val="00FB363D"/>
    <w:rsid w:val="00FB3E0A"/>
    <w:rsid w:val="00FB3FA1"/>
    <w:rsid w:val="00FB4018"/>
    <w:rsid w:val="00FB444A"/>
    <w:rsid w:val="00FB4737"/>
    <w:rsid w:val="00FB4960"/>
    <w:rsid w:val="00FB4AE8"/>
    <w:rsid w:val="00FB4B94"/>
    <w:rsid w:val="00FB4B96"/>
    <w:rsid w:val="00FB4BDD"/>
    <w:rsid w:val="00FB4CD5"/>
    <w:rsid w:val="00FB4DC1"/>
    <w:rsid w:val="00FB501D"/>
    <w:rsid w:val="00FB50DF"/>
    <w:rsid w:val="00FB5626"/>
    <w:rsid w:val="00FB615E"/>
    <w:rsid w:val="00FB62DC"/>
    <w:rsid w:val="00FB62F1"/>
    <w:rsid w:val="00FB6A42"/>
    <w:rsid w:val="00FB7188"/>
    <w:rsid w:val="00FB7235"/>
    <w:rsid w:val="00FB7305"/>
    <w:rsid w:val="00FC01F2"/>
    <w:rsid w:val="00FC0D52"/>
    <w:rsid w:val="00FC0D7C"/>
    <w:rsid w:val="00FC1496"/>
    <w:rsid w:val="00FC16D5"/>
    <w:rsid w:val="00FC1801"/>
    <w:rsid w:val="00FC1AEE"/>
    <w:rsid w:val="00FC22E9"/>
    <w:rsid w:val="00FC26E3"/>
    <w:rsid w:val="00FC26FA"/>
    <w:rsid w:val="00FC2795"/>
    <w:rsid w:val="00FC2AB8"/>
    <w:rsid w:val="00FC2D6D"/>
    <w:rsid w:val="00FC2DBD"/>
    <w:rsid w:val="00FC2E0B"/>
    <w:rsid w:val="00FC3076"/>
    <w:rsid w:val="00FC33CA"/>
    <w:rsid w:val="00FC33E8"/>
    <w:rsid w:val="00FC3CF5"/>
    <w:rsid w:val="00FC4303"/>
    <w:rsid w:val="00FC4539"/>
    <w:rsid w:val="00FC457B"/>
    <w:rsid w:val="00FC4CDB"/>
    <w:rsid w:val="00FC4E9F"/>
    <w:rsid w:val="00FC5018"/>
    <w:rsid w:val="00FC5307"/>
    <w:rsid w:val="00FC5332"/>
    <w:rsid w:val="00FC54E9"/>
    <w:rsid w:val="00FC5B59"/>
    <w:rsid w:val="00FC5DE9"/>
    <w:rsid w:val="00FC5E28"/>
    <w:rsid w:val="00FC607B"/>
    <w:rsid w:val="00FC6318"/>
    <w:rsid w:val="00FC645D"/>
    <w:rsid w:val="00FC653D"/>
    <w:rsid w:val="00FC66D7"/>
    <w:rsid w:val="00FC6E06"/>
    <w:rsid w:val="00FC6E96"/>
    <w:rsid w:val="00FC7158"/>
    <w:rsid w:val="00FC71B0"/>
    <w:rsid w:val="00FC744D"/>
    <w:rsid w:val="00FC75F7"/>
    <w:rsid w:val="00FC785B"/>
    <w:rsid w:val="00FC78F4"/>
    <w:rsid w:val="00FC79FB"/>
    <w:rsid w:val="00FC7C24"/>
    <w:rsid w:val="00FD01B5"/>
    <w:rsid w:val="00FD0431"/>
    <w:rsid w:val="00FD0632"/>
    <w:rsid w:val="00FD0A9F"/>
    <w:rsid w:val="00FD0E73"/>
    <w:rsid w:val="00FD1218"/>
    <w:rsid w:val="00FD14BE"/>
    <w:rsid w:val="00FD14CE"/>
    <w:rsid w:val="00FD17FA"/>
    <w:rsid w:val="00FD18CB"/>
    <w:rsid w:val="00FD1C03"/>
    <w:rsid w:val="00FD2203"/>
    <w:rsid w:val="00FD237F"/>
    <w:rsid w:val="00FD23A9"/>
    <w:rsid w:val="00FD2605"/>
    <w:rsid w:val="00FD2714"/>
    <w:rsid w:val="00FD2829"/>
    <w:rsid w:val="00FD2EDE"/>
    <w:rsid w:val="00FD2FD4"/>
    <w:rsid w:val="00FD3001"/>
    <w:rsid w:val="00FD3530"/>
    <w:rsid w:val="00FD35EB"/>
    <w:rsid w:val="00FD3B2B"/>
    <w:rsid w:val="00FD42DC"/>
    <w:rsid w:val="00FD5589"/>
    <w:rsid w:val="00FD5DAD"/>
    <w:rsid w:val="00FD6628"/>
    <w:rsid w:val="00FD698D"/>
    <w:rsid w:val="00FD6A54"/>
    <w:rsid w:val="00FD7934"/>
    <w:rsid w:val="00FD798C"/>
    <w:rsid w:val="00FD7BAB"/>
    <w:rsid w:val="00FE02FA"/>
    <w:rsid w:val="00FE07E7"/>
    <w:rsid w:val="00FE0E5A"/>
    <w:rsid w:val="00FE0E94"/>
    <w:rsid w:val="00FE122B"/>
    <w:rsid w:val="00FE1817"/>
    <w:rsid w:val="00FE1B36"/>
    <w:rsid w:val="00FE2196"/>
    <w:rsid w:val="00FE223E"/>
    <w:rsid w:val="00FE2802"/>
    <w:rsid w:val="00FE2C66"/>
    <w:rsid w:val="00FE319D"/>
    <w:rsid w:val="00FE322E"/>
    <w:rsid w:val="00FE384F"/>
    <w:rsid w:val="00FE38EB"/>
    <w:rsid w:val="00FE3DA9"/>
    <w:rsid w:val="00FE4010"/>
    <w:rsid w:val="00FE4034"/>
    <w:rsid w:val="00FE4506"/>
    <w:rsid w:val="00FE478B"/>
    <w:rsid w:val="00FE5208"/>
    <w:rsid w:val="00FE5F7C"/>
    <w:rsid w:val="00FE6127"/>
    <w:rsid w:val="00FE61AE"/>
    <w:rsid w:val="00FE6982"/>
    <w:rsid w:val="00FE6B8B"/>
    <w:rsid w:val="00FE70FD"/>
    <w:rsid w:val="00FE7304"/>
    <w:rsid w:val="00FE794F"/>
    <w:rsid w:val="00FE7F38"/>
    <w:rsid w:val="00FF0354"/>
    <w:rsid w:val="00FF0416"/>
    <w:rsid w:val="00FF099E"/>
    <w:rsid w:val="00FF127D"/>
    <w:rsid w:val="00FF1488"/>
    <w:rsid w:val="00FF166A"/>
    <w:rsid w:val="00FF1C8F"/>
    <w:rsid w:val="00FF2234"/>
    <w:rsid w:val="00FF2CC0"/>
    <w:rsid w:val="00FF2DF3"/>
    <w:rsid w:val="00FF2E89"/>
    <w:rsid w:val="00FF3237"/>
    <w:rsid w:val="00FF3838"/>
    <w:rsid w:val="00FF3843"/>
    <w:rsid w:val="00FF39F3"/>
    <w:rsid w:val="00FF3FB0"/>
    <w:rsid w:val="00FF40A9"/>
    <w:rsid w:val="00FF430D"/>
    <w:rsid w:val="00FF45B0"/>
    <w:rsid w:val="00FF4640"/>
    <w:rsid w:val="00FF46CE"/>
    <w:rsid w:val="00FF46F1"/>
    <w:rsid w:val="00FF48B3"/>
    <w:rsid w:val="00FF4B67"/>
    <w:rsid w:val="00FF4FE0"/>
    <w:rsid w:val="00FF53B4"/>
    <w:rsid w:val="00FF5600"/>
    <w:rsid w:val="00FF67B5"/>
    <w:rsid w:val="00FF69F6"/>
    <w:rsid w:val="00FF6AD2"/>
    <w:rsid w:val="00FF6B0C"/>
    <w:rsid w:val="00FF6BAE"/>
    <w:rsid w:val="00FF6DA6"/>
    <w:rsid w:val="00FF7371"/>
    <w:rsid w:val="00FF7519"/>
    <w:rsid w:val="00FF75F6"/>
    <w:rsid w:val="00FF7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2753"/>
    <o:shapelayout v:ext="edit">
      <o:idmap v:ext="edit" data="1"/>
    </o:shapelayout>
  </w:shapeDefaults>
  <w:decimalSymbol w:val="."/>
  <w:listSeparator w:val=","/>
  <w14:docId w14:val="7B7A2594"/>
  <w15:docId w15:val="{11845E4F-4C46-4531-B9DA-FDEA7D4B5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8" w:unhideWhenUsed="1" w:qFormat="1"/>
    <w:lsdException w:name="heading 5" w:semiHidden="1" w:uiPriority="18" w:unhideWhenUsed="1" w:qFormat="1"/>
    <w:lsdException w:name="heading 6" w:semiHidden="1" w:uiPriority="18" w:unhideWhenUsed="1"/>
    <w:lsdException w:name="heading 7" w:semiHidden="1" w:uiPriority="18" w:unhideWhenUsed="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lsdException w:name="List Number 4" w:semiHidden="1" w:uiPriority="18" w:unhideWhenUsed="1"/>
    <w:lsdException w:name="List Number 5" w:semiHidden="1" w:uiPriority="18" w:unhideWhenUsed="1"/>
    <w:lsdException w:name="Title" w:uiPriority="10" w:qFormat="1"/>
    <w:lsdException w:name="Closing" w:semiHidden="1" w:unhideWhenUsed="1"/>
    <w:lsdException w:name="Signature" w:semiHidden="1" w:uiPriority="2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7AA"/>
    <w:pPr>
      <w:spacing w:before="0" w:after="200" w:line="264" w:lineRule="auto"/>
    </w:pPr>
    <w:rPr>
      <w:rFonts w:ascii="Microsoft New Tai Lue" w:hAnsi="Microsoft New Tai Lue" w:cs="Microsoft New Tai Lue"/>
      <w:color w:val="auto"/>
      <w:kern w:val="20"/>
      <w:sz w:val="21"/>
      <w:szCs w:val="21"/>
      <w:lang w:val="en-AU"/>
    </w:rPr>
  </w:style>
  <w:style w:type="paragraph" w:styleId="Heading1">
    <w:name w:val="heading 1"/>
    <w:basedOn w:val="Normal"/>
    <w:next w:val="Normal"/>
    <w:link w:val="Heading1Char"/>
    <w:uiPriority w:val="1"/>
    <w:qFormat/>
    <w:rsid w:val="00564151"/>
    <w:pPr>
      <w:pageBreakBefore/>
      <w:spacing w:after="300" w:line="240" w:lineRule="auto"/>
      <w:outlineLvl w:val="0"/>
    </w:pPr>
    <w:rPr>
      <w:rFonts w:ascii="Microsoft YaHei UI" w:hAnsi="Microsoft YaHei UI"/>
      <w:color w:val="262626" w:themeColor="text1" w:themeTint="D9"/>
      <w:sz w:val="49"/>
      <w:szCs w:val="49"/>
    </w:rPr>
  </w:style>
  <w:style w:type="paragraph" w:styleId="Heading2">
    <w:name w:val="heading 2"/>
    <w:next w:val="Normal"/>
    <w:link w:val="Heading2Char"/>
    <w:uiPriority w:val="1"/>
    <w:unhideWhenUsed/>
    <w:qFormat/>
    <w:rsid w:val="004851ED"/>
    <w:pPr>
      <w:keepNext/>
      <w:keepLines/>
      <w:spacing w:before="0" w:after="200" w:line="240" w:lineRule="auto"/>
      <w:outlineLvl w:val="1"/>
    </w:pPr>
    <w:rPr>
      <w:rFonts w:ascii="Microsoft YaHei UI" w:eastAsia="Microsoft YaHei UI" w:hAnsi="Microsoft YaHei UI" w:cstheme="majorBidi"/>
      <w:color w:val="579AB0" w:themeColor="text2"/>
      <w:kern w:val="20"/>
      <w:sz w:val="32"/>
      <w:szCs w:val="32"/>
      <w14:ligatures w14:val="standardContextual"/>
    </w:rPr>
  </w:style>
  <w:style w:type="paragraph" w:styleId="Heading3">
    <w:name w:val="heading 3"/>
    <w:next w:val="Normal"/>
    <w:link w:val="Heading3Char"/>
    <w:autoRedefine/>
    <w:uiPriority w:val="1"/>
    <w:unhideWhenUsed/>
    <w:qFormat/>
    <w:rsid w:val="00072FCD"/>
    <w:pPr>
      <w:keepNext/>
      <w:keepLines/>
      <w:spacing w:before="240" w:line="240" w:lineRule="auto"/>
      <w:outlineLvl w:val="2"/>
    </w:pPr>
    <w:rPr>
      <w:rFonts w:ascii="Microsoft YaHei UI" w:eastAsia="Microsoft YaHei UI" w:hAnsi="Microsoft YaHei UI" w:cstheme="majorBidi"/>
      <w:bCs/>
      <w:color w:val="579AB0" w:themeColor="text2"/>
      <w:kern w:val="20"/>
      <w:sz w:val="24"/>
      <w:szCs w:val="32"/>
      <w14:ligatures w14:val="standardContextual"/>
    </w:rPr>
  </w:style>
  <w:style w:type="paragraph" w:styleId="Heading4">
    <w:name w:val="heading 4"/>
    <w:next w:val="Normal"/>
    <w:link w:val="Heading4Char"/>
    <w:uiPriority w:val="18"/>
    <w:unhideWhenUsed/>
    <w:qFormat/>
    <w:rsid w:val="00564151"/>
    <w:pPr>
      <w:keepNext/>
      <w:keepLines/>
      <w:spacing w:before="0" w:after="200"/>
      <w:outlineLvl w:val="3"/>
    </w:pPr>
    <w:rPr>
      <w:rFonts w:ascii="Microsoft YaHei UI" w:eastAsia="Microsoft YaHei UI" w:hAnsi="Microsoft YaHei UI" w:cstheme="majorBidi"/>
      <w:bCs/>
      <w:iCs/>
      <w:color w:val="579AB0" w:themeColor="text2"/>
      <w:kern w:val="20"/>
      <w:sz w:val="21"/>
      <w:szCs w:val="21"/>
    </w:rPr>
  </w:style>
  <w:style w:type="paragraph" w:styleId="Heading5">
    <w:name w:val="heading 5"/>
    <w:basedOn w:val="Normal"/>
    <w:next w:val="Normal"/>
    <w:link w:val="Heading5Char"/>
    <w:uiPriority w:val="18"/>
    <w:unhideWhenUsed/>
    <w:qFormat/>
    <w:rsid w:val="00564151"/>
    <w:pPr>
      <w:keepNext/>
      <w:keepLines/>
      <w:outlineLvl w:val="4"/>
    </w:pPr>
    <w:rPr>
      <w:rFonts w:ascii="Microsoft YaHei UI" w:eastAsia="Microsoft YaHei UI" w:hAnsi="Microsoft YaHei UI" w:cstheme="majorBidi"/>
      <w:i/>
      <w:color w:val="579AB0" w:themeColor="text2"/>
    </w:rPr>
  </w:style>
  <w:style w:type="paragraph" w:styleId="Heading6">
    <w:name w:val="heading 6"/>
    <w:basedOn w:val="Normal"/>
    <w:next w:val="Normal"/>
    <w:link w:val="Heading6Char"/>
    <w:uiPriority w:val="18"/>
    <w:unhideWhenUsed/>
    <w:rsid w:val="00AA055D"/>
    <w:pPr>
      <w:keepNext/>
      <w:keepLines/>
      <w:spacing w:before="200" w:after="0"/>
      <w:outlineLvl w:val="5"/>
    </w:pPr>
    <w:rPr>
      <w:rFonts w:ascii="Microsoft YaHei UI" w:eastAsia="Microsoft YaHei UI" w:hAnsi="Microsoft YaHei UI" w:cstheme="majorBidi"/>
      <w:i/>
      <w:iCs/>
      <w:color w:val="000000" w:themeColor="text1"/>
    </w:rPr>
  </w:style>
  <w:style w:type="paragraph" w:styleId="Heading7">
    <w:name w:val="heading 7"/>
    <w:basedOn w:val="Normal"/>
    <w:next w:val="Normal"/>
    <w:link w:val="Heading7Char"/>
    <w:uiPriority w:val="18"/>
    <w:semiHidden/>
    <w:unhideWhenUse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9AB6CB"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sid w:val="00564151"/>
    <w:rPr>
      <w:rFonts w:ascii="Microsoft YaHei UI" w:hAnsi="Microsoft YaHei UI" w:cs="Microsoft New Tai Lue"/>
      <w:color w:val="262626" w:themeColor="text1" w:themeTint="D9"/>
      <w:kern w:val="20"/>
      <w:sz w:val="49"/>
      <w:szCs w:val="49"/>
      <w:lang w:val="en-GB"/>
    </w:rPr>
  </w:style>
  <w:style w:type="character" w:customStyle="1" w:styleId="Heading2Char">
    <w:name w:val="Heading 2 Char"/>
    <w:basedOn w:val="DefaultParagraphFont"/>
    <w:link w:val="Heading2"/>
    <w:uiPriority w:val="1"/>
    <w:rsid w:val="004851ED"/>
    <w:rPr>
      <w:rFonts w:ascii="Microsoft YaHei UI" w:eastAsia="Microsoft YaHei UI" w:hAnsi="Microsoft YaHei UI" w:cstheme="majorBidi"/>
      <w:color w:val="579AB0" w:themeColor="text2"/>
      <w:kern w:val="20"/>
      <w:sz w:val="32"/>
      <w:szCs w:val="32"/>
      <w14:ligatures w14:val="standardContextual"/>
    </w:rPr>
  </w:style>
  <w:style w:type="character" w:styleId="PlaceholderText">
    <w:name w:val="Placeholder Text"/>
    <w:basedOn w:val="DefaultParagraphFont"/>
    <w:uiPriority w:val="99"/>
    <w:semiHidden/>
    <w:rPr>
      <w:color w:val="808080"/>
    </w:rPr>
  </w:style>
  <w:style w:type="paragraph" w:styleId="Quote">
    <w:name w:val="Quote"/>
    <w:next w:val="Normal"/>
    <w:link w:val="QuoteChar"/>
    <w:uiPriority w:val="9"/>
    <w:unhideWhenUsed/>
    <w:qFormat/>
    <w:rsid w:val="00564151"/>
    <w:pPr>
      <w:spacing w:before="240" w:after="240"/>
      <w:ind w:left="720" w:right="720"/>
    </w:pPr>
    <w:rPr>
      <w:rFonts w:ascii="Microsoft New Tai Lue" w:hAnsi="Microsoft New Tai Lue" w:cs="Microsoft New Tai Lue"/>
      <w:i/>
      <w:iCs/>
      <w:noProof/>
      <w:color w:val="5787A9" w:themeColor="accent1"/>
      <w:kern w:val="20"/>
      <w:sz w:val="24"/>
      <w:szCs w:val="24"/>
    </w:rPr>
  </w:style>
  <w:style w:type="character" w:customStyle="1" w:styleId="QuoteChar">
    <w:name w:val="Quote Char"/>
    <w:basedOn w:val="DefaultParagraphFont"/>
    <w:link w:val="Quote"/>
    <w:uiPriority w:val="9"/>
    <w:rsid w:val="00564151"/>
    <w:rPr>
      <w:rFonts w:ascii="Microsoft New Tai Lue" w:hAnsi="Microsoft New Tai Lue" w:cs="Microsoft New Tai Lue"/>
      <w:i/>
      <w:iCs/>
      <w:noProof/>
      <w:color w:val="5787A9" w:themeColor="accent1"/>
      <w:kern w:val="20"/>
      <w:sz w:val="24"/>
      <w:szCs w:val="24"/>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5787A9" w:themeColor="accent1" w:frame="1"/>
        <w:left w:val="single" w:sz="2" w:space="10" w:color="5787A9" w:themeColor="accent1" w:frame="1"/>
        <w:bottom w:val="single" w:sz="2" w:space="10" w:color="5787A9" w:themeColor="accent1" w:frame="1"/>
        <w:right w:val="single" w:sz="2" w:space="10" w:color="5787A9" w:themeColor="accent1" w:frame="1"/>
      </w:pBdr>
      <w:ind w:left="1152" w:right="1152"/>
    </w:pPr>
    <w:rPr>
      <w:i/>
      <w:iCs/>
      <w:color w:val="5787A9"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link w:val="CaptionChar"/>
    <w:unhideWhenUsed/>
    <w:qFormat/>
    <w:rsid w:val="00130DBE"/>
    <w:pPr>
      <w:spacing w:after="120" w:line="240" w:lineRule="auto"/>
    </w:pPr>
    <w:rPr>
      <w:b/>
      <w:bCs/>
      <w:color w:val="5787A9"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6ED" w:themeFill="accent1" w:themeFillTint="33"/>
    </w:tcPr>
    <w:tblStylePr w:type="firstRow">
      <w:rPr>
        <w:b/>
        <w:bCs/>
      </w:rPr>
      <w:tblPr/>
      <w:tcPr>
        <w:shd w:val="clear" w:color="auto" w:fill="BBCEDC" w:themeFill="accent1" w:themeFillTint="66"/>
      </w:tcPr>
    </w:tblStylePr>
    <w:tblStylePr w:type="lastRow">
      <w:rPr>
        <w:b/>
        <w:bCs/>
        <w:color w:val="000000" w:themeColor="text1"/>
      </w:rPr>
      <w:tblPr/>
      <w:tcPr>
        <w:shd w:val="clear" w:color="auto" w:fill="BBCEDC" w:themeFill="accent1" w:themeFillTint="66"/>
      </w:tcPr>
    </w:tblStylePr>
    <w:tblStylePr w:type="firstCol">
      <w:rPr>
        <w:color w:val="FFFFFF" w:themeColor="background1"/>
      </w:rPr>
      <w:tblPr/>
      <w:tcPr>
        <w:shd w:val="clear" w:color="auto" w:fill="41657E" w:themeFill="accent1" w:themeFillShade="BF"/>
      </w:tcPr>
    </w:tblStylePr>
    <w:tblStylePr w:type="lastCol">
      <w:rPr>
        <w:color w:val="FFFFFF" w:themeColor="background1"/>
      </w:rPr>
      <w:tblPr/>
      <w:tcPr>
        <w:shd w:val="clear" w:color="auto" w:fill="41657E" w:themeFill="accent1" w:themeFillShade="BF"/>
      </w:tcPr>
    </w:tblStylePr>
    <w:tblStylePr w:type="band1Vert">
      <w:tblPr/>
      <w:tcPr>
        <w:shd w:val="clear" w:color="auto" w:fill="ABC3D4" w:themeFill="accent1" w:themeFillTint="7F"/>
      </w:tcPr>
    </w:tblStylePr>
    <w:tblStylePr w:type="band1Horz">
      <w:tblPr/>
      <w:tcPr>
        <w:shd w:val="clear" w:color="auto" w:fill="ABC3D4"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E2EC" w:themeFill="accent2" w:themeFillTint="33"/>
    </w:tcPr>
    <w:tblStylePr w:type="firstRow">
      <w:rPr>
        <w:b/>
        <w:bCs/>
      </w:rPr>
      <w:tblPr/>
      <w:tcPr>
        <w:shd w:val="clear" w:color="auto" w:fill="B9C6DA" w:themeFill="accent2" w:themeFillTint="66"/>
      </w:tcPr>
    </w:tblStylePr>
    <w:tblStylePr w:type="lastRow">
      <w:rPr>
        <w:b/>
        <w:bCs/>
        <w:color w:val="000000" w:themeColor="text1"/>
      </w:rPr>
      <w:tblPr/>
      <w:tcPr>
        <w:shd w:val="clear" w:color="auto" w:fill="B9C6DA" w:themeFill="accent2" w:themeFillTint="66"/>
      </w:tcPr>
    </w:tblStylePr>
    <w:tblStylePr w:type="firstCol">
      <w:rPr>
        <w:color w:val="FFFFFF" w:themeColor="background1"/>
      </w:rPr>
      <w:tblPr/>
      <w:tcPr>
        <w:shd w:val="clear" w:color="auto" w:fill="3F5578" w:themeFill="accent2" w:themeFillShade="BF"/>
      </w:tcPr>
    </w:tblStylePr>
    <w:tblStylePr w:type="lastCol">
      <w:rPr>
        <w:color w:val="FFFFFF" w:themeColor="background1"/>
      </w:rPr>
      <w:tblPr/>
      <w:tcPr>
        <w:shd w:val="clear" w:color="auto" w:fill="3F5578" w:themeFill="accent2" w:themeFillShade="BF"/>
      </w:tcPr>
    </w:tblStylePr>
    <w:tblStylePr w:type="band1Vert">
      <w:tblPr/>
      <w:tcPr>
        <w:shd w:val="clear" w:color="auto" w:fill="A8B8D1" w:themeFill="accent2" w:themeFillTint="7F"/>
      </w:tcPr>
    </w:tblStylePr>
    <w:tblStylePr w:type="band1Horz">
      <w:tblPr/>
      <w:tcPr>
        <w:shd w:val="clear" w:color="auto" w:fill="A8B8D1"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DFEC" w:themeFill="accent3" w:themeFillTint="33"/>
    </w:tcPr>
    <w:tblStylePr w:type="firstRow">
      <w:rPr>
        <w:b/>
        <w:bCs/>
      </w:rPr>
      <w:tblPr/>
      <w:tcPr>
        <w:shd w:val="clear" w:color="auto" w:fill="B9BFD8" w:themeFill="accent3" w:themeFillTint="66"/>
      </w:tcPr>
    </w:tblStylePr>
    <w:tblStylePr w:type="lastRow">
      <w:rPr>
        <w:b/>
        <w:bCs/>
        <w:color w:val="000000" w:themeColor="text1"/>
      </w:rPr>
      <w:tblPr/>
      <w:tcPr>
        <w:shd w:val="clear" w:color="auto" w:fill="B9BFD8" w:themeFill="accent3" w:themeFillTint="66"/>
      </w:tcPr>
    </w:tblStylePr>
    <w:tblStylePr w:type="firstCol">
      <w:rPr>
        <w:color w:val="FFFFFF" w:themeColor="background1"/>
      </w:rPr>
      <w:tblPr/>
      <w:tcPr>
        <w:shd w:val="clear" w:color="auto" w:fill="3F4A74" w:themeFill="accent3" w:themeFillShade="BF"/>
      </w:tcPr>
    </w:tblStylePr>
    <w:tblStylePr w:type="lastCol">
      <w:rPr>
        <w:color w:val="FFFFFF" w:themeColor="background1"/>
      </w:rPr>
      <w:tblPr/>
      <w:tcPr>
        <w:shd w:val="clear" w:color="auto" w:fill="3F4A74" w:themeFill="accent3" w:themeFillShade="BF"/>
      </w:tcPr>
    </w:tblStylePr>
    <w:tblStylePr w:type="band1Vert">
      <w:tblPr/>
      <w:tcPr>
        <w:shd w:val="clear" w:color="auto" w:fill="A8AFCF" w:themeFill="accent3" w:themeFillTint="7F"/>
      </w:tcPr>
    </w:tblStylePr>
    <w:tblStylePr w:type="band1Horz">
      <w:tblPr/>
      <w:tcPr>
        <w:shd w:val="clear" w:color="auto" w:fill="A8AFCF"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CEF0" w:themeFill="accent4" w:themeFillTint="33"/>
    </w:tcPr>
    <w:tblStylePr w:type="firstRow">
      <w:rPr>
        <w:b/>
        <w:bCs/>
      </w:rPr>
      <w:tblPr/>
      <w:tcPr>
        <w:shd w:val="clear" w:color="auto" w:fill="C39DE0" w:themeFill="accent4" w:themeFillTint="66"/>
      </w:tcPr>
    </w:tblStylePr>
    <w:tblStylePr w:type="lastRow">
      <w:rPr>
        <w:b/>
        <w:bCs/>
        <w:color w:val="000000" w:themeColor="text1"/>
      </w:rPr>
      <w:tblPr/>
      <w:tcPr>
        <w:shd w:val="clear" w:color="auto" w:fill="C39DE0" w:themeFill="accent4" w:themeFillTint="66"/>
      </w:tcPr>
    </w:tblStylePr>
    <w:tblStylePr w:type="firstCol">
      <w:rPr>
        <w:color w:val="FFFFFF" w:themeColor="background1"/>
      </w:rPr>
      <w:tblPr/>
      <w:tcPr>
        <w:shd w:val="clear" w:color="auto" w:fill="4C216C" w:themeFill="accent4" w:themeFillShade="BF"/>
      </w:tcPr>
    </w:tblStylePr>
    <w:tblStylePr w:type="lastCol">
      <w:rPr>
        <w:color w:val="FFFFFF" w:themeColor="background1"/>
      </w:rPr>
      <w:tblPr/>
      <w:tcPr>
        <w:shd w:val="clear" w:color="auto" w:fill="4C216C" w:themeFill="accent4" w:themeFillShade="BF"/>
      </w:tcPr>
    </w:tblStylePr>
    <w:tblStylePr w:type="band1Vert">
      <w:tblPr/>
      <w:tcPr>
        <w:shd w:val="clear" w:color="auto" w:fill="B485D9" w:themeFill="accent4" w:themeFillTint="7F"/>
      </w:tcPr>
    </w:tblStylePr>
    <w:tblStylePr w:type="band1Horz">
      <w:tblPr/>
      <w:tcPr>
        <w:shd w:val="clear" w:color="auto" w:fill="B485D9"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FEE" w:themeFill="accent5" w:themeFillTint="33"/>
    </w:tcPr>
    <w:tblStylePr w:type="firstRow">
      <w:rPr>
        <w:b/>
        <w:bCs/>
      </w:rPr>
      <w:tblPr/>
      <w:tcPr>
        <w:shd w:val="clear" w:color="auto" w:fill="99E0DD" w:themeFill="accent5" w:themeFillTint="66"/>
      </w:tcPr>
    </w:tblStylePr>
    <w:tblStylePr w:type="lastRow">
      <w:rPr>
        <w:b/>
        <w:bCs/>
        <w:color w:val="000000" w:themeColor="text1"/>
      </w:rPr>
      <w:tblPr/>
      <w:tcPr>
        <w:shd w:val="clear" w:color="auto" w:fill="99E0DD" w:themeFill="accent5" w:themeFillTint="66"/>
      </w:tcPr>
    </w:tblStylePr>
    <w:tblStylePr w:type="firstCol">
      <w:rPr>
        <w:color w:val="FFFFFF" w:themeColor="background1"/>
      </w:rPr>
      <w:tblPr/>
      <w:tcPr>
        <w:shd w:val="clear" w:color="auto" w:fill="1F6764" w:themeFill="accent5" w:themeFillShade="BF"/>
      </w:tcPr>
    </w:tblStylePr>
    <w:tblStylePr w:type="lastCol">
      <w:rPr>
        <w:color w:val="FFFFFF" w:themeColor="background1"/>
      </w:rPr>
      <w:tblPr/>
      <w:tcPr>
        <w:shd w:val="clear" w:color="auto" w:fill="1F6764" w:themeFill="accent5" w:themeFillShade="BF"/>
      </w:tcPr>
    </w:tblStylePr>
    <w:tblStylePr w:type="band1Vert">
      <w:tblPr/>
      <w:tcPr>
        <w:shd w:val="clear" w:color="auto" w:fill="81D9D5" w:themeFill="accent5" w:themeFillTint="7F"/>
      </w:tcPr>
    </w:tblStylePr>
    <w:tblStylePr w:type="band1Horz">
      <w:tblPr/>
      <w:tcPr>
        <w:shd w:val="clear" w:color="auto" w:fill="81D9D5"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F1DA" w:themeFill="accent6" w:themeFillTint="33"/>
    </w:tcPr>
    <w:tblStylePr w:type="firstRow">
      <w:rPr>
        <w:b/>
        <w:bCs/>
      </w:rPr>
      <w:tblPr/>
      <w:tcPr>
        <w:shd w:val="clear" w:color="auto" w:fill="BBE3B5" w:themeFill="accent6" w:themeFillTint="66"/>
      </w:tcPr>
    </w:tblStylePr>
    <w:tblStylePr w:type="lastRow">
      <w:rPr>
        <w:b/>
        <w:bCs/>
        <w:color w:val="000000" w:themeColor="text1"/>
      </w:rPr>
      <w:tblPr/>
      <w:tcPr>
        <w:shd w:val="clear" w:color="auto" w:fill="BBE3B5" w:themeFill="accent6" w:themeFillTint="66"/>
      </w:tcPr>
    </w:tblStylePr>
    <w:tblStylePr w:type="firstCol">
      <w:rPr>
        <w:color w:val="FFFFFF" w:themeColor="background1"/>
      </w:rPr>
      <w:tblPr/>
      <w:tcPr>
        <w:shd w:val="clear" w:color="auto" w:fill="3F8B35" w:themeFill="accent6" w:themeFillShade="BF"/>
      </w:tcPr>
    </w:tblStylePr>
    <w:tblStylePr w:type="lastCol">
      <w:rPr>
        <w:color w:val="FFFFFF" w:themeColor="background1"/>
      </w:rPr>
      <w:tblPr/>
      <w:tcPr>
        <w:shd w:val="clear" w:color="auto" w:fill="3F8B35" w:themeFill="accent6" w:themeFillShade="BF"/>
      </w:tcPr>
    </w:tblStylePr>
    <w:tblStylePr w:type="band1Vert">
      <w:tblPr/>
      <w:tcPr>
        <w:shd w:val="clear" w:color="auto" w:fill="AADCA3" w:themeFill="accent6" w:themeFillTint="7F"/>
      </w:tcPr>
    </w:tblStylePr>
    <w:tblStylePr w:type="band1Horz">
      <w:tblPr/>
      <w:tcPr>
        <w:shd w:val="clear" w:color="auto" w:fill="AADCA3"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45B80" w:themeFill="accent2" w:themeFillShade="CC"/>
      </w:tcPr>
    </w:tblStylePr>
    <w:tblStylePr w:type="lastRow">
      <w:rPr>
        <w:b/>
        <w:bCs/>
        <w:color w:val="445B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EEF3F6" w:themeFill="accent1" w:themeFillTint="19"/>
    </w:tcPr>
    <w:tblStylePr w:type="firstRow">
      <w:rPr>
        <w:b/>
        <w:bCs/>
        <w:color w:val="FFFFFF" w:themeColor="background1"/>
      </w:rPr>
      <w:tblPr/>
      <w:tcPr>
        <w:tcBorders>
          <w:bottom w:val="single" w:sz="12" w:space="0" w:color="FFFFFF" w:themeColor="background1"/>
        </w:tcBorders>
        <w:shd w:val="clear" w:color="auto" w:fill="445B80" w:themeFill="accent2" w:themeFillShade="CC"/>
      </w:tcPr>
    </w:tblStylePr>
    <w:tblStylePr w:type="lastRow">
      <w:rPr>
        <w:b/>
        <w:bCs/>
        <w:color w:val="445B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1E9" w:themeFill="accent1" w:themeFillTint="3F"/>
      </w:tcPr>
    </w:tblStylePr>
    <w:tblStylePr w:type="band1Horz">
      <w:tblPr/>
      <w:tcPr>
        <w:shd w:val="clear" w:color="auto" w:fill="DDE6ED"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EDF1F6" w:themeFill="accent2" w:themeFillTint="19"/>
    </w:tcPr>
    <w:tblStylePr w:type="firstRow">
      <w:rPr>
        <w:b/>
        <w:bCs/>
        <w:color w:val="FFFFFF" w:themeColor="background1"/>
      </w:rPr>
      <w:tblPr/>
      <w:tcPr>
        <w:tcBorders>
          <w:bottom w:val="single" w:sz="12" w:space="0" w:color="FFFFFF" w:themeColor="background1"/>
        </w:tcBorders>
        <w:shd w:val="clear" w:color="auto" w:fill="445B80" w:themeFill="accent2" w:themeFillShade="CC"/>
      </w:tcPr>
    </w:tblStylePr>
    <w:tblStylePr w:type="lastRow">
      <w:rPr>
        <w:b/>
        <w:bCs/>
        <w:color w:val="445B8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DBE8" w:themeFill="accent2" w:themeFillTint="3F"/>
      </w:tcPr>
    </w:tblStylePr>
    <w:tblStylePr w:type="band1Horz">
      <w:tblPr/>
      <w:tcPr>
        <w:shd w:val="clear" w:color="auto" w:fill="DCE2EC"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EDEFF5" w:themeFill="accent3" w:themeFillTint="19"/>
    </w:tcPr>
    <w:tblStylePr w:type="firstRow">
      <w:rPr>
        <w:b/>
        <w:bCs/>
        <w:color w:val="FFFFFF" w:themeColor="background1"/>
      </w:rPr>
      <w:tblPr/>
      <w:tcPr>
        <w:tcBorders>
          <w:bottom w:val="single" w:sz="12" w:space="0" w:color="FFFFFF" w:themeColor="background1"/>
        </w:tcBorders>
        <w:shd w:val="clear" w:color="auto" w:fill="512473" w:themeFill="accent4" w:themeFillShade="CC"/>
      </w:tcPr>
    </w:tblStylePr>
    <w:tblStylePr w:type="lastRow">
      <w:rPr>
        <w:b/>
        <w:bCs/>
        <w:color w:val="51247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7E7" w:themeFill="accent3" w:themeFillTint="3F"/>
      </w:tcPr>
    </w:tblStylePr>
    <w:tblStylePr w:type="band1Horz">
      <w:tblPr/>
      <w:tcPr>
        <w:shd w:val="clear" w:color="auto" w:fill="DCDFEC"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0E6F7" w:themeFill="accent4" w:themeFillTint="19"/>
    </w:tcPr>
    <w:tblStylePr w:type="firstRow">
      <w:rPr>
        <w:b/>
        <w:bCs/>
        <w:color w:val="FFFFFF" w:themeColor="background1"/>
      </w:rPr>
      <w:tblPr/>
      <w:tcPr>
        <w:tcBorders>
          <w:bottom w:val="single" w:sz="12" w:space="0" w:color="FFFFFF" w:themeColor="background1"/>
        </w:tcBorders>
        <w:shd w:val="clear" w:color="auto" w:fill="444F7B" w:themeFill="accent3" w:themeFillShade="CC"/>
      </w:tcPr>
    </w:tblStylePr>
    <w:tblStylePr w:type="lastRow">
      <w:rPr>
        <w:b/>
        <w:bCs/>
        <w:color w:val="444F7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C2EC" w:themeFill="accent4" w:themeFillTint="3F"/>
      </w:tcPr>
    </w:tblStylePr>
    <w:tblStylePr w:type="band1Horz">
      <w:tblPr/>
      <w:tcPr>
        <w:shd w:val="clear" w:color="auto" w:fill="E1CEF0"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6F7F6" w:themeFill="accent5" w:themeFillTint="19"/>
    </w:tcPr>
    <w:tblStylePr w:type="firstRow">
      <w:rPr>
        <w:b/>
        <w:bCs/>
        <w:color w:val="FFFFFF" w:themeColor="background1"/>
      </w:rPr>
      <w:tblPr/>
      <w:tcPr>
        <w:tcBorders>
          <w:bottom w:val="single" w:sz="12" w:space="0" w:color="FFFFFF" w:themeColor="background1"/>
        </w:tcBorders>
        <w:shd w:val="clear" w:color="auto" w:fill="449439" w:themeFill="accent6" w:themeFillShade="CC"/>
      </w:tcPr>
    </w:tblStylePr>
    <w:tblStylePr w:type="lastRow">
      <w:rPr>
        <w:b/>
        <w:bCs/>
        <w:color w:val="449439"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CEA" w:themeFill="accent5" w:themeFillTint="3F"/>
      </w:tcPr>
    </w:tblStylePr>
    <w:tblStylePr w:type="band1Horz">
      <w:tblPr/>
      <w:tcPr>
        <w:shd w:val="clear" w:color="auto" w:fill="CCEFEE"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EEF8EC" w:themeFill="accent6" w:themeFillTint="19"/>
    </w:tcPr>
    <w:tblStylePr w:type="firstRow">
      <w:rPr>
        <w:b/>
        <w:bCs/>
        <w:color w:val="FFFFFF" w:themeColor="background1"/>
      </w:rPr>
      <w:tblPr/>
      <w:tcPr>
        <w:tcBorders>
          <w:bottom w:val="single" w:sz="12" w:space="0" w:color="FFFFFF" w:themeColor="background1"/>
        </w:tcBorders>
        <w:shd w:val="clear" w:color="auto" w:fill="216F6B" w:themeFill="accent5" w:themeFillShade="CC"/>
      </w:tcPr>
    </w:tblStylePr>
    <w:tblStylePr w:type="lastRow">
      <w:rPr>
        <w:b/>
        <w:bCs/>
        <w:color w:val="216F6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DD1" w:themeFill="accent6" w:themeFillTint="3F"/>
      </w:tcPr>
    </w:tblStylePr>
    <w:tblStylePr w:type="band1Horz">
      <w:tblPr/>
      <w:tcPr>
        <w:shd w:val="clear" w:color="auto" w:fill="DDF1DA"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5572A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5572A1" w:themeColor="accent2"/>
        <w:left w:val="single" w:sz="4" w:space="0" w:color="5787A9" w:themeColor="accent1"/>
        <w:bottom w:val="single" w:sz="4" w:space="0" w:color="5787A9" w:themeColor="accent1"/>
        <w:right w:val="single" w:sz="4" w:space="0" w:color="5787A9" w:themeColor="accent1"/>
        <w:insideH w:val="single" w:sz="4" w:space="0" w:color="FFFFFF" w:themeColor="background1"/>
        <w:insideV w:val="single" w:sz="4" w:space="0" w:color="FFFFFF" w:themeColor="background1"/>
      </w:tblBorders>
    </w:tblPr>
    <w:tcPr>
      <w:shd w:val="clear" w:color="auto" w:fill="EEF3F6" w:themeFill="accent1" w:themeFillTint="19"/>
    </w:tcPr>
    <w:tblStylePr w:type="firstRow">
      <w:rPr>
        <w:b/>
        <w:bCs/>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5065" w:themeFill="accent1" w:themeFillShade="99"/>
      </w:tcPr>
    </w:tblStylePr>
    <w:tblStylePr w:type="firstCol">
      <w:rPr>
        <w:color w:val="FFFFFF" w:themeColor="background1"/>
      </w:rPr>
      <w:tblPr/>
      <w:tcPr>
        <w:tcBorders>
          <w:top w:val="nil"/>
          <w:left w:val="nil"/>
          <w:bottom w:val="nil"/>
          <w:right w:val="nil"/>
          <w:insideH w:val="single" w:sz="4" w:space="0" w:color="345065" w:themeColor="accent1" w:themeShade="99"/>
          <w:insideV w:val="nil"/>
        </w:tcBorders>
        <w:shd w:val="clear" w:color="auto" w:fill="3450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5065" w:themeFill="accent1" w:themeFillShade="99"/>
      </w:tcPr>
    </w:tblStylePr>
    <w:tblStylePr w:type="band1Vert">
      <w:tblPr/>
      <w:tcPr>
        <w:shd w:val="clear" w:color="auto" w:fill="BBCEDC" w:themeFill="accent1" w:themeFillTint="66"/>
      </w:tcPr>
    </w:tblStylePr>
    <w:tblStylePr w:type="band1Horz">
      <w:tblPr/>
      <w:tcPr>
        <w:shd w:val="clear" w:color="auto" w:fill="ABC3D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5572A1" w:themeColor="accent2"/>
        <w:left w:val="single" w:sz="4" w:space="0" w:color="5572A1" w:themeColor="accent2"/>
        <w:bottom w:val="single" w:sz="4" w:space="0" w:color="5572A1" w:themeColor="accent2"/>
        <w:right w:val="single" w:sz="4" w:space="0" w:color="5572A1" w:themeColor="accent2"/>
        <w:insideH w:val="single" w:sz="4" w:space="0" w:color="FFFFFF" w:themeColor="background1"/>
        <w:insideV w:val="single" w:sz="4" w:space="0" w:color="FFFFFF" w:themeColor="background1"/>
      </w:tblBorders>
    </w:tblPr>
    <w:tcPr>
      <w:shd w:val="clear" w:color="auto" w:fill="EDF1F6" w:themeFill="accent2" w:themeFillTint="19"/>
    </w:tcPr>
    <w:tblStylePr w:type="firstRow">
      <w:rPr>
        <w:b/>
        <w:bCs/>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4460" w:themeFill="accent2" w:themeFillShade="99"/>
      </w:tcPr>
    </w:tblStylePr>
    <w:tblStylePr w:type="firstCol">
      <w:rPr>
        <w:color w:val="FFFFFF" w:themeColor="background1"/>
      </w:rPr>
      <w:tblPr/>
      <w:tcPr>
        <w:tcBorders>
          <w:top w:val="nil"/>
          <w:left w:val="nil"/>
          <w:bottom w:val="nil"/>
          <w:right w:val="nil"/>
          <w:insideH w:val="single" w:sz="4" w:space="0" w:color="334460" w:themeColor="accent2" w:themeShade="99"/>
          <w:insideV w:val="nil"/>
        </w:tcBorders>
        <w:shd w:val="clear" w:color="auto" w:fill="33446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34460" w:themeFill="accent2" w:themeFillShade="99"/>
      </w:tcPr>
    </w:tblStylePr>
    <w:tblStylePr w:type="band1Vert">
      <w:tblPr/>
      <w:tcPr>
        <w:shd w:val="clear" w:color="auto" w:fill="B9C6DA" w:themeFill="accent2" w:themeFillTint="66"/>
      </w:tcPr>
    </w:tblStylePr>
    <w:tblStylePr w:type="band1Horz">
      <w:tblPr/>
      <w:tcPr>
        <w:shd w:val="clear" w:color="auto" w:fill="A8B8D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662D91" w:themeColor="accent4"/>
        <w:left w:val="single" w:sz="4" w:space="0" w:color="55639B" w:themeColor="accent3"/>
        <w:bottom w:val="single" w:sz="4" w:space="0" w:color="55639B" w:themeColor="accent3"/>
        <w:right w:val="single" w:sz="4" w:space="0" w:color="55639B" w:themeColor="accent3"/>
        <w:insideH w:val="single" w:sz="4" w:space="0" w:color="FFFFFF" w:themeColor="background1"/>
        <w:insideV w:val="single" w:sz="4" w:space="0" w:color="FFFFFF" w:themeColor="background1"/>
      </w:tblBorders>
    </w:tblPr>
    <w:tcPr>
      <w:shd w:val="clear" w:color="auto" w:fill="EDEFF5" w:themeFill="accent3" w:themeFillTint="19"/>
    </w:tcPr>
    <w:tblStylePr w:type="firstRow">
      <w:rPr>
        <w:b/>
        <w:bCs/>
      </w:rPr>
      <w:tblPr/>
      <w:tcPr>
        <w:tcBorders>
          <w:top w:val="nil"/>
          <w:left w:val="nil"/>
          <w:bottom w:val="single" w:sz="24" w:space="0" w:color="662D9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3B5C" w:themeFill="accent3" w:themeFillShade="99"/>
      </w:tcPr>
    </w:tblStylePr>
    <w:tblStylePr w:type="firstCol">
      <w:rPr>
        <w:color w:val="FFFFFF" w:themeColor="background1"/>
      </w:rPr>
      <w:tblPr/>
      <w:tcPr>
        <w:tcBorders>
          <w:top w:val="nil"/>
          <w:left w:val="nil"/>
          <w:bottom w:val="nil"/>
          <w:right w:val="nil"/>
          <w:insideH w:val="single" w:sz="4" w:space="0" w:color="333B5C" w:themeColor="accent3" w:themeShade="99"/>
          <w:insideV w:val="nil"/>
        </w:tcBorders>
        <w:shd w:val="clear" w:color="auto" w:fill="333B5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33B5C" w:themeFill="accent3" w:themeFillShade="99"/>
      </w:tcPr>
    </w:tblStylePr>
    <w:tblStylePr w:type="band1Vert">
      <w:tblPr/>
      <w:tcPr>
        <w:shd w:val="clear" w:color="auto" w:fill="B9BFD8" w:themeFill="accent3" w:themeFillTint="66"/>
      </w:tcPr>
    </w:tblStylePr>
    <w:tblStylePr w:type="band1Horz">
      <w:tblPr/>
      <w:tcPr>
        <w:shd w:val="clear" w:color="auto" w:fill="A8AFCF"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55639B" w:themeColor="accent3"/>
        <w:left w:val="single" w:sz="4" w:space="0" w:color="662D91" w:themeColor="accent4"/>
        <w:bottom w:val="single" w:sz="4" w:space="0" w:color="662D91" w:themeColor="accent4"/>
        <w:right w:val="single" w:sz="4" w:space="0" w:color="662D91" w:themeColor="accent4"/>
        <w:insideH w:val="single" w:sz="4" w:space="0" w:color="FFFFFF" w:themeColor="background1"/>
        <w:insideV w:val="single" w:sz="4" w:space="0" w:color="FFFFFF" w:themeColor="background1"/>
      </w:tblBorders>
    </w:tblPr>
    <w:tcPr>
      <w:shd w:val="clear" w:color="auto" w:fill="F0E6F7" w:themeFill="accent4" w:themeFillTint="19"/>
    </w:tcPr>
    <w:tblStylePr w:type="firstRow">
      <w:rPr>
        <w:b/>
        <w:bCs/>
      </w:rPr>
      <w:tblPr/>
      <w:tcPr>
        <w:tcBorders>
          <w:top w:val="nil"/>
          <w:left w:val="nil"/>
          <w:bottom w:val="single" w:sz="24" w:space="0" w:color="55639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1B56" w:themeFill="accent4" w:themeFillShade="99"/>
      </w:tcPr>
    </w:tblStylePr>
    <w:tblStylePr w:type="firstCol">
      <w:rPr>
        <w:color w:val="FFFFFF" w:themeColor="background1"/>
      </w:rPr>
      <w:tblPr/>
      <w:tcPr>
        <w:tcBorders>
          <w:top w:val="nil"/>
          <w:left w:val="nil"/>
          <w:bottom w:val="nil"/>
          <w:right w:val="nil"/>
          <w:insideH w:val="single" w:sz="4" w:space="0" w:color="3D1B56" w:themeColor="accent4" w:themeShade="99"/>
          <w:insideV w:val="nil"/>
        </w:tcBorders>
        <w:shd w:val="clear" w:color="auto" w:fill="3D1B5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1B56" w:themeFill="accent4" w:themeFillShade="99"/>
      </w:tcPr>
    </w:tblStylePr>
    <w:tblStylePr w:type="band1Vert">
      <w:tblPr/>
      <w:tcPr>
        <w:shd w:val="clear" w:color="auto" w:fill="C39DE0" w:themeFill="accent4" w:themeFillTint="66"/>
      </w:tcPr>
    </w:tblStylePr>
    <w:tblStylePr w:type="band1Horz">
      <w:tblPr/>
      <w:tcPr>
        <w:shd w:val="clear" w:color="auto" w:fill="B485D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56B948" w:themeColor="accent6"/>
        <w:left w:val="single" w:sz="4" w:space="0" w:color="2A8B87" w:themeColor="accent5"/>
        <w:bottom w:val="single" w:sz="4" w:space="0" w:color="2A8B87" w:themeColor="accent5"/>
        <w:right w:val="single" w:sz="4" w:space="0" w:color="2A8B87" w:themeColor="accent5"/>
        <w:insideH w:val="single" w:sz="4" w:space="0" w:color="FFFFFF" w:themeColor="background1"/>
        <w:insideV w:val="single" w:sz="4" w:space="0" w:color="FFFFFF" w:themeColor="background1"/>
      </w:tblBorders>
    </w:tblPr>
    <w:tcPr>
      <w:shd w:val="clear" w:color="auto" w:fill="E6F7F6" w:themeFill="accent5" w:themeFillTint="19"/>
    </w:tcPr>
    <w:tblStylePr w:type="firstRow">
      <w:rPr>
        <w:b/>
        <w:bCs/>
      </w:rPr>
      <w:tblPr/>
      <w:tcPr>
        <w:tcBorders>
          <w:top w:val="nil"/>
          <w:left w:val="nil"/>
          <w:bottom w:val="single" w:sz="24" w:space="0" w:color="56B94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5350" w:themeFill="accent5" w:themeFillShade="99"/>
      </w:tcPr>
    </w:tblStylePr>
    <w:tblStylePr w:type="firstCol">
      <w:rPr>
        <w:color w:val="FFFFFF" w:themeColor="background1"/>
      </w:rPr>
      <w:tblPr/>
      <w:tcPr>
        <w:tcBorders>
          <w:top w:val="nil"/>
          <w:left w:val="nil"/>
          <w:bottom w:val="nil"/>
          <w:right w:val="nil"/>
          <w:insideH w:val="single" w:sz="4" w:space="0" w:color="195350" w:themeColor="accent5" w:themeShade="99"/>
          <w:insideV w:val="nil"/>
        </w:tcBorders>
        <w:shd w:val="clear" w:color="auto" w:fill="19535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5350" w:themeFill="accent5" w:themeFillShade="99"/>
      </w:tcPr>
    </w:tblStylePr>
    <w:tblStylePr w:type="band1Vert">
      <w:tblPr/>
      <w:tcPr>
        <w:shd w:val="clear" w:color="auto" w:fill="99E0DD" w:themeFill="accent5" w:themeFillTint="66"/>
      </w:tcPr>
    </w:tblStylePr>
    <w:tblStylePr w:type="band1Horz">
      <w:tblPr/>
      <w:tcPr>
        <w:shd w:val="clear" w:color="auto" w:fill="81D9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2A8B87" w:themeColor="accent5"/>
        <w:left w:val="single" w:sz="4" w:space="0" w:color="56B948" w:themeColor="accent6"/>
        <w:bottom w:val="single" w:sz="4" w:space="0" w:color="56B948" w:themeColor="accent6"/>
        <w:right w:val="single" w:sz="4" w:space="0" w:color="56B948" w:themeColor="accent6"/>
        <w:insideH w:val="single" w:sz="4" w:space="0" w:color="FFFFFF" w:themeColor="background1"/>
        <w:insideV w:val="single" w:sz="4" w:space="0" w:color="FFFFFF" w:themeColor="background1"/>
      </w:tblBorders>
    </w:tblPr>
    <w:tcPr>
      <w:shd w:val="clear" w:color="auto" w:fill="EEF8EC" w:themeFill="accent6" w:themeFillTint="19"/>
    </w:tcPr>
    <w:tblStylePr w:type="firstRow">
      <w:rPr>
        <w:b/>
        <w:bCs/>
      </w:rPr>
      <w:tblPr/>
      <w:tcPr>
        <w:tcBorders>
          <w:top w:val="nil"/>
          <w:left w:val="nil"/>
          <w:bottom w:val="single" w:sz="24" w:space="0" w:color="2A8B8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6F2A" w:themeFill="accent6" w:themeFillShade="99"/>
      </w:tcPr>
    </w:tblStylePr>
    <w:tblStylePr w:type="firstCol">
      <w:rPr>
        <w:color w:val="FFFFFF" w:themeColor="background1"/>
      </w:rPr>
      <w:tblPr/>
      <w:tcPr>
        <w:tcBorders>
          <w:top w:val="nil"/>
          <w:left w:val="nil"/>
          <w:bottom w:val="nil"/>
          <w:right w:val="nil"/>
          <w:insideH w:val="single" w:sz="4" w:space="0" w:color="336F2A" w:themeColor="accent6" w:themeShade="99"/>
          <w:insideV w:val="nil"/>
        </w:tcBorders>
        <w:shd w:val="clear" w:color="auto" w:fill="336F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36F2A" w:themeFill="accent6" w:themeFillShade="99"/>
      </w:tcPr>
    </w:tblStylePr>
    <w:tblStylePr w:type="band1Vert">
      <w:tblPr/>
      <w:tcPr>
        <w:shd w:val="clear" w:color="auto" w:fill="BBE3B5" w:themeFill="accent6" w:themeFillTint="66"/>
      </w:tcPr>
    </w:tblStylePr>
    <w:tblStylePr w:type="band1Horz">
      <w:tblPr/>
      <w:tcPr>
        <w:shd w:val="clear" w:color="auto" w:fill="AADCA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aliases w:val="CR-DO NOT USE"/>
    <w:basedOn w:val="DefaultParagraphFont"/>
    <w:uiPriority w:val="99"/>
    <w:semiHidden/>
    <w:unhideWhenUsed/>
    <w:rPr>
      <w:sz w:val="16"/>
    </w:rPr>
  </w:style>
  <w:style w:type="paragraph" w:styleId="CommentText">
    <w:name w:val="annotation text"/>
    <w:aliases w:val="CT-DO NOT USE"/>
    <w:basedOn w:val="Normal"/>
    <w:link w:val="CommentTextChar"/>
    <w:uiPriority w:val="99"/>
    <w:unhideWhenUsed/>
    <w:pPr>
      <w:spacing w:line="240" w:lineRule="auto"/>
    </w:pPr>
  </w:style>
  <w:style w:type="character" w:customStyle="1" w:styleId="CommentTextChar">
    <w:name w:val="Comment Text Char"/>
    <w:aliases w:val="CT-DO NOT USE Char"/>
    <w:basedOn w:val="DefaultParagraphFont"/>
    <w:link w:val="CommentText"/>
    <w:uiPriority w:val="99"/>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5787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435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6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657E" w:themeFill="accent1" w:themeFillShade="BF"/>
      </w:tcPr>
    </w:tblStylePr>
    <w:tblStylePr w:type="band1Vert">
      <w:tblPr/>
      <w:tcPr>
        <w:tcBorders>
          <w:top w:val="nil"/>
          <w:left w:val="nil"/>
          <w:bottom w:val="nil"/>
          <w:right w:val="nil"/>
          <w:insideH w:val="nil"/>
          <w:insideV w:val="nil"/>
        </w:tcBorders>
        <w:shd w:val="clear" w:color="auto" w:fill="41657E" w:themeFill="accent1" w:themeFillShade="BF"/>
      </w:tcPr>
    </w:tblStylePr>
    <w:tblStylePr w:type="band1Horz">
      <w:tblPr/>
      <w:tcPr>
        <w:tcBorders>
          <w:top w:val="nil"/>
          <w:left w:val="nil"/>
          <w:bottom w:val="nil"/>
          <w:right w:val="nil"/>
          <w:insideH w:val="nil"/>
          <w:insideV w:val="nil"/>
        </w:tcBorders>
        <w:shd w:val="clear" w:color="auto" w:fill="41657E"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5572A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385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F557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F5578" w:themeFill="accent2" w:themeFillShade="BF"/>
      </w:tcPr>
    </w:tblStylePr>
    <w:tblStylePr w:type="band1Vert">
      <w:tblPr/>
      <w:tcPr>
        <w:tcBorders>
          <w:top w:val="nil"/>
          <w:left w:val="nil"/>
          <w:bottom w:val="nil"/>
          <w:right w:val="nil"/>
          <w:insideH w:val="nil"/>
          <w:insideV w:val="nil"/>
        </w:tcBorders>
        <w:shd w:val="clear" w:color="auto" w:fill="3F5578" w:themeFill="accent2" w:themeFillShade="BF"/>
      </w:tcPr>
    </w:tblStylePr>
    <w:tblStylePr w:type="band1Horz">
      <w:tblPr/>
      <w:tcPr>
        <w:tcBorders>
          <w:top w:val="nil"/>
          <w:left w:val="nil"/>
          <w:bottom w:val="nil"/>
          <w:right w:val="nil"/>
          <w:insideH w:val="nil"/>
          <w:insideV w:val="nil"/>
        </w:tcBorders>
        <w:shd w:val="clear" w:color="auto" w:fill="3F5578"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55639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314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F4A7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F4A74" w:themeFill="accent3" w:themeFillShade="BF"/>
      </w:tcPr>
    </w:tblStylePr>
    <w:tblStylePr w:type="band1Vert">
      <w:tblPr/>
      <w:tcPr>
        <w:tcBorders>
          <w:top w:val="nil"/>
          <w:left w:val="nil"/>
          <w:bottom w:val="nil"/>
          <w:right w:val="nil"/>
          <w:insideH w:val="nil"/>
          <w:insideV w:val="nil"/>
        </w:tcBorders>
        <w:shd w:val="clear" w:color="auto" w:fill="3F4A74" w:themeFill="accent3" w:themeFillShade="BF"/>
      </w:tcPr>
    </w:tblStylePr>
    <w:tblStylePr w:type="band1Horz">
      <w:tblPr/>
      <w:tcPr>
        <w:tcBorders>
          <w:top w:val="nil"/>
          <w:left w:val="nil"/>
          <w:bottom w:val="nil"/>
          <w:right w:val="nil"/>
          <w:insideH w:val="nil"/>
          <w:insideV w:val="nil"/>
        </w:tcBorders>
        <w:shd w:val="clear" w:color="auto" w:fill="3F4A74"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662D9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164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216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216C" w:themeFill="accent4" w:themeFillShade="BF"/>
      </w:tcPr>
    </w:tblStylePr>
    <w:tblStylePr w:type="band1Vert">
      <w:tblPr/>
      <w:tcPr>
        <w:tcBorders>
          <w:top w:val="nil"/>
          <w:left w:val="nil"/>
          <w:bottom w:val="nil"/>
          <w:right w:val="nil"/>
          <w:insideH w:val="nil"/>
          <w:insideV w:val="nil"/>
        </w:tcBorders>
        <w:shd w:val="clear" w:color="auto" w:fill="4C216C" w:themeFill="accent4" w:themeFillShade="BF"/>
      </w:tcPr>
    </w:tblStylePr>
    <w:tblStylePr w:type="band1Horz">
      <w:tblPr/>
      <w:tcPr>
        <w:tcBorders>
          <w:top w:val="nil"/>
          <w:left w:val="nil"/>
          <w:bottom w:val="nil"/>
          <w:right w:val="nil"/>
          <w:insideH w:val="nil"/>
          <w:insideV w:val="nil"/>
        </w:tcBorders>
        <w:shd w:val="clear" w:color="auto" w:fill="4C216C"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2A8B8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454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F676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F6764" w:themeFill="accent5" w:themeFillShade="BF"/>
      </w:tcPr>
    </w:tblStylePr>
    <w:tblStylePr w:type="band1Vert">
      <w:tblPr/>
      <w:tcPr>
        <w:tcBorders>
          <w:top w:val="nil"/>
          <w:left w:val="nil"/>
          <w:bottom w:val="nil"/>
          <w:right w:val="nil"/>
          <w:insideH w:val="nil"/>
          <w:insideV w:val="nil"/>
        </w:tcBorders>
        <w:shd w:val="clear" w:color="auto" w:fill="1F6764" w:themeFill="accent5" w:themeFillShade="BF"/>
      </w:tcPr>
    </w:tblStylePr>
    <w:tblStylePr w:type="band1Horz">
      <w:tblPr/>
      <w:tcPr>
        <w:tcBorders>
          <w:top w:val="nil"/>
          <w:left w:val="nil"/>
          <w:bottom w:val="nil"/>
          <w:right w:val="nil"/>
          <w:insideH w:val="nil"/>
          <w:insideV w:val="nil"/>
        </w:tcBorders>
        <w:shd w:val="clear" w:color="auto" w:fill="1F6764"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56B94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5C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F8B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F8B35" w:themeFill="accent6" w:themeFillShade="BF"/>
      </w:tcPr>
    </w:tblStylePr>
    <w:tblStylePr w:type="band1Vert">
      <w:tblPr/>
      <w:tcPr>
        <w:tcBorders>
          <w:top w:val="nil"/>
          <w:left w:val="nil"/>
          <w:bottom w:val="nil"/>
          <w:right w:val="nil"/>
          <w:insideH w:val="nil"/>
          <w:insideV w:val="nil"/>
        </w:tcBorders>
        <w:shd w:val="clear" w:color="auto" w:fill="3F8B35" w:themeFill="accent6" w:themeFillShade="BF"/>
      </w:tcPr>
    </w:tblStylePr>
    <w:tblStylePr w:type="band1Horz">
      <w:tblPr/>
      <w:tcPr>
        <w:tcBorders>
          <w:top w:val="nil"/>
          <w:left w:val="nil"/>
          <w:bottom w:val="nil"/>
          <w:right w:val="nil"/>
          <w:insideH w:val="nil"/>
          <w:insideV w:val="nil"/>
        </w:tcBorders>
        <w:shd w:val="clear" w:color="auto" w:fill="3F8B35"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unhideWhenUsed/>
    <w:qFormat/>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A22066" w:themeColor="followedHyperlink"/>
      <w:u w:val="single"/>
    </w:rPr>
  </w:style>
  <w:style w:type="character" w:styleId="FootnoteReference">
    <w:name w:val="footnote reference"/>
    <w:basedOn w:val="DefaultParagraphFont"/>
    <w:uiPriority w:val="99"/>
    <w:unhideWhenUsed/>
    <w:rPr>
      <w:vertAlign w:val="superscript"/>
    </w:rPr>
  </w:style>
  <w:style w:type="paragraph" w:styleId="FootnoteText">
    <w:name w:val="footnote text"/>
    <w:basedOn w:val="Normal"/>
    <w:link w:val="FootnoteTextChar"/>
    <w:uiPriority w:val="99"/>
    <w:unhideWhenUsed/>
    <w:pPr>
      <w:spacing w:after="0" w:line="240" w:lineRule="auto"/>
    </w:pPr>
  </w:style>
  <w:style w:type="character" w:customStyle="1" w:styleId="FootnoteTextChar">
    <w:name w:val="Footnote Text Char"/>
    <w:basedOn w:val="DefaultParagraphFont"/>
    <w:link w:val="FootnoteText"/>
    <w:uiPriority w:val="99"/>
    <w:rPr>
      <w:sz w:val="20"/>
    </w:rPr>
  </w:style>
  <w:style w:type="character" w:customStyle="1" w:styleId="Heading3Char">
    <w:name w:val="Heading 3 Char"/>
    <w:basedOn w:val="DefaultParagraphFont"/>
    <w:link w:val="Heading3"/>
    <w:uiPriority w:val="1"/>
    <w:rsid w:val="00072FCD"/>
    <w:rPr>
      <w:rFonts w:ascii="Microsoft YaHei UI" w:eastAsia="Microsoft YaHei UI" w:hAnsi="Microsoft YaHei UI" w:cstheme="majorBidi"/>
      <w:bCs/>
      <w:color w:val="579AB0" w:themeColor="text2"/>
      <w:kern w:val="20"/>
      <w:sz w:val="24"/>
      <w:szCs w:val="32"/>
      <w14:ligatures w14:val="standardContextual"/>
    </w:rPr>
  </w:style>
  <w:style w:type="character" w:customStyle="1" w:styleId="Heading4Char">
    <w:name w:val="Heading 4 Char"/>
    <w:basedOn w:val="DefaultParagraphFont"/>
    <w:link w:val="Heading4"/>
    <w:uiPriority w:val="18"/>
    <w:rsid w:val="00564151"/>
    <w:rPr>
      <w:rFonts w:ascii="Microsoft YaHei UI" w:eastAsia="Microsoft YaHei UI" w:hAnsi="Microsoft YaHei UI" w:cstheme="majorBidi"/>
      <w:bCs/>
      <w:iCs/>
      <w:color w:val="579AB0" w:themeColor="text2"/>
      <w:kern w:val="20"/>
      <w:sz w:val="21"/>
      <w:szCs w:val="21"/>
    </w:rPr>
  </w:style>
  <w:style w:type="character" w:customStyle="1" w:styleId="Heading5Char">
    <w:name w:val="Heading 5 Char"/>
    <w:basedOn w:val="DefaultParagraphFont"/>
    <w:link w:val="Heading5"/>
    <w:uiPriority w:val="18"/>
    <w:rsid w:val="00564151"/>
    <w:rPr>
      <w:rFonts w:ascii="Microsoft YaHei UI" w:eastAsia="Microsoft YaHei UI" w:hAnsi="Microsoft YaHei UI" w:cstheme="majorBidi"/>
      <w:i/>
      <w:color w:val="579AB0" w:themeColor="text2"/>
      <w:kern w:val="20"/>
      <w:sz w:val="21"/>
      <w:szCs w:val="21"/>
      <w:lang w:val="en-GB"/>
    </w:rPr>
  </w:style>
  <w:style w:type="character" w:customStyle="1" w:styleId="Heading6Char">
    <w:name w:val="Heading 6 Char"/>
    <w:basedOn w:val="DefaultParagraphFont"/>
    <w:link w:val="Heading6"/>
    <w:uiPriority w:val="18"/>
    <w:rsid w:val="00AA055D"/>
    <w:rPr>
      <w:rFonts w:ascii="Microsoft YaHei UI" w:eastAsia="Microsoft YaHei UI" w:hAnsi="Microsoft YaHei UI" w:cstheme="majorBidi"/>
      <w:i/>
      <w:iCs/>
      <w:color w:val="000000" w:themeColor="text1"/>
      <w:kern w:val="20"/>
      <w:sz w:val="21"/>
      <w:szCs w:val="21"/>
      <w:lang w:val="en-GB"/>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qFormat/>
    <w:rPr>
      <w:color w:val="006397"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5787A9" w:themeColor="accent1"/>
    </w:rPr>
  </w:style>
  <w:style w:type="paragraph" w:styleId="IntenseQuote">
    <w:name w:val="Intense Quote"/>
    <w:basedOn w:val="Normal"/>
    <w:next w:val="Normal"/>
    <w:link w:val="IntenseQuoteChar"/>
    <w:uiPriority w:val="30"/>
    <w:semiHidden/>
    <w:unhideWhenUsed/>
    <w:pPr>
      <w:pBdr>
        <w:bottom w:val="single" w:sz="4" w:space="4" w:color="5787A9" w:themeColor="accent1"/>
      </w:pBdr>
      <w:spacing w:before="200" w:after="280"/>
      <w:ind w:left="936" w:right="936"/>
    </w:pPr>
    <w:rPr>
      <w:b/>
      <w:bCs/>
      <w:i/>
      <w:iCs/>
      <w:color w:val="5787A9" w:themeColor="accent1"/>
    </w:rPr>
  </w:style>
  <w:style w:type="character" w:customStyle="1" w:styleId="IntenseQuoteChar">
    <w:name w:val="Intense Quote Char"/>
    <w:basedOn w:val="DefaultParagraphFont"/>
    <w:link w:val="IntenseQuote"/>
    <w:uiPriority w:val="30"/>
    <w:semiHidden/>
    <w:rPr>
      <w:b/>
      <w:bCs/>
      <w:i/>
      <w:iCs/>
      <w:color w:val="5787A9" w:themeColor="accent1"/>
    </w:rPr>
  </w:style>
  <w:style w:type="character" w:styleId="IntenseReference">
    <w:name w:val="Intense Reference"/>
    <w:basedOn w:val="DefaultParagraphFont"/>
    <w:uiPriority w:val="32"/>
    <w:semiHidden/>
    <w:unhideWhenUsed/>
    <w:rPr>
      <w:b/>
      <w:bCs/>
      <w:smallCaps/>
      <w:color w:val="5572A1"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5787A9" w:themeColor="accent1"/>
        <w:left w:val="single" w:sz="8" w:space="0" w:color="5787A9" w:themeColor="accent1"/>
        <w:bottom w:val="single" w:sz="8" w:space="0" w:color="5787A9" w:themeColor="accent1"/>
        <w:right w:val="single" w:sz="8" w:space="0" w:color="5787A9" w:themeColor="accent1"/>
        <w:insideH w:val="single" w:sz="8" w:space="0" w:color="5787A9" w:themeColor="accent1"/>
        <w:insideV w:val="single" w:sz="8" w:space="0" w:color="5787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87A9" w:themeColor="accent1"/>
          <w:left w:val="single" w:sz="8" w:space="0" w:color="5787A9" w:themeColor="accent1"/>
          <w:bottom w:val="single" w:sz="18" w:space="0" w:color="5787A9" w:themeColor="accent1"/>
          <w:right w:val="single" w:sz="8" w:space="0" w:color="5787A9" w:themeColor="accent1"/>
          <w:insideH w:val="nil"/>
          <w:insideV w:val="single" w:sz="8" w:space="0" w:color="5787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87A9" w:themeColor="accent1"/>
          <w:left w:val="single" w:sz="8" w:space="0" w:color="5787A9" w:themeColor="accent1"/>
          <w:bottom w:val="single" w:sz="8" w:space="0" w:color="5787A9" w:themeColor="accent1"/>
          <w:right w:val="single" w:sz="8" w:space="0" w:color="5787A9" w:themeColor="accent1"/>
          <w:insideH w:val="nil"/>
          <w:insideV w:val="single" w:sz="8" w:space="0" w:color="5787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tcPr>
    </w:tblStylePr>
    <w:tblStylePr w:type="band1Vert">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shd w:val="clear" w:color="auto" w:fill="D5E1E9" w:themeFill="accent1" w:themeFillTint="3F"/>
      </w:tcPr>
    </w:tblStylePr>
    <w:tblStylePr w:type="band1Horz">
      <w:tblPr/>
      <w:tcPr>
        <w:tcBorders>
          <w:top w:val="single" w:sz="8" w:space="0" w:color="5787A9" w:themeColor="accent1"/>
          <w:left w:val="single" w:sz="8" w:space="0" w:color="5787A9" w:themeColor="accent1"/>
          <w:bottom w:val="single" w:sz="8" w:space="0" w:color="5787A9" w:themeColor="accent1"/>
          <w:right w:val="single" w:sz="8" w:space="0" w:color="5787A9" w:themeColor="accent1"/>
          <w:insideV w:val="single" w:sz="8" w:space="0" w:color="5787A9" w:themeColor="accent1"/>
        </w:tcBorders>
        <w:shd w:val="clear" w:color="auto" w:fill="D5E1E9" w:themeFill="accent1" w:themeFillTint="3F"/>
      </w:tcPr>
    </w:tblStylePr>
    <w:tblStylePr w:type="band2Horz">
      <w:tblPr/>
      <w:tcPr>
        <w:tcBorders>
          <w:top w:val="single" w:sz="8" w:space="0" w:color="5787A9" w:themeColor="accent1"/>
          <w:left w:val="single" w:sz="8" w:space="0" w:color="5787A9" w:themeColor="accent1"/>
          <w:bottom w:val="single" w:sz="8" w:space="0" w:color="5787A9" w:themeColor="accent1"/>
          <w:right w:val="single" w:sz="8" w:space="0" w:color="5787A9" w:themeColor="accent1"/>
          <w:insideV w:val="single" w:sz="8" w:space="0" w:color="5787A9"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5572A1" w:themeColor="accent2"/>
        <w:left w:val="single" w:sz="8" w:space="0" w:color="5572A1" w:themeColor="accent2"/>
        <w:bottom w:val="single" w:sz="8" w:space="0" w:color="5572A1" w:themeColor="accent2"/>
        <w:right w:val="single" w:sz="8" w:space="0" w:color="5572A1" w:themeColor="accent2"/>
        <w:insideH w:val="single" w:sz="8" w:space="0" w:color="5572A1" w:themeColor="accent2"/>
        <w:insideV w:val="single" w:sz="8" w:space="0" w:color="5572A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72A1" w:themeColor="accent2"/>
          <w:left w:val="single" w:sz="8" w:space="0" w:color="5572A1" w:themeColor="accent2"/>
          <w:bottom w:val="single" w:sz="18" w:space="0" w:color="5572A1" w:themeColor="accent2"/>
          <w:right w:val="single" w:sz="8" w:space="0" w:color="5572A1" w:themeColor="accent2"/>
          <w:insideH w:val="nil"/>
          <w:insideV w:val="single" w:sz="8" w:space="0" w:color="5572A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72A1" w:themeColor="accent2"/>
          <w:left w:val="single" w:sz="8" w:space="0" w:color="5572A1" w:themeColor="accent2"/>
          <w:bottom w:val="single" w:sz="8" w:space="0" w:color="5572A1" w:themeColor="accent2"/>
          <w:right w:val="single" w:sz="8" w:space="0" w:color="5572A1" w:themeColor="accent2"/>
          <w:insideH w:val="nil"/>
          <w:insideV w:val="single" w:sz="8" w:space="0" w:color="5572A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tcPr>
    </w:tblStylePr>
    <w:tblStylePr w:type="band1Vert">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shd w:val="clear" w:color="auto" w:fill="D4DBE8" w:themeFill="accent2" w:themeFillTint="3F"/>
      </w:tcPr>
    </w:tblStylePr>
    <w:tblStylePr w:type="band1Horz">
      <w:tblPr/>
      <w:tcPr>
        <w:tcBorders>
          <w:top w:val="single" w:sz="8" w:space="0" w:color="5572A1" w:themeColor="accent2"/>
          <w:left w:val="single" w:sz="8" w:space="0" w:color="5572A1" w:themeColor="accent2"/>
          <w:bottom w:val="single" w:sz="8" w:space="0" w:color="5572A1" w:themeColor="accent2"/>
          <w:right w:val="single" w:sz="8" w:space="0" w:color="5572A1" w:themeColor="accent2"/>
          <w:insideV w:val="single" w:sz="8" w:space="0" w:color="5572A1" w:themeColor="accent2"/>
        </w:tcBorders>
        <w:shd w:val="clear" w:color="auto" w:fill="D4DBE8" w:themeFill="accent2" w:themeFillTint="3F"/>
      </w:tcPr>
    </w:tblStylePr>
    <w:tblStylePr w:type="band2Horz">
      <w:tblPr/>
      <w:tcPr>
        <w:tcBorders>
          <w:top w:val="single" w:sz="8" w:space="0" w:color="5572A1" w:themeColor="accent2"/>
          <w:left w:val="single" w:sz="8" w:space="0" w:color="5572A1" w:themeColor="accent2"/>
          <w:bottom w:val="single" w:sz="8" w:space="0" w:color="5572A1" w:themeColor="accent2"/>
          <w:right w:val="single" w:sz="8" w:space="0" w:color="5572A1" w:themeColor="accent2"/>
          <w:insideV w:val="single" w:sz="8" w:space="0" w:color="5572A1"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55639B" w:themeColor="accent3"/>
        <w:left w:val="single" w:sz="8" w:space="0" w:color="55639B" w:themeColor="accent3"/>
        <w:bottom w:val="single" w:sz="8" w:space="0" w:color="55639B" w:themeColor="accent3"/>
        <w:right w:val="single" w:sz="8" w:space="0" w:color="55639B" w:themeColor="accent3"/>
        <w:insideH w:val="single" w:sz="8" w:space="0" w:color="55639B" w:themeColor="accent3"/>
        <w:insideV w:val="single" w:sz="8" w:space="0" w:color="55639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639B" w:themeColor="accent3"/>
          <w:left w:val="single" w:sz="8" w:space="0" w:color="55639B" w:themeColor="accent3"/>
          <w:bottom w:val="single" w:sz="18" w:space="0" w:color="55639B" w:themeColor="accent3"/>
          <w:right w:val="single" w:sz="8" w:space="0" w:color="55639B" w:themeColor="accent3"/>
          <w:insideH w:val="nil"/>
          <w:insideV w:val="single" w:sz="8" w:space="0" w:color="55639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639B" w:themeColor="accent3"/>
          <w:left w:val="single" w:sz="8" w:space="0" w:color="55639B" w:themeColor="accent3"/>
          <w:bottom w:val="single" w:sz="8" w:space="0" w:color="55639B" w:themeColor="accent3"/>
          <w:right w:val="single" w:sz="8" w:space="0" w:color="55639B" w:themeColor="accent3"/>
          <w:insideH w:val="nil"/>
          <w:insideV w:val="single" w:sz="8" w:space="0" w:color="55639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tcPr>
    </w:tblStylePr>
    <w:tblStylePr w:type="band1Vert">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shd w:val="clear" w:color="auto" w:fill="D3D7E7" w:themeFill="accent3" w:themeFillTint="3F"/>
      </w:tcPr>
    </w:tblStylePr>
    <w:tblStylePr w:type="band1Horz">
      <w:tblPr/>
      <w:tcPr>
        <w:tcBorders>
          <w:top w:val="single" w:sz="8" w:space="0" w:color="55639B" w:themeColor="accent3"/>
          <w:left w:val="single" w:sz="8" w:space="0" w:color="55639B" w:themeColor="accent3"/>
          <w:bottom w:val="single" w:sz="8" w:space="0" w:color="55639B" w:themeColor="accent3"/>
          <w:right w:val="single" w:sz="8" w:space="0" w:color="55639B" w:themeColor="accent3"/>
          <w:insideV w:val="single" w:sz="8" w:space="0" w:color="55639B" w:themeColor="accent3"/>
        </w:tcBorders>
        <w:shd w:val="clear" w:color="auto" w:fill="D3D7E7" w:themeFill="accent3" w:themeFillTint="3F"/>
      </w:tcPr>
    </w:tblStylePr>
    <w:tblStylePr w:type="band2Horz">
      <w:tblPr/>
      <w:tcPr>
        <w:tcBorders>
          <w:top w:val="single" w:sz="8" w:space="0" w:color="55639B" w:themeColor="accent3"/>
          <w:left w:val="single" w:sz="8" w:space="0" w:color="55639B" w:themeColor="accent3"/>
          <w:bottom w:val="single" w:sz="8" w:space="0" w:color="55639B" w:themeColor="accent3"/>
          <w:right w:val="single" w:sz="8" w:space="0" w:color="55639B" w:themeColor="accent3"/>
          <w:insideV w:val="single" w:sz="8" w:space="0" w:color="55639B"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662D91" w:themeColor="accent4"/>
        <w:left w:val="single" w:sz="8" w:space="0" w:color="662D91" w:themeColor="accent4"/>
        <w:bottom w:val="single" w:sz="8" w:space="0" w:color="662D91" w:themeColor="accent4"/>
        <w:right w:val="single" w:sz="8" w:space="0" w:color="662D91" w:themeColor="accent4"/>
        <w:insideH w:val="single" w:sz="8" w:space="0" w:color="662D91" w:themeColor="accent4"/>
        <w:insideV w:val="single" w:sz="8" w:space="0" w:color="662D9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2D91" w:themeColor="accent4"/>
          <w:left w:val="single" w:sz="8" w:space="0" w:color="662D91" w:themeColor="accent4"/>
          <w:bottom w:val="single" w:sz="18" w:space="0" w:color="662D91" w:themeColor="accent4"/>
          <w:right w:val="single" w:sz="8" w:space="0" w:color="662D91" w:themeColor="accent4"/>
          <w:insideH w:val="nil"/>
          <w:insideV w:val="single" w:sz="8" w:space="0" w:color="662D9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2D91" w:themeColor="accent4"/>
          <w:left w:val="single" w:sz="8" w:space="0" w:color="662D91" w:themeColor="accent4"/>
          <w:bottom w:val="single" w:sz="8" w:space="0" w:color="662D91" w:themeColor="accent4"/>
          <w:right w:val="single" w:sz="8" w:space="0" w:color="662D91" w:themeColor="accent4"/>
          <w:insideH w:val="nil"/>
          <w:insideV w:val="single" w:sz="8" w:space="0" w:color="662D9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tcPr>
    </w:tblStylePr>
    <w:tblStylePr w:type="band1Vert">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shd w:val="clear" w:color="auto" w:fill="DAC2EC" w:themeFill="accent4" w:themeFillTint="3F"/>
      </w:tcPr>
    </w:tblStylePr>
    <w:tblStylePr w:type="band1Horz">
      <w:tblPr/>
      <w:tcPr>
        <w:tcBorders>
          <w:top w:val="single" w:sz="8" w:space="0" w:color="662D91" w:themeColor="accent4"/>
          <w:left w:val="single" w:sz="8" w:space="0" w:color="662D91" w:themeColor="accent4"/>
          <w:bottom w:val="single" w:sz="8" w:space="0" w:color="662D91" w:themeColor="accent4"/>
          <w:right w:val="single" w:sz="8" w:space="0" w:color="662D91" w:themeColor="accent4"/>
          <w:insideV w:val="single" w:sz="8" w:space="0" w:color="662D91" w:themeColor="accent4"/>
        </w:tcBorders>
        <w:shd w:val="clear" w:color="auto" w:fill="DAC2EC" w:themeFill="accent4" w:themeFillTint="3F"/>
      </w:tcPr>
    </w:tblStylePr>
    <w:tblStylePr w:type="band2Horz">
      <w:tblPr/>
      <w:tcPr>
        <w:tcBorders>
          <w:top w:val="single" w:sz="8" w:space="0" w:color="662D91" w:themeColor="accent4"/>
          <w:left w:val="single" w:sz="8" w:space="0" w:color="662D91" w:themeColor="accent4"/>
          <w:bottom w:val="single" w:sz="8" w:space="0" w:color="662D91" w:themeColor="accent4"/>
          <w:right w:val="single" w:sz="8" w:space="0" w:color="662D91" w:themeColor="accent4"/>
          <w:insideV w:val="single" w:sz="8" w:space="0" w:color="662D91"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2A8B87" w:themeColor="accent5"/>
        <w:left w:val="single" w:sz="8" w:space="0" w:color="2A8B87" w:themeColor="accent5"/>
        <w:bottom w:val="single" w:sz="8" w:space="0" w:color="2A8B87" w:themeColor="accent5"/>
        <w:right w:val="single" w:sz="8" w:space="0" w:color="2A8B87" w:themeColor="accent5"/>
        <w:insideH w:val="single" w:sz="8" w:space="0" w:color="2A8B87" w:themeColor="accent5"/>
        <w:insideV w:val="single" w:sz="8" w:space="0" w:color="2A8B8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A8B87" w:themeColor="accent5"/>
          <w:left w:val="single" w:sz="8" w:space="0" w:color="2A8B87" w:themeColor="accent5"/>
          <w:bottom w:val="single" w:sz="18" w:space="0" w:color="2A8B87" w:themeColor="accent5"/>
          <w:right w:val="single" w:sz="8" w:space="0" w:color="2A8B87" w:themeColor="accent5"/>
          <w:insideH w:val="nil"/>
          <w:insideV w:val="single" w:sz="8" w:space="0" w:color="2A8B8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A8B87" w:themeColor="accent5"/>
          <w:left w:val="single" w:sz="8" w:space="0" w:color="2A8B87" w:themeColor="accent5"/>
          <w:bottom w:val="single" w:sz="8" w:space="0" w:color="2A8B87" w:themeColor="accent5"/>
          <w:right w:val="single" w:sz="8" w:space="0" w:color="2A8B87" w:themeColor="accent5"/>
          <w:insideH w:val="nil"/>
          <w:insideV w:val="single" w:sz="8" w:space="0" w:color="2A8B8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tcPr>
    </w:tblStylePr>
    <w:tblStylePr w:type="band1Vert">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shd w:val="clear" w:color="auto" w:fill="C0ECEA" w:themeFill="accent5" w:themeFillTint="3F"/>
      </w:tcPr>
    </w:tblStylePr>
    <w:tblStylePr w:type="band1Horz">
      <w:tblPr/>
      <w:tcPr>
        <w:tcBorders>
          <w:top w:val="single" w:sz="8" w:space="0" w:color="2A8B87" w:themeColor="accent5"/>
          <w:left w:val="single" w:sz="8" w:space="0" w:color="2A8B87" w:themeColor="accent5"/>
          <w:bottom w:val="single" w:sz="8" w:space="0" w:color="2A8B87" w:themeColor="accent5"/>
          <w:right w:val="single" w:sz="8" w:space="0" w:color="2A8B87" w:themeColor="accent5"/>
          <w:insideV w:val="single" w:sz="8" w:space="0" w:color="2A8B87" w:themeColor="accent5"/>
        </w:tcBorders>
        <w:shd w:val="clear" w:color="auto" w:fill="C0ECEA" w:themeFill="accent5" w:themeFillTint="3F"/>
      </w:tcPr>
    </w:tblStylePr>
    <w:tblStylePr w:type="band2Horz">
      <w:tblPr/>
      <w:tcPr>
        <w:tcBorders>
          <w:top w:val="single" w:sz="8" w:space="0" w:color="2A8B87" w:themeColor="accent5"/>
          <w:left w:val="single" w:sz="8" w:space="0" w:color="2A8B87" w:themeColor="accent5"/>
          <w:bottom w:val="single" w:sz="8" w:space="0" w:color="2A8B87" w:themeColor="accent5"/>
          <w:right w:val="single" w:sz="8" w:space="0" w:color="2A8B87" w:themeColor="accent5"/>
          <w:insideV w:val="single" w:sz="8" w:space="0" w:color="2A8B87"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56B948" w:themeColor="accent6"/>
        <w:left w:val="single" w:sz="8" w:space="0" w:color="56B948" w:themeColor="accent6"/>
        <w:bottom w:val="single" w:sz="8" w:space="0" w:color="56B948" w:themeColor="accent6"/>
        <w:right w:val="single" w:sz="8" w:space="0" w:color="56B948" w:themeColor="accent6"/>
        <w:insideH w:val="single" w:sz="8" w:space="0" w:color="56B948" w:themeColor="accent6"/>
        <w:insideV w:val="single" w:sz="8" w:space="0" w:color="56B94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6B948" w:themeColor="accent6"/>
          <w:left w:val="single" w:sz="8" w:space="0" w:color="56B948" w:themeColor="accent6"/>
          <w:bottom w:val="single" w:sz="18" w:space="0" w:color="56B948" w:themeColor="accent6"/>
          <w:right w:val="single" w:sz="8" w:space="0" w:color="56B948" w:themeColor="accent6"/>
          <w:insideH w:val="nil"/>
          <w:insideV w:val="single" w:sz="8" w:space="0" w:color="56B94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6B948" w:themeColor="accent6"/>
          <w:left w:val="single" w:sz="8" w:space="0" w:color="56B948" w:themeColor="accent6"/>
          <w:bottom w:val="single" w:sz="8" w:space="0" w:color="56B948" w:themeColor="accent6"/>
          <w:right w:val="single" w:sz="8" w:space="0" w:color="56B948" w:themeColor="accent6"/>
          <w:insideH w:val="nil"/>
          <w:insideV w:val="single" w:sz="8" w:space="0" w:color="56B94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tcPr>
    </w:tblStylePr>
    <w:tblStylePr w:type="band1Vert">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shd w:val="clear" w:color="auto" w:fill="D5EDD1" w:themeFill="accent6" w:themeFillTint="3F"/>
      </w:tcPr>
    </w:tblStylePr>
    <w:tblStylePr w:type="band1Horz">
      <w:tblPr/>
      <w:tcPr>
        <w:tcBorders>
          <w:top w:val="single" w:sz="8" w:space="0" w:color="56B948" w:themeColor="accent6"/>
          <w:left w:val="single" w:sz="8" w:space="0" w:color="56B948" w:themeColor="accent6"/>
          <w:bottom w:val="single" w:sz="8" w:space="0" w:color="56B948" w:themeColor="accent6"/>
          <w:right w:val="single" w:sz="8" w:space="0" w:color="56B948" w:themeColor="accent6"/>
          <w:insideV w:val="single" w:sz="8" w:space="0" w:color="56B948" w:themeColor="accent6"/>
        </w:tcBorders>
        <w:shd w:val="clear" w:color="auto" w:fill="D5EDD1" w:themeFill="accent6" w:themeFillTint="3F"/>
      </w:tcPr>
    </w:tblStylePr>
    <w:tblStylePr w:type="band2Horz">
      <w:tblPr/>
      <w:tcPr>
        <w:tcBorders>
          <w:top w:val="single" w:sz="8" w:space="0" w:color="56B948" w:themeColor="accent6"/>
          <w:left w:val="single" w:sz="8" w:space="0" w:color="56B948" w:themeColor="accent6"/>
          <w:bottom w:val="single" w:sz="8" w:space="0" w:color="56B948" w:themeColor="accent6"/>
          <w:right w:val="single" w:sz="8" w:space="0" w:color="56B948" w:themeColor="accent6"/>
          <w:insideV w:val="single" w:sz="8" w:space="0" w:color="56B948"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5787A9" w:themeColor="accent1"/>
        <w:left w:val="single" w:sz="8" w:space="0" w:color="5787A9" w:themeColor="accent1"/>
        <w:bottom w:val="single" w:sz="8" w:space="0" w:color="5787A9" w:themeColor="accent1"/>
        <w:right w:val="single" w:sz="8" w:space="0" w:color="5787A9" w:themeColor="accent1"/>
      </w:tblBorders>
    </w:tblPr>
    <w:tblStylePr w:type="firstRow">
      <w:pPr>
        <w:spacing w:before="0" w:after="0" w:line="240" w:lineRule="auto"/>
      </w:pPr>
      <w:rPr>
        <w:b/>
        <w:bCs/>
        <w:color w:val="FFFFFF" w:themeColor="background1"/>
      </w:rPr>
      <w:tblPr/>
      <w:tcPr>
        <w:shd w:val="clear" w:color="auto" w:fill="5787A9" w:themeFill="accent1"/>
      </w:tcPr>
    </w:tblStylePr>
    <w:tblStylePr w:type="lastRow">
      <w:pPr>
        <w:spacing w:before="0" w:after="0" w:line="240" w:lineRule="auto"/>
      </w:pPr>
      <w:rPr>
        <w:b/>
        <w:bCs/>
      </w:rPr>
      <w:tblPr/>
      <w:tcPr>
        <w:tcBorders>
          <w:top w:val="double" w:sz="6" w:space="0" w:color="5787A9" w:themeColor="accent1"/>
          <w:left w:val="single" w:sz="8" w:space="0" w:color="5787A9" w:themeColor="accent1"/>
          <w:bottom w:val="single" w:sz="8" w:space="0" w:color="5787A9" w:themeColor="accent1"/>
          <w:right w:val="single" w:sz="8" w:space="0" w:color="5787A9" w:themeColor="accent1"/>
        </w:tcBorders>
      </w:tcPr>
    </w:tblStylePr>
    <w:tblStylePr w:type="firstCol">
      <w:rPr>
        <w:b/>
        <w:bCs/>
      </w:rPr>
    </w:tblStylePr>
    <w:tblStylePr w:type="lastCol">
      <w:rPr>
        <w:b/>
        <w:bCs/>
      </w:rPr>
    </w:tblStylePr>
    <w:tblStylePr w:type="band1Vert">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tcPr>
    </w:tblStylePr>
    <w:tblStylePr w:type="band1Horz">
      <w:tblPr/>
      <w:tcPr>
        <w:tcBorders>
          <w:top w:val="single" w:sz="8" w:space="0" w:color="5787A9" w:themeColor="accent1"/>
          <w:left w:val="single" w:sz="8" w:space="0" w:color="5787A9" w:themeColor="accent1"/>
          <w:bottom w:val="single" w:sz="8" w:space="0" w:color="5787A9" w:themeColor="accent1"/>
          <w:right w:val="single" w:sz="8" w:space="0" w:color="5787A9"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5572A1" w:themeColor="accent2"/>
        <w:left w:val="single" w:sz="8" w:space="0" w:color="5572A1" w:themeColor="accent2"/>
        <w:bottom w:val="single" w:sz="8" w:space="0" w:color="5572A1" w:themeColor="accent2"/>
        <w:right w:val="single" w:sz="8" w:space="0" w:color="5572A1" w:themeColor="accent2"/>
      </w:tblBorders>
    </w:tblPr>
    <w:tblStylePr w:type="firstRow">
      <w:pPr>
        <w:spacing w:before="0" w:after="0" w:line="240" w:lineRule="auto"/>
      </w:pPr>
      <w:rPr>
        <w:b/>
        <w:bCs/>
        <w:color w:val="FFFFFF" w:themeColor="background1"/>
      </w:rPr>
      <w:tblPr/>
      <w:tcPr>
        <w:shd w:val="clear" w:color="auto" w:fill="5572A1" w:themeFill="accent2"/>
      </w:tcPr>
    </w:tblStylePr>
    <w:tblStylePr w:type="lastRow">
      <w:pPr>
        <w:spacing w:before="0" w:after="0" w:line="240" w:lineRule="auto"/>
      </w:pPr>
      <w:rPr>
        <w:b/>
        <w:bCs/>
      </w:rPr>
      <w:tblPr/>
      <w:tcPr>
        <w:tcBorders>
          <w:top w:val="double" w:sz="6" w:space="0" w:color="5572A1" w:themeColor="accent2"/>
          <w:left w:val="single" w:sz="8" w:space="0" w:color="5572A1" w:themeColor="accent2"/>
          <w:bottom w:val="single" w:sz="8" w:space="0" w:color="5572A1" w:themeColor="accent2"/>
          <w:right w:val="single" w:sz="8" w:space="0" w:color="5572A1" w:themeColor="accent2"/>
        </w:tcBorders>
      </w:tcPr>
    </w:tblStylePr>
    <w:tblStylePr w:type="firstCol">
      <w:rPr>
        <w:b/>
        <w:bCs/>
      </w:rPr>
    </w:tblStylePr>
    <w:tblStylePr w:type="lastCol">
      <w:rPr>
        <w:b/>
        <w:bCs/>
      </w:rPr>
    </w:tblStylePr>
    <w:tblStylePr w:type="band1Vert">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tcPr>
    </w:tblStylePr>
    <w:tblStylePr w:type="band1Horz">
      <w:tblPr/>
      <w:tcPr>
        <w:tcBorders>
          <w:top w:val="single" w:sz="8" w:space="0" w:color="5572A1" w:themeColor="accent2"/>
          <w:left w:val="single" w:sz="8" w:space="0" w:color="5572A1" w:themeColor="accent2"/>
          <w:bottom w:val="single" w:sz="8" w:space="0" w:color="5572A1" w:themeColor="accent2"/>
          <w:right w:val="single" w:sz="8" w:space="0" w:color="5572A1"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55639B" w:themeColor="accent3"/>
        <w:left w:val="single" w:sz="8" w:space="0" w:color="55639B" w:themeColor="accent3"/>
        <w:bottom w:val="single" w:sz="8" w:space="0" w:color="55639B" w:themeColor="accent3"/>
        <w:right w:val="single" w:sz="8" w:space="0" w:color="55639B" w:themeColor="accent3"/>
      </w:tblBorders>
    </w:tblPr>
    <w:tblStylePr w:type="firstRow">
      <w:pPr>
        <w:spacing w:before="0" w:after="0" w:line="240" w:lineRule="auto"/>
      </w:pPr>
      <w:rPr>
        <w:b/>
        <w:bCs/>
        <w:color w:val="FFFFFF" w:themeColor="background1"/>
      </w:rPr>
      <w:tblPr/>
      <w:tcPr>
        <w:shd w:val="clear" w:color="auto" w:fill="55639B" w:themeFill="accent3"/>
      </w:tcPr>
    </w:tblStylePr>
    <w:tblStylePr w:type="lastRow">
      <w:pPr>
        <w:spacing w:before="0" w:after="0" w:line="240" w:lineRule="auto"/>
      </w:pPr>
      <w:rPr>
        <w:b/>
        <w:bCs/>
      </w:rPr>
      <w:tblPr/>
      <w:tcPr>
        <w:tcBorders>
          <w:top w:val="double" w:sz="6" w:space="0" w:color="55639B" w:themeColor="accent3"/>
          <w:left w:val="single" w:sz="8" w:space="0" w:color="55639B" w:themeColor="accent3"/>
          <w:bottom w:val="single" w:sz="8" w:space="0" w:color="55639B" w:themeColor="accent3"/>
          <w:right w:val="single" w:sz="8" w:space="0" w:color="55639B" w:themeColor="accent3"/>
        </w:tcBorders>
      </w:tcPr>
    </w:tblStylePr>
    <w:tblStylePr w:type="firstCol">
      <w:rPr>
        <w:b/>
        <w:bCs/>
      </w:rPr>
    </w:tblStylePr>
    <w:tblStylePr w:type="lastCol">
      <w:rPr>
        <w:b/>
        <w:bCs/>
      </w:rPr>
    </w:tblStylePr>
    <w:tblStylePr w:type="band1Vert">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tcPr>
    </w:tblStylePr>
    <w:tblStylePr w:type="band1Horz">
      <w:tblPr/>
      <w:tcPr>
        <w:tcBorders>
          <w:top w:val="single" w:sz="8" w:space="0" w:color="55639B" w:themeColor="accent3"/>
          <w:left w:val="single" w:sz="8" w:space="0" w:color="55639B" w:themeColor="accent3"/>
          <w:bottom w:val="single" w:sz="8" w:space="0" w:color="55639B" w:themeColor="accent3"/>
          <w:right w:val="single" w:sz="8" w:space="0" w:color="55639B"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662D91" w:themeColor="accent4"/>
        <w:left w:val="single" w:sz="8" w:space="0" w:color="662D91" w:themeColor="accent4"/>
        <w:bottom w:val="single" w:sz="8" w:space="0" w:color="662D91" w:themeColor="accent4"/>
        <w:right w:val="single" w:sz="8" w:space="0" w:color="662D91" w:themeColor="accent4"/>
      </w:tblBorders>
    </w:tblPr>
    <w:tblStylePr w:type="firstRow">
      <w:pPr>
        <w:spacing w:before="0" w:after="0" w:line="240" w:lineRule="auto"/>
      </w:pPr>
      <w:rPr>
        <w:b/>
        <w:bCs/>
        <w:color w:val="FFFFFF" w:themeColor="background1"/>
      </w:rPr>
      <w:tblPr/>
      <w:tcPr>
        <w:shd w:val="clear" w:color="auto" w:fill="662D91" w:themeFill="accent4"/>
      </w:tcPr>
    </w:tblStylePr>
    <w:tblStylePr w:type="lastRow">
      <w:pPr>
        <w:spacing w:before="0" w:after="0" w:line="240" w:lineRule="auto"/>
      </w:pPr>
      <w:rPr>
        <w:b/>
        <w:bCs/>
      </w:rPr>
      <w:tblPr/>
      <w:tcPr>
        <w:tcBorders>
          <w:top w:val="double" w:sz="6" w:space="0" w:color="662D91" w:themeColor="accent4"/>
          <w:left w:val="single" w:sz="8" w:space="0" w:color="662D91" w:themeColor="accent4"/>
          <w:bottom w:val="single" w:sz="8" w:space="0" w:color="662D91" w:themeColor="accent4"/>
          <w:right w:val="single" w:sz="8" w:space="0" w:color="662D91" w:themeColor="accent4"/>
        </w:tcBorders>
      </w:tcPr>
    </w:tblStylePr>
    <w:tblStylePr w:type="firstCol">
      <w:rPr>
        <w:b/>
        <w:bCs/>
      </w:rPr>
    </w:tblStylePr>
    <w:tblStylePr w:type="lastCol">
      <w:rPr>
        <w:b/>
        <w:bCs/>
      </w:rPr>
    </w:tblStylePr>
    <w:tblStylePr w:type="band1Vert">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tcPr>
    </w:tblStylePr>
    <w:tblStylePr w:type="band1Horz">
      <w:tblPr/>
      <w:tcPr>
        <w:tcBorders>
          <w:top w:val="single" w:sz="8" w:space="0" w:color="662D91" w:themeColor="accent4"/>
          <w:left w:val="single" w:sz="8" w:space="0" w:color="662D91" w:themeColor="accent4"/>
          <w:bottom w:val="single" w:sz="8" w:space="0" w:color="662D91" w:themeColor="accent4"/>
          <w:right w:val="single" w:sz="8" w:space="0" w:color="662D91"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2A8B87" w:themeColor="accent5"/>
        <w:left w:val="single" w:sz="8" w:space="0" w:color="2A8B87" w:themeColor="accent5"/>
        <w:bottom w:val="single" w:sz="8" w:space="0" w:color="2A8B87" w:themeColor="accent5"/>
        <w:right w:val="single" w:sz="8" w:space="0" w:color="2A8B87" w:themeColor="accent5"/>
      </w:tblBorders>
    </w:tblPr>
    <w:tblStylePr w:type="firstRow">
      <w:pPr>
        <w:spacing w:before="0" w:after="0" w:line="240" w:lineRule="auto"/>
      </w:pPr>
      <w:rPr>
        <w:b/>
        <w:bCs/>
        <w:color w:val="FFFFFF" w:themeColor="background1"/>
      </w:rPr>
      <w:tblPr/>
      <w:tcPr>
        <w:shd w:val="clear" w:color="auto" w:fill="2A8B87" w:themeFill="accent5"/>
      </w:tcPr>
    </w:tblStylePr>
    <w:tblStylePr w:type="lastRow">
      <w:pPr>
        <w:spacing w:before="0" w:after="0" w:line="240" w:lineRule="auto"/>
      </w:pPr>
      <w:rPr>
        <w:b/>
        <w:bCs/>
      </w:rPr>
      <w:tblPr/>
      <w:tcPr>
        <w:tcBorders>
          <w:top w:val="double" w:sz="6" w:space="0" w:color="2A8B87" w:themeColor="accent5"/>
          <w:left w:val="single" w:sz="8" w:space="0" w:color="2A8B87" w:themeColor="accent5"/>
          <w:bottom w:val="single" w:sz="8" w:space="0" w:color="2A8B87" w:themeColor="accent5"/>
          <w:right w:val="single" w:sz="8" w:space="0" w:color="2A8B87" w:themeColor="accent5"/>
        </w:tcBorders>
      </w:tcPr>
    </w:tblStylePr>
    <w:tblStylePr w:type="firstCol">
      <w:rPr>
        <w:b/>
        <w:bCs/>
      </w:rPr>
    </w:tblStylePr>
    <w:tblStylePr w:type="lastCol">
      <w:rPr>
        <w:b/>
        <w:bCs/>
      </w:rPr>
    </w:tblStylePr>
    <w:tblStylePr w:type="band1Vert">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tcPr>
    </w:tblStylePr>
    <w:tblStylePr w:type="band1Horz">
      <w:tblPr/>
      <w:tcPr>
        <w:tcBorders>
          <w:top w:val="single" w:sz="8" w:space="0" w:color="2A8B87" w:themeColor="accent5"/>
          <w:left w:val="single" w:sz="8" w:space="0" w:color="2A8B87" w:themeColor="accent5"/>
          <w:bottom w:val="single" w:sz="8" w:space="0" w:color="2A8B87" w:themeColor="accent5"/>
          <w:right w:val="single" w:sz="8" w:space="0" w:color="2A8B87"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56B948" w:themeColor="accent6"/>
        <w:left w:val="single" w:sz="8" w:space="0" w:color="56B948" w:themeColor="accent6"/>
        <w:bottom w:val="single" w:sz="8" w:space="0" w:color="56B948" w:themeColor="accent6"/>
        <w:right w:val="single" w:sz="8" w:space="0" w:color="56B948" w:themeColor="accent6"/>
      </w:tblBorders>
    </w:tblPr>
    <w:tblStylePr w:type="firstRow">
      <w:pPr>
        <w:spacing w:before="0" w:after="0" w:line="240" w:lineRule="auto"/>
      </w:pPr>
      <w:rPr>
        <w:b/>
        <w:bCs/>
        <w:color w:val="FFFFFF" w:themeColor="background1"/>
      </w:rPr>
      <w:tblPr/>
      <w:tcPr>
        <w:shd w:val="clear" w:color="auto" w:fill="56B948" w:themeFill="accent6"/>
      </w:tcPr>
    </w:tblStylePr>
    <w:tblStylePr w:type="lastRow">
      <w:pPr>
        <w:spacing w:before="0" w:after="0" w:line="240" w:lineRule="auto"/>
      </w:pPr>
      <w:rPr>
        <w:b/>
        <w:bCs/>
      </w:rPr>
      <w:tblPr/>
      <w:tcPr>
        <w:tcBorders>
          <w:top w:val="double" w:sz="6" w:space="0" w:color="56B948" w:themeColor="accent6"/>
          <w:left w:val="single" w:sz="8" w:space="0" w:color="56B948" w:themeColor="accent6"/>
          <w:bottom w:val="single" w:sz="8" w:space="0" w:color="56B948" w:themeColor="accent6"/>
          <w:right w:val="single" w:sz="8" w:space="0" w:color="56B948" w:themeColor="accent6"/>
        </w:tcBorders>
      </w:tcPr>
    </w:tblStylePr>
    <w:tblStylePr w:type="firstCol">
      <w:rPr>
        <w:b/>
        <w:bCs/>
      </w:rPr>
    </w:tblStylePr>
    <w:tblStylePr w:type="lastCol">
      <w:rPr>
        <w:b/>
        <w:bCs/>
      </w:rPr>
    </w:tblStylePr>
    <w:tblStylePr w:type="band1Vert">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tcPr>
    </w:tblStylePr>
    <w:tblStylePr w:type="band1Horz">
      <w:tblPr/>
      <w:tcPr>
        <w:tcBorders>
          <w:top w:val="single" w:sz="8" w:space="0" w:color="56B948" w:themeColor="accent6"/>
          <w:left w:val="single" w:sz="8" w:space="0" w:color="56B948" w:themeColor="accent6"/>
          <w:bottom w:val="single" w:sz="8" w:space="0" w:color="56B948" w:themeColor="accent6"/>
          <w:right w:val="single" w:sz="8" w:space="0" w:color="56B948"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41657E" w:themeColor="accent1" w:themeShade="BF"/>
    </w:rPr>
    <w:tblPr>
      <w:tblStyleRowBandSize w:val="1"/>
      <w:tblStyleColBandSize w:val="1"/>
      <w:tblBorders>
        <w:top w:val="single" w:sz="8" w:space="0" w:color="5787A9" w:themeColor="accent1"/>
        <w:bottom w:val="single" w:sz="8" w:space="0" w:color="5787A9" w:themeColor="accent1"/>
      </w:tblBorders>
    </w:tblPr>
    <w:tblStylePr w:type="firstRow">
      <w:pPr>
        <w:spacing w:before="0" w:after="0" w:line="240" w:lineRule="auto"/>
      </w:pPr>
      <w:rPr>
        <w:b/>
        <w:bCs/>
      </w:rPr>
      <w:tblPr/>
      <w:tcPr>
        <w:tcBorders>
          <w:top w:val="single" w:sz="8" w:space="0" w:color="5787A9" w:themeColor="accent1"/>
          <w:left w:val="nil"/>
          <w:bottom w:val="single" w:sz="8" w:space="0" w:color="5787A9" w:themeColor="accent1"/>
          <w:right w:val="nil"/>
          <w:insideH w:val="nil"/>
          <w:insideV w:val="nil"/>
        </w:tcBorders>
      </w:tcPr>
    </w:tblStylePr>
    <w:tblStylePr w:type="lastRow">
      <w:pPr>
        <w:spacing w:before="0" w:after="0" w:line="240" w:lineRule="auto"/>
      </w:pPr>
      <w:rPr>
        <w:b/>
        <w:bCs/>
      </w:rPr>
      <w:tblPr/>
      <w:tcPr>
        <w:tcBorders>
          <w:top w:val="single" w:sz="8" w:space="0" w:color="5787A9" w:themeColor="accent1"/>
          <w:left w:val="nil"/>
          <w:bottom w:val="single" w:sz="8" w:space="0" w:color="5787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1E9" w:themeFill="accent1" w:themeFillTint="3F"/>
      </w:tcPr>
    </w:tblStylePr>
    <w:tblStylePr w:type="band1Horz">
      <w:tblPr/>
      <w:tcPr>
        <w:tcBorders>
          <w:left w:val="nil"/>
          <w:right w:val="nil"/>
          <w:insideH w:val="nil"/>
          <w:insideV w:val="nil"/>
        </w:tcBorders>
        <w:shd w:val="clear" w:color="auto" w:fill="D5E1E9" w:themeFill="accent1" w:themeFillTint="3F"/>
      </w:tcPr>
    </w:tblStylePr>
  </w:style>
  <w:style w:type="table" w:styleId="LightShading-Accent2">
    <w:name w:val="Light Shading Accent 2"/>
    <w:basedOn w:val="TableNormal"/>
    <w:uiPriority w:val="60"/>
    <w:pPr>
      <w:spacing w:after="0" w:line="240" w:lineRule="auto"/>
    </w:pPr>
    <w:rPr>
      <w:color w:val="3F5578" w:themeColor="accent2" w:themeShade="BF"/>
    </w:rPr>
    <w:tblPr>
      <w:tblStyleRowBandSize w:val="1"/>
      <w:tblStyleColBandSize w:val="1"/>
      <w:tblBorders>
        <w:top w:val="single" w:sz="8" w:space="0" w:color="5572A1" w:themeColor="accent2"/>
        <w:bottom w:val="single" w:sz="8" w:space="0" w:color="5572A1" w:themeColor="accent2"/>
      </w:tblBorders>
    </w:tblPr>
    <w:tblStylePr w:type="firstRow">
      <w:pPr>
        <w:spacing w:before="0" w:after="0" w:line="240" w:lineRule="auto"/>
      </w:pPr>
      <w:rPr>
        <w:b/>
        <w:bCs/>
      </w:rPr>
      <w:tblPr/>
      <w:tcPr>
        <w:tcBorders>
          <w:top w:val="single" w:sz="8" w:space="0" w:color="5572A1" w:themeColor="accent2"/>
          <w:left w:val="nil"/>
          <w:bottom w:val="single" w:sz="8" w:space="0" w:color="5572A1" w:themeColor="accent2"/>
          <w:right w:val="nil"/>
          <w:insideH w:val="nil"/>
          <w:insideV w:val="nil"/>
        </w:tcBorders>
      </w:tcPr>
    </w:tblStylePr>
    <w:tblStylePr w:type="lastRow">
      <w:pPr>
        <w:spacing w:before="0" w:after="0" w:line="240" w:lineRule="auto"/>
      </w:pPr>
      <w:rPr>
        <w:b/>
        <w:bCs/>
      </w:rPr>
      <w:tblPr/>
      <w:tcPr>
        <w:tcBorders>
          <w:top w:val="single" w:sz="8" w:space="0" w:color="5572A1" w:themeColor="accent2"/>
          <w:left w:val="nil"/>
          <w:bottom w:val="single" w:sz="8" w:space="0" w:color="5572A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DBE8" w:themeFill="accent2" w:themeFillTint="3F"/>
      </w:tcPr>
    </w:tblStylePr>
    <w:tblStylePr w:type="band1Horz">
      <w:tblPr/>
      <w:tcPr>
        <w:tcBorders>
          <w:left w:val="nil"/>
          <w:right w:val="nil"/>
          <w:insideH w:val="nil"/>
          <w:insideV w:val="nil"/>
        </w:tcBorders>
        <w:shd w:val="clear" w:color="auto" w:fill="D4DBE8" w:themeFill="accent2" w:themeFillTint="3F"/>
      </w:tcPr>
    </w:tblStylePr>
  </w:style>
  <w:style w:type="table" w:styleId="LightShading-Accent3">
    <w:name w:val="Light Shading Accent 3"/>
    <w:basedOn w:val="TableNormal"/>
    <w:uiPriority w:val="60"/>
    <w:pPr>
      <w:spacing w:after="0" w:line="240" w:lineRule="auto"/>
    </w:pPr>
    <w:rPr>
      <w:color w:val="3F4A74" w:themeColor="accent3" w:themeShade="BF"/>
    </w:rPr>
    <w:tblPr>
      <w:tblStyleRowBandSize w:val="1"/>
      <w:tblStyleColBandSize w:val="1"/>
      <w:tblBorders>
        <w:top w:val="single" w:sz="8" w:space="0" w:color="55639B" w:themeColor="accent3"/>
        <w:bottom w:val="single" w:sz="8" w:space="0" w:color="55639B" w:themeColor="accent3"/>
      </w:tblBorders>
    </w:tblPr>
    <w:tblStylePr w:type="firstRow">
      <w:pPr>
        <w:spacing w:before="0" w:after="0" w:line="240" w:lineRule="auto"/>
      </w:pPr>
      <w:rPr>
        <w:b/>
        <w:bCs/>
      </w:rPr>
      <w:tblPr/>
      <w:tcPr>
        <w:tcBorders>
          <w:top w:val="single" w:sz="8" w:space="0" w:color="55639B" w:themeColor="accent3"/>
          <w:left w:val="nil"/>
          <w:bottom w:val="single" w:sz="8" w:space="0" w:color="55639B" w:themeColor="accent3"/>
          <w:right w:val="nil"/>
          <w:insideH w:val="nil"/>
          <w:insideV w:val="nil"/>
        </w:tcBorders>
      </w:tcPr>
    </w:tblStylePr>
    <w:tblStylePr w:type="lastRow">
      <w:pPr>
        <w:spacing w:before="0" w:after="0" w:line="240" w:lineRule="auto"/>
      </w:pPr>
      <w:rPr>
        <w:b/>
        <w:bCs/>
      </w:rPr>
      <w:tblPr/>
      <w:tcPr>
        <w:tcBorders>
          <w:top w:val="single" w:sz="8" w:space="0" w:color="55639B" w:themeColor="accent3"/>
          <w:left w:val="nil"/>
          <w:bottom w:val="single" w:sz="8" w:space="0" w:color="55639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7E7" w:themeFill="accent3" w:themeFillTint="3F"/>
      </w:tcPr>
    </w:tblStylePr>
    <w:tblStylePr w:type="band1Horz">
      <w:tblPr/>
      <w:tcPr>
        <w:tcBorders>
          <w:left w:val="nil"/>
          <w:right w:val="nil"/>
          <w:insideH w:val="nil"/>
          <w:insideV w:val="nil"/>
        </w:tcBorders>
        <w:shd w:val="clear" w:color="auto" w:fill="D3D7E7" w:themeFill="accent3" w:themeFillTint="3F"/>
      </w:tcPr>
    </w:tblStylePr>
  </w:style>
  <w:style w:type="table" w:styleId="LightShading-Accent4">
    <w:name w:val="Light Shading Accent 4"/>
    <w:basedOn w:val="TableNormal"/>
    <w:uiPriority w:val="60"/>
    <w:pPr>
      <w:spacing w:after="0" w:line="240" w:lineRule="auto"/>
    </w:pPr>
    <w:rPr>
      <w:color w:val="4C216C" w:themeColor="accent4" w:themeShade="BF"/>
    </w:rPr>
    <w:tblPr>
      <w:tblStyleRowBandSize w:val="1"/>
      <w:tblStyleColBandSize w:val="1"/>
      <w:tblBorders>
        <w:top w:val="single" w:sz="8" w:space="0" w:color="662D91" w:themeColor="accent4"/>
        <w:bottom w:val="single" w:sz="8" w:space="0" w:color="662D91" w:themeColor="accent4"/>
      </w:tblBorders>
    </w:tblPr>
    <w:tblStylePr w:type="firstRow">
      <w:pPr>
        <w:spacing w:before="0" w:after="0" w:line="240" w:lineRule="auto"/>
      </w:pPr>
      <w:rPr>
        <w:b/>
        <w:bCs/>
      </w:rPr>
      <w:tblPr/>
      <w:tcPr>
        <w:tcBorders>
          <w:top w:val="single" w:sz="8" w:space="0" w:color="662D91" w:themeColor="accent4"/>
          <w:left w:val="nil"/>
          <w:bottom w:val="single" w:sz="8" w:space="0" w:color="662D91" w:themeColor="accent4"/>
          <w:right w:val="nil"/>
          <w:insideH w:val="nil"/>
          <w:insideV w:val="nil"/>
        </w:tcBorders>
      </w:tcPr>
    </w:tblStylePr>
    <w:tblStylePr w:type="lastRow">
      <w:pPr>
        <w:spacing w:before="0" w:after="0" w:line="240" w:lineRule="auto"/>
      </w:pPr>
      <w:rPr>
        <w:b/>
        <w:bCs/>
      </w:rPr>
      <w:tblPr/>
      <w:tcPr>
        <w:tcBorders>
          <w:top w:val="single" w:sz="8" w:space="0" w:color="662D91" w:themeColor="accent4"/>
          <w:left w:val="nil"/>
          <w:bottom w:val="single" w:sz="8" w:space="0" w:color="662D9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C2EC" w:themeFill="accent4" w:themeFillTint="3F"/>
      </w:tcPr>
    </w:tblStylePr>
    <w:tblStylePr w:type="band1Horz">
      <w:tblPr/>
      <w:tcPr>
        <w:tcBorders>
          <w:left w:val="nil"/>
          <w:right w:val="nil"/>
          <w:insideH w:val="nil"/>
          <w:insideV w:val="nil"/>
        </w:tcBorders>
        <w:shd w:val="clear" w:color="auto" w:fill="DAC2EC" w:themeFill="accent4" w:themeFillTint="3F"/>
      </w:tcPr>
    </w:tblStylePr>
  </w:style>
  <w:style w:type="table" w:styleId="LightShading-Accent5">
    <w:name w:val="Light Shading Accent 5"/>
    <w:basedOn w:val="TableNormal"/>
    <w:uiPriority w:val="60"/>
    <w:pPr>
      <w:spacing w:after="0" w:line="240" w:lineRule="auto"/>
    </w:pPr>
    <w:rPr>
      <w:color w:val="1F6764" w:themeColor="accent5" w:themeShade="BF"/>
    </w:rPr>
    <w:tblPr>
      <w:tblStyleRowBandSize w:val="1"/>
      <w:tblStyleColBandSize w:val="1"/>
      <w:tblBorders>
        <w:top w:val="single" w:sz="8" w:space="0" w:color="2A8B87" w:themeColor="accent5"/>
        <w:bottom w:val="single" w:sz="8" w:space="0" w:color="2A8B87" w:themeColor="accent5"/>
      </w:tblBorders>
    </w:tblPr>
    <w:tblStylePr w:type="firstRow">
      <w:pPr>
        <w:spacing w:before="0" w:after="0" w:line="240" w:lineRule="auto"/>
      </w:pPr>
      <w:rPr>
        <w:b/>
        <w:bCs/>
      </w:rPr>
      <w:tblPr/>
      <w:tcPr>
        <w:tcBorders>
          <w:top w:val="single" w:sz="8" w:space="0" w:color="2A8B87" w:themeColor="accent5"/>
          <w:left w:val="nil"/>
          <w:bottom w:val="single" w:sz="8" w:space="0" w:color="2A8B87" w:themeColor="accent5"/>
          <w:right w:val="nil"/>
          <w:insideH w:val="nil"/>
          <w:insideV w:val="nil"/>
        </w:tcBorders>
      </w:tcPr>
    </w:tblStylePr>
    <w:tblStylePr w:type="lastRow">
      <w:pPr>
        <w:spacing w:before="0" w:after="0" w:line="240" w:lineRule="auto"/>
      </w:pPr>
      <w:rPr>
        <w:b/>
        <w:bCs/>
      </w:rPr>
      <w:tblPr/>
      <w:tcPr>
        <w:tcBorders>
          <w:top w:val="single" w:sz="8" w:space="0" w:color="2A8B87" w:themeColor="accent5"/>
          <w:left w:val="nil"/>
          <w:bottom w:val="single" w:sz="8" w:space="0" w:color="2A8B8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CEA" w:themeFill="accent5" w:themeFillTint="3F"/>
      </w:tcPr>
    </w:tblStylePr>
    <w:tblStylePr w:type="band1Horz">
      <w:tblPr/>
      <w:tcPr>
        <w:tcBorders>
          <w:left w:val="nil"/>
          <w:right w:val="nil"/>
          <w:insideH w:val="nil"/>
          <w:insideV w:val="nil"/>
        </w:tcBorders>
        <w:shd w:val="clear" w:color="auto" w:fill="C0ECEA" w:themeFill="accent5" w:themeFillTint="3F"/>
      </w:tcPr>
    </w:tblStylePr>
  </w:style>
  <w:style w:type="table" w:styleId="LightShading-Accent6">
    <w:name w:val="Light Shading Accent 6"/>
    <w:basedOn w:val="TableNormal"/>
    <w:uiPriority w:val="60"/>
    <w:pPr>
      <w:spacing w:after="0" w:line="240" w:lineRule="auto"/>
    </w:pPr>
    <w:rPr>
      <w:color w:val="3F8B35" w:themeColor="accent6" w:themeShade="BF"/>
    </w:rPr>
    <w:tblPr>
      <w:tblStyleRowBandSize w:val="1"/>
      <w:tblStyleColBandSize w:val="1"/>
      <w:tblBorders>
        <w:top w:val="single" w:sz="8" w:space="0" w:color="56B948" w:themeColor="accent6"/>
        <w:bottom w:val="single" w:sz="8" w:space="0" w:color="56B948" w:themeColor="accent6"/>
      </w:tblBorders>
    </w:tblPr>
    <w:tblStylePr w:type="firstRow">
      <w:pPr>
        <w:spacing w:before="0" w:after="0" w:line="240" w:lineRule="auto"/>
      </w:pPr>
      <w:rPr>
        <w:b/>
        <w:bCs/>
      </w:rPr>
      <w:tblPr/>
      <w:tcPr>
        <w:tcBorders>
          <w:top w:val="single" w:sz="8" w:space="0" w:color="56B948" w:themeColor="accent6"/>
          <w:left w:val="nil"/>
          <w:bottom w:val="single" w:sz="8" w:space="0" w:color="56B948" w:themeColor="accent6"/>
          <w:right w:val="nil"/>
          <w:insideH w:val="nil"/>
          <w:insideV w:val="nil"/>
        </w:tcBorders>
      </w:tcPr>
    </w:tblStylePr>
    <w:tblStylePr w:type="lastRow">
      <w:pPr>
        <w:spacing w:before="0" w:after="0" w:line="240" w:lineRule="auto"/>
      </w:pPr>
      <w:rPr>
        <w:b/>
        <w:bCs/>
      </w:rPr>
      <w:tblPr/>
      <w:tcPr>
        <w:tcBorders>
          <w:top w:val="single" w:sz="8" w:space="0" w:color="56B948" w:themeColor="accent6"/>
          <w:left w:val="nil"/>
          <w:bottom w:val="single" w:sz="8" w:space="0" w:color="56B94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DD1" w:themeFill="accent6" w:themeFillTint="3F"/>
      </w:tcPr>
    </w:tblStylePr>
    <w:tblStylePr w:type="band1Horz">
      <w:tblPr/>
      <w:tcPr>
        <w:tcBorders>
          <w:left w:val="nil"/>
          <w:right w:val="nil"/>
          <w:insideH w:val="nil"/>
          <w:insideV w:val="nil"/>
        </w:tcBorders>
        <w:shd w:val="clear" w:color="auto" w:fill="D5EDD1"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autoRedefine/>
    <w:uiPriority w:val="1"/>
    <w:unhideWhenUsed/>
    <w:qFormat/>
    <w:rsid w:val="00FA30A8"/>
    <w:pPr>
      <w:framePr w:hSpace="180" w:wrap="around" w:vAnchor="text" w:hAnchor="margin" w:y="113"/>
      <w:spacing w:before="0" w:after="0" w:line="240" w:lineRule="auto"/>
      <w:ind w:left="34"/>
      <w:contextualSpacing/>
    </w:pPr>
    <w:rPr>
      <w:rFonts w:ascii="Microsoft New Tai Lue" w:hAnsi="Microsoft New Tai Lue" w:cs="Microsoft New Tai Lue"/>
      <w:b/>
      <w:color w:val="auto"/>
      <w:kern w:val="20"/>
      <w:sz w:val="21"/>
      <w:szCs w:val="21"/>
    </w:rPr>
  </w:style>
  <w:style w:type="paragraph" w:styleId="ListBullet2">
    <w:name w:val="List Bullet 2"/>
    <w:basedOn w:val="Normal"/>
    <w:uiPriority w:val="99"/>
    <w:semiHidden/>
    <w:unhideWhenUsed/>
    <w:pPr>
      <w:numPr>
        <w:numId w:val="1"/>
      </w:numPr>
      <w:contextualSpacing/>
    </w:pPr>
  </w:style>
  <w:style w:type="paragraph" w:styleId="ListBullet3">
    <w:name w:val="List Bullet 3"/>
    <w:basedOn w:val="Normal"/>
    <w:uiPriority w:val="99"/>
    <w:semiHidden/>
    <w:unhideWhenUsed/>
    <w:pPr>
      <w:numPr>
        <w:numId w:val="2"/>
      </w:numPr>
      <w:contextualSpacing/>
    </w:pPr>
  </w:style>
  <w:style w:type="paragraph" w:styleId="ListBullet4">
    <w:name w:val="List Bullet 4"/>
    <w:basedOn w:val="Normal"/>
    <w:uiPriority w:val="99"/>
    <w:semiHidden/>
    <w:unhideWhenUsed/>
    <w:pPr>
      <w:numPr>
        <w:numId w:val="3"/>
      </w:numPr>
      <w:contextualSpacing/>
    </w:pPr>
  </w:style>
  <w:style w:type="paragraph" w:styleId="ListBullet5">
    <w:name w:val="List Bullet 5"/>
    <w:basedOn w:val="Normal"/>
    <w:uiPriority w:val="99"/>
    <w:semiHidden/>
    <w:unhideWhenUsed/>
    <w:pPr>
      <w:ind w:left="720" w:hanging="360"/>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rsid w:val="00564151"/>
    <w:pPr>
      <w:numPr>
        <w:numId w:val="5"/>
      </w:numPr>
      <w:contextualSpacing/>
    </w:pPr>
  </w:style>
  <w:style w:type="paragraph" w:styleId="ListNumber2">
    <w:name w:val="List Number 2"/>
    <w:uiPriority w:val="1"/>
    <w:unhideWhenUsed/>
    <w:qFormat/>
    <w:rsid w:val="00564151"/>
    <w:pPr>
      <w:tabs>
        <w:tab w:val="num" w:pos="432"/>
      </w:tabs>
      <w:spacing w:before="0" w:after="200"/>
      <w:ind w:left="431" w:hanging="431"/>
      <w:contextualSpacing/>
    </w:pPr>
    <w:rPr>
      <w:rFonts w:ascii="Microsoft New Tai Lue" w:hAnsi="Microsoft New Tai Lue" w:cs="Microsoft New Tai Lue"/>
      <w:kern w:val="20"/>
      <w:sz w:val="21"/>
      <w:szCs w:val="21"/>
    </w:rPr>
  </w:style>
  <w:style w:type="paragraph" w:styleId="ListNumber3">
    <w:name w:val="List Number 3"/>
    <w:uiPriority w:val="18"/>
    <w:unhideWhenUsed/>
    <w:rsid w:val="002B3A49"/>
    <w:pPr>
      <w:ind w:left="792" w:hanging="360"/>
      <w:contextualSpacing/>
    </w:pPr>
    <w:rPr>
      <w:kern w:val="20"/>
    </w:rPr>
  </w:style>
  <w:style w:type="paragraph" w:styleId="ListNumber4">
    <w:name w:val="List Number 4"/>
    <w:basedOn w:val="Normal"/>
    <w:uiPriority w:val="18"/>
    <w:semiHidden/>
    <w:unhideWhenUsed/>
    <w:pPr>
      <w:ind w:left="1152" w:hanging="360"/>
      <w:contextualSpacing/>
    </w:pPr>
  </w:style>
  <w:style w:type="paragraph" w:styleId="ListNumber5">
    <w:name w:val="List Number 5"/>
    <w:basedOn w:val="Normal"/>
    <w:uiPriority w:val="18"/>
    <w:semiHidden/>
    <w:unhideWhenUsed/>
    <w:pPr>
      <w:ind w:left="1512" w:hanging="360"/>
      <w:contextualSpacing/>
    </w:pPr>
  </w:style>
  <w:style w:type="paragraph" w:styleId="ListParagraph">
    <w:name w:val="List Paragraph"/>
    <w:aliases w:val="1 heading,Bullet point,Dot point 1.5 line spacing,L,List Paragraph - bullets,List Paragraph1,List Paragraph11,NFP GP Bulleted List,Recommendation,bullet point list,Bulletr List Paragraph,FooterText,List Paragraph2,List Paragraph21,CV text"/>
    <w:basedOn w:val="Normal"/>
    <w:link w:val="ListParagraphChar"/>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single" w:sz="8" w:space="0" w:color="81A5BE" w:themeColor="accent1" w:themeTint="BF"/>
        <w:insideV w:val="single" w:sz="8" w:space="0" w:color="81A5BE" w:themeColor="accent1" w:themeTint="BF"/>
      </w:tblBorders>
    </w:tblPr>
    <w:tcPr>
      <w:shd w:val="clear" w:color="auto" w:fill="D5E1E9" w:themeFill="accent1" w:themeFillTint="3F"/>
    </w:tcPr>
    <w:tblStylePr w:type="firstRow">
      <w:rPr>
        <w:b/>
        <w:bCs/>
      </w:rPr>
    </w:tblStylePr>
    <w:tblStylePr w:type="lastRow">
      <w:rPr>
        <w:b/>
        <w:bCs/>
      </w:rPr>
      <w:tblPr/>
      <w:tcPr>
        <w:tcBorders>
          <w:top w:val="single" w:sz="18" w:space="0" w:color="81A5BE" w:themeColor="accent1" w:themeTint="BF"/>
        </w:tcBorders>
      </w:tcPr>
    </w:tblStylePr>
    <w:tblStylePr w:type="firstCol">
      <w:rPr>
        <w:b/>
        <w:bCs/>
      </w:rPr>
    </w:tblStylePr>
    <w:tblStylePr w:type="lastCol">
      <w:rPr>
        <w:b/>
        <w:bCs/>
      </w:rPr>
    </w:tblStylePr>
    <w:tblStylePr w:type="band1Vert">
      <w:tblPr/>
      <w:tcPr>
        <w:shd w:val="clear" w:color="auto" w:fill="ABC3D4" w:themeFill="accent1" w:themeFillTint="7F"/>
      </w:tcPr>
    </w:tblStylePr>
    <w:tblStylePr w:type="band1Horz">
      <w:tblPr/>
      <w:tcPr>
        <w:shd w:val="clear" w:color="auto" w:fill="ABC3D4"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single" w:sz="8" w:space="0" w:color="7D94BA" w:themeColor="accent2" w:themeTint="BF"/>
        <w:insideV w:val="single" w:sz="8" w:space="0" w:color="7D94BA" w:themeColor="accent2" w:themeTint="BF"/>
      </w:tblBorders>
    </w:tblPr>
    <w:tcPr>
      <w:shd w:val="clear" w:color="auto" w:fill="D4DBE8" w:themeFill="accent2" w:themeFillTint="3F"/>
    </w:tcPr>
    <w:tblStylePr w:type="firstRow">
      <w:rPr>
        <w:b/>
        <w:bCs/>
      </w:rPr>
    </w:tblStylePr>
    <w:tblStylePr w:type="lastRow">
      <w:rPr>
        <w:b/>
        <w:bCs/>
      </w:rPr>
      <w:tblPr/>
      <w:tcPr>
        <w:tcBorders>
          <w:top w:val="single" w:sz="18" w:space="0" w:color="7D94BA" w:themeColor="accent2" w:themeTint="BF"/>
        </w:tcBorders>
      </w:tcPr>
    </w:tblStylePr>
    <w:tblStylePr w:type="firstCol">
      <w:rPr>
        <w:b/>
        <w:bCs/>
      </w:rPr>
    </w:tblStylePr>
    <w:tblStylePr w:type="lastCol">
      <w:rPr>
        <w:b/>
        <w:bCs/>
      </w:rPr>
    </w:tblStylePr>
    <w:tblStylePr w:type="band1Vert">
      <w:tblPr/>
      <w:tcPr>
        <w:shd w:val="clear" w:color="auto" w:fill="A8B8D1" w:themeFill="accent2" w:themeFillTint="7F"/>
      </w:tcPr>
    </w:tblStylePr>
    <w:tblStylePr w:type="band1Horz">
      <w:tblPr/>
      <w:tcPr>
        <w:shd w:val="clear" w:color="auto" w:fill="A8B8D1"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single" w:sz="8" w:space="0" w:color="7C88B7" w:themeColor="accent3" w:themeTint="BF"/>
        <w:insideV w:val="single" w:sz="8" w:space="0" w:color="7C88B7" w:themeColor="accent3" w:themeTint="BF"/>
      </w:tblBorders>
    </w:tblPr>
    <w:tcPr>
      <w:shd w:val="clear" w:color="auto" w:fill="D3D7E7" w:themeFill="accent3" w:themeFillTint="3F"/>
    </w:tcPr>
    <w:tblStylePr w:type="firstRow">
      <w:rPr>
        <w:b/>
        <w:bCs/>
      </w:rPr>
    </w:tblStylePr>
    <w:tblStylePr w:type="lastRow">
      <w:rPr>
        <w:b/>
        <w:bCs/>
      </w:rPr>
      <w:tblPr/>
      <w:tcPr>
        <w:tcBorders>
          <w:top w:val="single" w:sz="18" w:space="0" w:color="7C88B7" w:themeColor="accent3" w:themeTint="BF"/>
        </w:tcBorders>
      </w:tcPr>
    </w:tblStylePr>
    <w:tblStylePr w:type="firstCol">
      <w:rPr>
        <w:b/>
        <w:bCs/>
      </w:rPr>
    </w:tblStylePr>
    <w:tblStylePr w:type="lastCol">
      <w:rPr>
        <w:b/>
        <w:bCs/>
      </w:rPr>
    </w:tblStylePr>
    <w:tblStylePr w:type="band1Vert">
      <w:tblPr/>
      <w:tcPr>
        <w:shd w:val="clear" w:color="auto" w:fill="A8AFCF" w:themeFill="accent3" w:themeFillTint="7F"/>
      </w:tcPr>
    </w:tblStylePr>
    <w:tblStylePr w:type="band1Horz">
      <w:tblPr/>
      <w:tcPr>
        <w:shd w:val="clear" w:color="auto" w:fill="A8AFCF"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single" w:sz="8" w:space="0" w:color="8F47C6" w:themeColor="accent4" w:themeTint="BF"/>
        <w:insideV w:val="single" w:sz="8" w:space="0" w:color="8F47C6" w:themeColor="accent4" w:themeTint="BF"/>
      </w:tblBorders>
    </w:tblPr>
    <w:tcPr>
      <w:shd w:val="clear" w:color="auto" w:fill="DAC2EC" w:themeFill="accent4" w:themeFillTint="3F"/>
    </w:tcPr>
    <w:tblStylePr w:type="firstRow">
      <w:rPr>
        <w:b/>
        <w:bCs/>
      </w:rPr>
    </w:tblStylePr>
    <w:tblStylePr w:type="lastRow">
      <w:rPr>
        <w:b/>
        <w:bCs/>
      </w:rPr>
      <w:tblPr/>
      <w:tcPr>
        <w:tcBorders>
          <w:top w:val="single" w:sz="18" w:space="0" w:color="8F47C6" w:themeColor="accent4" w:themeTint="BF"/>
        </w:tcBorders>
      </w:tcPr>
    </w:tblStylePr>
    <w:tblStylePr w:type="firstCol">
      <w:rPr>
        <w:b/>
        <w:bCs/>
      </w:rPr>
    </w:tblStylePr>
    <w:tblStylePr w:type="lastCol">
      <w:rPr>
        <w:b/>
        <w:bCs/>
      </w:rPr>
    </w:tblStylePr>
    <w:tblStylePr w:type="band1Vert">
      <w:tblPr/>
      <w:tcPr>
        <w:shd w:val="clear" w:color="auto" w:fill="B485D9" w:themeFill="accent4" w:themeFillTint="7F"/>
      </w:tcPr>
    </w:tblStylePr>
    <w:tblStylePr w:type="band1Horz">
      <w:tblPr/>
      <w:tcPr>
        <w:shd w:val="clear" w:color="auto" w:fill="B485D9"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single" w:sz="8" w:space="0" w:color="41C5C0" w:themeColor="accent5" w:themeTint="BF"/>
        <w:insideV w:val="single" w:sz="8" w:space="0" w:color="41C5C0" w:themeColor="accent5" w:themeTint="BF"/>
      </w:tblBorders>
    </w:tblPr>
    <w:tcPr>
      <w:shd w:val="clear" w:color="auto" w:fill="C0ECEA" w:themeFill="accent5" w:themeFillTint="3F"/>
    </w:tcPr>
    <w:tblStylePr w:type="firstRow">
      <w:rPr>
        <w:b/>
        <w:bCs/>
      </w:rPr>
    </w:tblStylePr>
    <w:tblStylePr w:type="lastRow">
      <w:rPr>
        <w:b/>
        <w:bCs/>
      </w:rPr>
      <w:tblPr/>
      <w:tcPr>
        <w:tcBorders>
          <w:top w:val="single" w:sz="18" w:space="0" w:color="41C5C0" w:themeColor="accent5" w:themeTint="BF"/>
        </w:tcBorders>
      </w:tcPr>
    </w:tblStylePr>
    <w:tblStylePr w:type="firstCol">
      <w:rPr>
        <w:b/>
        <w:bCs/>
      </w:rPr>
    </w:tblStylePr>
    <w:tblStylePr w:type="lastCol">
      <w:rPr>
        <w:b/>
        <w:bCs/>
      </w:rPr>
    </w:tblStylePr>
    <w:tblStylePr w:type="band1Vert">
      <w:tblPr/>
      <w:tcPr>
        <w:shd w:val="clear" w:color="auto" w:fill="81D9D5" w:themeFill="accent5" w:themeFillTint="7F"/>
      </w:tcPr>
    </w:tblStylePr>
    <w:tblStylePr w:type="band1Horz">
      <w:tblPr/>
      <w:tcPr>
        <w:shd w:val="clear" w:color="auto" w:fill="81D9D5"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single" w:sz="8" w:space="0" w:color="80CA75" w:themeColor="accent6" w:themeTint="BF"/>
        <w:insideV w:val="single" w:sz="8" w:space="0" w:color="80CA75" w:themeColor="accent6" w:themeTint="BF"/>
      </w:tblBorders>
    </w:tblPr>
    <w:tcPr>
      <w:shd w:val="clear" w:color="auto" w:fill="D5EDD1" w:themeFill="accent6" w:themeFillTint="3F"/>
    </w:tcPr>
    <w:tblStylePr w:type="firstRow">
      <w:rPr>
        <w:b/>
        <w:bCs/>
      </w:rPr>
    </w:tblStylePr>
    <w:tblStylePr w:type="lastRow">
      <w:rPr>
        <w:b/>
        <w:bCs/>
      </w:rPr>
      <w:tblPr/>
      <w:tcPr>
        <w:tcBorders>
          <w:top w:val="single" w:sz="18" w:space="0" w:color="80CA75" w:themeColor="accent6" w:themeTint="BF"/>
        </w:tcBorders>
      </w:tcPr>
    </w:tblStylePr>
    <w:tblStylePr w:type="firstCol">
      <w:rPr>
        <w:b/>
        <w:bCs/>
      </w:rPr>
    </w:tblStylePr>
    <w:tblStylePr w:type="lastCol">
      <w:rPr>
        <w:b/>
        <w:bCs/>
      </w:rPr>
    </w:tblStylePr>
    <w:tblStylePr w:type="band1Vert">
      <w:tblPr/>
      <w:tcPr>
        <w:shd w:val="clear" w:color="auto" w:fill="AADCA3" w:themeFill="accent6" w:themeFillTint="7F"/>
      </w:tcPr>
    </w:tblStylePr>
    <w:tblStylePr w:type="band1Horz">
      <w:tblPr/>
      <w:tcPr>
        <w:shd w:val="clear" w:color="auto" w:fill="AADCA3"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787A9" w:themeColor="accent1"/>
        <w:left w:val="single" w:sz="8" w:space="0" w:color="5787A9" w:themeColor="accent1"/>
        <w:bottom w:val="single" w:sz="8" w:space="0" w:color="5787A9" w:themeColor="accent1"/>
        <w:right w:val="single" w:sz="8" w:space="0" w:color="5787A9" w:themeColor="accent1"/>
        <w:insideH w:val="single" w:sz="8" w:space="0" w:color="5787A9" w:themeColor="accent1"/>
        <w:insideV w:val="single" w:sz="8" w:space="0" w:color="5787A9" w:themeColor="accent1"/>
      </w:tblBorders>
    </w:tblPr>
    <w:tcPr>
      <w:shd w:val="clear" w:color="auto" w:fill="D5E1E9" w:themeFill="accent1" w:themeFillTint="3F"/>
    </w:tcPr>
    <w:tblStylePr w:type="firstRow">
      <w:rPr>
        <w:b/>
        <w:bCs/>
        <w:color w:val="000000" w:themeColor="text1"/>
      </w:rPr>
      <w:tblPr/>
      <w:tcPr>
        <w:shd w:val="clear" w:color="auto" w:fill="EEF3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6ED" w:themeFill="accent1" w:themeFillTint="33"/>
      </w:tcPr>
    </w:tblStylePr>
    <w:tblStylePr w:type="band1Vert">
      <w:tblPr/>
      <w:tcPr>
        <w:shd w:val="clear" w:color="auto" w:fill="ABC3D4" w:themeFill="accent1" w:themeFillTint="7F"/>
      </w:tcPr>
    </w:tblStylePr>
    <w:tblStylePr w:type="band1Horz">
      <w:tblPr/>
      <w:tcPr>
        <w:tcBorders>
          <w:insideH w:val="single" w:sz="6" w:space="0" w:color="5787A9" w:themeColor="accent1"/>
          <w:insideV w:val="single" w:sz="6" w:space="0" w:color="5787A9" w:themeColor="accent1"/>
        </w:tcBorders>
        <w:shd w:val="clear" w:color="auto" w:fill="ABC3D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72A1" w:themeColor="accent2"/>
        <w:left w:val="single" w:sz="8" w:space="0" w:color="5572A1" w:themeColor="accent2"/>
        <w:bottom w:val="single" w:sz="8" w:space="0" w:color="5572A1" w:themeColor="accent2"/>
        <w:right w:val="single" w:sz="8" w:space="0" w:color="5572A1" w:themeColor="accent2"/>
        <w:insideH w:val="single" w:sz="8" w:space="0" w:color="5572A1" w:themeColor="accent2"/>
        <w:insideV w:val="single" w:sz="8" w:space="0" w:color="5572A1" w:themeColor="accent2"/>
      </w:tblBorders>
    </w:tblPr>
    <w:tcPr>
      <w:shd w:val="clear" w:color="auto" w:fill="D4DBE8" w:themeFill="accent2" w:themeFillTint="3F"/>
    </w:tcPr>
    <w:tblStylePr w:type="firstRow">
      <w:rPr>
        <w:b/>
        <w:bCs/>
        <w:color w:val="000000" w:themeColor="text1"/>
      </w:rPr>
      <w:tblPr/>
      <w:tcPr>
        <w:shd w:val="clear" w:color="auto" w:fill="EDF1F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E2EC" w:themeFill="accent2" w:themeFillTint="33"/>
      </w:tcPr>
    </w:tblStylePr>
    <w:tblStylePr w:type="band1Vert">
      <w:tblPr/>
      <w:tcPr>
        <w:shd w:val="clear" w:color="auto" w:fill="A8B8D1" w:themeFill="accent2" w:themeFillTint="7F"/>
      </w:tcPr>
    </w:tblStylePr>
    <w:tblStylePr w:type="band1Horz">
      <w:tblPr/>
      <w:tcPr>
        <w:tcBorders>
          <w:insideH w:val="single" w:sz="6" w:space="0" w:color="5572A1" w:themeColor="accent2"/>
          <w:insideV w:val="single" w:sz="6" w:space="0" w:color="5572A1" w:themeColor="accent2"/>
        </w:tcBorders>
        <w:shd w:val="clear" w:color="auto" w:fill="A8B8D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639B" w:themeColor="accent3"/>
        <w:left w:val="single" w:sz="8" w:space="0" w:color="55639B" w:themeColor="accent3"/>
        <w:bottom w:val="single" w:sz="8" w:space="0" w:color="55639B" w:themeColor="accent3"/>
        <w:right w:val="single" w:sz="8" w:space="0" w:color="55639B" w:themeColor="accent3"/>
        <w:insideH w:val="single" w:sz="8" w:space="0" w:color="55639B" w:themeColor="accent3"/>
        <w:insideV w:val="single" w:sz="8" w:space="0" w:color="55639B" w:themeColor="accent3"/>
      </w:tblBorders>
    </w:tblPr>
    <w:tcPr>
      <w:shd w:val="clear" w:color="auto" w:fill="D3D7E7" w:themeFill="accent3" w:themeFillTint="3F"/>
    </w:tcPr>
    <w:tblStylePr w:type="firstRow">
      <w:rPr>
        <w:b/>
        <w:bCs/>
        <w:color w:val="000000" w:themeColor="text1"/>
      </w:rPr>
      <w:tblPr/>
      <w:tcPr>
        <w:shd w:val="clear" w:color="auto" w:fill="EDEF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DFEC" w:themeFill="accent3" w:themeFillTint="33"/>
      </w:tcPr>
    </w:tblStylePr>
    <w:tblStylePr w:type="band1Vert">
      <w:tblPr/>
      <w:tcPr>
        <w:shd w:val="clear" w:color="auto" w:fill="A8AFCF" w:themeFill="accent3" w:themeFillTint="7F"/>
      </w:tcPr>
    </w:tblStylePr>
    <w:tblStylePr w:type="band1Horz">
      <w:tblPr/>
      <w:tcPr>
        <w:tcBorders>
          <w:insideH w:val="single" w:sz="6" w:space="0" w:color="55639B" w:themeColor="accent3"/>
          <w:insideV w:val="single" w:sz="6" w:space="0" w:color="55639B" w:themeColor="accent3"/>
        </w:tcBorders>
        <w:shd w:val="clear" w:color="auto" w:fill="A8AF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2D91" w:themeColor="accent4"/>
        <w:left w:val="single" w:sz="8" w:space="0" w:color="662D91" w:themeColor="accent4"/>
        <w:bottom w:val="single" w:sz="8" w:space="0" w:color="662D91" w:themeColor="accent4"/>
        <w:right w:val="single" w:sz="8" w:space="0" w:color="662D91" w:themeColor="accent4"/>
        <w:insideH w:val="single" w:sz="8" w:space="0" w:color="662D91" w:themeColor="accent4"/>
        <w:insideV w:val="single" w:sz="8" w:space="0" w:color="662D91" w:themeColor="accent4"/>
      </w:tblBorders>
    </w:tblPr>
    <w:tcPr>
      <w:shd w:val="clear" w:color="auto" w:fill="DAC2EC" w:themeFill="accent4" w:themeFillTint="3F"/>
    </w:tcPr>
    <w:tblStylePr w:type="firstRow">
      <w:rPr>
        <w:b/>
        <w:bCs/>
        <w:color w:val="000000" w:themeColor="text1"/>
      </w:rPr>
      <w:tblPr/>
      <w:tcPr>
        <w:shd w:val="clear" w:color="auto" w:fill="F0E6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CEF0" w:themeFill="accent4" w:themeFillTint="33"/>
      </w:tcPr>
    </w:tblStylePr>
    <w:tblStylePr w:type="band1Vert">
      <w:tblPr/>
      <w:tcPr>
        <w:shd w:val="clear" w:color="auto" w:fill="B485D9" w:themeFill="accent4" w:themeFillTint="7F"/>
      </w:tcPr>
    </w:tblStylePr>
    <w:tblStylePr w:type="band1Horz">
      <w:tblPr/>
      <w:tcPr>
        <w:tcBorders>
          <w:insideH w:val="single" w:sz="6" w:space="0" w:color="662D91" w:themeColor="accent4"/>
          <w:insideV w:val="single" w:sz="6" w:space="0" w:color="662D91" w:themeColor="accent4"/>
        </w:tcBorders>
        <w:shd w:val="clear" w:color="auto" w:fill="B485D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A8B87" w:themeColor="accent5"/>
        <w:left w:val="single" w:sz="8" w:space="0" w:color="2A8B87" w:themeColor="accent5"/>
        <w:bottom w:val="single" w:sz="8" w:space="0" w:color="2A8B87" w:themeColor="accent5"/>
        <w:right w:val="single" w:sz="8" w:space="0" w:color="2A8B87" w:themeColor="accent5"/>
        <w:insideH w:val="single" w:sz="8" w:space="0" w:color="2A8B87" w:themeColor="accent5"/>
        <w:insideV w:val="single" w:sz="8" w:space="0" w:color="2A8B87" w:themeColor="accent5"/>
      </w:tblBorders>
    </w:tblPr>
    <w:tcPr>
      <w:shd w:val="clear" w:color="auto" w:fill="C0ECEA" w:themeFill="accent5" w:themeFillTint="3F"/>
    </w:tcPr>
    <w:tblStylePr w:type="firstRow">
      <w:rPr>
        <w:b/>
        <w:bCs/>
        <w:color w:val="000000" w:themeColor="text1"/>
      </w:rPr>
      <w:tblPr/>
      <w:tcPr>
        <w:shd w:val="clear" w:color="auto" w:fill="E6F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FEE" w:themeFill="accent5" w:themeFillTint="33"/>
      </w:tcPr>
    </w:tblStylePr>
    <w:tblStylePr w:type="band1Vert">
      <w:tblPr/>
      <w:tcPr>
        <w:shd w:val="clear" w:color="auto" w:fill="81D9D5" w:themeFill="accent5" w:themeFillTint="7F"/>
      </w:tcPr>
    </w:tblStylePr>
    <w:tblStylePr w:type="band1Horz">
      <w:tblPr/>
      <w:tcPr>
        <w:tcBorders>
          <w:insideH w:val="single" w:sz="6" w:space="0" w:color="2A8B87" w:themeColor="accent5"/>
          <w:insideV w:val="single" w:sz="6" w:space="0" w:color="2A8B87" w:themeColor="accent5"/>
        </w:tcBorders>
        <w:shd w:val="clear" w:color="auto" w:fill="81D9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6B948" w:themeColor="accent6"/>
        <w:left w:val="single" w:sz="8" w:space="0" w:color="56B948" w:themeColor="accent6"/>
        <w:bottom w:val="single" w:sz="8" w:space="0" w:color="56B948" w:themeColor="accent6"/>
        <w:right w:val="single" w:sz="8" w:space="0" w:color="56B948" w:themeColor="accent6"/>
        <w:insideH w:val="single" w:sz="8" w:space="0" w:color="56B948" w:themeColor="accent6"/>
        <w:insideV w:val="single" w:sz="8" w:space="0" w:color="56B948" w:themeColor="accent6"/>
      </w:tblBorders>
    </w:tblPr>
    <w:tcPr>
      <w:shd w:val="clear" w:color="auto" w:fill="D5EDD1" w:themeFill="accent6" w:themeFillTint="3F"/>
    </w:tcPr>
    <w:tblStylePr w:type="firstRow">
      <w:rPr>
        <w:b/>
        <w:bCs/>
        <w:color w:val="000000" w:themeColor="text1"/>
      </w:rPr>
      <w:tblPr/>
      <w:tcPr>
        <w:shd w:val="clear" w:color="auto" w:fill="EEF8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1DA" w:themeFill="accent6" w:themeFillTint="33"/>
      </w:tcPr>
    </w:tblStylePr>
    <w:tblStylePr w:type="band1Vert">
      <w:tblPr/>
      <w:tcPr>
        <w:shd w:val="clear" w:color="auto" w:fill="AADCA3" w:themeFill="accent6" w:themeFillTint="7F"/>
      </w:tcPr>
    </w:tblStylePr>
    <w:tblStylePr w:type="band1Horz">
      <w:tblPr/>
      <w:tcPr>
        <w:tcBorders>
          <w:insideH w:val="single" w:sz="6" w:space="0" w:color="56B948" w:themeColor="accent6"/>
          <w:insideV w:val="single" w:sz="6" w:space="0" w:color="56B948" w:themeColor="accent6"/>
        </w:tcBorders>
        <w:shd w:val="clear" w:color="auto" w:fill="AADCA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1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87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87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87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87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C3D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C3D4"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DBE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72A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72A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72A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72A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B8D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B8D1"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7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639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639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639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639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AF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AFCF"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C2E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2D9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2D9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2D9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2D9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85D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85D9"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EC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A8B8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A8B8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A8B8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A8B8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D9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D9D5"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D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6B94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6B94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6B94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6B94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ADC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ADCA3"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79AB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5787A9" w:themeColor="accent1"/>
        <w:bottom w:val="single" w:sz="8" w:space="0" w:color="5787A9" w:themeColor="accent1"/>
      </w:tblBorders>
    </w:tblPr>
    <w:tblStylePr w:type="firstRow">
      <w:rPr>
        <w:rFonts w:asciiTheme="majorHAnsi" w:eastAsiaTheme="majorEastAsia" w:hAnsiTheme="majorHAnsi" w:cstheme="majorBidi"/>
      </w:rPr>
      <w:tblPr/>
      <w:tcPr>
        <w:tcBorders>
          <w:top w:val="nil"/>
          <w:bottom w:val="single" w:sz="8" w:space="0" w:color="5787A9" w:themeColor="accent1"/>
        </w:tcBorders>
      </w:tcPr>
    </w:tblStylePr>
    <w:tblStylePr w:type="lastRow">
      <w:rPr>
        <w:b/>
        <w:bCs/>
        <w:color w:val="579AB0" w:themeColor="text2"/>
      </w:rPr>
      <w:tblPr/>
      <w:tcPr>
        <w:tcBorders>
          <w:top w:val="single" w:sz="8" w:space="0" w:color="5787A9" w:themeColor="accent1"/>
          <w:bottom w:val="single" w:sz="8" w:space="0" w:color="5787A9" w:themeColor="accent1"/>
        </w:tcBorders>
      </w:tcPr>
    </w:tblStylePr>
    <w:tblStylePr w:type="firstCol">
      <w:rPr>
        <w:b/>
        <w:bCs/>
      </w:rPr>
    </w:tblStylePr>
    <w:tblStylePr w:type="lastCol">
      <w:rPr>
        <w:b/>
        <w:bCs/>
      </w:rPr>
      <w:tblPr/>
      <w:tcPr>
        <w:tcBorders>
          <w:top w:val="single" w:sz="8" w:space="0" w:color="5787A9" w:themeColor="accent1"/>
          <w:bottom w:val="single" w:sz="8" w:space="0" w:color="5787A9" w:themeColor="accent1"/>
        </w:tcBorders>
      </w:tcPr>
    </w:tblStylePr>
    <w:tblStylePr w:type="band1Vert">
      <w:tblPr/>
      <w:tcPr>
        <w:shd w:val="clear" w:color="auto" w:fill="D5E1E9" w:themeFill="accent1" w:themeFillTint="3F"/>
      </w:tcPr>
    </w:tblStylePr>
    <w:tblStylePr w:type="band1Horz">
      <w:tblPr/>
      <w:tcPr>
        <w:shd w:val="clear" w:color="auto" w:fill="D5E1E9"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5572A1" w:themeColor="accent2"/>
        <w:bottom w:val="single" w:sz="8" w:space="0" w:color="5572A1" w:themeColor="accent2"/>
      </w:tblBorders>
    </w:tblPr>
    <w:tblStylePr w:type="firstRow">
      <w:rPr>
        <w:rFonts w:asciiTheme="majorHAnsi" w:eastAsiaTheme="majorEastAsia" w:hAnsiTheme="majorHAnsi" w:cstheme="majorBidi"/>
      </w:rPr>
      <w:tblPr/>
      <w:tcPr>
        <w:tcBorders>
          <w:top w:val="nil"/>
          <w:bottom w:val="single" w:sz="8" w:space="0" w:color="5572A1" w:themeColor="accent2"/>
        </w:tcBorders>
      </w:tcPr>
    </w:tblStylePr>
    <w:tblStylePr w:type="lastRow">
      <w:rPr>
        <w:b/>
        <w:bCs/>
        <w:color w:val="579AB0" w:themeColor="text2"/>
      </w:rPr>
      <w:tblPr/>
      <w:tcPr>
        <w:tcBorders>
          <w:top w:val="single" w:sz="8" w:space="0" w:color="5572A1" w:themeColor="accent2"/>
          <w:bottom w:val="single" w:sz="8" w:space="0" w:color="5572A1" w:themeColor="accent2"/>
        </w:tcBorders>
      </w:tcPr>
    </w:tblStylePr>
    <w:tblStylePr w:type="firstCol">
      <w:rPr>
        <w:b/>
        <w:bCs/>
      </w:rPr>
    </w:tblStylePr>
    <w:tblStylePr w:type="lastCol">
      <w:rPr>
        <w:b/>
        <w:bCs/>
      </w:rPr>
      <w:tblPr/>
      <w:tcPr>
        <w:tcBorders>
          <w:top w:val="single" w:sz="8" w:space="0" w:color="5572A1" w:themeColor="accent2"/>
          <w:bottom w:val="single" w:sz="8" w:space="0" w:color="5572A1" w:themeColor="accent2"/>
        </w:tcBorders>
      </w:tcPr>
    </w:tblStylePr>
    <w:tblStylePr w:type="band1Vert">
      <w:tblPr/>
      <w:tcPr>
        <w:shd w:val="clear" w:color="auto" w:fill="D4DBE8" w:themeFill="accent2" w:themeFillTint="3F"/>
      </w:tcPr>
    </w:tblStylePr>
    <w:tblStylePr w:type="band1Horz">
      <w:tblPr/>
      <w:tcPr>
        <w:shd w:val="clear" w:color="auto" w:fill="D4DBE8"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55639B" w:themeColor="accent3"/>
        <w:bottom w:val="single" w:sz="8" w:space="0" w:color="55639B" w:themeColor="accent3"/>
      </w:tblBorders>
    </w:tblPr>
    <w:tblStylePr w:type="firstRow">
      <w:rPr>
        <w:rFonts w:asciiTheme="majorHAnsi" w:eastAsiaTheme="majorEastAsia" w:hAnsiTheme="majorHAnsi" w:cstheme="majorBidi"/>
      </w:rPr>
      <w:tblPr/>
      <w:tcPr>
        <w:tcBorders>
          <w:top w:val="nil"/>
          <w:bottom w:val="single" w:sz="8" w:space="0" w:color="55639B" w:themeColor="accent3"/>
        </w:tcBorders>
      </w:tcPr>
    </w:tblStylePr>
    <w:tblStylePr w:type="lastRow">
      <w:rPr>
        <w:b/>
        <w:bCs/>
        <w:color w:val="579AB0" w:themeColor="text2"/>
      </w:rPr>
      <w:tblPr/>
      <w:tcPr>
        <w:tcBorders>
          <w:top w:val="single" w:sz="8" w:space="0" w:color="55639B" w:themeColor="accent3"/>
          <w:bottom w:val="single" w:sz="8" w:space="0" w:color="55639B" w:themeColor="accent3"/>
        </w:tcBorders>
      </w:tcPr>
    </w:tblStylePr>
    <w:tblStylePr w:type="firstCol">
      <w:rPr>
        <w:b/>
        <w:bCs/>
      </w:rPr>
    </w:tblStylePr>
    <w:tblStylePr w:type="lastCol">
      <w:rPr>
        <w:b/>
        <w:bCs/>
      </w:rPr>
      <w:tblPr/>
      <w:tcPr>
        <w:tcBorders>
          <w:top w:val="single" w:sz="8" w:space="0" w:color="55639B" w:themeColor="accent3"/>
          <w:bottom w:val="single" w:sz="8" w:space="0" w:color="55639B" w:themeColor="accent3"/>
        </w:tcBorders>
      </w:tcPr>
    </w:tblStylePr>
    <w:tblStylePr w:type="band1Vert">
      <w:tblPr/>
      <w:tcPr>
        <w:shd w:val="clear" w:color="auto" w:fill="D3D7E7" w:themeFill="accent3" w:themeFillTint="3F"/>
      </w:tcPr>
    </w:tblStylePr>
    <w:tblStylePr w:type="band1Horz">
      <w:tblPr/>
      <w:tcPr>
        <w:shd w:val="clear" w:color="auto" w:fill="D3D7E7"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662D91" w:themeColor="accent4"/>
        <w:bottom w:val="single" w:sz="8" w:space="0" w:color="662D91" w:themeColor="accent4"/>
      </w:tblBorders>
    </w:tblPr>
    <w:tblStylePr w:type="firstRow">
      <w:rPr>
        <w:rFonts w:asciiTheme="majorHAnsi" w:eastAsiaTheme="majorEastAsia" w:hAnsiTheme="majorHAnsi" w:cstheme="majorBidi"/>
      </w:rPr>
      <w:tblPr/>
      <w:tcPr>
        <w:tcBorders>
          <w:top w:val="nil"/>
          <w:bottom w:val="single" w:sz="8" w:space="0" w:color="662D91" w:themeColor="accent4"/>
        </w:tcBorders>
      </w:tcPr>
    </w:tblStylePr>
    <w:tblStylePr w:type="lastRow">
      <w:rPr>
        <w:b/>
        <w:bCs/>
        <w:color w:val="579AB0" w:themeColor="text2"/>
      </w:rPr>
      <w:tblPr/>
      <w:tcPr>
        <w:tcBorders>
          <w:top w:val="single" w:sz="8" w:space="0" w:color="662D91" w:themeColor="accent4"/>
          <w:bottom w:val="single" w:sz="8" w:space="0" w:color="662D91" w:themeColor="accent4"/>
        </w:tcBorders>
      </w:tcPr>
    </w:tblStylePr>
    <w:tblStylePr w:type="firstCol">
      <w:rPr>
        <w:b/>
        <w:bCs/>
      </w:rPr>
    </w:tblStylePr>
    <w:tblStylePr w:type="lastCol">
      <w:rPr>
        <w:b/>
        <w:bCs/>
      </w:rPr>
      <w:tblPr/>
      <w:tcPr>
        <w:tcBorders>
          <w:top w:val="single" w:sz="8" w:space="0" w:color="662D91" w:themeColor="accent4"/>
          <w:bottom w:val="single" w:sz="8" w:space="0" w:color="662D91" w:themeColor="accent4"/>
        </w:tcBorders>
      </w:tcPr>
    </w:tblStylePr>
    <w:tblStylePr w:type="band1Vert">
      <w:tblPr/>
      <w:tcPr>
        <w:shd w:val="clear" w:color="auto" w:fill="DAC2EC" w:themeFill="accent4" w:themeFillTint="3F"/>
      </w:tcPr>
    </w:tblStylePr>
    <w:tblStylePr w:type="band1Horz">
      <w:tblPr/>
      <w:tcPr>
        <w:shd w:val="clear" w:color="auto" w:fill="DAC2EC"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2A8B87" w:themeColor="accent5"/>
        <w:bottom w:val="single" w:sz="8" w:space="0" w:color="2A8B87" w:themeColor="accent5"/>
      </w:tblBorders>
    </w:tblPr>
    <w:tblStylePr w:type="firstRow">
      <w:rPr>
        <w:rFonts w:asciiTheme="majorHAnsi" w:eastAsiaTheme="majorEastAsia" w:hAnsiTheme="majorHAnsi" w:cstheme="majorBidi"/>
      </w:rPr>
      <w:tblPr/>
      <w:tcPr>
        <w:tcBorders>
          <w:top w:val="nil"/>
          <w:bottom w:val="single" w:sz="8" w:space="0" w:color="2A8B87" w:themeColor="accent5"/>
        </w:tcBorders>
      </w:tcPr>
    </w:tblStylePr>
    <w:tblStylePr w:type="lastRow">
      <w:rPr>
        <w:b/>
        <w:bCs/>
        <w:color w:val="579AB0" w:themeColor="text2"/>
      </w:rPr>
      <w:tblPr/>
      <w:tcPr>
        <w:tcBorders>
          <w:top w:val="single" w:sz="8" w:space="0" w:color="2A8B87" w:themeColor="accent5"/>
          <w:bottom w:val="single" w:sz="8" w:space="0" w:color="2A8B87" w:themeColor="accent5"/>
        </w:tcBorders>
      </w:tcPr>
    </w:tblStylePr>
    <w:tblStylePr w:type="firstCol">
      <w:rPr>
        <w:b/>
        <w:bCs/>
      </w:rPr>
    </w:tblStylePr>
    <w:tblStylePr w:type="lastCol">
      <w:rPr>
        <w:b/>
        <w:bCs/>
      </w:rPr>
      <w:tblPr/>
      <w:tcPr>
        <w:tcBorders>
          <w:top w:val="single" w:sz="8" w:space="0" w:color="2A8B87" w:themeColor="accent5"/>
          <w:bottom w:val="single" w:sz="8" w:space="0" w:color="2A8B87" w:themeColor="accent5"/>
        </w:tcBorders>
      </w:tcPr>
    </w:tblStylePr>
    <w:tblStylePr w:type="band1Vert">
      <w:tblPr/>
      <w:tcPr>
        <w:shd w:val="clear" w:color="auto" w:fill="C0ECEA" w:themeFill="accent5" w:themeFillTint="3F"/>
      </w:tcPr>
    </w:tblStylePr>
    <w:tblStylePr w:type="band1Horz">
      <w:tblPr/>
      <w:tcPr>
        <w:shd w:val="clear" w:color="auto" w:fill="C0ECEA"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56B948" w:themeColor="accent6"/>
        <w:bottom w:val="single" w:sz="8" w:space="0" w:color="56B948" w:themeColor="accent6"/>
      </w:tblBorders>
    </w:tblPr>
    <w:tblStylePr w:type="firstRow">
      <w:rPr>
        <w:rFonts w:asciiTheme="majorHAnsi" w:eastAsiaTheme="majorEastAsia" w:hAnsiTheme="majorHAnsi" w:cstheme="majorBidi"/>
      </w:rPr>
      <w:tblPr/>
      <w:tcPr>
        <w:tcBorders>
          <w:top w:val="nil"/>
          <w:bottom w:val="single" w:sz="8" w:space="0" w:color="56B948" w:themeColor="accent6"/>
        </w:tcBorders>
      </w:tcPr>
    </w:tblStylePr>
    <w:tblStylePr w:type="lastRow">
      <w:rPr>
        <w:b/>
        <w:bCs/>
        <w:color w:val="579AB0" w:themeColor="text2"/>
      </w:rPr>
      <w:tblPr/>
      <w:tcPr>
        <w:tcBorders>
          <w:top w:val="single" w:sz="8" w:space="0" w:color="56B948" w:themeColor="accent6"/>
          <w:bottom w:val="single" w:sz="8" w:space="0" w:color="56B948" w:themeColor="accent6"/>
        </w:tcBorders>
      </w:tcPr>
    </w:tblStylePr>
    <w:tblStylePr w:type="firstCol">
      <w:rPr>
        <w:b/>
        <w:bCs/>
      </w:rPr>
    </w:tblStylePr>
    <w:tblStylePr w:type="lastCol">
      <w:rPr>
        <w:b/>
        <w:bCs/>
      </w:rPr>
      <w:tblPr/>
      <w:tcPr>
        <w:tcBorders>
          <w:top w:val="single" w:sz="8" w:space="0" w:color="56B948" w:themeColor="accent6"/>
          <w:bottom w:val="single" w:sz="8" w:space="0" w:color="56B948" w:themeColor="accent6"/>
        </w:tcBorders>
      </w:tcPr>
    </w:tblStylePr>
    <w:tblStylePr w:type="band1Vert">
      <w:tblPr/>
      <w:tcPr>
        <w:shd w:val="clear" w:color="auto" w:fill="D5EDD1" w:themeFill="accent6" w:themeFillTint="3F"/>
      </w:tcPr>
    </w:tblStylePr>
    <w:tblStylePr w:type="band1Horz">
      <w:tblPr/>
      <w:tcPr>
        <w:shd w:val="clear" w:color="auto" w:fill="D5EDD1"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787A9" w:themeColor="accent1"/>
        <w:left w:val="single" w:sz="8" w:space="0" w:color="5787A9" w:themeColor="accent1"/>
        <w:bottom w:val="single" w:sz="8" w:space="0" w:color="5787A9" w:themeColor="accent1"/>
        <w:right w:val="single" w:sz="8" w:space="0" w:color="5787A9" w:themeColor="accent1"/>
      </w:tblBorders>
    </w:tblPr>
    <w:tblStylePr w:type="firstRow">
      <w:rPr>
        <w:sz w:val="24"/>
        <w:szCs w:val="24"/>
      </w:rPr>
      <w:tblPr/>
      <w:tcPr>
        <w:tcBorders>
          <w:top w:val="nil"/>
          <w:left w:val="nil"/>
          <w:bottom w:val="single" w:sz="24" w:space="0" w:color="5787A9" w:themeColor="accent1"/>
          <w:right w:val="nil"/>
          <w:insideH w:val="nil"/>
          <w:insideV w:val="nil"/>
        </w:tcBorders>
        <w:shd w:val="clear" w:color="auto" w:fill="FFFFFF" w:themeFill="background1"/>
      </w:tcPr>
    </w:tblStylePr>
    <w:tblStylePr w:type="lastRow">
      <w:tblPr/>
      <w:tcPr>
        <w:tcBorders>
          <w:top w:val="single" w:sz="8" w:space="0" w:color="5787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87A9" w:themeColor="accent1"/>
          <w:insideH w:val="nil"/>
          <w:insideV w:val="nil"/>
        </w:tcBorders>
        <w:shd w:val="clear" w:color="auto" w:fill="FFFFFF" w:themeFill="background1"/>
      </w:tcPr>
    </w:tblStylePr>
    <w:tblStylePr w:type="lastCol">
      <w:tblPr/>
      <w:tcPr>
        <w:tcBorders>
          <w:top w:val="nil"/>
          <w:left w:val="single" w:sz="8" w:space="0" w:color="5787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1E9" w:themeFill="accent1" w:themeFillTint="3F"/>
      </w:tcPr>
    </w:tblStylePr>
    <w:tblStylePr w:type="band1Horz">
      <w:tblPr/>
      <w:tcPr>
        <w:tcBorders>
          <w:top w:val="nil"/>
          <w:bottom w:val="nil"/>
          <w:insideH w:val="nil"/>
          <w:insideV w:val="nil"/>
        </w:tcBorders>
        <w:shd w:val="clear" w:color="auto" w:fill="D5E1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72A1" w:themeColor="accent2"/>
        <w:left w:val="single" w:sz="8" w:space="0" w:color="5572A1" w:themeColor="accent2"/>
        <w:bottom w:val="single" w:sz="8" w:space="0" w:color="5572A1" w:themeColor="accent2"/>
        <w:right w:val="single" w:sz="8" w:space="0" w:color="5572A1" w:themeColor="accent2"/>
      </w:tblBorders>
    </w:tblPr>
    <w:tblStylePr w:type="firstRow">
      <w:rPr>
        <w:sz w:val="24"/>
        <w:szCs w:val="24"/>
      </w:rPr>
      <w:tblPr/>
      <w:tcPr>
        <w:tcBorders>
          <w:top w:val="nil"/>
          <w:left w:val="nil"/>
          <w:bottom w:val="single" w:sz="24" w:space="0" w:color="5572A1" w:themeColor="accent2"/>
          <w:right w:val="nil"/>
          <w:insideH w:val="nil"/>
          <w:insideV w:val="nil"/>
        </w:tcBorders>
        <w:shd w:val="clear" w:color="auto" w:fill="FFFFFF" w:themeFill="background1"/>
      </w:tcPr>
    </w:tblStylePr>
    <w:tblStylePr w:type="lastRow">
      <w:tblPr/>
      <w:tcPr>
        <w:tcBorders>
          <w:top w:val="single" w:sz="8" w:space="0" w:color="5572A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72A1" w:themeColor="accent2"/>
          <w:insideH w:val="nil"/>
          <w:insideV w:val="nil"/>
        </w:tcBorders>
        <w:shd w:val="clear" w:color="auto" w:fill="FFFFFF" w:themeFill="background1"/>
      </w:tcPr>
    </w:tblStylePr>
    <w:tblStylePr w:type="lastCol">
      <w:tblPr/>
      <w:tcPr>
        <w:tcBorders>
          <w:top w:val="nil"/>
          <w:left w:val="single" w:sz="8" w:space="0" w:color="5572A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DBE8" w:themeFill="accent2" w:themeFillTint="3F"/>
      </w:tcPr>
    </w:tblStylePr>
    <w:tblStylePr w:type="band1Horz">
      <w:tblPr/>
      <w:tcPr>
        <w:tcBorders>
          <w:top w:val="nil"/>
          <w:bottom w:val="nil"/>
          <w:insideH w:val="nil"/>
          <w:insideV w:val="nil"/>
        </w:tcBorders>
        <w:shd w:val="clear" w:color="auto" w:fill="D4DBE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639B" w:themeColor="accent3"/>
        <w:left w:val="single" w:sz="8" w:space="0" w:color="55639B" w:themeColor="accent3"/>
        <w:bottom w:val="single" w:sz="8" w:space="0" w:color="55639B" w:themeColor="accent3"/>
        <w:right w:val="single" w:sz="8" w:space="0" w:color="55639B" w:themeColor="accent3"/>
      </w:tblBorders>
    </w:tblPr>
    <w:tblStylePr w:type="firstRow">
      <w:rPr>
        <w:sz w:val="24"/>
        <w:szCs w:val="24"/>
      </w:rPr>
      <w:tblPr/>
      <w:tcPr>
        <w:tcBorders>
          <w:top w:val="nil"/>
          <w:left w:val="nil"/>
          <w:bottom w:val="single" w:sz="24" w:space="0" w:color="55639B" w:themeColor="accent3"/>
          <w:right w:val="nil"/>
          <w:insideH w:val="nil"/>
          <w:insideV w:val="nil"/>
        </w:tcBorders>
        <w:shd w:val="clear" w:color="auto" w:fill="FFFFFF" w:themeFill="background1"/>
      </w:tcPr>
    </w:tblStylePr>
    <w:tblStylePr w:type="lastRow">
      <w:tblPr/>
      <w:tcPr>
        <w:tcBorders>
          <w:top w:val="single" w:sz="8" w:space="0" w:color="55639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639B" w:themeColor="accent3"/>
          <w:insideH w:val="nil"/>
          <w:insideV w:val="nil"/>
        </w:tcBorders>
        <w:shd w:val="clear" w:color="auto" w:fill="FFFFFF" w:themeFill="background1"/>
      </w:tcPr>
    </w:tblStylePr>
    <w:tblStylePr w:type="lastCol">
      <w:tblPr/>
      <w:tcPr>
        <w:tcBorders>
          <w:top w:val="nil"/>
          <w:left w:val="single" w:sz="8" w:space="0" w:color="55639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7E7" w:themeFill="accent3" w:themeFillTint="3F"/>
      </w:tcPr>
    </w:tblStylePr>
    <w:tblStylePr w:type="band1Horz">
      <w:tblPr/>
      <w:tcPr>
        <w:tcBorders>
          <w:top w:val="nil"/>
          <w:bottom w:val="nil"/>
          <w:insideH w:val="nil"/>
          <w:insideV w:val="nil"/>
        </w:tcBorders>
        <w:shd w:val="clear" w:color="auto" w:fill="D3D7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62D91" w:themeColor="accent4"/>
        <w:left w:val="single" w:sz="8" w:space="0" w:color="662D91" w:themeColor="accent4"/>
        <w:bottom w:val="single" w:sz="8" w:space="0" w:color="662D91" w:themeColor="accent4"/>
        <w:right w:val="single" w:sz="8" w:space="0" w:color="662D91" w:themeColor="accent4"/>
      </w:tblBorders>
    </w:tblPr>
    <w:tblStylePr w:type="firstRow">
      <w:rPr>
        <w:sz w:val="24"/>
        <w:szCs w:val="24"/>
      </w:rPr>
      <w:tblPr/>
      <w:tcPr>
        <w:tcBorders>
          <w:top w:val="nil"/>
          <w:left w:val="nil"/>
          <w:bottom w:val="single" w:sz="24" w:space="0" w:color="662D91" w:themeColor="accent4"/>
          <w:right w:val="nil"/>
          <w:insideH w:val="nil"/>
          <w:insideV w:val="nil"/>
        </w:tcBorders>
        <w:shd w:val="clear" w:color="auto" w:fill="FFFFFF" w:themeFill="background1"/>
      </w:tcPr>
    </w:tblStylePr>
    <w:tblStylePr w:type="lastRow">
      <w:tblPr/>
      <w:tcPr>
        <w:tcBorders>
          <w:top w:val="single" w:sz="8" w:space="0" w:color="662D9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2D91" w:themeColor="accent4"/>
          <w:insideH w:val="nil"/>
          <w:insideV w:val="nil"/>
        </w:tcBorders>
        <w:shd w:val="clear" w:color="auto" w:fill="FFFFFF" w:themeFill="background1"/>
      </w:tcPr>
    </w:tblStylePr>
    <w:tblStylePr w:type="lastCol">
      <w:tblPr/>
      <w:tcPr>
        <w:tcBorders>
          <w:top w:val="nil"/>
          <w:left w:val="single" w:sz="8" w:space="0" w:color="662D9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C2EC" w:themeFill="accent4" w:themeFillTint="3F"/>
      </w:tcPr>
    </w:tblStylePr>
    <w:tblStylePr w:type="band1Horz">
      <w:tblPr/>
      <w:tcPr>
        <w:tcBorders>
          <w:top w:val="nil"/>
          <w:bottom w:val="nil"/>
          <w:insideH w:val="nil"/>
          <w:insideV w:val="nil"/>
        </w:tcBorders>
        <w:shd w:val="clear" w:color="auto" w:fill="DAC2E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A8B87" w:themeColor="accent5"/>
        <w:left w:val="single" w:sz="8" w:space="0" w:color="2A8B87" w:themeColor="accent5"/>
        <w:bottom w:val="single" w:sz="8" w:space="0" w:color="2A8B87" w:themeColor="accent5"/>
        <w:right w:val="single" w:sz="8" w:space="0" w:color="2A8B87" w:themeColor="accent5"/>
      </w:tblBorders>
    </w:tblPr>
    <w:tblStylePr w:type="firstRow">
      <w:rPr>
        <w:sz w:val="24"/>
        <w:szCs w:val="24"/>
      </w:rPr>
      <w:tblPr/>
      <w:tcPr>
        <w:tcBorders>
          <w:top w:val="nil"/>
          <w:left w:val="nil"/>
          <w:bottom w:val="single" w:sz="24" w:space="0" w:color="2A8B87" w:themeColor="accent5"/>
          <w:right w:val="nil"/>
          <w:insideH w:val="nil"/>
          <w:insideV w:val="nil"/>
        </w:tcBorders>
        <w:shd w:val="clear" w:color="auto" w:fill="FFFFFF" w:themeFill="background1"/>
      </w:tcPr>
    </w:tblStylePr>
    <w:tblStylePr w:type="lastRow">
      <w:tblPr/>
      <w:tcPr>
        <w:tcBorders>
          <w:top w:val="single" w:sz="8" w:space="0" w:color="2A8B8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A8B87" w:themeColor="accent5"/>
          <w:insideH w:val="nil"/>
          <w:insideV w:val="nil"/>
        </w:tcBorders>
        <w:shd w:val="clear" w:color="auto" w:fill="FFFFFF" w:themeFill="background1"/>
      </w:tcPr>
    </w:tblStylePr>
    <w:tblStylePr w:type="lastCol">
      <w:tblPr/>
      <w:tcPr>
        <w:tcBorders>
          <w:top w:val="nil"/>
          <w:left w:val="single" w:sz="8" w:space="0" w:color="2A8B8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CEA" w:themeFill="accent5" w:themeFillTint="3F"/>
      </w:tcPr>
    </w:tblStylePr>
    <w:tblStylePr w:type="band1Horz">
      <w:tblPr/>
      <w:tcPr>
        <w:tcBorders>
          <w:top w:val="nil"/>
          <w:bottom w:val="nil"/>
          <w:insideH w:val="nil"/>
          <w:insideV w:val="nil"/>
        </w:tcBorders>
        <w:shd w:val="clear" w:color="auto" w:fill="C0EC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6B948" w:themeColor="accent6"/>
        <w:left w:val="single" w:sz="8" w:space="0" w:color="56B948" w:themeColor="accent6"/>
        <w:bottom w:val="single" w:sz="8" w:space="0" w:color="56B948" w:themeColor="accent6"/>
        <w:right w:val="single" w:sz="8" w:space="0" w:color="56B948" w:themeColor="accent6"/>
      </w:tblBorders>
    </w:tblPr>
    <w:tblStylePr w:type="firstRow">
      <w:rPr>
        <w:sz w:val="24"/>
        <w:szCs w:val="24"/>
      </w:rPr>
      <w:tblPr/>
      <w:tcPr>
        <w:tcBorders>
          <w:top w:val="nil"/>
          <w:left w:val="nil"/>
          <w:bottom w:val="single" w:sz="24" w:space="0" w:color="56B948" w:themeColor="accent6"/>
          <w:right w:val="nil"/>
          <w:insideH w:val="nil"/>
          <w:insideV w:val="nil"/>
        </w:tcBorders>
        <w:shd w:val="clear" w:color="auto" w:fill="FFFFFF" w:themeFill="background1"/>
      </w:tcPr>
    </w:tblStylePr>
    <w:tblStylePr w:type="lastRow">
      <w:tblPr/>
      <w:tcPr>
        <w:tcBorders>
          <w:top w:val="single" w:sz="8" w:space="0" w:color="56B94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6B948" w:themeColor="accent6"/>
          <w:insideH w:val="nil"/>
          <w:insideV w:val="nil"/>
        </w:tcBorders>
        <w:shd w:val="clear" w:color="auto" w:fill="FFFFFF" w:themeFill="background1"/>
      </w:tcPr>
    </w:tblStylePr>
    <w:tblStylePr w:type="lastCol">
      <w:tblPr/>
      <w:tcPr>
        <w:tcBorders>
          <w:top w:val="nil"/>
          <w:left w:val="single" w:sz="8" w:space="0" w:color="56B94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DD1" w:themeFill="accent6" w:themeFillTint="3F"/>
      </w:tcPr>
    </w:tblStylePr>
    <w:tblStylePr w:type="band1Horz">
      <w:tblPr/>
      <w:tcPr>
        <w:tcBorders>
          <w:top w:val="nil"/>
          <w:bottom w:val="nil"/>
          <w:insideH w:val="nil"/>
          <w:insideV w:val="nil"/>
        </w:tcBorders>
        <w:shd w:val="clear" w:color="auto" w:fill="D5ED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single" w:sz="8" w:space="0" w:color="81A5BE" w:themeColor="accent1" w:themeTint="BF"/>
      </w:tblBorders>
    </w:tblPr>
    <w:tblStylePr w:type="firstRow">
      <w:pPr>
        <w:spacing w:before="0" w:after="0" w:line="240" w:lineRule="auto"/>
      </w:pPr>
      <w:rPr>
        <w:b/>
        <w:bCs/>
        <w:color w:val="FFFFFF" w:themeColor="background1"/>
      </w:rPr>
      <w:tblPr/>
      <w:tcPr>
        <w:tcBorders>
          <w:top w:val="single" w:sz="8"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nil"/>
          <w:insideV w:val="nil"/>
        </w:tcBorders>
        <w:shd w:val="clear" w:color="auto" w:fill="5787A9" w:themeFill="accent1"/>
      </w:tcPr>
    </w:tblStylePr>
    <w:tblStylePr w:type="lastRow">
      <w:pPr>
        <w:spacing w:before="0" w:after="0" w:line="240" w:lineRule="auto"/>
      </w:pPr>
      <w:rPr>
        <w:b/>
        <w:bCs/>
      </w:rPr>
      <w:tblPr/>
      <w:tcPr>
        <w:tcBorders>
          <w:top w:val="double" w:sz="6" w:space="0" w:color="81A5BE" w:themeColor="accent1" w:themeTint="BF"/>
          <w:left w:val="single" w:sz="8" w:space="0" w:color="81A5BE" w:themeColor="accent1" w:themeTint="BF"/>
          <w:bottom w:val="single" w:sz="8" w:space="0" w:color="81A5BE" w:themeColor="accent1" w:themeTint="BF"/>
          <w:right w:val="single" w:sz="8" w:space="0" w:color="81A5BE" w:themeColor="accent1" w:themeTint="BF"/>
          <w:insideH w:val="nil"/>
          <w:insideV w:val="nil"/>
        </w:tcBorders>
      </w:tcPr>
    </w:tblStylePr>
    <w:tblStylePr w:type="firstCol">
      <w:rPr>
        <w:b/>
        <w:bCs/>
      </w:rPr>
    </w:tblStylePr>
    <w:tblStylePr w:type="lastCol">
      <w:rPr>
        <w:b/>
        <w:bCs/>
      </w:rPr>
    </w:tblStylePr>
    <w:tblStylePr w:type="band1Vert">
      <w:tblPr/>
      <w:tcPr>
        <w:shd w:val="clear" w:color="auto" w:fill="D5E1E9" w:themeFill="accent1" w:themeFillTint="3F"/>
      </w:tcPr>
    </w:tblStylePr>
    <w:tblStylePr w:type="band1Horz">
      <w:tblPr/>
      <w:tcPr>
        <w:tcBorders>
          <w:insideH w:val="nil"/>
          <w:insideV w:val="nil"/>
        </w:tcBorders>
        <w:shd w:val="clear" w:color="auto" w:fill="D5E1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single" w:sz="8" w:space="0" w:color="7D94BA" w:themeColor="accent2" w:themeTint="BF"/>
      </w:tblBorders>
    </w:tblPr>
    <w:tblStylePr w:type="firstRow">
      <w:pPr>
        <w:spacing w:before="0" w:after="0" w:line="240" w:lineRule="auto"/>
      </w:pPr>
      <w:rPr>
        <w:b/>
        <w:bCs/>
        <w:color w:val="FFFFFF" w:themeColor="background1"/>
      </w:rPr>
      <w:tblPr/>
      <w:tcPr>
        <w:tcBorders>
          <w:top w:val="single" w:sz="8"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nil"/>
          <w:insideV w:val="nil"/>
        </w:tcBorders>
        <w:shd w:val="clear" w:color="auto" w:fill="5572A1" w:themeFill="accent2"/>
      </w:tcPr>
    </w:tblStylePr>
    <w:tblStylePr w:type="lastRow">
      <w:pPr>
        <w:spacing w:before="0" w:after="0" w:line="240" w:lineRule="auto"/>
      </w:pPr>
      <w:rPr>
        <w:b/>
        <w:bCs/>
      </w:rPr>
      <w:tblPr/>
      <w:tcPr>
        <w:tcBorders>
          <w:top w:val="double" w:sz="6" w:space="0" w:color="7D94BA" w:themeColor="accent2" w:themeTint="BF"/>
          <w:left w:val="single" w:sz="8" w:space="0" w:color="7D94BA" w:themeColor="accent2" w:themeTint="BF"/>
          <w:bottom w:val="single" w:sz="8" w:space="0" w:color="7D94BA" w:themeColor="accent2" w:themeTint="BF"/>
          <w:right w:val="single" w:sz="8" w:space="0" w:color="7D94BA" w:themeColor="accent2" w:themeTint="BF"/>
          <w:insideH w:val="nil"/>
          <w:insideV w:val="nil"/>
        </w:tcBorders>
      </w:tcPr>
    </w:tblStylePr>
    <w:tblStylePr w:type="firstCol">
      <w:rPr>
        <w:b/>
        <w:bCs/>
      </w:rPr>
    </w:tblStylePr>
    <w:tblStylePr w:type="lastCol">
      <w:rPr>
        <w:b/>
        <w:bCs/>
      </w:rPr>
    </w:tblStylePr>
    <w:tblStylePr w:type="band1Vert">
      <w:tblPr/>
      <w:tcPr>
        <w:shd w:val="clear" w:color="auto" w:fill="D4DBE8" w:themeFill="accent2" w:themeFillTint="3F"/>
      </w:tcPr>
    </w:tblStylePr>
    <w:tblStylePr w:type="band1Horz">
      <w:tblPr/>
      <w:tcPr>
        <w:tcBorders>
          <w:insideH w:val="nil"/>
          <w:insideV w:val="nil"/>
        </w:tcBorders>
        <w:shd w:val="clear" w:color="auto" w:fill="D4DB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single" w:sz="8" w:space="0" w:color="7C88B7" w:themeColor="accent3" w:themeTint="BF"/>
      </w:tblBorders>
    </w:tblPr>
    <w:tblStylePr w:type="firstRow">
      <w:pPr>
        <w:spacing w:before="0" w:after="0" w:line="240" w:lineRule="auto"/>
      </w:pPr>
      <w:rPr>
        <w:b/>
        <w:bCs/>
        <w:color w:val="FFFFFF" w:themeColor="background1"/>
      </w:rPr>
      <w:tblPr/>
      <w:tcPr>
        <w:tcBorders>
          <w:top w:val="single" w:sz="8"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nil"/>
          <w:insideV w:val="nil"/>
        </w:tcBorders>
        <w:shd w:val="clear" w:color="auto" w:fill="55639B" w:themeFill="accent3"/>
      </w:tcPr>
    </w:tblStylePr>
    <w:tblStylePr w:type="lastRow">
      <w:pPr>
        <w:spacing w:before="0" w:after="0" w:line="240" w:lineRule="auto"/>
      </w:pPr>
      <w:rPr>
        <w:b/>
        <w:bCs/>
      </w:rPr>
      <w:tblPr/>
      <w:tcPr>
        <w:tcBorders>
          <w:top w:val="double" w:sz="6" w:space="0" w:color="7C88B7" w:themeColor="accent3" w:themeTint="BF"/>
          <w:left w:val="single" w:sz="8" w:space="0" w:color="7C88B7" w:themeColor="accent3" w:themeTint="BF"/>
          <w:bottom w:val="single" w:sz="8" w:space="0" w:color="7C88B7" w:themeColor="accent3" w:themeTint="BF"/>
          <w:right w:val="single" w:sz="8" w:space="0" w:color="7C88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7" w:themeFill="accent3" w:themeFillTint="3F"/>
      </w:tcPr>
    </w:tblStylePr>
    <w:tblStylePr w:type="band1Horz">
      <w:tblPr/>
      <w:tcPr>
        <w:tcBorders>
          <w:insideH w:val="nil"/>
          <w:insideV w:val="nil"/>
        </w:tcBorders>
        <w:shd w:val="clear" w:color="auto" w:fill="D3D7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single" w:sz="8" w:space="0" w:color="8F47C6" w:themeColor="accent4" w:themeTint="BF"/>
      </w:tblBorders>
    </w:tblPr>
    <w:tblStylePr w:type="firstRow">
      <w:pPr>
        <w:spacing w:before="0" w:after="0" w:line="240" w:lineRule="auto"/>
      </w:pPr>
      <w:rPr>
        <w:b/>
        <w:bCs/>
        <w:color w:val="FFFFFF" w:themeColor="background1"/>
      </w:rPr>
      <w:tblPr/>
      <w:tcPr>
        <w:tcBorders>
          <w:top w:val="single" w:sz="8"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nil"/>
          <w:insideV w:val="nil"/>
        </w:tcBorders>
        <w:shd w:val="clear" w:color="auto" w:fill="662D91" w:themeFill="accent4"/>
      </w:tcPr>
    </w:tblStylePr>
    <w:tblStylePr w:type="lastRow">
      <w:pPr>
        <w:spacing w:before="0" w:after="0" w:line="240" w:lineRule="auto"/>
      </w:pPr>
      <w:rPr>
        <w:b/>
        <w:bCs/>
      </w:rPr>
      <w:tblPr/>
      <w:tcPr>
        <w:tcBorders>
          <w:top w:val="double" w:sz="6" w:space="0" w:color="8F47C6" w:themeColor="accent4" w:themeTint="BF"/>
          <w:left w:val="single" w:sz="8" w:space="0" w:color="8F47C6" w:themeColor="accent4" w:themeTint="BF"/>
          <w:bottom w:val="single" w:sz="8" w:space="0" w:color="8F47C6" w:themeColor="accent4" w:themeTint="BF"/>
          <w:right w:val="single" w:sz="8" w:space="0" w:color="8F47C6" w:themeColor="accent4" w:themeTint="BF"/>
          <w:insideH w:val="nil"/>
          <w:insideV w:val="nil"/>
        </w:tcBorders>
      </w:tcPr>
    </w:tblStylePr>
    <w:tblStylePr w:type="firstCol">
      <w:rPr>
        <w:b/>
        <w:bCs/>
      </w:rPr>
    </w:tblStylePr>
    <w:tblStylePr w:type="lastCol">
      <w:rPr>
        <w:b/>
        <w:bCs/>
      </w:rPr>
    </w:tblStylePr>
    <w:tblStylePr w:type="band1Vert">
      <w:tblPr/>
      <w:tcPr>
        <w:shd w:val="clear" w:color="auto" w:fill="DAC2EC" w:themeFill="accent4" w:themeFillTint="3F"/>
      </w:tcPr>
    </w:tblStylePr>
    <w:tblStylePr w:type="band1Horz">
      <w:tblPr/>
      <w:tcPr>
        <w:tcBorders>
          <w:insideH w:val="nil"/>
          <w:insideV w:val="nil"/>
        </w:tcBorders>
        <w:shd w:val="clear" w:color="auto" w:fill="DAC2E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single" w:sz="8" w:space="0" w:color="41C5C0" w:themeColor="accent5" w:themeTint="BF"/>
      </w:tblBorders>
    </w:tblPr>
    <w:tblStylePr w:type="firstRow">
      <w:pPr>
        <w:spacing w:before="0" w:after="0" w:line="240" w:lineRule="auto"/>
      </w:pPr>
      <w:rPr>
        <w:b/>
        <w:bCs/>
        <w:color w:val="FFFFFF" w:themeColor="background1"/>
      </w:rPr>
      <w:tblPr/>
      <w:tcPr>
        <w:tcBorders>
          <w:top w:val="single" w:sz="8"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nil"/>
          <w:insideV w:val="nil"/>
        </w:tcBorders>
        <w:shd w:val="clear" w:color="auto" w:fill="2A8B87" w:themeFill="accent5"/>
      </w:tcPr>
    </w:tblStylePr>
    <w:tblStylePr w:type="lastRow">
      <w:pPr>
        <w:spacing w:before="0" w:after="0" w:line="240" w:lineRule="auto"/>
      </w:pPr>
      <w:rPr>
        <w:b/>
        <w:bCs/>
      </w:rPr>
      <w:tblPr/>
      <w:tcPr>
        <w:tcBorders>
          <w:top w:val="double" w:sz="6" w:space="0" w:color="41C5C0" w:themeColor="accent5" w:themeTint="BF"/>
          <w:left w:val="single" w:sz="8" w:space="0" w:color="41C5C0" w:themeColor="accent5" w:themeTint="BF"/>
          <w:bottom w:val="single" w:sz="8" w:space="0" w:color="41C5C0" w:themeColor="accent5" w:themeTint="BF"/>
          <w:right w:val="single" w:sz="8" w:space="0" w:color="41C5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ECEA" w:themeFill="accent5" w:themeFillTint="3F"/>
      </w:tcPr>
    </w:tblStylePr>
    <w:tblStylePr w:type="band1Horz">
      <w:tblPr/>
      <w:tcPr>
        <w:tcBorders>
          <w:insideH w:val="nil"/>
          <w:insideV w:val="nil"/>
        </w:tcBorders>
        <w:shd w:val="clear" w:color="auto" w:fill="C0EC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single" w:sz="8" w:space="0" w:color="80CA75" w:themeColor="accent6" w:themeTint="BF"/>
      </w:tblBorders>
    </w:tblPr>
    <w:tblStylePr w:type="firstRow">
      <w:pPr>
        <w:spacing w:before="0" w:after="0" w:line="240" w:lineRule="auto"/>
      </w:pPr>
      <w:rPr>
        <w:b/>
        <w:bCs/>
        <w:color w:val="FFFFFF" w:themeColor="background1"/>
      </w:rPr>
      <w:tblPr/>
      <w:tcPr>
        <w:tcBorders>
          <w:top w:val="single" w:sz="8"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nil"/>
          <w:insideV w:val="nil"/>
        </w:tcBorders>
        <w:shd w:val="clear" w:color="auto" w:fill="56B948" w:themeFill="accent6"/>
      </w:tcPr>
    </w:tblStylePr>
    <w:tblStylePr w:type="lastRow">
      <w:pPr>
        <w:spacing w:before="0" w:after="0" w:line="240" w:lineRule="auto"/>
      </w:pPr>
      <w:rPr>
        <w:b/>
        <w:bCs/>
      </w:rPr>
      <w:tblPr/>
      <w:tcPr>
        <w:tcBorders>
          <w:top w:val="double" w:sz="6" w:space="0" w:color="80CA75" w:themeColor="accent6" w:themeTint="BF"/>
          <w:left w:val="single" w:sz="8" w:space="0" w:color="80CA75" w:themeColor="accent6" w:themeTint="BF"/>
          <w:bottom w:val="single" w:sz="8" w:space="0" w:color="80CA75" w:themeColor="accent6" w:themeTint="BF"/>
          <w:right w:val="single" w:sz="8" w:space="0" w:color="80CA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D5EDD1" w:themeFill="accent6" w:themeFillTint="3F"/>
      </w:tcPr>
    </w:tblStylePr>
    <w:tblStylePr w:type="band1Horz">
      <w:tblPr/>
      <w:tcPr>
        <w:tcBorders>
          <w:insideH w:val="nil"/>
          <w:insideV w:val="nil"/>
        </w:tcBorders>
        <w:shd w:val="clear" w:color="auto" w:fill="D5EDD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87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87A9" w:themeFill="accent1"/>
      </w:tcPr>
    </w:tblStylePr>
    <w:tblStylePr w:type="lastCol">
      <w:rPr>
        <w:b/>
        <w:bCs/>
        <w:color w:val="FFFFFF" w:themeColor="background1"/>
      </w:rPr>
      <w:tblPr/>
      <w:tcPr>
        <w:tcBorders>
          <w:left w:val="nil"/>
          <w:right w:val="nil"/>
          <w:insideH w:val="nil"/>
          <w:insideV w:val="nil"/>
        </w:tcBorders>
        <w:shd w:val="clear" w:color="auto" w:fill="5787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72A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572A1" w:themeFill="accent2"/>
      </w:tcPr>
    </w:tblStylePr>
    <w:tblStylePr w:type="lastCol">
      <w:rPr>
        <w:b/>
        <w:bCs/>
        <w:color w:val="FFFFFF" w:themeColor="background1"/>
      </w:rPr>
      <w:tblPr/>
      <w:tcPr>
        <w:tcBorders>
          <w:left w:val="nil"/>
          <w:right w:val="nil"/>
          <w:insideH w:val="nil"/>
          <w:insideV w:val="nil"/>
        </w:tcBorders>
        <w:shd w:val="clear" w:color="auto" w:fill="5572A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639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5639B" w:themeFill="accent3"/>
      </w:tcPr>
    </w:tblStylePr>
    <w:tblStylePr w:type="lastCol">
      <w:rPr>
        <w:b/>
        <w:bCs/>
        <w:color w:val="FFFFFF" w:themeColor="background1"/>
      </w:rPr>
      <w:tblPr/>
      <w:tcPr>
        <w:tcBorders>
          <w:left w:val="nil"/>
          <w:right w:val="nil"/>
          <w:insideH w:val="nil"/>
          <w:insideV w:val="nil"/>
        </w:tcBorders>
        <w:shd w:val="clear" w:color="auto" w:fill="55639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2D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2D91" w:themeFill="accent4"/>
      </w:tcPr>
    </w:tblStylePr>
    <w:tblStylePr w:type="lastCol">
      <w:rPr>
        <w:b/>
        <w:bCs/>
        <w:color w:val="FFFFFF" w:themeColor="background1"/>
      </w:rPr>
      <w:tblPr/>
      <w:tcPr>
        <w:tcBorders>
          <w:left w:val="nil"/>
          <w:right w:val="nil"/>
          <w:insideH w:val="nil"/>
          <w:insideV w:val="nil"/>
        </w:tcBorders>
        <w:shd w:val="clear" w:color="auto" w:fill="662D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A8B8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A8B87" w:themeFill="accent5"/>
      </w:tcPr>
    </w:tblStylePr>
    <w:tblStylePr w:type="lastCol">
      <w:rPr>
        <w:b/>
        <w:bCs/>
        <w:color w:val="FFFFFF" w:themeColor="background1"/>
      </w:rPr>
      <w:tblPr/>
      <w:tcPr>
        <w:tcBorders>
          <w:left w:val="nil"/>
          <w:right w:val="nil"/>
          <w:insideH w:val="nil"/>
          <w:insideV w:val="nil"/>
        </w:tcBorders>
        <w:shd w:val="clear" w:color="auto" w:fill="2A8B8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6B94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6B948" w:themeFill="accent6"/>
      </w:tcPr>
    </w:tblStylePr>
    <w:tblStylePr w:type="lastCol">
      <w:rPr>
        <w:b/>
        <w:bCs/>
        <w:color w:val="FFFFFF" w:themeColor="background1"/>
      </w:rPr>
      <w:tblPr/>
      <w:tcPr>
        <w:tcBorders>
          <w:left w:val="nil"/>
          <w:right w:val="nil"/>
          <w:insideH w:val="nil"/>
          <w:insideV w:val="nil"/>
        </w:tcBorders>
        <w:shd w:val="clear" w:color="auto" w:fill="56B94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20"/>
    <w:unhideWhenUsed/>
    <w:pPr>
      <w:spacing w:before="720" w:after="0" w:line="312" w:lineRule="auto"/>
      <w:contextualSpacing/>
    </w:pPr>
  </w:style>
  <w:style w:type="character" w:customStyle="1" w:styleId="SignatureChar">
    <w:name w:val="Signature Char"/>
    <w:basedOn w:val="DefaultParagraphFont"/>
    <w:link w:val="Signature"/>
    <w:uiPriority w:val="20"/>
    <w:rPr>
      <w:kern w:val="20"/>
    </w:rPr>
  </w:style>
  <w:style w:type="character" w:styleId="Strong">
    <w:name w:val="Strong"/>
    <w:basedOn w:val="DefaultParagraphFont"/>
    <w:uiPriority w:val="22"/>
    <w:unhideWhenUsed/>
    <w:qFormat/>
    <w:rPr>
      <w:b/>
      <w:bCs/>
    </w:rPr>
  </w:style>
  <w:style w:type="paragraph" w:styleId="Subtitle">
    <w:name w:val="Subtitle"/>
    <w:basedOn w:val="Normal"/>
    <w:next w:val="Normal"/>
    <w:link w:val="SubtitleChar"/>
    <w:uiPriority w:val="19"/>
    <w:unhideWhenUsed/>
    <w:pPr>
      <w:numPr>
        <w:ilvl w:val="1"/>
      </w:numPr>
      <w:ind w:left="432" w:right="1080"/>
    </w:pPr>
    <w:rPr>
      <w:rFonts w:asciiTheme="majorHAnsi" w:eastAsiaTheme="majorEastAsia" w:hAnsiTheme="majorHAnsi" w:cstheme="majorBidi"/>
      <w:caps/>
      <w:color w:val="5787A9" w:themeColor="accent1"/>
      <w:sz w:val="56"/>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5787A9"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5572A1"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unhideWhenUsed/>
    <w:qFormat/>
    <w:rsid w:val="00AF4E14"/>
    <w:pPr>
      <w:pBdr>
        <w:top w:val="single" w:sz="4" w:space="16" w:color="CED2D7" w:themeColor="background2" w:themeShade="E6"/>
        <w:left w:val="single" w:sz="4" w:space="20" w:color="CED2D7" w:themeColor="background2" w:themeShade="E6"/>
        <w:bottom w:val="single" w:sz="4" w:space="16" w:color="CED2D7" w:themeColor="background2" w:themeShade="E6"/>
        <w:right w:val="single" w:sz="4" w:space="20" w:color="CED2D7" w:themeColor="background2" w:themeShade="E6"/>
      </w:pBdr>
      <w:shd w:val="clear" w:color="auto" w:fill="CED2D7" w:themeFill="background2" w:themeFillShade="E6"/>
      <w:spacing w:before="3000" w:line="204" w:lineRule="auto"/>
      <w:ind w:left="431" w:right="431"/>
      <w:jc w:val="right"/>
    </w:pPr>
    <w:rPr>
      <w:rFonts w:ascii="Calibri Light" w:eastAsiaTheme="majorEastAsia" w:hAnsi="Calibri Light" w:cstheme="majorBidi"/>
      <w:caps/>
      <w:color w:val="6A7580" w:themeColor="background2" w:themeShade="80"/>
      <w:kern w:val="28"/>
      <w:sz w:val="64"/>
      <w:szCs w:val="64"/>
      <w14:ligatures w14:val="standardContextual"/>
    </w:rPr>
  </w:style>
  <w:style w:type="character" w:customStyle="1" w:styleId="TitleChar">
    <w:name w:val="Title Char"/>
    <w:basedOn w:val="DefaultParagraphFont"/>
    <w:link w:val="Title"/>
    <w:uiPriority w:val="10"/>
    <w:rsid w:val="00AF4E14"/>
    <w:rPr>
      <w:rFonts w:ascii="Calibri Light" w:eastAsiaTheme="majorEastAsia" w:hAnsi="Calibri Light" w:cstheme="majorBidi"/>
      <w:caps/>
      <w:color w:val="6A7580" w:themeColor="background2" w:themeShade="80"/>
      <w:kern w:val="28"/>
      <w:sz w:val="64"/>
      <w:szCs w:val="64"/>
      <w:shd w:val="clear" w:color="auto" w:fill="CED2D7" w:themeFill="background2" w:themeFillShade="E6"/>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rsid w:val="006A1445"/>
    <w:pPr>
      <w:tabs>
        <w:tab w:val="right" w:leader="underscore" w:pos="9090"/>
      </w:tabs>
      <w:spacing w:after="100"/>
    </w:pPr>
    <w:rPr>
      <w:noProof/>
      <w:sz w:val="22"/>
    </w:rPr>
  </w:style>
  <w:style w:type="paragraph" w:styleId="TOC2">
    <w:name w:val="toc 2"/>
    <w:basedOn w:val="Normal"/>
    <w:next w:val="Normal"/>
    <w:autoRedefine/>
    <w:uiPriority w:val="39"/>
    <w:unhideWhenUsed/>
    <w:rsid w:val="007D7C21"/>
    <w:pPr>
      <w:tabs>
        <w:tab w:val="right" w:leader="underscore" w:pos="9061"/>
      </w:tabs>
      <w:spacing w:after="10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next w:val="Normal"/>
    <w:uiPriority w:val="39"/>
    <w:unhideWhenUsed/>
    <w:qFormat/>
    <w:rsid w:val="002B3A49"/>
    <w:rPr>
      <w:kern w:val="20"/>
      <w:sz w:val="36"/>
    </w:rPr>
  </w:style>
  <w:style w:type="character" w:customStyle="1" w:styleId="NoSpacingChar">
    <w:name w:val="No Spacing Char"/>
    <w:basedOn w:val="DefaultParagraphFont"/>
    <w:link w:val="NoSpacing"/>
    <w:uiPriority w:val="1"/>
  </w:style>
  <w:style w:type="paragraph" w:customStyle="1" w:styleId="TableHeading">
    <w:name w:val="Table Heading"/>
    <w:basedOn w:val="Heading1"/>
    <w:uiPriority w:val="10"/>
    <w:rsid w:val="004856F6"/>
    <w:pPr>
      <w:keepNext/>
      <w:pBdr>
        <w:top w:val="single" w:sz="4" w:space="1" w:color="5787A9" w:themeColor="accent1"/>
        <w:left w:val="single" w:sz="4" w:space="6" w:color="5787A9" w:themeColor="accent1"/>
        <w:bottom w:val="single" w:sz="4" w:space="2" w:color="5787A9" w:themeColor="accent1"/>
        <w:right w:val="single" w:sz="4" w:space="6" w:color="5787A9" w:themeColor="accent1"/>
      </w:pBdr>
      <w:shd w:val="clear" w:color="auto" w:fill="5787A9" w:themeFill="accent1"/>
      <w:spacing w:before="160"/>
      <w:ind w:left="144" w:right="144"/>
    </w:pPr>
    <w:rPr>
      <w:rFonts w:asciiTheme="majorHAnsi" w:eastAsiaTheme="majorEastAsia" w:hAnsiTheme="majorHAnsi" w:cstheme="majorBidi"/>
      <w:caps/>
      <w:color w:val="FFFFFF" w:themeColor="background1" w:themeTint="D9"/>
      <w:sz w:val="24"/>
    </w:rPr>
  </w:style>
  <w:style w:type="paragraph" w:customStyle="1" w:styleId="CompanyInfo">
    <w:name w:val="Company Info"/>
    <w:basedOn w:val="Normal"/>
    <w:uiPriority w:val="2"/>
    <w:qFormat/>
    <w:pPr>
      <w:spacing w:after="40"/>
    </w:pPr>
  </w:style>
  <w:style w:type="table" w:customStyle="1" w:styleId="FinancialTable">
    <w:name w:val="Financial Table"/>
    <w:basedOn w:val="TableNormal"/>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5787A9" w:themeColor="accent1"/>
        <w:sz w:val="22"/>
      </w:rPr>
      <w:tblPr/>
      <w:tcPr>
        <w:vAlign w:val="bottom"/>
      </w:tcPr>
    </w:tblStylePr>
    <w:tblStylePr w:type="firstCol">
      <w:pPr>
        <w:wordWrap/>
        <w:jc w:val="left"/>
      </w:pPr>
      <w:rPr>
        <w:b/>
      </w:rPr>
    </w:tblStylePr>
  </w:style>
  <w:style w:type="numbering" w:customStyle="1" w:styleId="AnnualReport">
    <w:name w:val="Annual Report"/>
    <w:uiPriority w:val="99"/>
    <w:pPr>
      <w:numPr>
        <w:numId w:val="4"/>
      </w:numPr>
    </w:pPr>
  </w:style>
  <w:style w:type="paragraph" w:customStyle="1" w:styleId="Abstract">
    <w:name w:val="Abstract"/>
    <w:basedOn w:val="Normal"/>
    <w:uiPriority w:val="20"/>
    <w:pPr>
      <w:spacing w:before="360" w:after="0" w:line="240" w:lineRule="auto"/>
      <w:ind w:left="432" w:right="1080"/>
    </w:pPr>
    <w:rPr>
      <w:i/>
      <w:iCs/>
      <w:color w:val="7F7F7F" w:themeColor="text1" w:themeTint="80"/>
      <w:sz w:val="28"/>
    </w:rPr>
  </w:style>
  <w:style w:type="paragraph" w:customStyle="1" w:styleId="TableText">
    <w:name w:val="Table Text"/>
    <w:basedOn w:val="Normal"/>
    <w:uiPriority w:val="10"/>
    <w:qFormat/>
    <w:pPr>
      <w:spacing w:before="60" w:after="60" w:line="240" w:lineRule="auto"/>
      <w:ind w:left="144" w:right="144"/>
    </w:pPr>
  </w:style>
  <w:style w:type="paragraph" w:customStyle="1" w:styleId="Tablewhite">
    <w:name w:val="Table white"/>
    <w:uiPriority w:val="10"/>
    <w:qFormat/>
    <w:rsid w:val="002B3A49"/>
    <w:pPr>
      <w:spacing w:after="40" w:line="240" w:lineRule="auto"/>
      <w:ind w:left="144" w:right="144"/>
    </w:pPr>
    <w:rPr>
      <w:rFonts w:asciiTheme="majorHAnsi" w:eastAsiaTheme="majorEastAsia" w:hAnsiTheme="majorHAnsi" w:cstheme="majorBidi"/>
      <w:caps/>
      <w:color w:val="FFFFFF" w:themeColor="background1"/>
      <w:kern w:val="20"/>
      <w:sz w:val="24"/>
    </w:rPr>
  </w:style>
  <w:style w:type="paragraph" w:customStyle="1" w:styleId="Headergreen">
    <w:name w:val="Header green"/>
    <w:uiPriority w:val="99"/>
    <w:rsid w:val="00FA429A"/>
    <w:pPr>
      <w:pBdr>
        <w:top w:val="single" w:sz="2" w:space="6" w:color="5787A9" w:themeColor="accent1"/>
        <w:left w:val="single" w:sz="2" w:space="20" w:color="5787A9" w:themeColor="accent1"/>
        <w:bottom w:val="single" w:sz="2" w:space="6" w:color="5787A9" w:themeColor="accent1"/>
        <w:right w:val="single" w:sz="2" w:space="20" w:color="5787A9" w:themeColor="accent1"/>
      </w:pBdr>
      <w:shd w:val="clear" w:color="auto" w:fill="5787A9" w:themeFill="accent1"/>
      <w:spacing w:before="0" w:after="240" w:line="240" w:lineRule="auto"/>
      <w:jc w:val="right"/>
    </w:pPr>
    <w:rPr>
      <w:rFonts w:asciiTheme="majorHAnsi" w:eastAsiaTheme="majorEastAsia" w:hAnsiTheme="majorHAnsi" w:cstheme="majorBidi"/>
      <w:caps/>
      <w:color w:val="FFFFFF" w:themeColor="background1"/>
      <w:kern w:val="20"/>
    </w:rPr>
  </w:style>
  <w:style w:type="paragraph" w:customStyle="1" w:styleId="BasicParagraph">
    <w:name w:val="[Basic Paragraph]"/>
    <w:basedOn w:val="Normal"/>
    <w:uiPriority w:val="99"/>
    <w:rsid w:val="002B3A49"/>
    <w:pPr>
      <w:autoSpaceDE w:val="0"/>
      <w:autoSpaceDN w:val="0"/>
      <w:adjustRightInd w:val="0"/>
      <w:spacing w:after="0"/>
      <w:textAlignment w:val="center"/>
    </w:pPr>
    <w:rPr>
      <w:rFonts w:ascii="Minion Pro" w:hAnsi="Minion Pro" w:cs="Minion Pro"/>
      <w:color w:val="000000"/>
      <w:kern w:val="0"/>
      <w:sz w:val="24"/>
      <w:szCs w:val="24"/>
    </w:rPr>
  </w:style>
  <w:style w:type="paragraph" w:customStyle="1" w:styleId="Documenttitle">
    <w:name w:val="Document title"/>
    <w:basedOn w:val="Normal"/>
    <w:link w:val="DocumenttitleChar"/>
    <w:qFormat/>
    <w:rsid w:val="005E383F"/>
    <w:pPr>
      <w:jc w:val="center"/>
    </w:pPr>
    <w:rPr>
      <w:rFonts w:ascii="Microsoft YaHei UI" w:eastAsia="Microsoft YaHei UI" w:hAnsi="Microsoft YaHei UI"/>
      <w:color w:val="FFFFFF" w:themeColor="background1"/>
      <w:sz w:val="56"/>
      <w:szCs w:val="56"/>
    </w:rPr>
  </w:style>
  <w:style w:type="character" w:customStyle="1" w:styleId="DocumenttitleChar">
    <w:name w:val="Document title Char"/>
    <w:basedOn w:val="DefaultParagraphFont"/>
    <w:link w:val="Documenttitle"/>
    <w:rsid w:val="005E383F"/>
    <w:rPr>
      <w:rFonts w:ascii="Microsoft YaHei UI" w:eastAsia="Microsoft YaHei UI" w:hAnsi="Microsoft YaHei UI" w:cs="Microsoft New Tai Lue"/>
      <w:color w:val="FFFFFF" w:themeColor="background1"/>
      <w:kern w:val="20"/>
      <w:sz w:val="56"/>
      <w:szCs w:val="56"/>
      <w:lang w:val="en-GB"/>
    </w:rPr>
  </w:style>
  <w:style w:type="character" w:customStyle="1" w:styleId="ListParagraphChar">
    <w:name w:val="List Paragraph Char"/>
    <w:aliases w:val="1 heading Char,Bullet point Char,Dot point 1.5 line spacing Char,L Char,List Paragraph - bullets Char,List Paragraph1 Char,List Paragraph11 Char,NFP GP Bulleted List Char,Recommendation Char,bullet point list Char,FooterText Char"/>
    <w:basedOn w:val="DefaultParagraphFont"/>
    <w:link w:val="ListParagraph"/>
    <w:uiPriority w:val="34"/>
    <w:locked/>
    <w:rsid w:val="00505DD9"/>
    <w:rPr>
      <w:rFonts w:ascii="Microsoft New Tai Lue" w:hAnsi="Microsoft New Tai Lue" w:cs="Microsoft New Tai Lue"/>
      <w:kern w:val="20"/>
      <w:sz w:val="21"/>
      <w:szCs w:val="21"/>
      <w:lang w:val="en-GB"/>
    </w:rPr>
  </w:style>
  <w:style w:type="table" w:styleId="ListTable3-Accent2">
    <w:name w:val="List Table 3 Accent 2"/>
    <w:basedOn w:val="TableNormal"/>
    <w:uiPriority w:val="48"/>
    <w:rsid w:val="00230999"/>
    <w:pPr>
      <w:spacing w:after="0" w:line="240" w:lineRule="auto"/>
    </w:pPr>
    <w:tblPr>
      <w:tblStyleRowBandSize w:val="1"/>
      <w:tblStyleColBandSize w:val="1"/>
      <w:tblBorders>
        <w:top w:val="single" w:sz="4" w:space="0" w:color="5572A1" w:themeColor="accent2"/>
        <w:left w:val="single" w:sz="4" w:space="0" w:color="5572A1" w:themeColor="accent2"/>
        <w:bottom w:val="single" w:sz="4" w:space="0" w:color="5572A1" w:themeColor="accent2"/>
        <w:right w:val="single" w:sz="4" w:space="0" w:color="5572A1" w:themeColor="accent2"/>
      </w:tblBorders>
    </w:tblPr>
    <w:tblStylePr w:type="firstRow">
      <w:rPr>
        <w:b/>
        <w:bCs/>
        <w:color w:val="FFFFFF" w:themeColor="background1"/>
      </w:rPr>
      <w:tblPr/>
      <w:tcPr>
        <w:shd w:val="clear" w:color="auto" w:fill="5572A1" w:themeFill="accent2"/>
      </w:tcPr>
    </w:tblStylePr>
    <w:tblStylePr w:type="lastRow">
      <w:rPr>
        <w:b/>
        <w:bCs/>
      </w:rPr>
      <w:tblPr/>
      <w:tcPr>
        <w:tcBorders>
          <w:top w:val="double" w:sz="4" w:space="0" w:color="5572A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72A1" w:themeColor="accent2"/>
          <w:right w:val="single" w:sz="4" w:space="0" w:color="5572A1" w:themeColor="accent2"/>
        </w:tcBorders>
      </w:tcPr>
    </w:tblStylePr>
    <w:tblStylePr w:type="band1Horz">
      <w:tblPr/>
      <w:tcPr>
        <w:tcBorders>
          <w:top w:val="single" w:sz="4" w:space="0" w:color="5572A1" w:themeColor="accent2"/>
          <w:bottom w:val="single" w:sz="4" w:space="0" w:color="5572A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72A1" w:themeColor="accent2"/>
          <w:left w:val="nil"/>
        </w:tcBorders>
      </w:tcPr>
    </w:tblStylePr>
    <w:tblStylePr w:type="swCell">
      <w:tblPr/>
      <w:tcPr>
        <w:tcBorders>
          <w:top w:val="double" w:sz="4" w:space="0" w:color="5572A1" w:themeColor="accent2"/>
          <w:right w:val="nil"/>
        </w:tcBorders>
      </w:tcPr>
    </w:tblStylePr>
  </w:style>
  <w:style w:type="paragraph" w:styleId="Revision">
    <w:name w:val="Revision"/>
    <w:hidden/>
    <w:uiPriority w:val="99"/>
    <w:semiHidden/>
    <w:rsid w:val="004B230D"/>
    <w:pPr>
      <w:spacing w:before="0" w:after="0" w:line="240" w:lineRule="auto"/>
    </w:pPr>
    <w:rPr>
      <w:rFonts w:ascii="Microsoft New Tai Lue" w:hAnsi="Microsoft New Tai Lue" w:cs="Microsoft New Tai Lue"/>
      <w:kern w:val="20"/>
      <w:sz w:val="21"/>
      <w:szCs w:val="21"/>
      <w:lang w:val="en-GB"/>
    </w:rPr>
  </w:style>
  <w:style w:type="character" w:customStyle="1" w:styleId="ps-gls1">
    <w:name w:val="ps-gls1"/>
    <w:basedOn w:val="DefaultParagraphFont"/>
    <w:rsid w:val="00A72F0D"/>
  </w:style>
  <w:style w:type="paragraph" w:customStyle="1" w:styleId="1szqc">
    <w:name w:val="_1szqc"/>
    <w:basedOn w:val="Normal"/>
    <w:rsid w:val="001F43C7"/>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paragraph" w:customStyle="1" w:styleId="Default">
    <w:name w:val="Default"/>
    <w:rsid w:val="00F268CB"/>
    <w:pPr>
      <w:autoSpaceDE w:val="0"/>
      <w:autoSpaceDN w:val="0"/>
      <w:adjustRightInd w:val="0"/>
      <w:spacing w:before="0" w:after="0" w:line="240" w:lineRule="auto"/>
    </w:pPr>
    <w:rPr>
      <w:rFonts w:ascii="Times New Roman" w:hAnsi="Times New Roman" w:cs="Times New Roman"/>
      <w:color w:val="000000"/>
      <w:sz w:val="24"/>
      <w:szCs w:val="24"/>
      <w:lang w:val="en-AU" w:eastAsia="en-US"/>
    </w:rPr>
  </w:style>
  <w:style w:type="character" w:customStyle="1" w:styleId="st1">
    <w:name w:val="st1"/>
    <w:basedOn w:val="DefaultParagraphFont"/>
    <w:rsid w:val="00436D50"/>
  </w:style>
  <w:style w:type="paragraph" w:customStyle="1" w:styleId="Contentsheading2">
    <w:name w:val="Contents_heading2"/>
    <w:basedOn w:val="Heading2"/>
    <w:link w:val="Contentsheading2Char"/>
    <w:qFormat/>
    <w:rsid w:val="00AB4626"/>
    <w:pPr>
      <w:keepNext w:val="0"/>
      <w:keepLines w:val="0"/>
      <w:widowControl w:val="0"/>
    </w:pPr>
  </w:style>
  <w:style w:type="character" w:customStyle="1" w:styleId="Contentsheading2Char">
    <w:name w:val="Contents_heading2 Char"/>
    <w:basedOn w:val="Heading2Char"/>
    <w:link w:val="Contentsheading2"/>
    <w:rsid w:val="00EA49F9"/>
    <w:rPr>
      <w:rFonts w:ascii="Microsoft YaHei UI" w:eastAsia="Microsoft YaHei UI" w:hAnsi="Microsoft YaHei UI" w:cstheme="majorBidi"/>
      <w:color w:val="579AB0" w:themeColor="text2"/>
      <w:kern w:val="20"/>
      <w:sz w:val="32"/>
      <w:szCs w:val="32"/>
      <w14:ligatures w14:val="standardContextual"/>
    </w:rPr>
  </w:style>
  <w:style w:type="paragraph" w:customStyle="1" w:styleId="Featureboxtextheading">
    <w:name w:val="Feature box text heading"/>
    <w:basedOn w:val="Caption"/>
    <w:link w:val="FeatureboxtextheadingChar"/>
    <w:autoRedefine/>
    <w:qFormat/>
    <w:rsid w:val="000B1E57"/>
    <w:pPr>
      <w:keepNext/>
      <w:spacing w:after="0"/>
    </w:pPr>
    <w:rPr>
      <w:sz w:val="22"/>
    </w:rPr>
  </w:style>
  <w:style w:type="character" w:customStyle="1" w:styleId="CaptionChar">
    <w:name w:val="Caption Char"/>
    <w:basedOn w:val="DefaultParagraphFont"/>
    <w:link w:val="Caption"/>
    <w:rsid w:val="00C729E3"/>
    <w:rPr>
      <w:rFonts w:ascii="Microsoft New Tai Lue" w:hAnsi="Microsoft New Tai Lue" w:cs="Microsoft New Tai Lue"/>
      <w:b/>
      <w:bCs/>
      <w:color w:val="5787A9" w:themeColor="accent1"/>
      <w:kern w:val="20"/>
      <w:sz w:val="18"/>
      <w:szCs w:val="21"/>
      <w:lang w:val="en-AU"/>
    </w:rPr>
  </w:style>
  <w:style w:type="character" w:customStyle="1" w:styleId="FeatureboxtextheadingChar">
    <w:name w:val="Feature box text heading Char"/>
    <w:basedOn w:val="CaptionChar"/>
    <w:link w:val="Featureboxtextheading"/>
    <w:rsid w:val="000B1E57"/>
    <w:rPr>
      <w:rFonts w:ascii="Microsoft New Tai Lue" w:hAnsi="Microsoft New Tai Lue" w:cs="Microsoft New Tai Lue"/>
      <w:b/>
      <w:bCs/>
      <w:color w:val="5787A9" w:themeColor="accent1"/>
      <w:kern w:val="20"/>
      <w:sz w:val="22"/>
      <w:szCs w:val="21"/>
      <w:lang w:val="en-AU"/>
    </w:rPr>
  </w:style>
  <w:style w:type="paragraph" w:customStyle="1" w:styleId="Pa1">
    <w:name w:val="Pa1"/>
    <w:basedOn w:val="Default"/>
    <w:next w:val="Default"/>
    <w:uiPriority w:val="99"/>
    <w:rsid w:val="00166F1C"/>
    <w:pPr>
      <w:spacing w:line="201" w:lineRule="atLeast"/>
    </w:pPr>
    <w:rPr>
      <w:rFonts w:ascii="Calibri" w:hAnsi="Calibri" w:cs="Calibri"/>
      <w:color w:val="595959" w:themeColor="text1" w:themeTint="A6"/>
      <w:lang w:eastAsia="ja-JP"/>
    </w:rPr>
  </w:style>
  <w:style w:type="paragraph" w:customStyle="1" w:styleId="Pa12">
    <w:name w:val="Pa1_2"/>
    <w:basedOn w:val="Default"/>
    <w:next w:val="Default"/>
    <w:uiPriority w:val="99"/>
    <w:rsid w:val="003B4B7F"/>
    <w:pPr>
      <w:spacing w:line="171" w:lineRule="atLeast"/>
    </w:pPr>
    <w:rPr>
      <w:rFonts w:ascii="Gotham Narrow Book" w:hAnsi="Gotham Narrow Book" w:cstheme="minorBidi"/>
      <w:color w:val="595959" w:themeColor="text1" w:themeTint="A6"/>
      <w:lang w:eastAsia="ja-JP"/>
    </w:rPr>
  </w:style>
  <w:style w:type="character" w:customStyle="1" w:styleId="A11">
    <w:name w:val="A1_1"/>
    <w:uiPriority w:val="99"/>
    <w:rsid w:val="003B4B7F"/>
    <w:rPr>
      <w:rFonts w:cs="Gotham Narrow Book"/>
      <w:color w:val="000000"/>
      <w:sz w:val="16"/>
      <w:szCs w:val="16"/>
    </w:rPr>
  </w:style>
  <w:style w:type="paragraph" w:customStyle="1" w:styleId="Pa22">
    <w:name w:val="Pa2_2"/>
    <w:basedOn w:val="Default"/>
    <w:next w:val="Default"/>
    <w:uiPriority w:val="99"/>
    <w:rsid w:val="003B4B7F"/>
    <w:pPr>
      <w:spacing w:line="171" w:lineRule="atLeast"/>
    </w:pPr>
    <w:rPr>
      <w:rFonts w:ascii="Gotham Narrow Book" w:hAnsi="Gotham Narrow Book" w:cstheme="minorBidi"/>
      <w:color w:val="595959" w:themeColor="text1" w:themeTint="A6"/>
      <w:lang w:eastAsia="ja-JP"/>
    </w:rPr>
  </w:style>
  <w:style w:type="character" w:customStyle="1" w:styleId="A21">
    <w:name w:val="A2_1"/>
    <w:uiPriority w:val="99"/>
    <w:rsid w:val="003B4B7F"/>
    <w:rPr>
      <w:rFonts w:cs="Gotham Narrow Book"/>
      <w:color w:val="000000"/>
      <w:sz w:val="16"/>
      <w:szCs w:val="1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29980">
      <w:bodyDiv w:val="1"/>
      <w:marLeft w:val="0"/>
      <w:marRight w:val="0"/>
      <w:marTop w:val="0"/>
      <w:marBottom w:val="0"/>
      <w:divBdr>
        <w:top w:val="none" w:sz="0" w:space="0" w:color="auto"/>
        <w:left w:val="none" w:sz="0" w:space="0" w:color="auto"/>
        <w:bottom w:val="none" w:sz="0" w:space="0" w:color="auto"/>
        <w:right w:val="none" w:sz="0" w:space="0" w:color="auto"/>
      </w:divBdr>
    </w:div>
    <w:div w:id="70590963">
      <w:bodyDiv w:val="1"/>
      <w:marLeft w:val="0"/>
      <w:marRight w:val="0"/>
      <w:marTop w:val="0"/>
      <w:marBottom w:val="0"/>
      <w:divBdr>
        <w:top w:val="none" w:sz="0" w:space="0" w:color="auto"/>
        <w:left w:val="none" w:sz="0" w:space="0" w:color="auto"/>
        <w:bottom w:val="none" w:sz="0" w:space="0" w:color="auto"/>
        <w:right w:val="none" w:sz="0" w:space="0" w:color="auto"/>
      </w:divBdr>
    </w:div>
    <w:div w:id="105120537">
      <w:bodyDiv w:val="1"/>
      <w:marLeft w:val="0"/>
      <w:marRight w:val="0"/>
      <w:marTop w:val="0"/>
      <w:marBottom w:val="0"/>
      <w:divBdr>
        <w:top w:val="none" w:sz="0" w:space="0" w:color="auto"/>
        <w:left w:val="none" w:sz="0" w:space="0" w:color="auto"/>
        <w:bottom w:val="none" w:sz="0" w:space="0" w:color="auto"/>
        <w:right w:val="none" w:sz="0" w:space="0" w:color="auto"/>
      </w:divBdr>
    </w:div>
    <w:div w:id="139736232">
      <w:bodyDiv w:val="1"/>
      <w:marLeft w:val="0"/>
      <w:marRight w:val="0"/>
      <w:marTop w:val="0"/>
      <w:marBottom w:val="0"/>
      <w:divBdr>
        <w:top w:val="none" w:sz="0" w:space="0" w:color="auto"/>
        <w:left w:val="none" w:sz="0" w:space="0" w:color="auto"/>
        <w:bottom w:val="none" w:sz="0" w:space="0" w:color="auto"/>
        <w:right w:val="none" w:sz="0" w:space="0" w:color="auto"/>
      </w:divBdr>
    </w:div>
    <w:div w:id="149445023">
      <w:bodyDiv w:val="1"/>
      <w:marLeft w:val="0"/>
      <w:marRight w:val="0"/>
      <w:marTop w:val="0"/>
      <w:marBottom w:val="0"/>
      <w:divBdr>
        <w:top w:val="none" w:sz="0" w:space="0" w:color="auto"/>
        <w:left w:val="none" w:sz="0" w:space="0" w:color="auto"/>
        <w:bottom w:val="none" w:sz="0" w:space="0" w:color="auto"/>
        <w:right w:val="none" w:sz="0" w:space="0" w:color="auto"/>
      </w:divBdr>
      <w:divsChild>
        <w:div w:id="663822552">
          <w:marLeft w:val="0"/>
          <w:marRight w:val="0"/>
          <w:marTop w:val="0"/>
          <w:marBottom w:val="0"/>
          <w:divBdr>
            <w:top w:val="none" w:sz="0" w:space="0" w:color="auto"/>
            <w:left w:val="none" w:sz="0" w:space="0" w:color="auto"/>
            <w:bottom w:val="none" w:sz="0" w:space="0" w:color="auto"/>
            <w:right w:val="none" w:sz="0" w:space="0" w:color="auto"/>
          </w:divBdr>
          <w:divsChild>
            <w:div w:id="677315902">
              <w:marLeft w:val="0"/>
              <w:marRight w:val="0"/>
              <w:marTop w:val="0"/>
              <w:marBottom w:val="0"/>
              <w:divBdr>
                <w:top w:val="none" w:sz="0" w:space="0" w:color="auto"/>
                <w:left w:val="none" w:sz="0" w:space="0" w:color="auto"/>
                <w:bottom w:val="none" w:sz="0" w:space="0" w:color="auto"/>
                <w:right w:val="none" w:sz="0" w:space="0" w:color="auto"/>
              </w:divBdr>
              <w:divsChild>
                <w:div w:id="1179272855">
                  <w:marLeft w:val="-225"/>
                  <w:marRight w:val="-225"/>
                  <w:marTop w:val="0"/>
                  <w:marBottom w:val="0"/>
                  <w:divBdr>
                    <w:top w:val="none" w:sz="0" w:space="0" w:color="auto"/>
                    <w:left w:val="none" w:sz="0" w:space="0" w:color="auto"/>
                    <w:bottom w:val="none" w:sz="0" w:space="0" w:color="auto"/>
                    <w:right w:val="none" w:sz="0" w:space="0" w:color="auto"/>
                  </w:divBdr>
                  <w:divsChild>
                    <w:div w:id="1479109771">
                      <w:marLeft w:val="0"/>
                      <w:marRight w:val="0"/>
                      <w:marTop w:val="0"/>
                      <w:marBottom w:val="0"/>
                      <w:divBdr>
                        <w:top w:val="none" w:sz="0" w:space="0" w:color="auto"/>
                        <w:left w:val="none" w:sz="0" w:space="0" w:color="auto"/>
                        <w:bottom w:val="none" w:sz="0" w:space="0" w:color="auto"/>
                        <w:right w:val="none" w:sz="0" w:space="0" w:color="auto"/>
                      </w:divBdr>
                      <w:divsChild>
                        <w:div w:id="407389788">
                          <w:marLeft w:val="0"/>
                          <w:marRight w:val="0"/>
                          <w:marTop w:val="0"/>
                          <w:marBottom w:val="0"/>
                          <w:divBdr>
                            <w:top w:val="none" w:sz="0" w:space="0" w:color="auto"/>
                            <w:left w:val="none" w:sz="0" w:space="0" w:color="auto"/>
                            <w:bottom w:val="none" w:sz="0" w:space="0" w:color="auto"/>
                            <w:right w:val="none" w:sz="0" w:space="0" w:color="auto"/>
                          </w:divBdr>
                          <w:divsChild>
                            <w:div w:id="1135102154">
                              <w:marLeft w:val="0"/>
                              <w:marRight w:val="0"/>
                              <w:marTop w:val="0"/>
                              <w:marBottom w:val="0"/>
                              <w:divBdr>
                                <w:top w:val="none" w:sz="0" w:space="0" w:color="auto"/>
                                <w:left w:val="none" w:sz="0" w:space="0" w:color="auto"/>
                                <w:bottom w:val="none" w:sz="0" w:space="0" w:color="auto"/>
                                <w:right w:val="none" w:sz="0" w:space="0" w:color="auto"/>
                              </w:divBdr>
                              <w:divsChild>
                                <w:div w:id="185388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1793633">
      <w:bodyDiv w:val="1"/>
      <w:marLeft w:val="0"/>
      <w:marRight w:val="0"/>
      <w:marTop w:val="0"/>
      <w:marBottom w:val="0"/>
      <w:divBdr>
        <w:top w:val="none" w:sz="0" w:space="0" w:color="auto"/>
        <w:left w:val="none" w:sz="0" w:space="0" w:color="auto"/>
        <w:bottom w:val="none" w:sz="0" w:space="0" w:color="auto"/>
        <w:right w:val="none" w:sz="0" w:space="0" w:color="auto"/>
      </w:divBdr>
      <w:divsChild>
        <w:div w:id="668020773">
          <w:marLeft w:val="274"/>
          <w:marRight w:val="0"/>
          <w:marTop w:val="0"/>
          <w:marBottom w:val="0"/>
          <w:divBdr>
            <w:top w:val="none" w:sz="0" w:space="0" w:color="auto"/>
            <w:left w:val="none" w:sz="0" w:space="0" w:color="auto"/>
            <w:bottom w:val="none" w:sz="0" w:space="0" w:color="auto"/>
            <w:right w:val="none" w:sz="0" w:space="0" w:color="auto"/>
          </w:divBdr>
        </w:div>
      </w:divsChild>
    </w:div>
    <w:div w:id="226839215">
      <w:bodyDiv w:val="1"/>
      <w:marLeft w:val="0"/>
      <w:marRight w:val="0"/>
      <w:marTop w:val="0"/>
      <w:marBottom w:val="0"/>
      <w:divBdr>
        <w:top w:val="none" w:sz="0" w:space="0" w:color="auto"/>
        <w:left w:val="none" w:sz="0" w:space="0" w:color="auto"/>
        <w:bottom w:val="none" w:sz="0" w:space="0" w:color="auto"/>
        <w:right w:val="none" w:sz="0" w:space="0" w:color="auto"/>
      </w:divBdr>
      <w:divsChild>
        <w:div w:id="2082099029">
          <w:marLeft w:val="274"/>
          <w:marRight w:val="0"/>
          <w:marTop w:val="0"/>
          <w:marBottom w:val="0"/>
          <w:divBdr>
            <w:top w:val="none" w:sz="0" w:space="0" w:color="auto"/>
            <w:left w:val="none" w:sz="0" w:space="0" w:color="auto"/>
            <w:bottom w:val="none" w:sz="0" w:space="0" w:color="auto"/>
            <w:right w:val="none" w:sz="0" w:space="0" w:color="auto"/>
          </w:divBdr>
        </w:div>
      </w:divsChild>
    </w:div>
    <w:div w:id="297032158">
      <w:bodyDiv w:val="1"/>
      <w:marLeft w:val="0"/>
      <w:marRight w:val="0"/>
      <w:marTop w:val="0"/>
      <w:marBottom w:val="0"/>
      <w:divBdr>
        <w:top w:val="none" w:sz="0" w:space="0" w:color="auto"/>
        <w:left w:val="none" w:sz="0" w:space="0" w:color="auto"/>
        <w:bottom w:val="none" w:sz="0" w:space="0" w:color="auto"/>
        <w:right w:val="none" w:sz="0" w:space="0" w:color="auto"/>
      </w:divBdr>
    </w:div>
    <w:div w:id="311714418">
      <w:bodyDiv w:val="1"/>
      <w:marLeft w:val="0"/>
      <w:marRight w:val="0"/>
      <w:marTop w:val="0"/>
      <w:marBottom w:val="0"/>
      <w:divBdr>
        <w:top w:val="none" w:sz="0" w:space="0" w:color="auto"/>
        <w:left w:val="none" w:sz="0" w:space="0" w:color="auto"/>
        <w:bottom w:val="none" w:sz="0" w:space="0" w:color="auto"/>
        <w:right w:val="none" w:sz="0" w:space="0" w:color="auto"/>
      </w:divBdr>
    </w:div>
    <w:div w:id="316081238">
      <w:bodyDiv w:val="1"/>
      <w:marLeft w:val="0"/>
      <w:marRight w:val="0"/>
      <w:marTop w:val="0"/>
      <w:marBottom w:val="0"/>
      <w:divBdr>
        <w:top w:val="none" w:sz="0" w:space="0" w:color="auto"/>
        <w:left w:val="none" w:sz="0" w:space="0" w:color="auto"/>
        <w:bottom w:val="none" w:sz="0" w:space="0" w:color="auto"/>
        <w:right w:val="none" w:sz="0" w:space="0" w:color="auto"/>
      </w:divBdr>
    </w:div>
    <w:div w:id="323820039">
      <w:bodyDiv w:val="1"/>
      <w:marLeft w:val="0"/>
      <w:marRight w:val="0"/>
      <w:marTop w:val="0"/>
      <w:marBottom w:val="0"/>
      <w:divBdr>
        <w:top w:val="none" w:sz="0" w:space="0" w:color="auto"/>
        <w:left w:val="none" w:sz="0" w:space="0" w:color="auto"/>
        <w:bottom w:val="none" w:sz="0" w:space="0" w:color="auto"/>
        <w:right w:val="none" w:sz="0" w:space="0" w:color="auto"/>
      </w:divBdr>
    </w:div>
    <w:div w:id="325015616">
      <w:bodyDiv w:val="1"/>
      <w:marLeft w:val="0"/>
      <w:marRight w:val="0"/>
      <w:marTop w:val="0"/>
      <w:marBottom w:val="0"/>
      <w:divBdr>
        <w:top w:val="none" w:sz="0" w:space="0" w:color="auto"/>
        <w:left w:val="none" w:sz="0" w:space="0" w:color="auto"/>
        <w:bottom w:val="none" w:sz="0" w:space="0" w:color="auto"/>
        <w:right w:val="none" w:sz="0" w:space="0" w:color="auto"/>
      </w:divBdr>
    </w:div>
    <w:div w:id="444693772">
      <w:bodyDiv w:val="1"/>
      <w:marLeft w:val="0"/>
      <w:marRight w:val="0"/>
      <w:marTop w:val="0"/>
      <w:marBottom w:val="0"/>
      <w:divBdr>
        <w:top w:val="none" w:sz="0" w:space="0" w:color="auto"/>
        <w:left w:val="none" w:sz="0" w:space="0" w:color="auto"/>
        <w:bottom w:val="none" w:sz="0" w:space="0" w:color="auto"/>
        <w:right w:val="none" w:sz="0" w:space="0" w:color="auto"/>
      </w:divBdr>
      <w:divsChild>
        <w:div w:id="82722421">
          <w:marLeft w:val="274"/>
          <w:marRight w:val="0"/>
          <w:marTop w:val="0"/>
          <w:marBottom w:val="0"/>
          <w:divBdr>
            <w:top w:val="none" w:sz="0" w:space="0" w:color="auto"/>
            <w:left w:val="none" w:sz="0" w:space="0" w:color="auto"/>
            <w:bottom w:val="none" w:sz="0" w:space="0" w:color="auto"/>
            <w:right w:val="none" w:sz="0" w:space="0" w:color="auto"/>
          </w:divBdr>
        </w:div>
        <w:div w:id="305934584">
          <w:marLeft w:val="274"/>
          <w:marRight w:val="0"/>
          <w:marTop w:val="0"/>
          <w:marBottom w:val="0"/>
          <w:divBdr>
            <w:top w:val="none" w:sz="0" w:space="0" w:color="auto"/>
            <w:left w:val="none" w:sz="0" w:space="0" w:color="auto"/>
            <w:bottom w:val="none" w:sz="0" w:space="0" w:color="auto"/>
            <w:right w:val="none" w:sz="0" w:space="0" w:color="auto"/>
          </w:divBdr>
        </w:div>
        <w:div w:id="1366980141">
          <w:marLeft w:val="274"/>
          <w:marRight w:val="0"/>
          <w:marTop w:val="0"/>
          <w:marBottom w:val="0"/>
          <w:divBdr>
            <w:top w:val="none" w:sz="0" w:space="0" w:color="auto"/>
            <w:left w:val="none" w:sz="0" w:space="0" w:color="auto"/>
            <w:bottom w:val="none" w:sz="0" w:space="0" w:color="auto"/>
            <w:right w:val="none" w:sz="0" w:space="0" w:color="auto"/>
          </w:divBdr>
        </w:div>
        <w:div w:id="1695766958">
          <w:marLeft w:val="274"/>
          <w:marRight w:val="0"/>
          <w:marTop w:val="0"/>
          <w:marBottom w:val="0"/>
          <w:divBdr>
            <w:top w:val="none" w:sz="0" w:space="0" w:color="auto"/>
            <w:left w:val="none" w:sz="0" w:space="0" w:color="auto"/>
            <w:bottom w:val="none" w:sz="0" w:space="0" w:color="auto"/>
            <w:right w:val="none" w:sz="0" w:space="0" w:color="auto"/>
          </w:divBdr>
        </w:div>
      </w:divsChild>
    </w:div>
    <w:div w:id="450246436">
      <w:bodyDiv w:val="1"/>
      <w:marLeft w:val="0"/>
      <w:marRight w:val="0"/>
      <w:marTop w:val="0"/>
      <w:marBottom w:val="0"/>
      <w:divBdr>
        <w:top w:val="none" w:sz="0" w:space="0" w:color="auto"/>
        <w:left w:val="none" w:sz="0" w:space="0" w:color="auto"/>
        <w:bottom w:val="none" w:sz="0" w:space="0" w:color="auto"/>
        <w:right w:val="none" w:sz="0" w:space="0" w:color="auto"/>
      </w:divBdr>
    </w:div>
    <w:div w:id="466702903">
      <w:bodyDiv w:val="1"/>
      <w:marLeft w:val="0"/>
      <w:marRight w:val="0"/>
      <w:marTop w:val="0"/>
      <w:marBottom w:val="0"/>
      <w:divBdr>
        <w:top w:val="none" w:sz="0" w:space="0" w:color="auto"/>
        <w:left w:val="none" w:sz="0" w:space="0" w:color="auto"/>
        <w:bottom w:val="none" w:sz="0" w:space="0" w:color="auto"/>
        <w:right w:val="none" w:sz="0" w:space="0" w:color="auto"/>
      </w:divBdr>
    </w:div>
    <w:div w:id="472914587">
      <w:bodyDiv w:val="1"/>
      <w:marLeft w:val="0"/>
      <w:marRight w:val="0"/>
      <w:marTop w:val="0"/>
      <w:marBottom w:val="0"/>
      <w:divBdr>
        <w:top w:val="none" w:sz="0" w:space="0" w:color="auto"/>
        <w:left w:val="none" w:sz="0" w:space="0" w:color="auto"/>
        <w:bottom w:val="none" w:sz="0" w:space="0" w:color="auto"/>
        <w:right w:val="none" w:sz="0" w:space="0" w:color="auto"/>
      </w:divBdr>
      <w:divsChild>
        <w:div w:id="137460882">
          <w:marLeft w:val="274"/>
          <w:marRight w:val="0"/>
          <w:marTop w:val="0"/>
          <w:marBottom w:val="0"/>
          <w:divBdr>
            <w:top w:val="none" w:sz="0" w:space="0" w:color="auto"/>
            <w:left w:val="none" w:sz="0" w:space="0" w:color="auto"/>
            <w:bottom w:val="none" w:sz="0" w:space="0" w:color="auto"/>
            <w:right w:val="none" w:sz="0" w:space="0" w:color="auto"/>
          </w:divBdr>
        </w:div>
        <w:div w:id="797141468">
          <w:marLeft w:val="274"/>
          <w:marRight w:val="0"/>
          <w:marTop w:val="0"/>
          <w:marBottom w:val="0"/>
          <w:divBdr>
            <w:top w:val="none" w:sz="0" w:space="0" w:color="auto"/>
            <w:left w:val="none" w:sz="0" w:space="0" w:color="auto"/>
            <w:bottom w:val="none" w:sz="0" w:space="0" w:color="auto"/>
            <w:right w:val="none" w:sz="0" w:space="0" w:color="auto"/>
          </w:divBdr>
        </w:div>
        <w:div w:id="1247760440">
          <w:marLeft w:val="274"/>
          <w:marRight w:val="0"/>
          <w:marTop w:val="0"/>
          <w:marBottom w:val="0"/>
          <w:divBdr>
            <w:top w:val="none" w:sz="0" w:space="0" w:color="auto"/>
            <w:left w:val="none" w:sz="0" w:space="0" w:color="auto"/>
            <w:bottom w:val="none" w:sz="0" w:space="0" w:color="auto"/>
            <w:right w:val="none" w:sz="0" w:space="0" w:color="auto"/>
          </w:divBdr>
        </w:div>
        <w:div w:id="1794210001">
          <w:marLeft w:val="274"/>
          <w:marRight w:val="0"/>
          <w:marTop w:val="0"/>
          <w:marBottom w:val="0"/>
          <w:divBdr>
            <w:top w:val="none" w:sz="0" w:space="0" w:color="auto"/>
            <w:left w:val="none" w:sz="0" w:space="0" w:color="auto"/>
            <w:bottom w:val="none" w:sz="0" w:space="0" w:color="auto"/>
            <w:right w:val="none" w:sz="0" w:space="0" w:color="auto"/>
          </w:divBdr>
        </w:div>
        <w:div w:id="1889218110">
          <w:marLeft w:val="274"/>
          <w:marRight w:val="0"/>
          <w:marTop w:val="0"/>
          <w:marBottom w:val="0"/>
          <w:divBdr>
            <w:top w:val="none" w:sz="0" w:space="0" w:color="auto"/>
            <w:left w:val="none" w:sz="0" w:space="0" w:color="auto"/>
            <w:bottom w:val="none" w:sz="0" w:space="0" w:color="auto"/>
            <w:right w:val="none" w:sz="0" w:space="0" w:color="auto"/>
          </w:divBdr>
        </w:div>
      </w:divsChild>
    </w:div>
    <w:div w:id="516965761">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03727654">
      <w:bodyDiv w:val="1"/>
      <w:marLeft w:val="0"/>
      <w:marRight w:val="0"/>
      <w:marTop w:val="0"/>
      <w:marBottom w:val="0"/>
      <w:divBdr>
        <w:top w:val="none" w:sz="0" w:space="0" w:color="auto"/>
        <w:left w:val="none" w:sz="0" w:space="0" w:color="auto"/>
        <w:bottom w:val="none" w:sz="0" w:space="0" w:color="auto"/>
        <w:right w:val="none" w:sz="0" w:space="0" w:color="auto"/>
      </w:divBdr>
    </w:div>
    <w:div w:id="641614129">
      <w:bodyDiv w:val="1"/>
      <w:marLeft w:val="0"/>
      <w:marRight w:val="0"/>
      <w:marTop w:val="0"/>
      <w:marBottom w:val="0"/>
      <w:divBdr>
        <w:top w:val="none" w:sz="0" w:space="0" w:color="auto"/>
        <w:left w:val="none" w:sz="0" w:space="0" w:color="auto"/>
        <w:bottom w:val="none" w:sz="0" w:space="0" w:color="auto"/>
        <w:right w:val="none" w:sz="0" w:space="0" w:color="auto"/>
      </w:divBdr>
    </w:div>
    <w:div w:id="650867211">
      <w:bodyDiv w:val="1"/>
      <w:marLeft w:val="0"/>
      <w:marRight w:val="0"/>
      <w:marTop w:val="0"/>
      <w:marBottom w:val="0"/>
      <w:divBdr>
        <w:top w:val="none" w:sz="0" w:space="0" w:color="auto"/>
        <w:left w:val="none" w:sz="0" w:space="0" w:color="auto"/>
        <w:bottom w:val="none" w:sz="0" w:space="0" w:color="auto"/>
        <w:right w:val="none" w:sz="0" w:space="0" w:color="auto"/>
      </w:divBdr>
      <w:divsChild>
        <w:div w:id="1248882947">
          <w:marLeft w:val="274"/>
          <w:marRight w:val="0"/>
          <w:marTop w:val="0"/>
          <w:marBottom w:val="0"/>
          <w:divBdr>
            <w:top w:val="none" w:sz="0" w:space="0" w:color="auto"/>
            <w:left w:val="none" w:sz="0" w:space="0" w:color="auto"/>
            <w:bottom w:val="none" w:sz="0" w:space="0" w:color="auto"/>
            <w:right w:val="none" w:sz="0" w:space="0" w:color="auto"/>
          </w:divBdr>
        </w:div>
      </w:divsChild>
    </w:div>
    <w:div w:id="923993173">
      <w:bodyDiv w:val="1"/>
      <w:marLeft w:val="0"/>
      <w:marRight w:val="0"/>
      <w:marTop w:val="0"/>
      <w:marBottom w:val="0"/>
      <w:divBdr>
        <w:top w:val="none" w:sz="0" w:space="0" w:color="auto"/>
        <w:left w:val="none" w:sz="0" w:space="0" w:color="auto"/>
        <w:bottom w:val="none" w:sz="0" w:space="0" w:color="auto"/>
        <w:right w:val="none" w:sz="0" w:space="0" w:color="auto"/>
      </w:divBdr>
      <w:divsChild>
        <w:div w:id="236668287">
          <w:marLeft w:val="0"/>
          <w:marRight w:val="0"/>
          <w:marTop w:val="0"/>
          <w:marBottom w:val="0"/>
          <w:divBdr>
            <w:top w:val="none" w:sz="0" w:space="0" w:color="auto"/>
            <w:left w:val="none" w:sz="0" w:space="0" w:color="auto"/>
            <w:bottom w:val="none" w:sz="0" w:space="0" w:color="auto"/>
            <w:right w:val="none" w:sz="0" w:space="0" w:color="auto"/>
          </w:divBdr>
          <w:divsChild>
            <w:div w:id="776825190">
              <w:marLeft w:val="0"/>
              <w:marRight w:val="0"/>
              <w:marTop w:val="0"/>
              <w:marBottom w:val="0"/>
              <w:divBdr>
                <w:top w:val="none" w:sz="0" w:space="0" w:color="auto"/>
                <w:left w:val="none" w:sz="0" w:space="0" w:color="auto"/>
                <w:bottom w:val="none" w:sz="0" w:space="0" w:color="auto"/>
                <w:right w:val="none" w:sz="0" w:space="0" w:color="auto"/>
              </w:divBdr>
              <w:divsChild>
                <w:div w:id="1072459588">
                  <w:marLeft w:val="0"/>
                  <w:marRight w:val="0"/>
                  <w:marTop w:val="0"/>
                  <w:marBottom w:val="0"/>
                  <w:divBdr>
                    <w:top w:val="none" w:sz="0" w:space="0" w:color="auto"/>
                    <w:left w:val="none" w:sz="0" w:space="0" w:color="auto"/>
                    <w:bottom w:val="none" w:sz="0" w:space="0" w:color="auto"/>
                    <w:right w:val="none" w:sz="0" w:space="0" w:color="auto"/>
                  </w:divBdr>
                  <w:divsChild>
                    <w:div w:id="1201045318">
                      <w:marLeft w:val="0"/>
                      <w:marRight w:val="0"/>
                      <w:marTop w:val="0"/>
                      <w:marBottom w:val="0"/>
                      <w:divBdr>
                        <w:top w:val="none" w:sz="0" w:space="0" w:color="auto"/>
                        <w:left w:val="none" w:sz="0" w:space="0" w:color="auto"/>
                        <w:bottom w:val="none" w:sz="0" w:space="0" w:color="auto"/>
                        <w:right w:val="none" w:sz="0" w:space="0" w:color="auto"/>
                      </w:divBdr>
                      <w:divsChild>
                        <w:div w:id="1565989068">
                          <w:marLeft w:val="0"/>
                          <w:marRight w:val="0"/>
                          <w:marTop w:val="0"/>
                          <w:marBottom w:val="0"/>
                          <w:divBdr>
                            <w:top w:val="none" w:sz="0" w:space="0" w:color="auto"/>
                            <w:left w:val="none" w:sz="0" w:space="0" w:color="auto"/>
                            <w:bottom w:val="none" w:sz="0" w:space="0" w:color="auto"/>
                            <w:right w:val="none" w:sz="0" w:space="0" w:color="auto"/>
                          </w:divBdr>
                          <w:divsChild>
                            <w:div w:id="183594361">
                              <w:marLeft w:val="2700"/>
                              <w:marRight w:val="3960"/>
                              <w:marTop w:val="0"/>
                              <w:marBottom w:val="0"/>
                              <w:divBdr>
                                <w:top w:val="none" w:sz="0" w:space="0" w:color="auto"/>
                                <w:left w:val="none" w:sz="0" w:space="0" w:color="auto"/>
                                <w:bottom w:val="none" w:sz="0" w:space="0" w:color="auto"/>
                                <w:right w:val="none" w:sz="0" w:space="0" w:color="auto"/>
                              </w:divBdr>
                              <w:divsChild>
                                <w:div w:id="1908418173">
                                  <w:marLeft w:val="0"/>
                                  <w:marRight w:val="0"/>
                                  <w:marTop w:val="0"/>
                                  <w:marBottom w:val="0"/>
                                  <w:divBdr>
                                    <w:top w:val="none" w:sz="0" w:space="0" w:color="auto"/>
                                    <w:left w:val="none" w:sz="0" w:space="0" w:color="auto"/>
                                    <w:bottom w:val="none" w:sz="0" w:space="0" w:color="auto"/>
                                    <w:right w:val="none" w:sz="0" w:space="0" w:color="auto"/>
                                  </w:divBdr>
                                  <w:divsChild>
                                    <w:div w:id="1806973212">
                                      <w:marLeft w:val="0"/>
                                      <w:marRight w:val="0"/>
                                      <w:marTop w:val="0"/>
                                      <w:marBottom w:val="0"/>
                                      <w:divBdr>
                                        <w:top w:val="none" w:sz="0" w:space="0" w:color="auto"/>
                                        <w:left w:val="none" w:sz="0" w:space="0" w:color="auto"/>
                                        <w:bottom w:val="none" w:sz="0" w:space="0" w:color="auto"/>
                                        <w:right w:val="none" w:sz="0" w:space="0" w:color="auto"/>
                                      </w:divBdr>
                                      <w:divsChild>
                                        <w:div w:id="228734385">
                                          <w:marLeft w:val="0"/>
                                          <w:marRight w:val="0"/>
                                          <w:marTop w:val="0"/>
                                          <w:marBottom w:val="0"/>
                                          <w:divBdr>
                                            <w:top w:val="none" w:sz="0" w:space="0" w:color="auto"/>
                                            <w:left w:val="none" w:sz="0" w:space="0" w:color="auto"/>
                                            <w:bottom w:val="none" w:sz="0" w:space="0" w:color="auto"/>
                                            <w:right w:val="none" w:sz="0" w:space="0" w:color="auto"/>
                                          </w:divBdr>
                                          <w:divsChild>
                                            <w:div w:id="1725329036">
                                              <w:marLeft w:val="0"/>
                                              <w:marRight w:val="0"/>
                                              <w:marTop w:val="90"/>
                                              <w:marBottom w:val="0"/>
                                              <w:divBdr>
                                                <w:top w:val="none" w:sz="0" w:space="0" w:color="auto"/>
                                                <w:left w:val="none" w:sz="0" w:space="0" w:color="auto"/>
                                                <w:bottom w:val="none" w:sz="0" w:space="0" w:color="auto"/>
                                                <w:right w:val="none" w:sz="0" w:space="0" w:color="auto"/>
                                              </w:divBdr>
                                              <w:divsChild>
                                                <w:div w:id="128209341">
                                                  <w:marLeft w:val="0"/>
                                                  <w:marRight w:val="0"/>
                                                  <w:marTop w:val="0"/>
                                                  <w:marBottom w:val="420"/>
                                                  <w:divBdr>
                                                    <w:top w:val="none" w:sz="0" w:space="0" w:color="auto"/>
                                                    <w:left w:val="none" w:sz="0" w:space="0" w:color="auto"/>
                                                    <w:bottom w:val="none" w:sz="0" w:space="0" w:color="auto"/>
                                                    <w:right w:val="none" w:sz="0" w:space="0" w:color="auto"/>
                                                  </w:divBdr>
                                                  <w:divsChild>
                                                    <w:div w:id="13582371">
                                                      <w:marLeft w:val="0"/>
                                                      <w:marRight w:val="0"/>
                                                      <w:marTop w:val="0"/>
                                                      <w:marBottom w:val="0"/>
                                                      <w:divBdr>
                                                        <w:top w:val="none" w:sz="0" w:space="0" w:color="auto"/>
                                                        <w:left w:val="none" w:sz="0" w:space="0" w:color="auto"/>
                                                        <w:bottom w:val="none" w:sz="0" w:space="0" w:color="auto"/>
                                                        <w:right w:val="none" w:sz="0" w:space="0" w:color="auto"/>
                                                      </w:divBdr>
                                                      <w:divsChild>
                                                        <w:div w:id="1689142847">
                                                          <w:marLeft w:val="0"/>
                                                          <w:marRight w:val="0"/>
                                                          <w:marTop w:val="0"/>
                                                          <w:marBottom w:val="0"/>
                                                          <w:divBdr>
                                                            <w:top w:val="none" w:sz="0" w:space="0" w:color="auto"/>
                                                            <w:left w:val="none" w:sz="0" w:space="0" w:color="auto"/>
                                                            <w:bottom w:val="none" w:sz="0" w:space="0" w:color="auto"/>
                                                            <w:right w:val="none" w:sz="0" w:space="0" w:color="auto"/>
                                                          </w:divBdr>
                                                          <w:divsChild>
                                                            <w:div w:id="1494489866">
                                                              <w:marLeft w:val="0"/>
                                                              <w:marRight w:val="0"/>
                                                              <w:marTop w:val="0"/>
                                                              <w:marBottom w:val="0"/>
                                                              <w:divBdr>
                                                                <w:top w:val="none" w:sz="0" w:space="0" w:color="auto"/>
                                                                <w:left w:val="none" w:sz="0" w:space="0" w:color="auto"/>
                                                                <w:bottom w:val="none" w:sz="0" w:space="0" w:color="auto"/>
                                                                <w:right w:val="none" w:sz="0" w:space="0" w:color="auto"/>
                                                              </w:divBdr>
                                                              <w:divsChild>
                                                                <w:div w:id="130596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41300330">
      <w:bodyDiv w:val="1"/>
      <w:marLeft w:val="0"/>
      <w:marRight w:val="0"/>
      <w:marTop w:val="0"/>
      <w:marBottom w:val="0"/>
      <w:divBdr>
        <w:top w:val="none" w:sz="0" w:space="0" w:color="auto"/>
        <w:left w:val="none" w:sz="0" w:space="0" w:color="auto"/>
        <w:bottom w:val="none" w:sz="0" w:space="0" w:color="auto"/>
        <w:right w:val="none" w:sz="0" w:space="0" w:color="auto"/>
      </w:divBdr>
      <w:divsChild>
        <w:div w:id="824512572">
          <w:marLeft w:val="274"/>
          <w:marRight w:val="0"/>
          <w:marTop w:val="0"/>
          <w:marBottom w:val="0"/>
          <w:divBdr>
            <w:top w:val="none" w:sz="0" w:space="0" w:color="auto"/>
            <w:left w:val="none" w:sz="0" w:space="0" w:color="auto"/>
            <w:bottom w:val="none" w:sz="0" w:space="0" w:color="auto"/>
            <w:right w:val="none" w:sz="0" w:space="0" w:color="auto"/>
          </w:divBdr>
        </w:div>
        <w:div w:id="1021516891">
          <w:marLeft w:val="274"/>
          <w:marRight w:val="0"/>
          <w:marTop w:val="0"/>
          <w:marBottom w:val="0"/>
          <w:divBdr>
            <w:top w:val="none" w:sz="0" w:space="0" w:color="auto"/>
            <w:left w:val="none" w:sz="0" w:space="0" w:color="auto"/>
            <w:bottom w:val="none" w:sz="0" w:space="0" w:color="auto"/>
            <w:right w:val="none" w:sz="0" w:space="0" w:color="auto"/>
          </w:divBdr>
        </w:div>
        <w:div w:id="15427793">
          <w:marLeft w:val="274"/>
          <w:marRight w:val="0"/>
          <w:marTop w:val="0"/>
          <w:marBottom w:val="0"/>
          <w:divBdr>
            <w:top w:val="none" w:sz="0" w:space="0" w:color="auto"/>
            <w:left w:val="none" w:sz="0" w:space="0" w:color="auto"/>
            <w:bottom w:val="none" w:sz="0" w:space="0" w:color="auto"/>
            <w:right w:val="none" w:sz="0" w:space="0" w:color="auto"/>
          </w:divBdr>
        </w:div>
        <w:div w:id="996566321">
          <w:marLeft w:val="274"/>
          <w:marRight w:val="0"/>
          <w:marTop w:val="0"/>
          <w:marBottom w:val="0"/>
          <w:divBdr>
            <w:top w:val="none" w:sz="0" w:space="0" w:color="auto"/>
            <w:left w:val="none" w:sz="0" w:space="0" w:color="auto"/>
            <w:bottom w:val="none" w:sz="0" w:space="0" w:color="auto"/>
            <w:right w:val="none" w:sz="0" w:space="0" w:color="auto"/>
          </w:divBdr>
        </w:div>
      </w:divsChild>
    </w:div>
    <w:div w:id="951284722">
      <w:bodyDiv w:val="1"/>
      <w:marLeft w:val="0"/>
      <w:marRight w:val="0"/>
      <w:marTop w:val="0"/>
      <w:marBottom w:val="0"/>
      <w:divBdr>
        <w:top w:val="none" w:sz="0" w:space="0" w:color="auto"/>
        <w:left w:val="none" w:sz="0" w:space="0" w:color="auto"/>
        <w:bottom w:val="none" w:sz="0" w:space="0" w:color="auto"/>
        <w:right w:val="none" w:sz="0" w:space="0" w:color="auto"/>
      </w:divBdr>
      <w:divsChild>
        <w:div w:id="137306696">
          <w:marLeft w:val="274"/>
          <w:marRight w:val="0"/>
          <w:marTop w:val="0"/>
          <w:marBottom w:val="0"/>
          <w:divBdr>
            <w:top w:val="none" w:sz="0" w:space="0" w:color="auto"/>
            <w:left w:val="none" w:sz="0" w:space="0" w:color="auto"/>
            <w:bottom w:val="none" w:sz="0" w:space="0" w:color="auto"/>
            <w:right w:val="none" w:sz="0" w:space="0" w:color="auto"/>
          </w:divBdr>
        </w:div>
        <w:div w:id="451434858">
          <w:marLeft w:val="274"/>
          <w:marRight w:val="0"/>
          <w:marTop w:val="0"/>
          <w:marBottom w:val="0"/>
          <w:divBdr>
            <w:top w:val="none" w:sz="0" w:space="0" w:color="auto"/>
            <w:left w:val="none" w:sz="0" w:space="0" w:color="auto"/>
            <w:bottom w:val="none" w:sz="0" w:space="0" w:color="auto"/>
            <w:right w:val="none" w:sz="0" w:space="0" w:color="auto"/>
          </w:divBdr>
        </w:div>
        <w:div w:id="452670099">
          <w:marLeft w:val="274"/>
          <w:marRight w:val="0"/>
          <w:marTop w:val="0"/>
          <w:marBottom w:val="0"/>
          <w:divBdr>
            <w:top w:val="none" w:sz="0" w:space="0" w:color="auto"/>
            <w:left w:val="none" w:sz="0" w:space="0" w:color="auto"/>
            <w:bottom w:val="none" w:sz="0" w:space="0" w:color="auto"/>
            <w:right w:val="none" w:sz="0" w:space="0" w:color="auto"/>
          </w:divBdr>
        </w:div>
        <w:div w:id="476535253">
          <w:marLeft w:val="274"/>
          <w:marRight w:val="0"/>
          <w:marTop w:val="0"/>
          <w:marBottom w:val="0"/>
          <w:divBdr>
            <w:top w:val="none" w:sz="0" w:space="0" w:color="auto"/>
            <w:left w:val="none" w:sz="0" w:space="0" w:color="auto"/>
            <w:bottom w:val="none" w:sz="0" w:space="0" w:color="auto"/>
            <w:right w:val="none" w:sz="0" w:space="0" w:color="auto"/>
          </w:divBdr>
        </w:div>
        <w:div w:id="917977611">
          <w:marLeft w:val="274"/>
          <w:marRight w:val="0"/>
          <w:marTop w:val="0"/>
          <w:marBottom w:val="0"/>
          <w:divBdr>
            <w:top w:val="none" w:sz="0" w:space="0" w:color="auto"/>
            <w:left w:val="none" w:sz="0" w:space="0" w:color="auto"/>
            <w:bottom w:val="none" w:sz="0" w:space="0" w:color="auto"/>
            <w:right w:val="none" w:sz="0" w:space="0" w:color="auto"/>
          </w:divBdr>
        </w:div>
        <w:div w:id="1968391094">
          <w:marLeft w:val="274"/>
          <w:marRight w:val="0"/>
          <w:marTop w:val="0"/>
          <w:marBottom w:val="0"/>
          <w:divBdr>
            <w:top w:val="none" w:sz="0" w:space="0" w:color="auto"/>
            <w:left w:val="none" w:sz="0" w:space="0" w:color="auto"/>
            <w:bottom w:val="none" w:sz="0" w:space="0" w:color="auto"/>
            <w:right w:val="none" w:sz="0" w:space="0" w:color="auto"/>
          </w:divBdr>
        </w:div>
      </w:divsChild>
    </w:div>
    <w:div w:id="967660128">
      <w:bodyDiv w:val="1"/>
      <w:marLeft w:val="0"/>
      <w:marRight w:val="0"/>
      <w:marTop w:val="0"/>
      <w:marBottom w:val="0"/>
      <w:divBdr>
        <w:top w:val="none" w:sz="0" w:space="0" w:color="auto"/>
        <w:left w:val="none" w:sz="0" w:space="0" w:color="auto"/>
        <w:bottom w:val="none" w:sz="0" w:space="0" w:color="auto"/>
        <w:right w:val="none" w:sz="0" w:space="0" w:color="auto"/>
      </w:divBdr>
      <w:divsChild>
        <w:div w:id="485123485">
          <w:marLeft w:val="274"/>
          <w:marRight w:val="0"/>
          <w:marTop w:val="0"/>
          <w:marBottom w:val="0"/>
          <w:divBdr>
            <w:top w:val="none" w:sz="0" w:space="0" w:color="auto"/>
            <w:left w:val="none" w:sz="0" w:space="0" w:color="auto"/>
            <w:bottom w:val="none" w:sz="0" w:space="0" w:color="auto"/>
            <w:right w:val="none" w:sz="0" w:space="0" w:color="auto"/>
          </w:divBdr>
        </w:div>
        <w:div w:id="829372985">
          <w:marLeft w:val="274"/>
          <w:marRight w:val="0"/>
          <w:marTop w:val="0"/>
          <w:marBottom w:val="0"/>
          <w:divBdr>
            <w:top w:val="none" w:sz="0" w:space="0" w:color="auto"/>
            <w:left w:val="none" w:sz="0" w:space="0" w:color="auto"/>
            <w:bottom w:val="none" w:sz="0" w:space="0" w:color="auto"/>
            <w:right w:val="none" w:sz="0" w:space="0" w:color="auto"/>
          </w:divBdr>
        </w:div>
        <w:div w:id="1410468778">
          <w:marLeft w:val="274"/>
          <w:marRight w:val="0"/>
          <w:marTop w:val="0"/>
          <w:marBottom w:val="0"/>
          <w:divBdr>
            <w:top w:val="none" w:sz="0" w:space="0" w:color="auto"/>
            <w:left w:val="none" w:sz="0" w:space="0" w:color="auto"/>
            <w:bottom w:val="none" w:sz="0" w:space="0" w:color="auto"/>
            <w:right w:val="none" w:sz="0" w:space="0" w:color="auto"/>
          </w:divBdr>
        </w:div>
      </w:divsChild>
    </w:div>
    <w:div w:id="976491099">
      <w:bodyDiv w:val="1"/>
      <w:marLeft w:val="0"/>
      <w:marRight w:val="0"/>
      <w:marTop w:val="0"/>
      <w:marBottom w:val="0"/>
      <w:divBdr>
        <w:top w:val="none" w:sz="0" w:space="0" w:color="auto"/>
        <w:left w:val="none" w:sz="0" w:space="0" w:color="auto"/>
        <w:bottom w:val="none" w:sz="0" w:space="0" w:color="auto"/>
        <w:right w:val="none" w:sz="0" w:space="0" w:color="auto"/>
      </w:divBdr>
    </w:div>
    <w:div w:id="977225150">
      <w:bodyDiv w:val="1"/>
      <w:marLeft w:val="0"/>
      <w:marRight w:val="0"/>
      <w:marTop w:val="0"/>
      <w:marBottom w:val="0"/>
      <w:divBdr>
        <w:top w:val="none" w:sz="0" w:space="0" w:color="auto"/>
        <w:left w:val="none" w:sz="0" w:space="0" w:color="auto"/>
        <w:bottom w:val="none" w:sz="0" w:space="0" w:color="auto"/>
        <w:right w:val="none" w:sz="0" w:space="0" w:color="auto"/>
      </w:divBdr>
    </w:div>
    <w:div w:id="989022575">
      <w:bodyDiv w:val="1"/>
      <w:marLeft w:val="0"/>
      <w:marRight w:val="0"/>
      <w:marTop w:val="0"/>
      <w:marBottom w:val="0"/>
      <w:divBdr>
        <w:top w:val="none" w:sz="0" w:space="0" w:color="auto"/>
        <w:left w:val="none" w:sz="0" w:space="0" w:color="auto"/>
        <w:bottom w:val="none" w:sz="0" w:space="0" w:color="auto"/>
        <w:right w:val="none" w:sz="0" w:space="0" w:color="auto"/>
      </w:divBdr>
      <w:divsChild>
        <w:div w:id="225917063">
          <w:marLeft w:val="274"/>
          <w:marRight w:val="0"/>
          <w:marTop w:val="0"/>
          <w:marBottom w:val="0"/>
          <w:divBdr>
            <w:top w:val="none" w:sz="0" w:space="0" w:color="auto"/>
            <w:left w:val="none" w:sz="0" w:space="0" w:color="auto"/>
            <w:bottom w:val="none" w:sz="0" w:space="0" w:color="auto"/>
            <w:right w:val="none" w:sz="0" w:space="0" w:color="auto"/>
          </w:divBdr>
        </w:div>
        <w:div w:id="1917007769">
          <w:marLeft w:val="274"/>
          <w:marRight w:val="0"/>
          <w:marTop w:val="0"/>
          <w:marBottom w:val="0"/>
          <w:divBdr>
            <w:top w:val="none" w:sz="0" w:space="0" w:color="auto"/>
            <w:left w:val="none" w:sz="0" w:space="0" w:color="auto"/>
            <w:bottom w:val="none" w:sz="0" w:space="0" w:color="auto"/>
            <w:right w:val="none" w:sz="0" w:space="0" w:color="auto"/>
          </w:divBdr>
        </w:div>
        <w:div w:id="1488781749">
          <w:marLeft w:val="274"/>
          <w:marRight w:val="0"/>
          <w:marTop w:val="0"/>
          <w:marBottom w:val="0"/>
          <w:divBdr>
            <w:top w:val="none" w:sz="0" w:space="0" w:color="auto"/>
            <w:left w:val="none" w:sz="0" w:space="0" w:color="auto"/>
            <w:bottom w:val="none" w:sz="0" w:space="0" w:color="auto"/>
            <w:right w:val="none" w:sz="0" w:space="0" w:color="auto"/>
          </w:divBdr>
        </w:div>
        <w:div w:id="1613777799">
          <w:marLeft w:val="274"/>
          <w:marRight w:val="0"/>
          <w:marTop w:val="0"/>
          <w:marBottom w:val="0"/>
          <w:divBdr>
            <w:top w:val="none" w:sz="0" w:space="0" w:color="auto"/>
            <w:left w:val="none" w:sz="0" w:space="0" w:color="auto"/>
            <w:bottom w:val="none" w:sz="0" w:space="0" w:color="auto"/>
            <w:right w:val="none" w:sz="0" w:space="0" w:color="auto"/>
          </w:divBdr>
        </w:div>
        <w:div w:id="592128818">
          <w:marLeft w:val="274"/>
          <w:marRight w:val="0"/>
          <w:marTop w:val="0"/>
          <w:marBottom w:val="0"/>
          <w:divBdr>
            <w:top w:val="none" w:sz="0" w:space="0" w:color="auto"/>
            <w:left w:val="none" w:sz="0" w:space="0" w:color="auto"/>
            <w:bottom w:val="none" w:sz="0" w:space="0" w:color="auto"/>
            <w:right w:val="none" w:sz="0" w:space="0" w:color="auto"/>
          </w:divBdr>
        </w:div>
      </w:divsChild>
    </w:div>
    <w:div w:id="1000739535">
      <w:bodyDiv w:val="1"/>
      <w:marLeft w:val="0"/>
      <w:marRight w:val="0"/>
      <w:marTop w:val="0"/>
      <w:marBottom w:val="0"/>
      <w:divBdr>
        <w:top w:val="none" w:sz="0" w:space="0" w:color="auto"/>
        <w:left w:val="none" w:sz="0" w:space="0" w:color="auto"/>
        <w:bottom w:val="none" w:sz="0" w:space="0" w:color="auto"/>
        <w:right w:val="none" w:sz="0" w:space="0" w:color="auto"/>
      </w:divBdr>
    </w:div>
    <w:div w:id="1083331022">
      <w:bodyDiv w:val="1"/>
      <w:marLeft w:val="0"/>
      <w:marRight w:val="0"/>
      <w:marTop w:val="0"/>
      <w:marBottom w:val="0"/>
      <w:divBdr>
        <w:top w:val="none" w:sz="0" w:space="0" w:color="auto"/>
        <w:left w:val="none" w:sz="0" w:space="0" w:color="auto"/>
        <w:bottom w:val="none" w:sz="0" w:space="0" w:color="auto"/>
        <w:right w:val="none" w:sz="0" w:space="0" w:color="auto"/>
      </w:divBdr>
      <w:divsChild>
        <w:div w:id="38676557">
          <w:marLeft w:val="274"/>
          <w:marRight w:val="0"/>
          <w:marTop w:val="0"/>
          <w:marBottom w:val="0"/>
          <w:divBdr>
            <w:top w:val="none" w:sz="0" w:space="0" w:color="auto"/>
            <w:left w:val="none" w:sz="0" w:space="0" w:color="auto"/>
            <w:bottom w:val="none" w:sz="0" w:space="0" w:color="auto"/>
            <w:right w:val="none" w:sz="0" w:space="0" w:color="auto"/>
          </w:divBdr>
        </w:div>
        <w:div w:id="658195739">
          <w:marLeft w:val="274"/>
          <w:marRight w:val="0"/>
          <w:marTop w:val="0"/>
          <w:marBottom w:val="0"/>
          <w:divBdr>
            <w:top w:val="none" w:sz="0" w:space="0" w:color="auto"/>
            <w:left w:val="none" w:sz="0" w:space="0" w:color="auto"/>
            <w:bottom w:val="none" w:sz="0" w:space="0" w:color="auto"/>
            <w:right w:val="none" w:sz="0" w:space="0" w:color="auto"/>
          </w:divBdr>
        </w:div>
        <w:div w:id="1575776262">
          <w:marLeft w:val="274"/>
          <w:marRight w:val="0"/>
          <w:marTop w:val="0"/>
          <w:marBottom w:val="0"/>
          <w:divBdr>
            <w:top w:val="none" w:sz="0" w:space="0" w:color="auto"/>
            <w:left w:val="none" w:sz="0" w:space="0" w:color="auto"/>
            <w:bottom w:val="none" w:sz="0" w:space="0" w:color="auto"/>
            <w:right w:val="none" w:sz="0" w:space="0" w:color="auto"/>
          </w:divBdr>
        </w:div>
      </w:divsChild>
    </w:div>
    <w:div w:id="1182432367">
      <w:bodyDiv w:val="1"/>
      <w:marLeft w:val="0"/>
      <w:marRight w:val="0"/>
      <w:marTop w:val="0"/>
      <w:marBottom w:val="0"/>
      <w:divBdr>
        <w:top w:val="none" w:sz="0" w:space="0" w:color="auto"/>
        <w:left w:val="none" w:sz="0" w:space="0" w:color="auto"/>
        <w:bottom w:val="none" w:sz="0" w:space="0" w:color="auto"/>
        <w:right w:val="none" w:sz="0" w:space="0" w:color="auto"/>
      </w:divBdr>
      <w:divsChild>
        <w:div w:id="936014284">
          <w:marLeft w:val="274"/>
          <w:marRight w:val="0"/>
          <w:marTop w:val="0"/>
          <w:marBottom w:val="0"/>
          <w:divBdr>
            <w:top w:val="none" w:sz="0" w:space="0" w:color="auto"/>
            <w:left w:val="none" w:sz="0" w:space="0" w:color="auto"/>
            <w:bottom w:val="none" w:sz="0" w:space="0" w:color="auto"/>
            <w:right w:val="none" w:sz="0" w:space="0" w:color="auto"/>
          </w:divBdr>
        </w:div>
        <w:div w:id="1887450855">
          <w:marLeft w:val="274"/>
          <w:marRight w:val="0"/>
          <w:marTop w:val="0"/>
          <w:marBottom w:val="0"/>
          <w:divBdr>
            <w:top w:val="none" w:sz="0" w:space="0" w:color="auto"/>
            <w:left w:val="none" w:sz="0" w:space="0" w:color="auto"/>
            <w:bottom w:val="none" w:sz="0" w:space="0" w:color="auto"/>
            <w:right w:val="none" w:sz="0" w:space="0" w:color="auto"/>
          </w:divBdr>
        </w:div>
        <w:div w:id="1932931908">
          <w:marLeft w:val="274"/>
          <w:marRight w:val="0"/>
          <w:marTop w:val="0"/>
          <w:marBottom w:val="0"/>
          <w:divBdr>
            <w:top w:val="none" w:sz="0" w:space="0" w:color="auto"/>
            <w:left w:val="none" w:sz="0" w:space="0" w:color="auto"/>
            <w:bottom w:val="none" w:sz="0" w:space="0" w:color="auto"/>
            <w:right w:val="none" w:sz="0" w:space="0" w:color="auto"/>
          </w:divBdr>
        </w:div>
      </w:divsChild>
    </w:div>
    <w:div w:id="1195775267">
      <w:bodyDiv w:val="1"/>
      <w:marLeft w:val="0"/>
      <w:marRight w:val="0"/>
      <w:marTop w:val="0"/>
      <w:marBottom w:val="0"/>
      <w:divBdr>
        <w:top w:val="none" w:sz="0" w:space="0" w:color="auto"/>
        <w:left w:val="none" w:sz="0" w:space="0" w:color="auto"/>
        <w:bottom w:val="none" w:sz="0" w:space="0" w:color="auto"/>
        <w:right w:val="none" w:sz="0" w:space="0" w:color="auto"/>
      </w:divBdr>
      <w:divsChild>
        <w:div w:id="1078943832">
          <w:marLeft w:val="0"/>
          <w:marRight w:val="0"/>
          <w:marTop w:val="0"/>
          <w:marBottom w:val="0"/>
          <w:divBdr>
            <w:top w:val="none" w:sz="0" w:space="0" w:color="auto"/>
            <w:left w:val="none" w:sz="0" w:space="0" w:color="auto"/>
            <w:bottom w:val="none" w:sz="0" w:space="0" w:color="auto"/>
            <w:right w:val="none" w:sz="0" w:space="0" w:color="auto"/>
          </w:divBdr>
          <w:divsChild>
            <w:div w:id="1771856444">
              <w:marLeft w:val="0"/>
              <w:marRight w:val="0"/>
              <w:marTop w:val="0"/>
              <w:marBottom w:val="0"/>
              <w:divBdr>
                <w:top w:val="none" w:sz="0" w:space="0" w:color="auto"/>
                <w:left w:val="none" w:sz="0" w:space="0" w:color="auto"/>
                <w:bottom w:val="none" w:sz="0" w:space="0" w:color="auto"/>
                <w:right w:val="none" w:sz="0" w:space="0" w:color="auto"/>
              </w:divBdr>
              <w:divsChild>
                <w:div w:id="1574050790">
                  <w:marLeft w:val="240"/>
                  <w:marRight w:val="240"/>
                  <w:marTop w:val="0"/>
                  <w:marBottom w:val="0"/>
                  <w:divBdr>
                    <w:top w:val="none" w:sz="0" w:space="0" w:color="auto"/>
                    <w:left w:val="none" w:sz="0" w:space="0" w:color="auto"/>
                    <w:bottom w:val="none" w:sz="0" w:space="0" w:color="auto"/>
                    <w:right w:val="none" w:sz="0" w:space="0" w:color="auto"/>
                  </w:divBdr>
                  <w:divsChild>
                    <w:div w:id="659114168">
                      <w:marLeft w:val="0"/>
                      <w:marRight w:val="0"/>
                      <w:marTop w:val="0"/>
                      <w:marBottom w:val="0"/>
                      <w:divBdr>
                        <w:top w:val="none" w:sz="0" w:space="0" w:color="auto"/>
                        <w:left w:val="none" w:sz="0" w:space="0" w:color="auto"/>
                        <w:bottom w:val="none" w:sz="0" w:space="0" w:color="auto"/>
                        <w:right w:val="none" w:sz="0" w:space="0" w:color="auto"/>
                      </w:divBdr>
                      <w:divsChild>
                        <w:div w:id="90433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143226">
      <w:bodyDiv w:val="1"/>
      <w:marLeft w:val="0"/>
      <w:marRight w:val="0"/>
      <w:marTop w:val="0"/>
      <w:marBottom w:val="0"/>
      <w:divBdr>
        <w:top w:val="none" w:sz="0" w:space="0" w:color="auto"/>
        <w:left w:val="none" w:sz="0" w:space="0" w:color="auto"/>
        <w:bottom w:val="none" w:sz="0" w:space="0" w:color="auto"/>
        <w:right w:val="none" w:sz="0" w:space="0" w:color="auto"/>
      </w:divBdr>
      <w:divsChild>
        <w:div w:id="544371739">
          <w:marLeft w:val="0"/>
          <w:marRight w:val="0"/>
          <w:marTop w:val="0"/>
          <w:marBottom w:val="0"/>
          <w:divBdr>
            <w:top w:val="none" w:sz="0" w:space="0" w:color="auto"/>
            <w:left w:val="none" w:sz="0" w:space="0" w:color="auto"/>
            <w:bottom w:val="none" w:sz="0" w:space="0" w:color="auto"/>
            <w:right w:val="none" w:sz="0" w:space="0" w:color="auto"/>
          </w:divBdr>
          <w:divsChild>
            <w:div w:id="659046689">
              <w:marLeft w:val="0"/>
              <w:marRight w:val="0"/>
              <w:marTop w:val="0"/>
              <w:marBottom w:val="0"/>
              <w:divBdr>
                <w:top w:val="none" w:sz="0" w:space="0" w:color="auto"/>
                <w:left w:val="none" w:sz="0" w:space="0" w:color="auto"/>
                <w:bottom w:val="none" w:sz="0" w:space="0" w:color="auto"/>
                <w:right w:val="none" w:sz="0" w:space="0" w:color="auto"/>
              </w:divBdr>
              <w:divsChild>
                <w:div w:id="1189222299">
                  <w:marLeft w:val="0"/>
                  <w:marRight w:val="0"/>
                  <w:marTop w:val="0"/>
                  <w:marBottom w:val="0"/>
                  <w:divBdr>
                    <w:top w:val="none" w:sz="0" w:space="0" w:color="auto"/>
                    <w:left w:val="none" w:sz="0" w:space="0" w:color="auto"/>
                    <w:bottom w:val="none" w:sz="0" w:space="0" w:color="auto"/>
                    <w:right w:val="none" w:sz="0" w:space="0" w:color="auto"/>
                  </w:divBdr>
                  <w:divsChild>
                    <w:div w:id="1805155405">
                      <w:marLeft w:val="0"/>
                      <w:marRight w:val="0"/>
                      <w:marTop w:val="0"/>
                      <w:marBottom w:val="0"/>
                      <w:divBdr>
                        <w:top w:val="none" w:sz="0" w:space="0" w:color="auto"/>
                        <w:left w:val="none" w:sz="0" w:space="0" w:color="auto"/>
                        <w:bottom w:val="none" w:sz="0" w:space="0" w:color="auto"/>
                        <w:right w:val="none" w:sz="0" w:space="0" w:color="auto"/>
                      </w:divBdr>
                      <w:divsChild>
                        <w:div w:id="2333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649642">
      <w:bodyDiv w:val="1"/>
      <w:marLeft w:val="0"/>
      <w:marRight w:val="0"/>
      <w:marTop w:val="0"/>
      <w:marBottom w:val="0"/>
      <w:divBdr>
        <w:top w:val="none" w:sz="0" w:space="0" w:color="auto"/>
        <w:left w:val="none" w:sz="0" w:space="0" w:color="auto"/>
        <w:bottom w:val="none" w:sz="0" w:space="0" w:color="auto"/>
        <w:right w:val="none" w:sz="0" w:space="0" w:color="auto"/>
      </w:divBdr>
      <w:divsChild>
        <w:div w:id="603610516">
          <w:marLeft w:val="274"/>
          <w:marRight w:val="0"/>
          <w:marTop w:val="0"/>
          <w:marBottom w:val="0"/>
          <w:divBdr>
            <w:top w:val="none" w:sz="0" w:space="0" w:color="auto"/>
            <w:left w:val="none" w:sz="0" w:space="0" w:color="auto"/>
            <w:bottom w:val="none" w:sz="0" w:space="0" w:color="auto"/>
            <w:right w:val="none" w:sz="0" w:space="0" w:color="auto"/>
          </w:divBdr>
        </w:div>
        <w:div w:id="1203709879">
          <w:marLeft w:val="274"/>
          <w:marRight w:val="0"/>
          <w:marTop w:val="0"/>
          <w:marBottom w:val="0"/>
          <w:divBdr>
            <w:top w:val="none" w:sz="0" w:space="0" w:color="auto"/>
            <w:left w:val="none" w:sz="0" w:space="0" w:color="auto"/>
            <w:bottom w:val="none" w:sz="0" w:space="0" w:color="auto"/>
            <w:right w:val="none" w:sz="0" w:space="0" w:color="auto"/>
          </w:divBdr>
        </w:div>
        <w:div w:id="267007549">
          <w:marLeft w:val="274"/>
          <w:marRight w:val="0"/>
          <w:marTop w:val="0"/>
          <w:marBottom w:val="0"/>
          <w:divBdr>
            <w:top w:val="none" w:sz="0" w:space="0" w:color="auto"/>
            <w:left w:val="none" w:sz="0" w:space="0" w:color="auto"/>
            <w:bottom w:val="none" w:sz="0" w:space="0" w:color="auto"/>
            <w:right w:val="none" w:sz="0" w:space="0" w:color="auto"/>
          </w:divBdr>
        </w:div>
      </w:divsChild>
    </w:div>
    <w:div w:id="1464736726">
      <w:bodyDiv w:val="1"/>
      <w:marLeft w:val="0"/>
      <w:marRight w:val="0"/>
      <w:marTop w:val="0"/>
      <w:marBottom w:val="0"/>
      <w:divBdr>
        <w:top w:val="none" w:sz="0" w:space="0" w:color="auto"/>
        <w:left w:val="none" w:sz="0" w:space="0" w:color="auto"/>
        <w:bottom w:val="none" w:sz="0" w:space="0" w:color="auto"/>
        <w:right w:val="none" w:sz="0" w:space="0" w:color="auto"/>
      </w:divBdr>
    </w:div>
    <w:div w:id="1533032354">
      <w:bodyDiv w:val="1"/>
      <w:marLeft w:val="0"/>
      <w:marRight w:val="0"/>
      <w:marTop w:val="0"/>
      <w:marBottom w:val="0"/>
      <w:divBdr>
        <w:top w:val="none" w:sz="0" w:space="0" w:color="auto"/>
        <w:left w:val="none" w:sz="0" w:space="0" w:color="auto"/>
        <w:bottom w:val="none" w:sz="0" w:space="0" w:color="auto"/>
        <w:right w:val="none" w:sz="0" w:space="0" w:color="auto"/>
      </w:divBdr>
    </w:div>
    <w:div w:id="1556426995">
      <w:bodyDiv w:val="1"/>
      <w:marLeft w:val="0"/>
      <w:marRight w:val="0"/>
      <w:marTop w:val="0"/>
      <w:marBottom w:val="0"/>
      <w:divBdr>
        <w:top w:val="none" w:sz="0" w:space="0" w:color="auto"/>
        <w:left w:val="none" w:sz="0" w:space="0" w:color="auto"/>
        <w:bottom w:val="none" w:sz="0" w:space="0" w:color="auto"/>
        <w:right w:val="none" w:sz="0" w:space="0" w:color="auto"/>
      </w:divBdr>
    </w:div>
    <w:div w:id="1612856154">
      <w:bodyDiv w:val="1"/>
      <w:marLeft w:val="0"/>
      <w:marRight w:val="0"/>
      <w:marTop w:val="0"/>
      <w:marBottom w:val="0"/>
      <w:divBdr>
        <w:top w:val="none" w:sz="0" w:space="0" w:color="auto"/>
        <w:left w:val="none" w:sz="0" w:space="0" w:color="auto"/>
        <w:bottom w:val="none" w:sz="0" w:space="0" w:color="auto"/>
        <w:right w:val="none" w:sz="0" w:space="0" w:color="auto"/>
      </w:divBdr>
    </w:div>
    <w:div w:id="1618681805">
      <w:bodyDiv w:val="1"/>
      <w:marLeft w:val="0"/>
      <w:marRight w:val="0"/>
      <w:marTop w:val="0"/>
      <w:marBottom w:val="0"/>
      <w:divBdr>
        <w:top w:val="none" w:sz="0" w:space="0" w:color="auto"/>
        <w:left w:val="none" w:sz="0" w:space="0" w:color="auto"/>
        <w:bottom w:val="none" w:sz="0" w:space="0" w:color="auto"/>
        <w:right w:val="none" w:sz="0" w:space="0" w:color="auto"/>
      </w:divBdr>
    </w:div>
    <w:div w:id="1690253893">
      <w:bodyDiv w:val="1"/>
      <w:marLeft w:val="0"/>
      <w:marRight w:val="0"/>
      <w:marTop w:val="0"/>
      <w:marBottom w:val="0"/>
      <w:divBdr>
        <w:top w:val="none" w:sz="0" w:space="0" w:color="auto"/>
        <w:left w:val="none" w:sz="0" w:space="0" w:color="auto"/>
        <w:bottom w:val="none" w:sz="0" w:space="0" w:color="auto"/>
        <w:right w:val="none" w:sz="0" w:space="0" w:color="auto"/>
      </w:divBdr>
    </w:div>
    <w:div w:id="1724475874">
      <w:bodyDiv w:val="1"/>
      <w:marLeft w:val="0"/>
      <w:marRight w:val="0"/>
      <w:marTop w:val="0"/>
      <w:marBottom w:val="0"/>
      <w:divBdr>
        <w:top w:val="none" w:sz="0" w:space="0" w:color="auto"/>
        <w:left w:val="none" w:sz="0" w:space="0" w:color="auto"/>
        <w:bottom w:val="none" w:sz="0" w:space="0" w:color="auto"/>
        <w:right w:val="none" w:sz="0" w:space="0" w:color="auto"/>
      </w:divBdr>
      <w:divsChild>
        <w:div w:id="461270016">
          <w:marLeft w:val="0"/>
          <w:marRight w:val="0"/>
          <w:marTop w:val="0"/>
          <w:marBottom w:val="0"/>
          <w:divBdr>
            <w:top w:val="none" w:sz="0" w:space="0" w:color="auto"/>
            <w:left w:val="none" w:sz="0" w:space="0" w:color="auto"/>
            <w:bottom w:val="none" w:sz="0" w:space="0" w:color="auto"/>
            <w:right w:val="none" w:sz="0" w:space="0" w:color="auto"/>
          </w:divBdr>
          <w:divsChild>
            <w:div w:id="1498499665">
              <w:marLeft w:val="0"/>
              <w:marRight w:val="0"/>
              <w:marTop w:val="0"/>
              <w:marBottom w:val="0"/>
              <w:divBdr>
                <w:top w:val="none" w:sz="0" w:space="0" w:color="auto"/>
                <w:left w:val="none" w:sz="0" w:space="0" w:color="auto"/>
                <w:bottom w:val="none" w:sz="0" w:space="0" w:color="auto"/>
                <w:right w:val="none" w:sz="0" w:space="0" w:color="auto"/>
              </w:divBdr>
              <w:divsChild>
                <w:div w:id="801073285">
                  <w:marLeft w:val="0"/>
                  <w:marRight w:val="0"/>
                  <w:marTop w:val="0"/>
                  <w:marBottom w:val="0"/>
                  <w:divBdr>
                    <w:top w:val="none" w:sz="0" w:space="0" w:color="auto"/>
                    <w:left w:val="none" w:sz="0" w:space="0" w:color="auto"/>
                    <w:bottom w:val="none" w:sz="0" w:space="0" w:color="auto"/>
                    <w:right w:val="none" w:sz="0" w:space="0" w:color="auto"/>
                  </w:divBdr>
                  <w:divsChild>
                    <w:div w:id="1856073243">
                      <w:marLeft w:val="0"/>
                      <w:marRight w:val="0"/>
                      <w:marTop w:val="0"/>
                      <w:marBottom w:val="0"/>
                      <w:divBdr>
                        <w:top w:val="none" w:sz="0" w:space="0" w:color="auto"/>
                        <w:left w:val="none" w:sz="0" w:space="0" w:color="auto"/>
                        <w:bottom w:val="none" w:sz="0" w:space="0" w:color="auto"/>
                        <w:right w:val="none" w:sz="0" w:space="0" w:color="auto"/>
                      </w:divBdr>
                      <w:divsChild>
                        <w:div w:id="351958694">
                          <w:marLeft w:val="0"/>
                          <w:marRight w:val="0"/>
                          <w:marTop w:val="0"/>
                          <w:marBottom w:val="0"/>
                          <w:divBdr>
                            <w:top w:val="none" w:sz="0" w:space="0" w:color="auto"/>
                            <w:left w:val="none" w:sz="0" w:space="0" w:color="auto"/>
                            <w:bottom w:val="none" w:sz="0" w:space="0" w:color="auto"/>
                            <w:right w:val="none" w:sz="0" w:space="0" w:color="auto"/>
                          </w:divBdr>
                          <w:divsChild>
                            <w:div w:id="120001134">
                              <w:marLeft w:val="0"/>
                              <w:marRight w:val="0"/>
                              <w:marTop w:val="0"/>
                              <w:marBottom w:val="0"/>
                              <w:divBdr>
                                <w:top w:val="none" w:sz="0" w:space="0" w:color="auto"/>
                                <w:left w:val="none" w:sz="0" w:space="0" w:color="auto"/>
                                <w:bottom w:val="none" w:sz="0" w:space="0" w:color="auto"/>
                                <w:right w:val="none" w:sz="0" w:space="0" w:color="auto"/>
                              </w:divBdr>
                              <w:divsChild>
                                <w:div w:id="1957981142">
                                  <w:marLeft w:val="0"/>
                                  <w:marRight w:val="0"/>
                                  <w:marTop w:val="0"/>
                                  <w:marBottom w:val="0"/>
                                  <w:divBdr>
                                    <w:top w:val="none" w:sz="0" w:space="0" w:color="auto"/>
                                    <w:left w:val="none" w:sz="0" w:space="0" w:color="auto"/>
                                    <w:bottom w:val="none" w:sz="0" w:space="0" w:color="auto"/>
                                    <w:right w:val="none" w:sz="0" w:space="0" w:color="auto"/>
                                  </w:divBdr>
                                  <w:divsChild>
                                    <w:div w:id="376589644">
                                      <w:marLeft w:val="0"/>
                                      <w:marRight w:val="0"/>
                                      <w:marTop w:val="0"/>
                                      <w:marBottom w:val="0"/>
                                      <w:divBdr>
                                        <w:top w:val="none" w:sz="0" w:space="0" w:color="auto"/>
                                        <w:left w:val="none" w:sz="0" w:space="0" w:color="auto"/>
                                        <w:bottom w:val="none" w:sz="0" w:space="0" w:color="auto"/>
                                        <w:right w:val="none" w:sz="0" w:space="0" w:color="auto"/>
                                      </w:divBdr>
                                      <w:divsChild>
                                        <w:div w:id="1887523316">
                                          <w:marLeft w:val="0"/>
                                          <w:marRight w:val="0"/>
                                          <w:marTop w:val="0"/>
                                          <w:marBottom w:val="0"/>
                                          <w:divBdr>
                                            <w:top w:val="none" w:sz="0" w:space="0" w:color="auto"/>
                                            <w:left w:val="none" w:sz="0" w:space="0" w:color="auto"/>
                                            <w:bottom w:val="none" w:sz="0" w:space="0" w:color="auto"/>
                                            <w:right w:val="none" w:sz="0" w:space="0" w:color="auto"/>
                                          </w:divBdr>
                                          <w:divsChild>
                                            <w:div w:id="869270017">
                                              <w:marLeft w:val="0"/>
                                              <w:marRight w:val="0"/>
                                              <w:marTop w:val="0"/>
                                              <w:marBottom w:val="0"/>
                                              <w:divBdr>
                                                <w:top w:val="none" w:sz="0" w:space="0" w:color="auto"/>
                                                <w:left w:val="none" w:sz="0" w:space="0" w:color="auto"/>
                                                <w:bottom w:val="none" w:sz="0" w:space="0" w:color="auto"/>
                                                <w:right w:val="none" w:sz="0" w:space="0" w:color="auto"/>
                                              </w:divBdr>
                                              <w:divsChild>
                                                <w:div w:id="476654860">
                                                  <w:marLeft w:val="0"/>
                                                  <w:marRight w:val="0"/>
                                                  <w:marTop w:val="0"/>
                                                  <w:marBottom w:val="0"/>
                                                  <w:divBdr>
                                                    <w:top w:val="none" w:sz="0" w:space="0" w:color="auto"/>
                                                    <w:left w:val="none" w:sz="0" w:space="0" w:color="auto"/>
                                                    <w:bottom w:val="none" w:sz="0" w:space="0" w:color="auto"/>
                                                    <w:right w:val="none" w:sz="0" w:space="0" w:color="auto"/>
                                                  </w:divBdr>
                                                  <w:divsChild>
                                                    <w:div w:id="1118254828">
                                                      <w:marLeft w:val="0"/>
                                                      <w:marRight w:val="0"/>
                                                      <w:marTop w:val="0"/>
                                                      <w:marBottom w:val="0"/>
                                                      <w:divBdr>
                                                        <w:top w:val="none" w:sz="0" w:space="0" w:color="auto"/>
                                                        <w:left w:val="none" w:sz="0" w:space="0" w:color="auto"/>
                                                        <w:bottom w:val="none" w:sz="0" w:space="0" w:color="auto"/>
                                                        <w:right w:val="none" w:sz="0" w:space="0" w:color="auto"/>
                                                      </w:divBdr>
                                                      <w:divsChild>
                                                        <w:div w:id="23409789">
                                                          <w:marLeft w:val="0"/>
                                                          <w:marRight w:val="0"/>
                                                          <w:marTop w:val="0"/>
                                                          <w:marBottom w:val="0"/>
                                                          <w:divBdr>
                                                            <w:top w:val="none" w:sz="0" w:space="0" w:color="auto"/>
                                                            <w:left w:val="none" w:sz="0" w:space="0" w:color="auto"/>
                                                            <w:bottom w:val="none" w:sz="0" w:space="0" w:color="auto"/>
                                                            <w:right w:val="none" w:sz="0" w:space="0" w:color="auto"/>
                                                          </w:divBdr>
                                                          <w:divsChild>
                                                            <w:div w:id="39678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6075667">
      <w:bodyDiv w:val="1"/>
      <w:marLeft w:val="0"/>
      <w:marRight w:val="0"/>
      <w:marTop w:val="0"/>
      <w:marBottom w:val="0"/>
      <w:divBdr>
        <w:top w:val="none" w:sz="0" w:space="0" w:color="auto"/>
        <w:left w:val="none" w:sz="0" w:space="0" w:color="auto"/>
        <w:bottom w:val="none" w:sz="0" w:space="0" w:color="auto"/>
        <w:right w:val="none" w:sz="0" w:space="0" w:color="auto"/>
      </w:divBdr>
    </w:div>
    <w:div w:id="1775788315">
      <w:bodyDiv w:val="1"/>
      <w:marLeft w:val="0"/>
      <w:marRight w:val="0"/>
      <w:marTop w:val="0"/>
      <w:marBottom w:val="0"/>
      <w:divBdr>
        <w:top w:val="none" w:sz="0" w:space="0" w:color="auto"/>
        <w:left w:val="none" w:sz="0" w:space="0" w:color="auto"/>
        <w:bottom w:val="none" w:sz="0" w:space="0" w:color="auto"/>
        <w:right w:val="none" w:sz="0" w:space="0" w:color="auto"/>
      </w:divBdr>
    </w:div>
    <w:div w:id="1812818528">
      <w:bodyDiv w:val="1"/>
      <w:marLeft w:val="0"/>
      <w:marRight w:val="0"/>
      <w:marTop w:val="0"/>
      <w:marBottom w:val="0"/>
      <w:divBdr>
        <w:top w:val="none" w:sz="0" w:space="0" w:color="auto"/>
        <w:left w:val="none" w:sz="0" w:space="0" w:color="auto"/>
        <w:bottom w:val="none" w:sz="0" w:space="0" w:color="auto"/>
        <w:right w:val="none" w:sz="0" w:space="0" w:color="auto"/>
      </w:divBdr>
    </w:div>
    <w:div w:id="1894463037">
      <w:bodyDiv w:val="1"/>
      <w:marLeft w:val="0"/>
      <w:marRight w:val="0"/>
      <w:marTop w:val="0"/>
      <w:marBottom w:val="0"/>
      <w:divBdr>
        <w:top w:val="none" w:sz="0" w:space="0" w:color="auto"/>
        <w:left w:val="none" w:sz="0" w:space="0" w:color="auto"/>
        <w:bottom w:val="none" w:sz="0" w:space="0" w:color="auto"/>
        <w:right w:val="none" w:sz="0" w:space="0" w:color="auto"/>
      </w:divBdr>
      <w:divsChild>
        <w:div w:id="406465434">
          <w:marLeft w:val="274"/>
          <w:marRight w:val="0"/>
          <w:marTop w:val="0"/>
          <w:marBottom w:val="0"/>
          <w:divBdr>
            <w:top w:val="none" w:sz="0" w:space="0" w:color="auto"/>
            <w:left w:val="none" w:sz="0" w:space="0" w:color="auto"/>
            <w:bottom w:val="none" w:sz="0" w:space="0" w:color="auto"/>
            <w:right w:val="none" w:sz="0" w:space="0" w:color="auto"/>
          </w:divBdr>
        </w:div>
        <w:div w:id="1587226420">
          <w:marLeft w:val="274"/>
          <w:marRight w:val="0"/>
          <w:marTop w:val="0"/>
          <w:marBottom w:val="0"/>
          <w:divBdr>
            <w:top w:val="none" w:sz="0" w:space="0" w:color="auto"/>
            <w:left w:val="none" w:sz="0" w:space="0" w:color="auto"/>
            <w:bottom w:val="none" w:sz="0" w:space="0" w:color="auto"/>
            <w:right w:val="none" w:sz="0" w:space="0" w:color="auto"/>
          </w:divBdr>
        </w:div>
        <w:div w:id="1432313618">
          <w:marLeft w:val="274"/>
          <w:marRight w:val="0"/>
          <w:marTop w:val="0"/>
          <w:marBottom w:val="0"/>
          <w:divBdr>
            <w:top w:val="none" w:sz="0" w:space="0" w:color="auto"/>
            <w:left w:val="none" w:sz="0" w:space="0" w:color="auto"/>
            <w:bottom w:val="none" w:sz="0" w:space="0" w:color="auto"/>
            <w:right w:val="none" w:sz="0" w:space="0" w:color="auto"/>
          </w:divBdr>
        </w:div>
        <w:div w:id="1953901140">
          <w:marLeft w:val="274"/>
          <w:marRight w:val="0"/>
          <w:marTop w:val="0"/>
          <w:marBottom w:val="0"/>
          <w:divBdr>
            <w:top w:val="none" w:sz="0" w:space="0" w:color="auto"/>
            <w:left w:val="none" w:sz="0" w:space="0" w:color="auto"/>
            <w:bottom w:val="none" w:sz="0" w:space="0" w:color="auto"/>
            <w:right w:val="none" w:sz="0" w:space="0" w:color="auto"/>
          </w:divBdr>
        </w:div>
        <w:div w:id="1818061082">
          <w:marLeft w:val="274"/>
          <w:marRight w:val="0"/>
          <w:marTop w:val="0"/>
          <w:marBottom w:val="0"/>
          <w:divBdr>
            <w:top w:val="none" w:sz="0" w:space="0" w:color="auto"/>
            <w:left w:val="none" w:sz="0" w:space="0" w:color="auto"/>
            <w:bottom w:val="none" w:sz="0" w:space="0" w:color="auto"/>
            <w:right w:val="none" w:sz="0" w:space="0" w:color="auto"/>
          </w:divBdr>
        </w:div>
        <w:div w:id="171334018">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1.jpeg"/><Relationship Id="rId26" Type="http://schemas.openxmlformats.org/officeDocument/2006/relationships/header" Target="header5.xml"/><Relationship Id="rId39"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header" Target="header10.xml"/><Relationship Id="rId42" Type="http://schemas.openxmlformats.org/officeDocument/2006/relationships/header" Target="header12.xml"/><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footer" Target="footer3.xml"/><Relationship Id="rId33" Type="http://schemas.openxmlformats.org/officeDocument/2006/relationships/header" Target="header9.xml"/><Relationship Id="rId38" Type="http://schemas.openxmlformats.org/officeDocument/2006/relationships/image" Target="media/image6.png"/><Relationship Id="rId46" Type="http://schemas.openxmlformats.org/officeDocument/2006/relationships/header" Target="header1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office@isa.gov.au" TargetMode="External"/><Relationship Id="rId29" Type="http://schemas.openxmlformats.org/officeDocument/2006/relationships/header" Target="header7.xm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image" Target="media/image4.png"/><Relationship Id="rId37" Type="http://schemas.openxmlformats.org/officeDocument/2006/relationships/image" Target="media/image5.png"/><Relationship Id="rId40" Type="http://schemas.openxmlformats.org/officeDocument/2006/relationships/hyperlink" Target="https://mseq.vc/" TargetMode="External"/><Relationship Id="rId45"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header" Target="header11.xml"/><Relationship Id="rId10" Type="http://schemas.openxmlformats.org/officeDocument/2006/relationships/settings" Target="settings.xml"/><Relationship Id="rId19" Type="http://schemas.openxmlformats.org/officeDocument/2006/relationships/hyperlink" Target="https://www.industry.gov.au/iisa" TargetMode="External"/><Relationship Id="rId31" Type="http://schemas.openxmlformats.org/officeDocument/2006/relationships/header" Target="header8.xml"/><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hyperlink" Target="https://publications.industry.gov.au/publications/nationalsciencestatement/index.html" TargetMode="External"/><Relationship Id="rId30" Type="http://schemas.openxmlformats.org/officeDocument/2006/relationships/footer" Target="footer4.xml"/><Relationship Id="rId35" Type="http://schemas.openxmlformats.org/officeDocument/2006/relationships/footer" Target="footer5.xml"/><Relationship Id="rId43" Type="http://schemas.openxmlformats.org/officeDocument/2006/relationships/header" Target="header13.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s://www.csiro.au/en/News/News-releases/2018/CSIRO-tech-accelerates-hydrogen-vehicle-future" TargetMode="External"/><Relationship Id="rId117" Type="http://schemas.openxmlformats.org/officeDocument/2006/relationships/hyperlink" Target="http://www.canada.ca/en/treasury-board-secretariat/services/audit-evaluation/centre-excellence-evaluation/about-centre-excellence-evaluation.html" TargetMode="External"/><Relationship Id="rId21" Type="http://schemas.openxmlformats.org/officeDocument/2006/relationships/hyperlink" Target="http://www.dst.defence.gov.au/podcast/countering-threat-improvised-explosive-devices" TargetMode="External"/><Relationship Id="rId42" Type="http://schemas.openxmlformats.org/officeDocument/2006/relationships/hyperlink" Target="https://publications.industry.gov.au/publications/advancing-space-australian-civil-space-strategy-2019-2028.pdf" TargetMode="External"/><Relationship Id="rId47" Type="http://schemas.openxmlformats.org/officeDocument/2006/relationships/hyperlink" Target="https://www.industry.gov.au/data-and-publications/science-and-research-priorities" TargetMode="External"/><Relationship Id="rId63" Type="http://schemas.openxmlformats.org/officeDocument/2006/relationships/hyperlink" Target="https://community.oecd.org/docs/DOC-161275" TargetMode="External"/><Relationship Id="rId68" Type="http://schemas.openxmlformats.org/officeDocument/2006/relationships/hyperlink" Target="https://www.ic.gc.ca/eic/site/113.nsf/vwapj/STsummary.pdf/$file/STsummary.pdf" TargetMode="External"/><Relationship Id="rId84" Type="http://schemas.openxmlformats.org/officeDocument/2006/relationships/hyperlink" Target="https://www.arc.gov.au/engagement-and-impact-assessment" TargetMode="External"/><Relationship Id="rId89" Type="http://schemas.openxmlformats.org/officeDocument/2006/relationships/hyperlink" Target="https://parlinfo.aph.gov.au/parlInfo/download/committees/reportrep/024212/toc_pdf/AustralianGovernmentFundingArrangementsfornon-NHMRCResearch.pdf;fileType=application%2Fpdf" TargetMode="External"/><Relationship Id="rId112" Type="http://schemas.openxmlformats.org/officeDocument/2006/relationships/hyperlink" Target="https://media.nesta.org.uk/documents/how_innovation_agencies_work.pdf" TargetMode="External"/><Relationship Id="rId133" Type="http://schemas.openxmlformats.org/officeDocument/2006/relationships/hyperlink" Target="http://cins.ca/docs/ScienceReview_April2017.pdf" TargetMode="External"/><Relationship Id="rId138" Type="http://schemas.openxmlformats.org/officeDocument/2006/relationships/hyperlink" Target="http://www.act.ipaa.org.au/innovation-awards" TargetMode="External"/><Relationship Id="rId154" Type="http://schemas.openxmlformats.org/officeDocument/2006/relationships/hyperlink" Target="http://ktp.innovateuk.org/" TargetMode="External"/><Relationship Id="rId159" Type="http://schemas.openxmlformats.org/officeDocument/2006/relationships/hyperlink" Target="https://acola.org/wp-content/uploads/2018/08/13-uk.pdf" TargetMode="External"/><Relationship Id="rId175" Type="http://schemas.openxmlformats.org/officeDocument/2006/relationships/hyperlink" Target="https://parlinfo.aph.gov.au/parlInfo/download/committees/reportrep/024212/toc_pdf/AustralianGovernmentFundingArrangementsfornon-NHMRCResearch.pdf;fileType=application%2Fpdf" TargetMode="External"/><Relationship Id="rId170" Type="http://schemas.openxmlformats.org/officeDocument/2006/relationships/hyperlink" Target="https://doi.org/10.1787/2b3bc558-en" TargetMode="External"/><Relationship Id="rId16" Type="http://schemas.openxmlformats.org/officeDocument/2006/relationships/hyperlink" Target="https://www.mckinsey.com/business-functions/mckinsey-digital/our-insights/the-COVID-19-recovery-will-be-digital-a-plan-for-the-first-90-days?cid=other-eml-alt-mbl-mck&amp;hlkid=ffa7f7dace64429f82c354ddf40accb6&amp;hctky=11986719&amp;hdpid=dfb4c609-2604-4df3-aa42-ae7ed2aff045" TargetMode="External"/><Relationship Id="rId107" Type="http://schemas.openxmlformats.org/officeDocument/2006/relationships/hyperlink" Target="https://assets.kpmg/content/dam/kpmg/au/pdf/2020/investment-in-the-australian-space-sector.pdf?utm_medium=email&amp;_hsmi=88540252&amp;_hsenc=p2ANqtz-_TtLCzdkOMntE4U_9Jn6VANQoD9xjMuJfoSbHtBAUCjsThMxdhQuAcRHYJRUdoeH7yYUm2itmROvIZAlh9AkD_nqIZNisDEWXW9L9x6WhYeU04sXc&amp;utm_content=88540252&amp;utm_source=hs_email" TargetMode="External"/><Relationship Id="rId11" Type="http://schemas.openxmlformats.org/officeDocument/2006/relationships/hyperlink" Target="https://www.who.int/alliance-hpsr/news/2020/bringing-evidence-together-for-covid-19/en" TargetMode="External"/><Relationship Id="rId32" Type="http://schemas.openxmlformats.org/officeDocument/2006/relationships/hyperlink" Target="https://royalsociety.org/-/media/policy/projects/investing-in-uk-r-and-d/2019/investing-in-UK-r-and-d-may-2019.pdf" TargetMode="External"/><Relationship Id="rId37" Type="http://schemas.openxmlformats.org/officeDocument/2006/relationships/hyperlink" Target="https://www.industry.gov.au/data-and-publications/current-and-future-value-of-earth-and-marine-observing-to-the-asia-pacific-region" TargetMode="External"/><Relationship Id="rId53" Type="http://schemas.openxmlformats.org/officeDocument/2006/relationships/hyperlink" Target="https://pmc.gov.au/sites/default/files/publications/independent-review-aps.pdf" TargetMode="External"/><Relationship Id="rId58" Type="http://schemas.openxmlformats.org/officeDocument/2006/relationships/hyperlink" Target="https://pmc.gov.au/sites/default/files/publications/independent-review-aps.pdf" TargetMode="External"/><Relationship Id="rId74" Type="http://schemas.openxmlformats.org/officeDocument/2006/relationships/hyperlink" Target="http://www.innovationaus.com/andrews-drives-new-ministerial-tech-council/?utm_medium=email&amp;utm_campaign=Newsletter%20389%20-%2019%20May%202020&amp;utm_content=Newsletter%20389%20-%2019%20May%202020+CID_da757c26fa25a8ba3ed99060363f928f&amp;utm_source=Email%20marketing%20software&amp;utm_term=Andrews%20drives%20new%20ministerial%20tech%20council" TargetMode="External"/><Relationship Id="rId79" Type="http://schemas.openxmlformats.org/officeDocument/2006/relationships/hyperlink" Target="https://docs.education.gov.au/node/38976" TargetMode="External"/><Relationship Id="rId102" Type="http://schemas.openxmlformats.org/officeDocument/2006/relationships/hyperlink" Target="https://doi.org/10.1787/sti_in_outlook-2018-en" TargetMode="External"/><Relationship Id="rId123" Type="http://schemas.openxmlformats.org/officeDocument/2006/relationships/hyperlink" Target="https://www.industry.gov.au/sites/default/files/May%202018/document/pdf/department_of_industry_innovation_and_science_evaluation_strategy_2017-2021.pdf?acsf_files_redirect" TargetMode="External"/><Relationship Id="rId128" Type="http://schemas.openxmlformats.org/officeDocument/2006/relationships/hyperlink" Target="https://www.treasury.nsw.gov.au/budget-financial-management/reform/outcome-budgeting" TargetMode="External"/><Relationship Id="rId144" Type="http://schemas.openxmlformats.org/officeDocument/2006/relationships/hyperlink" Target="http://www.oecd.org/publications/the-innovation-imperative-9789264239814-en.htm" TargetMode="External"/><Relationship Id="rId149" Type="http://schemas.openxmlformats.org/officeDocument/2006/relationships/hyperlink" Target="https://parlinfo.aph.gov.au/parlInfo/download/committees/reportrep/024212/toc_pdf/AustralianGovernmentFundingArrangementsfornon-NHMRCResearch.pdf;fileType=application%2Fpdf" TargetMode="External"/><Relationship Id="rId5" Type="http://schemas.openxmlformats.org/officeDocument/2006/relationships/hyperlink" Target="https://publications.industry.gov.au/publications/advancing-space-australian-civil-space-strategy-2019-2028.pdf" TargetMode="External"/><Relationship Id="rId90" Type="http://schemas.openxmlformats.org/officeDocument/2006/relationships/hyperlink" Target="https://community.oecd.org/docs/DOC-161275" TargetMode="External"/><Relationship Id="rId95" Type="http://schemas.openxmlformats.org/officeDocument/2006/relationships/hyperlink" Target="https://pmc.gov.au/sites/default/files/publications/independent-review-aps.pdf" TargetMode="External"/><Relationship Id="rId160" Type="http://schemas.openxmlformats.org/officeDocument/2006/relationships/hyperlink" Target="http://www.ktp-uk.org/academics/" TargetMode="External"/><Relationship Id="rId165" Type="http://schemas.openxmlformats.org/officeDocument/2006/relationships/hyperlink" Target="https://www.anao.gov.au/work/speech/strategic-governance-risk-lessons-learnt-public-sector-audit" TargetMode="External"/><Relationship Id="rId181" Type="http://schemas.openxmlformats.org/officeDocument/2006/relationships/hyperlink" Target="http://cins.ca/docs/ScienceReview_April2017.pdf" TargetMode="External"/><Relationship Id="rId186" Type="http://schemas.openxmlformats.org/officeDocument/2006/relationships/hyperlink" Target="https://dbei.gov.ie/en/Publications/Research-Priority-Areas-2018-to-2023.html" TargetMode="External"/><Relationship Id="rId22" Type="http://schemas.openxmlformats.org/officeDocument/2006/relationships/hyperlink" Target="https://newsroom.unsw.edu.au/news/technology/breakthrough-bid-create-first-quantum-computer" TargetMode="External"/><Relationship Id="rId27" Type="http://schemas.openxmlformats.org/officeDocument/2006/relationships/hyperlink" Target="http://www.industry.gov.au/sites/default/files/2020-02/stimulating-business-investment-in-innovation.pdf" TargetMode="External"/><Relationship Id="rId43" Type="http://schemas.openxmlformats.org/officeDocument/2006/relationships/hyperlink" Target="https://ec.europa.eu/economy_finance/publications/pages/publication15847_en.pdf" TargetMode="External"/><Relationship Id="rId48" Type="http://schemas.openxmlformats.org/officeDocument/2006/relationships/hyperlink" Target="https://publications.industry.gov.au/publications/nationalsciencestatement/index.html" TargetMode="External"/><Relationship Id="rId64" Type="http://schemas.openxmlformats.org/officeDocument/2006/relationships/hyperlink" Target="https://doi.org/10.1787/2b3bc558-en" TargetMode="External"/><Relationship Id="rId69" Type="http://schemas.openxmlformats.org/officeDocument/2006/relationships/hyperlink" Target="https://dbei.gov.ie/en/Publications/Research-Priority-Areas-2018-to-2023.html" TargetMode="External"/><Relationship Id="rId113" Type="http://schemas.openxmlformats.org/officeDocument/2006/relationships/hyperlink" Target="https://docs.education.gov.au/node/38976" TargetMode="External"/><Relationship Id="rId118" Type="http://schemas.openxmlformats.org/officeDocument/2006/relationships/hyperlink" Target="http://www.budget.gc.ca/2016/docs/plan/ch7-en.html" TargetMode="External"/><Relationship Id="rId134" Type="http://schemas.openxmlformats.org/officeDocument/2006/relationships/hyperlink" Target="https://publications.parliament.uk/pa/cm201719/cmselect/cmsctech/1453/1453.pdf" TargetMode="External"/><Relationship Id="rId139" Type="http://schemas.openxmlformats.org/officeDocument/2006/relationships/hyperlink" Target="http://www.industry.gov.au/sites/default/files/2020-02/stimulating-business-investment-in-innovation.pdf" TargetMode="External"/><Relationship Id="rId80" Type="http://schemas.openxmlformats.org/officeDocument/2006/relationships/hyperlink" Target="https://doi.org/10.1787/9789264207462-en" TargetMode="External"/><Relationship Id="rId85" Type="http://schemas.openxmlformats.org/officeDocument/2006/relationships/hyperlink" Target="https://dataportal.arc.gov.au/ERA/NationalReport/2018/" TargetMode="External"/><Relationship Id="rId150" Type="http://schemas.openxmlformats.org/officeDocument/2006/relationships/hyperlink" Target="https://publications.industry.gov.au/publications/nationalsciencestatement/index.html" TargetMode="External"/><Relationship Id="rId155" Type="http://schemas.openxmlformats.org/officeDocument/2006/relationships/hyperlink" Target="http://www.gov.uk/guidance/knowledge-transfer-partnerships-what-they-are-and-how-to-apply" TargetMode="External"/><Relationship Id="rId171" Type="http://schemas.openxmlformats.org/officeDocument/2006/relationships/hyperlink" Target="https://www.industry.gov.au/sites/default/files/2019-09/2019-20-sri-budget-tables.xlsx" TargetMode="External"/><Relationship Id="rId176" Type="http://schemas.openxmlformats.org/officeDocument/2006/relationships/hyperlink" Target="http://www.ukri.org/innovation/industrial-strategy-challenge-fund" TargetMode="External"/><Relationship Id="rId12" Type="http://schemas.openxmlformats.org/officeDocument/2006/relationships/hyperlink" Target="https://www.chiefscientist.gov.au/news-and-media/research-sector-answers-governments-call-best-available-evidence-covid-19" TargetMode="External"/><Relationship Id="rId17" Type="http://schemas.openxmlformats.org/officeDocument/2006/relationships/hyperlink" Target="https://ec.europa.eu/futurium/en/system/files/ged/60_-_rise-value_of_research-june15_1.pdf" TargetMode="External"/><Relationship Id="rId33" Type="http://schemas.openxmlformats.org/officeDocument/2006/relationships/hyperlink" Target="http://www.industry.gov.au/sites/default/files/2020-02/stimulating-business-investment-in-innovation.pdf" TargetMode="External"/><Relationship Id="rId38" Type="http://schemas.openxmlformats.org/officeDocument/2006/relationships/hyperlink" Target="https://publications.industry.gov.au/publications/advancing-space-australian-civil-space-strategy-2019-2028.pdf" TargetMode="External"/><Relationship Id="rId59" Type="http://schemas.openxmlformats.org/officeDocument/2006/relationships/hyperlink" Target="https://assets.kpmg/content/dam/kpmg/au/pdf/2020/investment-in-the-australian-space-sector.pdf?utm_medium=email&amp;_hsmi=88540252&amp;_hsenc=p2ANqtz-_TtLCzdkOMntE4U_9Jn6VANQoD9xjMuJfoSbHtBAUCjsThMxdhQuAcRHYJRUdoeH7yYUm2itmROvIZAlh9AkD_nqIZNisDEWXW9L9x6WhYeU04sXc&amp;utm_content=88540252&amp;utm_source=hs_email" TargetMode="External"/><Relationship Id="rId103" Type="http://schemas.openxmlformats.org/officeDocument/2006/relationships/hyperlink" Target="https://community.oecd.org/docs/DOC-161275" TargetMode="External"/><Relationship Id="rId108" Type="http://schemas.openxmlformats.org/officeDocument/2006/relationships/hyperlink" Target="http://www.business.gov.au/Grants-and-Programs/Cooperative-Research-Centres-Projects-CRCP-Grants/CRC-Projects-selection-round-outcomes" TargetMode="External"/><Relationship Id="rId124" Type="http://schemas.openxmlformats.org/officeDocument/2006/relationships/hyperlink" Target="https://www.industry.gov.au/government-to-government/grant-design-and-delivery-services" TargetMode="External"/><Relationship Id="rId129" Type="http://schemas.openxmlformats.org/officeDocument/2006/relationships/hyperlink" Target="https://www.themandarin.com.au/127142-outcome-budgeting-calls-for-cultural-and-behavioural-shift-nsw-treasury-says/?utm_source=TheJuice&amp;utm_medium=email&amp;utm_source=newsletter&amp;utm_type=mandarin" TargetMode="External"/><Relationship Id="rId54" Type="http://schemas.openxmlformats.org/officeDocument/2006/relationships/hyperlink" Target="https://www.business.gov.au/Grants-and-Programs/Cooperative-Research-Centres-CRC-Grants" TargetMode="External"/><Relationship Id="rId70" Type="http://schemas.openxmlformats.org/officeDocument/2006/relationships/hyperlink" Target="http://www.oecd.org/sti/inno/47737209.pdf" TargetMode="External"/><Relationship Id="rId75" Type="http://schemas.openxmlformats.org/officeDocument/2006/relationships/hyperlink" Target="http://www.industry.gov.au/sites/&#8204;g/files/net3906/f/May%202018/document/pdf/australia-2030-prosperity-through-innovation-full-report.pdf" TargetMode="External"/><Relationship Id="rId91" Type="http://schemas.openxmlformats.org/officeDocument/2006/relationships/hyperlink" Target="https://publications.industry.gov.au/publications/nationalsciencestatement/index.html" TargetMode="External"/><Relationship Id="rId96" Type="http://schemas.openxmlformats.org/officeDocument/2006/relationships/hyperlink" Target="https://parlinfo.aph.gov.au/parlInfo/download/committees/reportrep/024212/toc_pdf/AustralianGovernmentFundingArrangementsfornon-NHMRCResearch.pdf;fileType=application%2Fpdf" TargetMode="External"/><Relationship Id="rId140" Type="http://schemas.openxmlformats.org/officeDocument/2006/relationships/hyperlink" Target="https://www.oecd.org/sti/inno/knowledge-based-capital-synthesis.pdf" TargetMode="External"/><Relationship Id="rId145" Type="http://schemas.openxmlformats.org/officeDocument/2006/relationships/hyperlink" Target="https://parlinfo.aph.gov.au/parlInfo/download/committees/reportrep/024212/toc_pdf/AustralianGovernmentFundingArrangementsfornon-NHMRCResearch.pdf;fileType=application%2Fpdf" TargetMode="External"/><Relationship Id="rId161" Type="http://schemas.openxmlformats.org/officeDocument/2006/relationships/hyperlink" Target="https://assets.publishing.service.gov.uk/government/uploads/system/uploads/attachment_data/file/467142/KTP_Report_July_2015_Exec_summary__1-SEP-15_.pdf" TargetMode="External"/><Relationship Id="rId166" Type="http://schemas.openxmlformats.org/officeDocument/2006/relationships/hyperlink" Target="https://www.dst.defence.gov.au/sites/default/files/basic_pages/documents/Technical-Risk-Assessment-Handbook_2.pdf" TargetMode="External"/><Relationship Id="rId182" Type="http://schemas.openxmlformats.org/officeDocument/2006/relationships/hyperlink" Target="https://www.aph.gov.au/Parliamentary_Business/Committees/Senate/Economics/Innovation_System/Report" TargetMode="External"/><Relationship Id="rId187" Type="http://schemas.openxmlformats.org/officeDocument/2006/relationships/hyperlink" Target="https://www.gov.uk/government/publications/industrial-strategy-the-grand-challenges/missions" TargetMode="External"/><Relationship Id="rId1" Type="http://schemas.openxmlformats.org/officeDocument/2006/relationships/hyperlink" Target="http://www.oecd.org/publications/the-innovation-imperative-9789264239814-en.htm" TargetMode="External"/><Relationship Id="rId6" Type="http://schemas.openxmlformats.org/officeDocument/2006/relationships/hyperlink" Target="https://www.nsf.gov/nsb/documents/2007/tr_report.pdf" TargetMode="External"/><Relationship Id="rId23" Type="http://schemas.openxmlformats.org/officeDocument/2006/relationships/hyperlink" Target="https://newsroom.unsw.edu.au/news/science-tech/200-times-faster-ever-speediest-quantum-operation-yet" TargetMode="External"/><Relationship Id="rId28" Type="http://schemas.openxmlformats.org/officeDocument/2006/relationships/hyperlink" Target="http://www.industry.gov.au/sites/default/files/2019-10/isa-statement-of-expectations-2019.pdf" TargetMode="External"/><Relationship Id="rId49" Type="http://schemas.openxmlformats.org/officeDocument/2006/relationships/hyperlink" Target="http://www.industry.gov.au/strategies-for-the-future/industry-growth-centres" TargetMode="External"/><Relationship Id="rId114" Type="http://schemas.openxmlformats.org/officeDocument/2006/relationships/hyperlink" Target="http://www.adelaide.edu.au/learning/quality-assurance" TargetMode="External"/><Relationship Id="rId119" Type="http://schemas.openxmlformats.org/officeDocument/2006/relationships/hyperlink" Target="https://lop.parl.ca/sites/PublicWebsite/default/en_CA/ResearchPublications/201904E" TargetMode="External"/><Relationship Id="rId44" Type="http://schemas.openxmlformats.org/officeDocument/2006/relationships/hyperlink" Target="https://www.thebritishacademy.ac.uk/sites/default/files/Lessons-History-UK-science-policy.pdf" TargetMode="External"/><Relationship Id="rId60" Type="http://schemas.openxmlformats.org/officeDocument/2006/relationships/hyperlink" Target="https://www.space.gov.au/" TargetMode="External"/><Relationship Id="rId65" Type="http://schemas.openxmlformats.org/officeDocument/2006/relationships/hyperlink" Target="https://doi.org/10.1787/2b3bc558-en" TargetMode="External"/><Relationship Id="rId81" Type="http://schemas.openxmlformats.org/officeDocument/2006/relationships/hyperlink" Target="https://doi.org/10.1787/a4c9197a-en" TargetMode="External"/><Relationship Id="rId86" Type="http://schemas.openxmlformats.org/officeDocument/2006/relationships/hyperlink" Target="http://www.oecd-ilibrary.org/economics/oecd-economic-surveys-australia-2017_eco_surveys-aus-2017-en" TargetMode="External"/><Relationship Id="rId130" Type="http://schemas.openxmlformats.org/officeDocument/2006/relationships/hyperlink" Target="https://doi.org/10.1787/2b3bc558-en" TargetMode="External"/><Relationship Id="rId135" Type="http://schemas.openxmlformats.org/officeDocument/2006/relationships/hyperlink" Target="https://archive.budget.gov.au/2017-18/bp4/Budget2017-18_BP4.pdf" TargetMode="External"/><Relationship Id="rId151" Type="http://schemas.openxmlformats.org/officeDocument/2006/relationships/hyperlink" Target="http://www.business.gov.au/Grants-and-Programs/Innovation-Connections" TargetMode="External"/><Relationship Id="rId156" Type="http://schemas.openxmlformats.org/officeDocument/2006/relationships/hyperlink" Target="https://acola.org/wp-content/uploads/2018/08/13-uk.pdf" TargetMode="External"/><Relationship Id="rId177" Type="http://schemas.openxmlformats.org/officeDocument/2006/relationships/hyperlink" Target="http://www.industry.gov.au/sites/default/files/June%202018/document/pdf/review_of&#8204;_australias_space_industry_capability_-_report_from_the_expert_reference_group.pdf?acsf_files_redirect" TargetMode="External"/><Relationship Id="rId172" Type="http://schemas.openxmlformats.org/officeDocument/2006/relationships/hyperlink" Target="https://www.aph.gov.au/Parliamentary_Business/Committees/Senate/Economics/Innovation_System/Report" TargetMode="External"/><Relationship Id="rId13" Type="http://schemas.openxmlformats.org/officeDocument/2006/relationships/hyperlink" Target="http://www.industry.gov.au/sites/default/files/2020-02/stimulating-business-investment-in-innovation.pdf" TargetMode="External"/><Relationship Id="rId18" Type="http://schemas.openxmlformats.org/officeDocument/2006/relationships/hyperlink" Target="http://www.pc.gov.au/inquiries/completed/productivity-review/report/productivity-review-supporting12.pdf" TargetMode="External"/><Relationship Id="rId39" Type="http://schemas.openxmlformats.org/officeDocument/2006/relationships/hyperlink" Target="https://www.industry.gov.au/data-and-publications/current-and-future-value-of-earth-and-marine-observing-to-the-asia-pacific-region" TargetMode="External"/><Relationship Id="rId109" Type="http://schemas.openxmlformats.org/officeDocument/2006/relationships/hyperlink" Target="http://www.oecd-ilibrary.org/science-and-technology/the-space-economy-in-figures_c5996201-en" TargetMode="External"/><Relationship Id="rId34" Type="http://schemas.openxmlformats.org/officeDocument/2006/relationships/hyperlink" Target="http://www.industry.gov.au/data-and-publications/science-research-and-innovation-sri-budget-tables" TargetMode="External"/><Relationship Id="rId50" Type="http://schemas.openxmlformats.org/officeDocument/2006/relationships/hyperlink" Target="http://www.austcyber.com/" TargetMode="External"/><Relationship Id="rId55" Type="http://schemas.openxmlformats.org/officeDocument/2006/relationships/hyperlink" Target="https://www.industry.gov.au/sites/default/files/2018-10/science_and_research_priorities_2015.pdf?acsf_files_redirect" TargetMode="External"/><Relationship Id="rId76" Type="http://schemas.openxmlformats.org/officeDocument/2006/relationships/hyperlink" Target="http://www.industry.gov.au/sites/default/files/2020-02/stimulating-business-investment-in-innovation.pdf" TargetMode="External"/><Relationship Id="rId97" Type="http://schemas.openxmlformats.org/officeDocument/2006/relationships/hyperlink" Target="http://www.industry.gov.au/sites/default/files/2020-02/stimulating-business-investment-in-innovation.pdf" TargetMode="External"/><Relationship Id="rId104" Type="http://schemas.openxmlformats.org/officeDocument/2006/relationships/hyperlink" Target="https://ec.europa.eu/info/funding-tenders/opportunities/portal/screen/programmes/h2020" TargetMode="External"/><Relationship Id="rId120" Type="http://schemas.openxmlformats.org/officeDocument/2006/relationships/hyperlink" Target="http://www.canada.ca/en/canadian-heritage/corporate/publications/audits/audit-policy-results.html" TargetMode="External"/><Relationship Id="rId125" Type="http://schemas.openxmlformats.org/officeDocument/2006/relationships/hyperlink" Target="https://aes18.sched.com/event/Erob/evaluation-ready-transforming-government-processes-and-ensuring-evaluability" TargetMode="External"/><Relationship Id="rId141" Type="http://schemas.openxmlformats.org/officeDocument/2006/relationships/hyperlink" Target="https://www.austrade.gov.au/news/economic-analysis/global-benchmarking-shows-innovation-skills-power-australian-prosperity" TargetMode="External"/><Relationship Id="rId146" Type="http://schemas.openxmlformats.org/officeDocument/2006/relationships/hyperlink" Target="http://www.industry.gov.au/sites/&#8204;g/files/net3906/f/May%202018/document/pdf/australia-2030-prosperity-through-innovation-full-report.pdf" TargetMode="External"/><Relationship Id="rId167" Type="http://schemas.openxmlformats.org/officeDocument/2006/relationships/hyperlink" Target="https://community.oecd.org/docs/DOC-170560" TargetMode="External"/><Relationship Id="rId188" Type="http://schemas.openxmlformats.org/officeDocument/2006/relationships/hyperlink" Target="https://doi.org/10.17226/11463" TargetMode="External"/><Relationship Id="rId7" Type="http://schemas.openxmlformats.org/officeDocument/2006/relationships/hyperlink" Target="https://www.science.org.au/news-and-events/news-and-media-releases/australian-bushfires-why-they-are-unprecedented" TargetMode="External"/><Relationship Id="rId71" Type="http://schemas.openxmlformats.org/officeDocument/2006/relationships/hyperlink" Target="https://sustainabledevelopment.un.org/tfm" TargetMode="External"/><Relationship Id="rId92" Type="http://schemas.openxmlformats.org/officeDocument/2006/relationships/hyperlink" Target="https://docs.education.gov.au/documents/research-infrastructure-investment-plan" TargetMode="External"/><Relationship Id="rId162" Type="http://schemas.openxmlformats.org/officeDocument/2006/relationships/hyperlink" Target="https://trends.oecd-opsi.org/embracing-innovation-in-government-global-trends-2019.pdf" TargetMode="External"/><Relationship Id="rId183" Type="http://schemas.openxmlformats.org/officeDocument/2006/relationships/hyperlink" Target="https://www.industry.gov.au/sites/default/files/2019-09/2019-20-sri-budget-tables.xlsx" TargetMode="External"/><Relationship Id="rId2" Type="http://schemas.openxmlformats.org/officeDocument/2006/relationships/hyperlink" Target="https://stats.oecd.org/glossary/detail.asp?ID=6865" TargetMode="External"/><Relationship Id="rId29" Type="http://schemas.openxmlformats.org/officeDocument/2006/relationships/hyperlink" Target="https://ec.europa.eu/economy_finance/publications/pages/publication15847_en.pdf" TargetMode="External"/><Relationship Id="rId24" Type="http://schemas.openxmlformats.org/officeDocument/2006/relationships/hyperlink" Target="http://www.industry.gov.au/news-media/public-sector-innovation-network-news/diplomacy-in-your-carry-on" TargetMode="External"/><Relationship Id="rId40" Type="http://schemas.openxmlformats.org/officeDocument/2006/relationships/hyperlink" Target="http://www.oecd-ilibrary.org/science-and-technology/the-space-economy-in-figures_c5996201-en" TargetMode="External"/><Relationship Id="rId45" Type="http://schemas.openxmlformats.org/officeDocument/2006/relationships/hyperlink" Target="https://www.industry.gov.au/data-and-publications/science-and-research-priorities" TargetMode="External"/><Relationship Id="rId66" Type="http://schemas.openxmlformats.org/officeDocument/2006/relationships/hyperlink" Target="http://cins.ca/docs/ScienceReview_April2017.pdf" TargetMode="External"/><Relationship Id="rId87" Type="http://schemas.openxmlformats.org/officeDocument/2006/relationships/hyperlink" Target="https://www.aph.gov.au/Parliamentary_Business/Committees/Senate/Economics/Innovation_System/Report" TargetMode="External"/><Relationship Id="rId110" Type="http://schemas.openxmlformats.org/officeDocument/2006/relationships/hyperlink" Target="http://www.industry.gov.au/sites/default/files/2020-05/state-of-space-report-2018-19.pdf" TargetMode="External"/><Relationship Id="rId115" Type="http://schemas.openxmlformats.org/officeDocument/2006/relationships/hyperlink" Target="http://www.oecd.org/eco/surveys/Australia-2017-OECD-economic-survey-overview.pdf" TargetMode="External"/><Relationship Id="rId131" Type="http://schemas.openxmlformats.org/officeDocument/2006/relationships/hyperlink" Target="http://www.oecd.org/officialdocuments/publicdisplaydocumentpdf/?cote=GOV/PGC/SBO(2013)6&amp;doclanguage=en" TargetMode="External"/><Relationship Id="rId136" Type="http://schemas.openxmlformats.org/officeDocument/2006/relationships/hyperlink" Target="https://parlinfo.aph.gov.au/parlInfo/download/library/prspub/5347385/upload_binary/5347385.pdf;fileType=application%2Fpdf" TargetMode="External"/><Relationship Id="rId157" Type="http://schemas.openxmlformats.org/officeDocument/2006/relationships/hyperlink" Target="https://le.ac.uk/enterprise/development/innovation-hub/support-for-smes/ktp/academics" TargetMode="External"/><Relationship Id="rId178" Type="http://schemas.openxmlformats.org/officeDocument/2006/relationships/hyperlink" Target="https://www.aph.gov.au/Parliamentary_Business/Committees/Senate/Economics/Innovation_System/Submissions" TargetMode="External"/><Relationship Id="rId61" Type="http://schemas.openxmlformats.org/officeDocument/2006/relationships/hyperlink" Target="https://www.business.gov.au/Grants-and-Programs/Cooperative-Research-Centres-CRC-Grants" TargetMode="External"/><Relationship Id="rId82" Type="http://schemas.openxmlformats.org/officeDocument/2006/relationships/hyperlink" Target="https://doi.org/10.1787/2b3bc558-en" TargetMode="External"/><Relationship Id="rId152" Type="http://schemas.openxmlformats.org/officeDocument/2006/relationships/hyperlink" Target="https://stats.oecd.org/Index.aspx?DataSetCode=MSTI_PUB" TargetMode="External"/><Relationship Id="rId173" Type="http://schemas.openxmlformats.org/officeDocument/2006/relationships/hyperlink" Target="http://www.industry.gov.au/sites/&#8204;g/files/net3906/f/May%202018/document/pdf/australia-2030-prosperity-through-innovation-full-report.pdf" TargetMode="External"/><Relationship Id="rId19" Type="http://schemas.openxmlformats.org/officeDocument/2006/relationships/hyperlink" Target="https://www.acilallen.com.au/projects/public-policy/the-economic-social-and-environmental-impacts-of-the-cooperative-research-centres-program" TargetMode="External"/><Relationship Id="rId14" Type="http://schemas.openxmlformats.org/officeDocument/2006/relationships/hyperlink" Target="https://www.uq.edu.au/news/article/2020/02/significant-step%E2%80%99-covid-19-vaccine-quest" TargetMode="External"/><Relationship Id="rId30" Type="http://schemas.openxmlformats.org/officeDocument/2006/relationships/hyperlink" Target="https://www.gov.uk/government/publications/industrial-strategy-the-grand-challenges/missions" TargetMode="External"/><Relationship Id="rId35" Type="http://schemas.openxmlformats.org/officeDocument/2006/relationships/hyperlink" Target="https://doi.org/10.1787/9789264239012-en" TargetMode="External"/><Relationship Id="rId56" Type="http://schemas.openxmlformats.org/officeDocument/2006/relationships/hyperlink" Target="https://www.dst.defence.gov.au/partner-with-us/university" TargetMode="External"/><Relationship Id="rId77" Type="http://schemas.openxmlformats.org/officeDocument/2006/relationships/hyperlink" Target="http://www.industry.gov.au/data-and-publications/science-research-and-innovation-sri-budget-tables" TargetMode="External"/><Relationship Id="rId100" Type="http://schemas.openxmlformats.org/officeDocument/2006/relationships/hyperlink" Target="http://www.oecd.org/eco/surveys/Australia-2017-OECD-economic-survey-overview.pdf" TargetMode="External"/><Relationship Id="rId105" Type="http://schemas.openxmlformats.org/officeDocument/2006/relationships/hyperlink" Target="https://doi.org/10.1787/sti_in_outlook-2018-en" TargetMode="External"/><Relationship Id="rId126" Type="http://schemas.openxmlformats.org/officeDocument/2006/relationships/hyperlink" Target="https://www.themandarin.com.au/64566-nicholas-gruen-evaluator-general-part-two/" TargetMode="External"/><Relationship Id="rId147" Type="http://schemas.openxmlformats.org/officeDocument/2006/relationships/hyperlink" Target="https://doi.org/10.1787/2b3bc558-en" TargetMode="External"/><Relationship Id="rId168" Type="http://schemas.openxmlformats.org/officeDocument/2006/relationships/hyperlink" Target="https://www.oecd.org/sti/45326349.pdf" TargetMode="External"/><Relationship Id="rId8" Type="http://schemas.openxmlformats.org/officeDocument/2006/relationships/hyperlink" Target="https://www.pm.gov.au/media/national-royal-commission-black-summer-bushfires-established" TargetMode="External"/><Relationship Id="rId51" Type="http://schemas.openxmlformats.org/officeDocument/2006/relationships/hyperlink" Target="https://www.business.gov.au/Grants-and-Programs/Cooperative-Research-Centres-CRC-Grants" TargetMode="External"/><Relationship Id="rId72" Type="http://schemas.openxmlformats.org/officeDocument/2006/relationships/hyperlink" Target="http://www.thebritishacademy.ac.uk/sites/default/files/Lessons-History-UK-science-policy.pdf" TargetMode="External"/><Relationship Id="rId93" Type="http://schemas.openxmlformats.org/officeDocument/2006/relationships/hyperlink" Target="https://www.health.gov.au/sites/default/files/documents/2020/01/medical-research-future-fund-mrff-10-year-investment-plan.pdf" TargetMode="External"/><Relationship Id="rId98" Type="http://schemas.openxmlformats.org/officeDocument/2006/relationships/hyperlink" Target="https://www.publications.qld.gov.au/dataset/innovation-journey/resource/ce4aa1c2-48a1-4cc9-9750-047f93cdf152" TargetMode="External"/><Relationship Id="rId121" Type="http://schemas.openxmlformats.org/officeDocument/2006/relationships/hyperlink" Target="https://nrc.canada.ca/en/corporate/planning-reporting/departmental-results-report-2018-19/" TargetMode="External"/><Relationship Id="rId142" Type="http://schemas.openxmlformats.org/officeDocument/2006/relationships/hyperlink" Target="http://www.industry.gov.au/sites/default/files/2020-02/stimulating-business-investment-in-innovation.pdf" TargetMode="External"/><Relationship Id="rId163" Type="http://schemas.openxmlformats.org/officeDocument/2006/relationships/hyperlink" Target="https://doi.org/10.1787/5js03zd40n37-en" TargetMode="External"/><Relationship Id="rId184" Type="http://schemas.openxmlformats.org/officeDocument/2006/relationships/hyperlink" Target="https://cca-reports.ca/wp-content/uploads/2018/08/subnatlscipol_fullreport_en.pdf" TargetMode="External"/><Relationship Id="rId3" Type="http://schemas.openxmlformats.org/officeDocument/2006/relationships/hyperlink" Target="http://www.industry.gov.au/sites/default/files/2020-02/stimulating-business-investment-in-innovation.pdf" TargetMode="External"/><Relationship Id="rId25" Type="http://schemas.openxmlformats.org/officeDocument/2006/relationships/hyperlink" Target="http://www.dfat.gov.au/about-us/publications/corporate/annual-reports/Pages/department-of-foreign-affairs-and-trade-annual-report-2018-19.aspx/annual-report-2018-19/home/section-2/provide-a-secure-and-effective-overseas-presence/index.html" TargetMode="External"/><Relationship Id="rId46" Type="http://schemas.openxmlformats.org/officeDocument/2006/relationships/hyperlink" Target="https://publications.industry.gov.au/publications/nationalsciencestatement/index.html" TargetMode="External"/><Relationship Id="rId67" Type="http://schemas.openxmlformats.org/officeDocument/2006/relationships/hyperlink" Target="https://www.ic.gc.ca/eic/site/113.nsf/vwapj/seizing_moment_ST-I_summary-eng.pdf/$file/seizing_moment_ST-I_summary-eng.pdf" TargetMode="External"/><Relationship Id="rId116" Type="http://schemas.openxmlformats.org/officeDocument/2006/relationships/hyperlink" Target="http://www.tbs-sct.gc.ca/pol/doc-eng.aspx?id=31300" TargetMode="External"/><Relationship Id="rId137" Type="http://schemas.openxmlformats.org/officeDocument/2006/relationships/hyperlink" Target="https://www.minister.defence.gov.au/minister/melissa-price/media-releases/world-first-deployable-3d-printers-defence" TargetMode="External"/><Relationship Id="rId158" Type="http://schemas.openxmlformats.org/officeDocument/2006/relationships/hyperlink" Target="http://www.ktp-uk.org/mktp/" TargetMode="External"/><Relationship Id="rId20" Type="http://schemas.openxmlformats.org/officeDocument/2006/relationships/hyperlink" Target="http://www.csiro.au/en/About/History-achievements/Top-10-inventions" TargetMode="External"/><Relationship Id="rId41" Type="http://schemas.openxmlformats.org/officeDocument/2006/relationships/hyperlink" Target="https://publications.industry.gov.au/publications/advancing-space-australian-civil-space-strategy-2019-2028.pdf" TargetMode="External"/><Relationship Id="rId62" Type="http://schemas.openxmlformats.org/officeDocument/2006/relationships/hyperlink" Target="https://doi.org/10.1787/2b3bc558-en" TargetMode="External"/><Relationship Id="rId83" Type="http://schemas.openxmlformats.org/officeDocument/2006/relationships/hyperlink" Target="http://www.arc.gov.au/excellence-research-australia" TargetMode="External"/><Relationship Id="rId88" Type="http://schemas.openxmlformats.org/officeDocument/2006/relationships/hyperlink" Target="https://docs.education.gov.au/node/38976" TargetMode="External"/><Relationship Id="rId111" Type="http://schemas.openxmlformats.org/officeDocument/2006/relationships/hyperlink" Target="https://community.oecd.org/docs/DOC-161275" TargetMode="External"/><Relationship Id="rId132" Type="http://schemas.openxmlformats.org/officeDocument/2006/relationships/hyperlink" Target="http://www.pc.gov.au/inquiries/completed/productivity-review/report/productivity-review-supporting12.pdf" TargetMode="External"/><Relationship Id="rId153" Type="http://schemas.openxmlformats.org/officeDocument/2006/relationships/hyperlink" Target="http://www.anrt.asso.fr/sites/default/files/cifre_plaquette_2019_eng.pdf" TargetMode="External"/><Relationship Id="rId174" Type="http://schemas.openxmlformats.org/officeDocument/2006/relationships/hyperlink" Target="http://www.industry.gov.au/sites/g&#8204;/files/net3906/f/May%202018/document/pdf/australia-2030-prosperity-through-innovation-full-report.pdf" TargetMode="External"/><Relationship Id="rId179" Type="http://schemas.openxmlformats.org/officeDocument/2006/relationships/hyperlink" Target="https://parlinfo.aph.gov.au/parlInfo/download/committees/reportrep/024212/toc_pdf/AustralianGovernmentFundingArrangementsfornon-NHMRCResearch.pdf;fileType=application%2Fpdf" TargetMode="External"/><Relationship Id="rId15" Type="http://schemas.openxmlformats.org/officeDocument/2006/relationships/hyperlink" Target="https://blog.csiro.au/covid19-vaccine-trials/?utm_source=Snapshot-April-2020&amp;utm_medium=newsletter&amp;utm_campaign=Snapshot" TargetMode="External"/><Relationship Id="rId36" Type="http://schemas.openxmlformats.org/officeDocument/2006/relationships/hyperlink" Target="http://www.industry.gov.au/sites/default/files/2019-10/isa-statement-of-expectations-2019.pdf" TargetMode="External"/><Relationship Id="rId57" Type="http://schemas.openxmlformats.org/officeDocument/2006/relationships/hyperlink" Target="http://www.industry.gov.au/data-and-publications/science-research-and-innovation-sri-budget-tables" TargetMode="External"/><Relationship Id="rId106" Type="http://schemas.openxmlformats.org/officeDocument/2006/relationships/hyperlink" Target="http://www.gao.gov/reports/GAO-19-285SP/" TargetMode="External"/><Relationship Id="rId127" Type="http://schemas.openxmlformats.org/officeDocument/2006/relationships/hyperlink" Target="https://www.kistep.re.kr/en/c2/sub1_4.jsp" TargetMode="External"/><Relationship Id="rId10" Type="http://schemas.openxmlformats.org/officeDocument/2006/relationships/hyperlink" Target="http://www.health.gov.au/news/health-alerts/novel-coronavirus-2019-ncov-health-alert/government-response-to-the-covid-19-outbreak" TargetMode="External"/><Relationship Id="rId31" Type="http://schemas.openxmlformats.org/officeDocument/2006/relationships/hyperlink" Target="https://www150.statcan.gc.ca/n1/daily-quotidien/190401/dq190401a-eng.htm" TargetMode="External"/><Relationship Id="rId52" Type="http://schemas.openxmlformats.org/officeDocument/2006/relationships/hyperlink" Target="https://www.arc.gov.au/about-arc/consultations/national-science-and-research-priorities-review" TargetMode="External"/><Relationship Id="rId73" Type="http://schemas.openxmlformats.org/officeDocument/2006/relationships/hyperlink" Target="https://doi.org/10.1787/9789264239012-en" TargetMode="External"/><Relationship Id="rId78" Type="http://schemas.openxmlformats.org/officeDocument/2006/relationships/hyperlink" Target="http://www.industry.gov.au/sites/default/files/2020-02/stimulating-business-investment-in-innovation.pdf" TargetMode="External"/><Relationship Id="rId94" Type="http://schemas.openxmlformats.org/officeDocument/2006/relationships/hyperlink" Target="https://www.defence.gov.au/Whitepaper/docs/Defence-Industry.pdf" TargetMode="External"/><Relationship Id="rId99" Type="http://schemas.openxmlformats.org/officeDocument/2006/relationships/hyperlink" Target="https://www.industry.gov.au/sites/default/files/2019-11/business-grants-hub-service-offer-and-catalogue.pdf" TargetMode="External"/><Relationship Id="rId101" Type="http://schemas.openxmlformats.org/officeDocument/2006/relationships/hyperlink" Target="https://rio.jrc.ec.europa.eu/en/organisations/innovation-fund-denmark" TargetMode="External"/><Relationship Id="rId122" Type="http://schemas.openxmlformats.org/officeDocument/2006/relationships/hyperlink" Target="https://www.tbs-sct.gc.ca/ems-sgd/edb-bdd/index-eng.html" TargetMode="External"/><Relationship Id="rId143" Type="http://schemas.openxmlformats.org/officeDocument/2006/relationships/hyperlink" Target="https://parlinfo.aph.gov.au/parlInfo/download/committees/reportrep/024212/toc_pdf/AustralianGovernmentFundingArrangementsfornon-NHMRCResearch.pdf;fileType=application%2Fpdf" TargetMode="External"/><Relationship Id="rId148" Type="http://schemas.openxmlformats.org/officeDocument/2006/relationships/hyperlink" Target="https://doi.org/10.1787/a4c9197a-en" TargetMode="External"/><Relationship Id="rId164" Type="http://schemas.openxmlformats.org/officeDocument/2006/relationships/hyperlink" Target="https://www.weforum.org/agenda/2015/04/what-is-governments-role-in-sparking-innovation" TargetMode="External"/><Relationship Id="rId169" Type="http://schemas.openxmlformats.org/officeDocument/2006/relationships/hyperlink" Target="https://media.nesta.org.uk/documents/how_innovation_agencies_work.pdf" TargetMode="External"/><Relationship Id="rId185" Type="http://schemas.openxmlformats.org/officeDocument/2006/relationships/hyperlink" Target="https://doi.org/10.1787/sti_in_outlook-2018-en" TargetMode="External"/><Relationship Id="rId4" Type="http://schemas.openxmlformats.org/officeDocument/2006/relationships/hyperlink" Target="http://www.industry.gov.au/sites/default/files/2019-10/isa-statement-of-expectations-2019.pdf" TargetMode="External"/><Relationship Id="rId9" Type="http://schemas.openxmlformats.org/officeDocument/2006/relationships/hyperlink" Target="https://naturaldisaster.royalcommission.gov.au/publications/royal-commission-national-natural-disaster-arrangements-report" TargetMode="External"/><Relationship Id="rId180" Type="http://schemas.openxmlformats.org/officeDocument/2006/relationships/hyperlink" Target="https://pmc.gov.au/sites/default/files/publications/independent-review-ap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dochub/div/officeinnovationscienceaustralia/templates/Word%20document%20Template%20(ISA%20logo).dotx" TargetMode="External"/></Relationships>
</file>

<file path=word/theme/theme1.xml><?xml version="1.0" encoding="utf-8"?>
<a:theme xmlns:a="http://schemas.openxmlformats.org/drawingml/2006/main" name="Annual Report">
  <a:themeElements>
    <a:clrScheme name="Custom 1">
      <a:dk1>
        <a:sysClr val="windowText" lastClr="000000"/>
      </a:dk1>
      <a:lt1>
        <a:sysClr val="window" lastClr="FFFFFF"/>
      </a:lt1>
      <a:dk2>
        <a:srgbClr val="579AB0"/>
      </a:dk2>
      <a:lt2>
        <a:srgbClr val="E8EAEC"/>
      </a:lt2>
      <a:accent1>
        <a:srgbClr val="5787A9"/>
      </a:accent1>
      <a:accent2>
        <a:srgbClr val="5572A1"/>
      </a:accent2>
      <a:accent3>
        <a:srgbClr val="55639B"/>
      </a:accent3>
      <a:accent4>
        <a:srgbClr val="662D91"/>
      </a:accent4>
      <a:accent5>
        <a:srgbClr val="2A8B87"/>
      </a:accent5>
      <a:accent6>
        <a:srgbClr val="56B948"/>
      </a:accent6>
      <a:hlink>
        <a:srgbClr val="006397"/>
      </a:hlink>
      <a:folHlink>
        <a:srgbClr val="A2206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Comments xmlns="http://schemas.microsoft.com/sharepoint/v3">post-MO delivery modifications. Including RDTI space data text tweaking</Comments>
    <TaxCatchAll xmlns="a36bd50b-1532-4c22-b385-5c082c960938">
      <Value>53</Value>
      <Value>10</Value>
      <Value>830</Value>
      <Value>71</Value>
    </TaxCatchAll>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n99e4c9942c6404eb103464a00e6097b xmlns="a36bd50b-1532-4c22-b385-5c082c960938">
      <Terms xmlns="http://schemas.microsoft.com/office/infopath/2007/PartnerControls">
        <TermInfo xmlns="http://schemas.microsoft.com/office/infopath/2007/PartnerControls">
          <TermName xmlns="http://schemas.microsoft.com/office/infopath/2007/PartnerControls">2020</TermName>
          <TermId xmlns="http://schemas.microsoft.com/office/infopath/2007/PartnerControls">6a3660c5-15bd-4052-a0a1-6237663b7600</TermId>
        </TermInfo>
      </Terms>
    </n99e4c9942c6404eb103464a00e6097b>
    <adb9bed2e36e4a93af574aeb444da63e xmlns="a36bd50b-1532-4c22-b385-5c082c960938">
      <Terms xmlns="http://schemas.microsoft.com/office/infopath/2007/PartnerControls">
        <TermInfo xmlns="http://schemas.microsoft.com/office/infopath/2007/PartnerControls">
          <TermName xmlns="http://schemas.microsoft.com/office/infopath/2007/PartnerControls">ISA</TermName>
          <TermId xmlns="http://schemas.microsoft.com/office/infopath/2007/PartnerControls">2fbf8c44-3026-4331-a3de-7b1aafac4560</TermId>
        </TermInfo>
      </Terms>
    </adb9bed2e36e4a93af574aeb444da63e>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For Official Use Only</TermName>
          <TermId xmlns="http://schemas.microsoft.com/office/infopath/2007/PartnerControls">11f6fb0b-52ce-4109-8f7f-521b2a62f692</TermId>
        </TermInfo>
      </Terms>
    </aa25a1a23adf4c92a153145de6afe324>
    <g7bcb40ba23249a78edca7d43a67c1c9 xmlns="a36bd50b-1532-4c22-b385-5c082c960938">
      <Terms xmlns="http://schemas.microsoft.com/office/infopath/2007/PartnerControls"/>
    </g7bcb40ba23249a78edca7d43a67c1c9>
    <_dlc_DocId xmlns="a36bd50b-1532-4c22-b385-5c082c960938">HN46P6AU7HPT-927605469-5</_dlc_DocId>
    <_dlc_DocIdUrl xmlns="a36bd50b-1532-4c22-b385-5c082c960938">
      <Url>https://dochub/div/officeinnovationscienceaustralia/_layouts/15/DocIdRedir.aspx?ID=HN46P6AU7HPT-927605469-5</Url>
      <Description>HN46P6AU7HPT-927605469-5</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4099D2EAA034D54091CB7763D5694A4A" ma:contentTypeVersion="13" ma:contentTypeDescription="Create a new document." ma:contentTypeScope="" ma:versionID="2c374257adddb09836c286318badd6e8">
  <xsd:schema xmlns:xsd="http://www.w3.org/2001/XMLSchema" xmlns:xs="http://www.w3.org/2001/XMLSchema" xmlns:p="http://schemas.microsoft.com/office/2006/metadata/properties" xmlns:ns1="http://schemas.microsoft.com/sharepoint/v3" xmlns:ns2="a36bd50b-1532-4c22-b385-5c082c960938" xmlns:ns3="ec396c6e-058f-4081-9b46-8acd17ff2be5" targetNamespace="http://schemas.microsoft.com/office/2006/metadata/properties" ma:root="true" ma:fieldsID="84405d9ea4d70fa73d3cfc2fab0e7f58" ns1:_="" ns2:_="" ns3:_="">
    <xsd:import namespace="http://schemas.microsoft.com/sharepoint/v3"/>
    <xsd:import namespace="a36bd50b-1532-4c22-b385-5c082c960938"/>
    <xsd:import namespace="ec396c6e-058f-4081-9b46-8acd17ff2be5"/>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bd4cb2b9-def1-4341-a0c7-12b8b10a24e4}" ma:internalName="TaxCatchAll" ma:showField="CatchAllData" ma:web="ec396c6e-058f-4081-9b46-8acd17ff2be5">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6d9c7a7c-5fef-4375-ad40-aaaae04e48da"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396c6e-058f-4081-9b46-8acd17ff2be5" elementFormDefault="qualified">
    <xsd:import namespace="http://schemas.microsoft.com/office/2006/documentManagement/types"/>
    <xsd:import namespace="http://schemas.microsoft.com/office/infopath/2007/PartnerControls"/>
    <xsd:element name="SharedWithUsers" ma:index="2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64FAEC-5306-44E4-8033-FEF85662BA6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36bd50b-1532-4c22-b385-5c082c960938"/>
    <ds:schemaRef ds:uri="http://schemas.microsoft.com/sharepoint/v3"/>
    <ds:schemaRef ds:uri="ec396c6e-058f-4081-9b46-8acd17ff2be5"/>
    <ds:schemaRef ds:uri="http://www.w3.org/XML/1998/namespace"/>
    <ds:schemaRef ds:uri="http://purl.org/dc/dcmitype/"/>
  </ds:schemaRefs>
</ds:datastoreItem>
</file>

<file path=customXml/itemProps3.xml><?xml version="1.0" encoding="utf-8"?>
<ds:datastoreItem xmlns:ds="http://schemas.openxmlformats.org/officeDocument/2006/customXml" ds:itemID="{7A6CD1A0-AE43-4B80-B39C-24623AEA25C7}">
  <ds:schemaRefs>
    <ds:schemaRef ds:uri="http://schemas.microsoft.com/sharepoint/events"/>
  </ds:schemaRefs>
</ds:datastoreItem>
</file>

<file path=customXml/itemProps4.xml><?xml version="1.0" encoding="utf-8"?>
<ds:datastoreItem xmlns:ds="http://schemas.openxmlformats.org/officeDocument/2006/customXml" ds:itemID="{F679E4D8-73D9-412D-B716-777944E71373}">
  <ds:schemaRefs>
    <ds:schemaRef ds:uri="http://schemas.microsoft.com/pics"/>
  </ds:schemaRefs>
</ds:datastoreItem>
</file>

<file path=customXml/itemProps5.xml><?xml version="1.0" encoding="utf-8"?>
<ds:datastoreItem xmlns:ds="http://schemas.openxmlformats.org/officeDocument/2006/customXml" ds:itemID="{F5A6E3B6-3CA6-4F81-989D-854EF7048DA7}">
  <ds:schemaRefs>
    <ds:schemaRef ds:uri="http://schemas.microsoft.com/sharepoint/v3/contenttype/forms"/>
  </ds:schemaRefs>
</ds:datastoreItem>
</file>

<file path=customXml/itemProps6.xml><?xml version="1.0" encoding="utf-8"?>
<ds:datastoreItem xmlns:ds="http://schemas.openxmlformats.org/officeDocument/2006/customXml" ds:itemID="{7F284995-5D3C-4C3A-808B-6E221DBBF2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ec396c6e-058f-4081-9b46-8acd17ff2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99EA53E7-F054-4CF6-B713-F20A41C8E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Word%20document%20Template%20(ISA%20logo)</Template>
  <TotalTime>656</TotalTime>
  <Pages>60</Pages>
  <Words>18067</Words>
  <Characters>102984</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Department of the Prime Minister and Cabinet</Company>
  <LinksUpToDate>false</LinksUpToDate>
  <CharactersWithSpaces>120810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Lewis, Bridgette</dc:creator>
  <cp:lastModifiedBy>Crimmins, Emily</cp:lastModifiedBy>
  <cp:revision>75</cp:revision>
  <cp:lastPrinted>2020-11-25T00:46:00Z</cp:lastPrinted>
  <dcterms:created xsi:type="dcterms:W3CDTF">2020-11-30T00:54:00Z</dcterms:created>
  <dcterms:modified xsi:type="dcterms:W3CDTF">2021-01-13T05:59:00Z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y fmtid="{D5CDD505-2E9C-101B-9397-08002B2CF9AE}" pid="3" name="ContentTypeId">
    <vt:lpwstr>0x0101004099D2EAA034D54091CB7763D5694A4A</vt:lpwstr>
  </property>
  <property fmtid="{D5CDD505-2E9C-101B-9397-08002B2CF9AE}" pid="4" name="HPRMSecurityLevel">
    <vt:lpwstr>1;#UNCLASSIFIED|9c49a7c7-17c7-412f-8077-62dec89b9196</vt:lpwstr>
  </property>
  <property fmtid="{D5CDD505-2E9C-101B-9397-08002B2CF9AE}" pid="5" name="HPRMSecurityCaveat">
    <vt:lpwstr/>
  </property>
  <property fmtid="{D5CDD505-2E9C-101B-9397-08002B2CF9AE}" pid="6" name="_dlc_DocIdItemGuid">
    <vt:lpwstr>7873aa18-19dd-4f84-8993-22e028d8f0e6</vt:lpwstr>
  </property>
  <property fmtid="{D5CDD505-2E9C-101B-9397-08002B2CF9AE}" pid="7" name="DocHub_Year">
    <vt:lpwstr>830;#2020|6a3660c5-15bd-4052-a0a1-6237663b7600</vt:lpwstr>
  </property>
  <property fmtid="{D5CDD505-2E9C-101B-9397-08002B2CF9AE}" pid="8" name="DocHub_DocumentType">
    <vt:lpwstr>10;#Report|116a9244-cef6-47ce-a9a5-088c9cf21292</vt:lpwstr>
  </property>
  <property fmtid="{D5CDD505-2E9C-101B-9397-08002B2CF9AE}" pid="9" name="DocHub_SecurityClassification">
    <vt:lpwstr>53;#For Official Use Only|11f6fb0b-52ce-4109-8f7f-521b2a62f692</vt:lpwstr>
  </property>
  <property fmtid="{D5CDD505-2E9C-101B-9397-08002B2CF9AE}" pid="10" name="DocHub_Keywords">
    <vt:lpwstr>71;#ISA|2fbf8c44-3026-4331-a3de-7b1aafac4560</vt:lpwstr>
  </property>
  <property fmtid="{D5CDD505-2E9C-101B-9397-08002B2CF9AE}" pid="11" name="DocHub_WorkActivity">
    <vt:lpwstr/>
  </property>
</Properties>
</file>